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E4B" w:rsidRPr="004B1D72" w:rsidRDefault="00FA2E4B" w:rsidP="00FA2E4B">
      <w:pPr>
        <w:spacing w:line="60" w:lineRule="exact"/>
        <w:rPr>
          <w:color w:val="010000"/>
          <w:sz w:val="6"/>
        </w:rPr>
        <w:sectPr w:rsidR="00FA2E4B" w:rsidRPr="004B1D72" w:rsidSect="00FA2E4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1909" w:h="16834"/>
          <w:pgMar w:top="1742" w:right="936" w:bottom="1898" w:left="936" w:header="576" w:footer="1030" w:gutter="0"/>
          <w:pgNumType w:start="1"/>
          <w:cols w:space="720"/>
          <w:noEndnote/>
          <w:titlePg/>
          <w:docGrid w:linePitch="360"/>
        </w:sectPr>
      </w:pPr>
      <w:bookmarkStart w:id="0" w:name="_GoBack"/>
      <w:bookmarkEnd w:id="0"/>
    </w:p>
    <w:p w:rsidR="004B1D72" w:rsidRPr="004B1D72" w:rsidRDefault="004B1D72" w:rsidP="004B1D72">
      <w:pPr>
        <w:rPr>
          <w:b/>
          <w:bCs/>
          <w:sz w:val="28"/>
          <w:szCs w:val="28"/>
        </w:rPr>
      </w:pPr>
      <w:r w:rsidRPr="004B1D72">
        <w:rPr>
          <w:b/>
          <w:bCs/>
          <w:sz w:val="28"/>
          <w:szCs w:val="28"/>
        </w:rPr>
        <w:lastRenderedPageBreak/>
        <w:t>Европейская экономическая комиссия</w:t>
      </w:r>
    </w:p>
    <w:p w:rsidR="004B1D72" w:rsidRPr="004B1D72" w:rsidRDefault="004B1D72" w:rsidP="004B1D72">
      <w:pPr>
        <w:spacing w:line="120" w:lineRule="exact"/>
        <w:rPr>
          <w:sz w:val="10"/>
          <w:szCs w:val="28"/>
        </w:rPr>
      </w:pPr>
    </w:p>
    <w:p w:rsidR="004B1D72" w:rsidRPr="004B1D72" w:rsidRDefault="004B1D72" w:rsidP="004B1D72">
      <w:pPr>
        <w:rPr>
          <w:sz w:val="28"/>
          <w:szCs w:val="28"/>
        </w:rPr>
      </w:pPr>
      <w:r w:rsidRPr="004B1D72">
        <w:rPr>
          <w:sz w:val="28"/>
          <w:szCs w:val="28"/>
        </w:rPr>
        <w:t>Комитет по внутреннему транспорту</w:t>
      </w:r>
    </w:p>
    <w:p w:rsidR="004B1D72" w:rsidRPr="004B1D72" w:rsidRDefault="004B1D72" w:rsidP="004B1D72">
      <w:pPr>
        <w:spacing w:line="120" w:lineRule="exact"/>
        <w:rPr>
          <w:sz w:val="10"/>
        </w:rPr>
      </w:pPr>
    </w:p>
    <w:p w:rsidR="004B1D72" w:rsidRPr="004B1D72" w:rsidRDefault="004B1D72" w:rsidP="004B1D72">
      <w:pPr>
        <w:rPr>
          <w:b/>
          <w:bCs/>
          <w:sz w:val="24"/>
          <w:szCs w:val="24"/>
        </w:rPr>
      </w:pPr>
      <w:r w:rsidRPr="004B1D72">
        <w:rPr>
          <w:b/>
          <w:bCs/>
          <w:sz w:val="24"/>
          <w:szCs w:val="24"/>
        </w:rPr>
        <w:t xml:space="preserve">Всемирный форум для согласования правил </w:t>
      </w:r>
      <w:r w:rsidRPr="004B1D72">
        <w:rPr>
          <w:b/>
          <w:bCs/>
          <w:sz w:val="24"/>
          <w:szCs w:val="24"/>
        </w:rPr>
        <w:br/>
        <w:t>в области транспортных средств</w:t>
      </w:r>
    </w:p>
    <w:p w:rsidR="004B1D72" w:rsidRPr="004B1D72" w:rsidRDefault="004B1D72" w:rsidP="004B1D72">
      <w:pPr>
        <w:spacing w:line="120" w:lineRule="exact"/>
        <w:rPr>
          <w:bCs/>
          <w:sz w:val="10"/>
        </w:rPr>
      </w:pPr>
    </w:p>
    <w:p w:rsidR="004B1D72" w:rsidRPr="004B1D72" w:rsidRDefault="004B1D72" w:rsidP="004B1D72">
      <w:pPr>
        <w:rPr>
          <w:b/>
        </w:rPr>
      </w:pPr>
      <w:r w:rsidRPr="004B1D72">
        <w:rPr>
          <w:b/>
        </w:rPr>
        <w:t xml:space="preserve">Рабочая группа по вопросам освещения </w:t>
      </w:r>
      <w:r w:rsidR="009D449E">
        <w:rPr>
          <w:b/>
        </w:rPr>
        <w:br/>
      </w:r>
      <w:r w:rsidRPr="004B1D72">
        <w:rPr>
          <w:b/>
        </w:rPr>
        <w:t>и световой сигнализации</w:t>
      </w:r>
    </w:p>
    <w:p w:rsidR="004B1D72" w:rsidRPr="004B1D72" w:rsidRDefault="004B1D72" w:rsidP="004B1D72">
      <w:pPr>
        <w:spacing w:line="120" w:lineRule="exact"/>
        <w:rPr>
          <w:sz w:val="10"/>
        </w:rPr>
      </w:pPr>
    </w:p>
    <w:p w:rsidR="004B1D72" w:rsidRPr="004B1D72" w:rsidRDefault="004B1D72" w:rsidP="004B1D72">
      <w:pPr>
        <w:rPr>
          <w:b/>
          <w:bCs/>
        </w:rPr>
      </w:pPr>
      <w:r w:rsidRPr="004B1D72">
        <w:rPr>
          <w:b/>
          <w:bCs/>
        </w:rPr>
        <w:t>Семьдесят пятая сессия</w:t>
      </w:r>
    </w:p>
    <w:p w:rsidR="004B1D72" w:rsidRPr="004B1D72" w:rsidRDefault="004B1D72" w:rsidP="004B1D72">
      <w:pPr>
        <w:rPr>
          <w:bCs/>
        </w:rPr>
      </w:pPr>
      <w:r w:rsidRPr="004B1D72">
        <w:t>Женева</w:t>
      </w:r>
      <w:r w:rsidRPr="004B1D72">
        <w:rPr>
          <w:bCs/>
        </w:rPr>
        <w:t>, 5–8 апреля 2016 года</w:t>
      </w:r>
    </w:p>
    <w:p w:rsidR="004B1D72" w:rsidRPr="004B1D72" w:rsidRDefault="004B1D72" w:rsidP="009D449E">
      <w:pPr>
        <w:rPr>
          <w:b/>
          <w:bCs/>
        </w:rPr>
      </w:pPr>
      <w:r w:rsidRPr="004B1D72">
        <w:rPr>
          <w:bCs/>
        </w:rPr>
        <w:t xml:space="preserve">Пункты 6 </w:t>
      </w:r>
      <w:r w:rsidRPr="004B1D72">
        <w:rPr>
          <w:bCs/>
          <w:lang w:val="en-GB"/>
        </w:rPr>
        <w:t>a</w:t>
      </w:r>
      <w:r w:rsidRPr="004B1D72">
        <w:rPr>
          <w:bCs/>
        </w:rPr>
        <w:t xml:space="preserve">) и 7 </w:t>
      </w:r>
      <w:r w:rsidRPr="004B1D72">
        <w:rPr>
          <w:bCs/>
          <w:lang w:val="en-GB"/>
        </w:rPr>
        <w:t>l</w:t>
      </w:r>
      <w:r w:rsidRPr="004B1D72">
        <w:rPr>
          <w:bCs/>
        </w:rPr>
        <w:t>) предварительной повестки дня</w:t>
      </w:r>
      <w:r w:rsidRPr="004B1D72">
        <w:rPr>
          <w:bCs/>
        </w:rPr>
        <w:br/>
      </w:r>
      <w:r w:rsidRPr="004B1D72">
        <w:rPr>
          <w:b/>
          <w:bCs/>
        </w:rPr>
        <w:t xml:space="preserve">Правила № 48 (установка устройств освещения </w:t>
      </w:r>
      <w:r w:rsidRPr="004B1D72">
        <w:rPr>
          <w:b/>
          <w:bCs/>
        </w:rPr>
        <w:br/>
        <w:t xml:space="preserve">и световой сигнализации): Предложения по поправкам </w:t>
      </w:r>
      <w:r w:rsidRPr="004B1D72">
        <w:rPr>
          <w:b/>
          <w:bCs/>
        </w:rPr>
        <w:br/>
        <w:t>к поправкам серии 05 и 06</w:t>
      </w:r>
    </w:p>
    <w:p w:rsidR="004B1D72" w:rsidRPr="004B1D72" w:rsidRDefault="004B1D72" w:rsidP="004B1D72">
      <w:pPr>
        <w:spacing w:line="120" w:lineRule="exact"/>
        <w:rPr>
          <w:b/>
          <w:bCs/>
          <w:sz w:val="10"/>
        </w:rPr>
      </w:pPr>
    </w:p>
    <w:p w:rsidR="004B1D72" w:rsidRPr="004B1D72" w:rsidRDefault="004B1D72" w:rsidP="004B1D72">
      <w:pPr>
        <w:rPr>
          <w:b/>
          <w:bCs/>
        </w:rPr>
      </w:pPr>
      <w:r w:rsidRPr="004B1D72">
        <w:rPr>
          <w:b/>
          <w:bCs/>
        </w:rPr>
        <w:t>Другие правила: Правила № 87 (дневные ходовые огни)</w:t>
      </w:r>
    </w:p>
    <w:p w:rsidR="004B1D72" w:rsidRPr="004B1D72" w:rsidRDefault="004B1D72" w:rsidP="004B1D72">
      <w:pPr>
        <w:pStyle w:val="SingleTxt"/>
        <w:spacing w:after="0" w:line="120" w:lineRule="exact"/>
        <w:rPr>
          <w:b/>
          <w:sz w:val="10"/>
        </w:rPr>
      </w:pPr>
    </w:p>
    <w:p w:rsidR="004B1D72" w:rsidRPr="004B1D72" w:rsidRDefault="004B1D72" w:rsidP="004B1D72">
      <w:pPr>
        <w:pStyle w:val="SingleTxt"/>
        <w:spacing w:after="0" w:line="120" w:lineRule="exact"/>
        <w:rPr>
          <w:b/>
          <w:sz w:val="10"/>
        </w:rPr>
      </w:pPr>
    </w:p>
    <w:p w:rsidR="004B1D72" w:rsidRPr="004B1D72" w:rsidRDefault="004B1D72" w:rsidP="004B1D72">
      <w:pPr>
        <w:pStyle w:val="SingleTxt"/>
        <w:spacing w:after="0" w:line="120" w:lineRule="exact"/>
        <w:rPr>
          <w:b/>
          <w:sz w:val="10"/>
        </w:rPr>
      </w:pPr>
    </w:p>
    <w:p w:rsidR="004B1D72" w:rsidRPr="004B1D72" w:rsidRDefault="004B1D72" w:rsidP="004B1D72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4B1D72">
        <w:tab/>
      </w:r>
      <w:r w:rsidRPr="004B1D72">
        <w:tab/>
        <w:t>Предложение по общим поправкам к Правилам № 48 (</w:t>
      </w:r>
      <w:r w:rsidRPr="004B1D72">
        <w:rPr>
          <w:bCs/>
        </w:rPr>
        <w:t>установка устройств освещения и световой сигнализации</w:t>
      </w:r>
      <w:r w:rsidRPr="004B1D72">
        <w:t>) и к Правилам № 87 (дневные ходовые огни)</w:t>
      </w:r>
    </w:p>
    <w:p w:rsidR="004B1D72" w:rsidRPr="004B1D72" w:rsidRDefault="004B1D72" w:rsidP="004B1D72">
      <w:pPr>
        <w:pStyle w:val="SingleTxt"/>
        <w:spacing w:after="0" w:line="120" w:lineRule="exact"/>
        <w:rPr>
          <w:sz w:val="10"/>
        </w:rPr>
      </w:pPr>
    </w:p>
    <w:p w:rsidR="004B1D72" w:rsidRPr="004B1D72" w:rsidRDefault="004B1D72" w:rsidP="004B1D72">
      <w:pPr>
        <w:pStyle w:val="SingleTxt"/>
        <w:spacing w:after="0" w:line="120" w:lineRule="exact"/>
        <w:rPr>
          <w:sz w:val="10"/>
        </w:rPr>
      </w:pPr>
    </w:p>
    <w:p w:rsidR="004B1D72" w:rsidRPr="004B1D72" w:rsidRDefault="004B1D72" w:rsidP="004B1D72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DE186A">
        <w:tab/>
      </w:r>
      <w:r w:rsidRPr="00DE186A">
        <w:tab/>
      </w:r>
      <w:r w:rsidRPr="004B1D72">
        <w:t>Представлено экспертом от Германии</w:t>
      </w:r>
      <w:r w:rsidRPr="004B1D72">
        <w:rPr>
          <w:b w:val="0"/>
          <w:sz w:val="20"/>
        </w:rPr>
        <w:footnoteReference w:customMarkFollows="1" w:id="1"/>
        <w:t>*</w:t>
      </w:r>
    </w:p>
    <w:p w:rsidR="004B1D72" w:rsidRPr="004B1D72" w:rsidRDefault="004B1D72" w:rsidP="004B1D72">
      <w:pPr>
        <w:pStyle w:val="SingleTxt"/>
        <w:spacing w:after="0" w:line="120" w:lineRule="exact"/>
        <w:rPr>
          <w:sz w:val="10"/>
        </w:rPr>
      </w:pPr>
    </w:p>
    <w:p w:rsidR="004B1D72" w:rsidRPr="004B1D72" w:rsidRDefault="004B1D72" w:rsidP="004B1D72">
      <w:pPr>
        <w:pStyle w:val="SingleTxt"/>
        <w:spacing w:after="0" w:line="120" w:lineRule="exact"/>
        <w:rPr>
          <w:sz w:val="10"/>
        </w:rPr>
      </w:pPr>
    </w:p>
    <w:p w:rsidR="004B1D72" w:rsidRPr="004B1D72" w:rsidRDefault="004B1D72" w:rsidP="009D449E">
      <w:pPr>
        <w:pStyle w:val="SingleTxt"/>
      </w:pPr>
      <w:r>
        <w:rPr>
          <w:lang w:val="en-US"/>
        </w:rPr>
        <w:tab/>
      </w:r>
      <w:r w:rsidRPr="004B1D72">
        <w:t xml:space="preserve">Воспроизведенный ниже текст был подготовлен экспертом </w:t>
      </w:r>
      <w:proofErr w:type="gramStart"/>
      <w:r w:rsidRPr="004B1D72">
        <w:t>от Германии в сотрудничестве с экспертами от Международной группы экспертов по вопросам</w:t>
      </w:r>
      <w:proofErr w:type="gramEnd"/>
      <w:r w:rsidRPr="004B1D72">
        <w:t xml:space="preserve"> автомобильного освещения и световой сигнализации (БРГ) с учетом обсуждений неофициального документа </w:t>
      </w:r>
      <w:r w:rsidRPr="004B1D72">
        <w:rPr>
          <w:lang w:val="en-GB"/>
        </w:rPr>
        <w:t>GRE</w:t>
      </w:r>
      <w:r w:rsidRPr="004B1D72">
        <w:t xml:space="preserve">-73-14, состоявшихся на семьдесят четвертой сессии </w:t>
      </w:r>
      <w:r w:rsidRPr="004B1D72">
        <w:rPr>
          <w:lang w:val="en-GB"/>
        </w:rPr>
        <w:t>GRE</w:t>
      </w:r>
      <w:r w:rsidRPr="004B1D72">
        <w:t xml:space="preserve"> (</w:t>
      </w:r>
      <w:r w:rsidRPr="004B1D72">
        <w:rPr>
          <w:lang w:val="en-GB"/>
        </w:rPr>
        <w:t>ECE</w:t>
      </w:r>
      <w:r w:rsidRPr="004B1D72">
        <w:t>/</w:t>
      </w:r>
      <w:r w:rsidRPr="004B1D72">
        <w:rPr>
          <w:lang w:val="en-GB"/>
        </w:rPr>
        <w:t>TRANS</w:t>
      </w:r>
      <w:r w:rsidRPr="004B1D72">
        <w:t>/</w:t>
      </w:r>
      <w:r w:rsidRPr="004B1D72">
        <w:rPr>
          <w:lang w:val="en-GB"/>
        </w:rPr>
        <w:t>WP</w:t>
      </w:r>
      <w:r w:rsidRPr="004B1D72">
        <w:t>.29/</w:t>
      </w:r>
      <w:r w:rsidRPr="004B1D72">
        <w:rPr>
          <w:lang w:val="en-GB"/>
        </w:rPr>
        <w:t>GRE</w:t>
      </w:r>
      <w:r w:rsidRPr="004B1D72">
        <w:t>/74, пункт 16).</w:t>
      </w:r>
      <w:r>
        <w:t xml:space="preserve"> </w:t>
      </w:r>
      <w:r w:rsidRPr="004B1D72">
        <w:t>Изменения к существующ</w:t>
      </w:r>
      <w:r w:rsidRPr="004B1D72">
        <w:t>е</w:t>
      </w:r>
      <w:r w:rsidRPr="004B1D72">
        <w:t>му тексту Правил выделены жирным шрифтом, а текст, подлежащий исключ</w:t>
      </w:r>
      <w:r w:rsidRPr="004B1D72">
        <w:t>е</w:t>
      </w:r>
      <w:r w:rsidRPr="004B1D72">
        <w:t>нию, зачеркнут.</w:t>
      </w:r>
    </w:p>
    <w:p w:rsidR="004B1D72" w:rsidRPr="004B1D72" w:rsidRDefault="004B1D72" w:rsidP="009D449E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4B1D72">
        <w:br w:type="page"/>
      </w:r>
      <w:r w:rsidRPr="004B1D72">
        <w:lastRenderedPageBreak/>
        <w:tab/>
      </w:r>
      <w:r>
        <w:rPr>
          <w:lang w:val="en-US"/>
        </w:rPr>
        <w:t>I</w:t>
      </w:r>
      <w:r w:rsidR="009D449E">
        <w:t>.</w:t>
      </w:r>
      <w:r w:rsidRPr="00DE186A">
        <w:tab/>
      </w:r>
      <w:r w:rsidRPr="004B1D72">
        <w:t>Предложение</w:t>
      </w:r>
    </w:p>
    <w:p w:rsidR="00DE186A" w:rsidRPr="00DE186A" w:rsidRDefault="00DE186A" w:rsidP="00DE186A">
      <w:pPr>
        <w:pStyle w:val="SingleTxt"/>
        <w:spacing w:after="0" w:line="120" w:lineRule="exact"/>
        <w:rPr>
          <w:b/>
          <w:sz w:val="10"/>
          <w:lang w:val="en-US"/>
        </w:rPr>
      </w:pPr>
    </w:p>
    <w:p w:rsidR="00DE186A" w:rsidRPr="00DE186A" w:rsidRDefault="00DE186A" w:rsidP="00DE186A">
      <w:pPr>
        <w:pStyle w:val="SingleTxt"/>
        <w:spacing w:after="0" w:line="120" w:lineRule="exact"/>
        <w:rPr>
          <w:b/>
          <w:sz w:val="10"/>
          <w:lang w:val="en-US"/>
        </w:rPr>
      </w:pPr>
    </w:p>
    <w:p w:rsidR="004B1D72" w:rsidRPr="004B1D72" w:rsidRDefault="00DE186A" w:rsidP="00DE186A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 w:rsidR="004B1D72" w:rsidRPr="004B1D72">
        <w:rPr>
          <w:lang w:val="en-US"/>
        </w:rPr>
        <w:t>A</w:t>
      </w:r>
      <w:r w:rsidR="004B1D72" w:rsidRPr="004B1D72">
        <w:t>.</w:t>
      </w:r>
      <w:r w:rsidR="004B1D72" w:rsidRPr="004B1D72">
        <w:tab/>
        <w:t xml:space="preserve">Правила № 48 </w:t>
      </w:r>
    </w:p>
    <w:p w:rsidR="00DE186A" w:rsidRPr="00DE186A" w:rsidRDefault="00DE186A" w:rsidP="00DE186A">
      <w:pPr>
        <w:pStyle w:val="SingleTxt"/>
        <w:spacing w:after="0" w:line="120" w:lineRule="exact"/>
        <w:rPr>
          <w:i/>
          <w:sz w:val="10"/>
        </w:rPr>
      </w:pPr>
    </w:p>
    <w:p w:rsidR="00DE186A" w:rsidRPr="00DE186A" w:rsidRDefault="00DE186A" w:rsidP="00DE186A">
      <w:pPr>
        <w:pStyle w:val="SingleTxt"/>
        <w:spacing w:after="0" w:line="120" w:lineRule="exact"/>
        <w:rPr>
          <w:i/>
          <w:sz w:val="10"/>
        </w:rPr>
      </w:pPr>
    </w:p>
    <w:p w:rsidR="004B1D72" w:rsidRPr="004B1D72" w:rsidRDefault="004B1D72" w:rsidP="004B1D72">
      <w:pPr>
        <w:pStyle w:val="SingleTxt"/>
        <w:rPr>
          <w:iCs/>
        </w:rPr>
      </w:pPr>
      <w:r w:rsidRPr="004B1D72">
        <w:rPr>
          <w:i/>
        </w:rPr>
        <w:t xml:space="preserve">Пункт 6.19.7.5 </w:t>
      </w:r>
      <w:r w:rsidRPr="004B1D72">
        <w:t>изменить следующим образом</w:t>
      </w:r>
      <w:r w:rsidRPr="004B1D72">
        <w:rPr>
          <w:iCs/>
        </w:rPr>
        <w:t>:</w:t>
      </w:r>
    </w:p>
    <w:p w:rsidR="004B1D72" w:rsidRPr="004B1D72" w:rsidRDefault="00DE186A" w:rsidP="009D449E">
      <w:pPr>
        <w:pStyle w:val="SingleTxt"/>
        <w:ind w:left="2218" w:hanging="951"/>
      </w:pPr>
      <w:r>
        <w:t>«</w:t>
      </w:r>
      <w:r w:rsidR="004B1D72" w:rsidRPr="004B1D72">
        <w:t>6.19.7.5</w:t>
      </w:r>
      <w:proofErr w:type="gramStart"/>
      <w:r w:rsidR="004B1D72" w:rsidRPr="004B1D72">
        <w:tab/>
        <w:t>Е</w:t>
      </w:r>
      <w:proofErr w:type="gramEnd"/>
      <w:r w:rsidR="004B1D72" w:rsidRPr="004B1D72">
        <w:t xml:space="preserve">сли расстояние между </w:t>
      </w:r>
      <w:r w:rsidR="004B1D72" w:rsidRPr="004B1D72">
        <w:rPr>
          <w:b/>
          <w:bCs/>
        </w:rPr>
        <w:t>краем видимой поверхности в направлении</w:t>
      </w:r>
      <w:r w:rsidR="004B1D72">
        <w:rPr>
          <w:b/>
          <w:bCs/>
        </w:rPr>
        <w:t xml:space="preserve"> </w:t>
      </w:r>
      <w:r w:rsidR="004B1D72" w:rsidRPr="004B1D72">
        <w:rPr>
          <w:b/>
          <w:bCs/>
        </w:rPr>
        <w:t xml:space="preserve">исходной оси </w:t>
      </w:r>
      <w:r w:rsidR="004B1D72" w:rsidRPr="004B1D72">
        <w:t xml:space="preserve">огня переднего указателя поворота </w:t>
      </w:r>
      <w:r w:rsidR="004B1D72" w:rsidRPr="004B1D72">
        <w:rPr>
          <w:b/>
          <w:bCs/>
        </w:rPr>
        <w:t xml:space="preserve">категории </w:t>
      </w:r>
      <w:r w:rsidR="004B1D72" w:rsidRPr="004B1D72">
        <w:rPr>
          <w:b/>
        </w:rPr>
        <w:t>1, 1</w:t>
      </w:r>
      <w:r w:rsidR="004B1D72" w:rsidRPr="004B1D72">
        <w:rPr>
          <w:b/>
          <w:lang w:val="en-GB"/>
        </w:rPr>
        <w:t>a</w:t>
      </w:r>
      <w:r w:rsidR="004B1D72" w:rsidRPr="004B1D72">
        <w:rPr>
          <w:b/>
        </w:rPr>
        <w:t xml:space="preserve"> или</w:t>
      </w:r>
      <w:r w:rsidR="009D449E">
        <w:rPr>
          <w:b/>
        </w:rPr>
        <w:t> </w:t>
      </w:r>
      <w:r w:rsidR="004B1D72" w:rsidRPr="004B1D72">
        <w:rPr>
          <w:b/>
        </w:rPr>
        <w:t>1</w:t>
      </w:r>
      <w:r w:rsidR="004B1D72" w:rsidRPr="004B1D72">
        <w:rPr>
          <w:b/>
          <w:lang w:val="en-GB"/>
        </w:rPr>
        <w:t>b</w:t>
      </w:r>
      <w:r w:rsidR="004B1D72" w:rsidRPr="004B1D72">
        <w:t xml:space="preserve"> и </w:t>
      </w:r>
      <w:r w:rsidR="004B1D72" w:rsidRPr="004B1D72">
        <w:rPr>
          <w:b/>
          <w:bCs/>
        </w:rPr>
        <w:t>краем видимой поверхности в направлении исходной оси</w:t>
      </w:r>
      <w:r w:rsidR="004B1D72" w:rsidRPr="004B1D72">
        <w:t xml:space="preserve"> дневного ходового огня</w:t>
      </w:r>
      <w:r w:rsidR="004B1D72" w:rsidRPr="004B1D72">
        <w:rPr>
          <w:b/>
          <w:bCs/>
        </w:rPr>
        <w:t>, установленного на той же стороне тран</w:t>
      </w:r>
      <w:r w:rsidR="004B1D72" w:rsidRPr="004B1D72">
        <w:rPr>
          <w:b/>
          <w:bCs/>
        </w:rPr>
        <w:t>с</w:t>
      </w:r>
      <w:r w:rsidR="004B1D72" w:rsidRPr="004B1D72">
        <w:rPr>
          <w:b/>
          <w:bCs/>
        </w:rPr>
        <w:t>портного средства</w:t>
      </w:r>
      <w:r w:rsidR="004B1D72" w:rsidRPr="004B1D72">
        <w:t xml:space="preserve"> составляет не более 40 мм, то функциональная электрическая схема дневного ходового огня на соответствующей ст</w:t>
      </w:r>
      <w:r w:rsidR="004B1D72" w:rsidRPr="004B1D72">
        <w:t>о</w:t>
      </w:r>
      <w:r w:rsidR="004B1D72" w:rsidRPr="004B1D72">
        <w:t xml:space="preserve">роне транспортного средства </w:t>
      </w:r>
      <w:r w:rsidR="004B1D72" w:rsidRPr="004B1D72">
        <w:rPr>
          <w:b/>
          <w:bCs/>
        </w:rPr>
        <w:t>должна</w:t>
      </w:r>
      <w:r w:rsidR="004B1D72" w:rsidRPr="004B1D72">
        <w:t xml:space="preserve"> быть такой, чтобы либо:</w:t>
      </w:r>
    </w:p>
    <w:p w:rsidR="004B1D72" w:rsidRPr="004B1D72" w:rsidRDefault="004B1D72" w:rsidP="00DE186A">
      <w:pPr>
        <w:pStyle w:val="SingleTxt"/>
        <w:ind w:left="2693" w:hanging="475"/>
      </w:pPr>
      <w:r w:rsidRPr="004B1D72">
        <w:t>а)</w:t>
      </w:r>
      <w:r w:rsidRPr="004B1D72">
        <w:tab/>
        <w:t xml:space="preserve">он выключался </w:t>
      </w:r>
      <w:r w:rsidRPr="004B1D72">
        <w:rPr>
          <w:b/>
          <w:bCs/>
        </w:rPr>
        <w:t>на весь период (цикл вкл./выкл.) работы огня переднего указателя поворота</w:t>
      </w:r>
      <w:r w:rsidRPr="004B1D72">
        <w:t>, либо</w:t>
      </w:r>
    </w:p>
    <w:p w:rsidR="004B1D72" w:rsidRPr="004B1D72" w:rsidRDefault="004B1D72" w:rsidP="00DE186A">
      <w:pPr>
        <w:pStyle w:val="SingleTxt"/>
        <w:ind w:left="2693" w:hanging="475"/>
      </w:pPr>
      <w:r w:rsidRPr="004B1D72">
        <w:rPr>
          <w:lang w:val="en-GB"/>
        </w:rPr>
        <w:t>b</w:t>
      </w:r>
      <w:r w:rsidRPr="004B1D72">
        <w:t>)</w:t>
      </w:r>
      <w:r w:rsidRPr="004B1D72">
        <w:tab/>
        <w:t xml:space="preserve">сила его света снижалась на весь период (цикл вкл./выкл.) работы переднего указателя поворота </w:t>
      </w:r>
      <w:r w:rsidRPr="004B1D72">
        <w:rPr>
          <w:b/>
          <w:bCs/>
        </w:rPr>
        <w:t>таким образом, чтобы она с</w:t>
      </w:r>
      <w:r w:rsidRPr="004B1D72">
        <w:rPr>
          <w:b/>
          <w:bCs/>
        </w:rPr>
        <w:t>о</w:t>
      </w:r>
      <w:r w:rsidRPr="004B1D72">
        <w:rPr>
          <w:b/>
          <w:bCs/>
        </w:rPr>
        <w:t>ставляла не более 140 кд в любом направлении, в котором можно видеть этот огонь.</w:t>
      </w:r>
      <w:r>
        <w:rPr>
          <w:b/>
          <w:bCs/>
        </w:rPr>
        <w:t xml:space="preserve"> </w:t>
      </w:r>
      <w:r w:rsidRPr="004B1D72">
        <w:rPr>
          <w:b/>
          <w:bCs/>
        </w:rPr>
        <w:t>Соблюдение этого требования пр</w:t>
      </w:r>
      <w:r w:rsidRPr="004B1D72">
        <w:rPr>
          <w:b/>
          <w:bCs/>
        </w:rPr>
        <w:t>о</w:t>
      </w:r>
      <w:r w:rsidRPr="004B1D72">
        <w:rPr>
          <w:b/>
          <w:bCs/>
        </w:rPr>
        <w:t>веряют во время официального утверждения дневного ход</w:t>
      </w:r>
      <w:r w:rsidRPr="004B1D72">
        <w:rPr>
          <w:b/>
          <w:bCs/>
        </w:rPr>
        <w:t>о</w:t>
      </w:r>
      <w:r w:rsidRPr="004B1D72">
        <w:rPr>
          <w:b/>
          <w:bCs/>
        </w:rPr>
        <w:t>вого огня и указывают в соответствующей карточке сообщ</w:t>
      </w:r>
      <w:r w:rsidRPr="004B1D72">
        <w:rPr>
          <w:b/>
          <w:bCs/>
        </w:rPr>
        <w:t>е</w:t>
      </w:r>
      <w:r w:rsidRPr="004B1D72">
        <w:rPr>
          <w:b/>
          <w:bCs/>
        </w:rPr>
        <w:t>ния</w:t>
      </w:r>
      <w:r w:rsidR="00DE186A">
        <w:rPr>
          <w:b/>
          <w:bCs/>
        </w:rPr>
        <w:t>»</w:t>
      </w:r>
      <w:r w:rsidRPr="004B1D72">
        <w:t>.</w:t>
      </w:r>
    </w:p>
    <w:p w:rsidR="004B1D72" w:rsidRPr="004B1D72" w:rsidRDefault="004B1D72" w:rsidP="004B1D72">
      <w:pPr>
        <w:pStyle w:val="SingleTxt"/>
        <w:rPr>
          <w:i/>
        </w:rPr>
      </w:pPr>
      <w:r w:rsidRPr="004B1D72">
        <w:rPr>
          <w:i/>
        </w:rPr>
        <w:t xml:space="preserve">Пункт 6.19.7.6 </w:t>
      </w:r>
      <w:r w:rsidRPr="004B1D72">
        <w:t>изменить следующим образом:</w:t>
      </w:r>
    </w:p>
    <w:p w:rsidR="004B1D72" w:rsidRPr="004B1D72" w:rsidRDefault="00DE186A" w:rsidP="009D449E">
      <w:pPr>
        <w:pStyle w:val="SingleTxt"/>
        <w:ind w:left="2218" w:hanging="951"/>
      </w:pPr>
      <w:r>
        <w:t>«</w:t>
      </w:r>
      <w:r w:rsidR="004B1D72" w:rsidRPr="004B1D72">
        <w:t>6.19.7.6</w:t>
      </w:r>
      <w:proofErr w:type="gramStart"/>
      <w:r w:rsidR="004B1D72" w:rsidRPr="004B1D72">
        <w:tab/>
        <w:t>Е</w:t>
      </w:r>
      <w:proofErr w:type="gramEnd"/>
      <w:r w:rsidR="004B1D72" w:rsidRPr="004B1D72">
        <w:t xml:space="preserve">сли </w:t>
      </w:r>
      <w:r w:rsidR="004B1D72" w:rsidRPr="004B1D72">
        <w:rPr>
          <w:b/>
          <w:bCs/>
        </w:rPr>
        <w:t xml:space="preserve">огонь переднего </w:t>
      </w:r>
      <w:r w:rsidR="004B1D72" w:rsidRPr="004B1D72">
        <w:t>указателя поворота совмещен с дневным ход</w:t>
      </w:r>
      <w:r w:rsidR="004B1D72" w:rsidRPr="004B1D72">
        <w:t>о</w:t>
      </w:r>
      <w:r w:rsidR="004B1D72" w:rsidRPr="004B1D72">
        <w:t>вым огнем:</w:t>
      </w:r>
    </w:p>
    <w:p w:rsidR="004B1D72" w:rsidRPr="004B1D72" w:rsidRDefault="004B1D72" w:rsidP="009D449E">
      <w:pPr>
        <w:pStyle w:val="SingleTxt"/>
        <w:ind w:left="2218" w:hanging="951"/>
        <w:rPr>
          <w:b/>
        </w:rPr>
      </w:pPr>
      <w:r w:rsidRPr="004B1D72">
        <w:rPr>
          <w:b/>
        </w:rPr>
        <w:t>6.19.7.6.1</w:t>
      </w:r>
      <w:r w:rsidRPr="004B1D72">
        <w:rPr>
          <w:b/>
        </w:rPr>
        <w:tab/>
        <w:t xml:space="preserve">имеющим с ним полностью общую видимую поверхность, </w:t>
      </w:r>
      <w:r w:rsidRPr="004B1D72">
        <w:t>то фун</w:t>
      </w:r>
      <w:r w:rsidRPr="004B1D72">
        <w:t>к</w:t>
      </w:r>
      <w:r w:rsidRPr="004B1D72">
        <w:t>циональная электрическая схема дневного ходового огня на соотве</w:t>
      </w:r>
      <w:r w:rsidRPr="004B1D72">
        <w:t>т</w:t>
      </w:r>
      <w:r w:rsidRPr="004B1D72">
        <w:t>ствующей стороне транспортного средства должна быть такой, чтобы дневной ходовой огонь выключался на весь период (цикл вкл./выкл.) работы указателя поворота</w:t>
      </w:r>
      <w:r w:rsidRPr="004B1D72">
        <w:rPr>
          <w:b/>
        </w:rPr>
        <w:t>,</w:t>
      </w:r>
    </w:p>
    <w:p w:rsidR="004B1D72" w:rsidRPr="004B1D72" w:rsidRDefault="004B1D72" w:rsidP="009D449E">
      <w:pPr>
        <w:pStyle w:val="SingleTxt"/>
        <w:ind w:left="2218" w:hanging="951"/>
        <w:rPr>
          <w:b/>
        </w:rPr>
      </w:pPr>
      <w:r w:rsidRPr="004B1D72">
        <w:rPr>
          <w:b/>
        </w:rPr>
        <w:t>6.19.7.6.2</w:t>
      </w:r>
      <w:r w:rsidRPr="004B1D72">
        <w:rPr>
          <w:b/>
        </w:rPr>
        <w:tab/>
        <w:t xml:space="preserve">имеющим с ним частично общую видимую поверхность, </w:t>
      </w:r>
      <w:r w:rsidRPr="004B1D72">
        <w:rPr>
          <w:b/>
          <w:bCs/>
        </w:rPr>
        <w:t>то фун</w:t>
      </w:r>
      <w:r w:rsidRPr="004B1D72">
        <w:rPr>
          <w:b/>
          <w:bCs/>
        </w:rPr>
        <w:t>к</w:t>
      </w:r>
      <w:r w:rsidRPr="004B1D72">
        <w:rPr>
          <w:b/>
          <w:bCs/>
        </w:rPr>
        <w:t>циональная электрическая схема дневного ходового огня на соо</w:t>
      </w:r>
      <w:r w:rsidRPr="004B1D72">
        <w:rPr>
          <w:b/>
          <w:bCs/>
        </w:rPr>
        <w:t>т</w:t>
      </w:r>
      <w:r w:rsidRPr="004B1D72">
        <w:rPr>
          <w:b/>
          <w:bCs/>
        </w:rPr>
        <w:t>ветствующей стороне транспортного средства должна быть такой, чтобы</w:t>
      </w:r>
      <w:r w:rsidRPr="004B1D72">
        <w:rPr>
          <w:b/>
        </w:rPr>
        <w:t xml:space="preserve"> либо:</w:t>
      </w:r>
    </w:p>
    <w:p w:rsidR="004B1D72" w:rsidRPr="004B1D72" w:rsidRDefault="004B1D72" w:rsidP="00DE186A">
      <w:pPr>
        <w:pStyle w:val="SingleTxt"/>
        <w:ind w:left="2693" w:hanging="475"/>
        <w:rPr>
          <w:b/>
        </w:rPr>
      </w:pPr>
      <w:r w:rsidRPr="004B1D72">
        <w:rPr>
          <w:b/>
          <w:lang w:val="en-GB"/>
        </w:rPr>
        <w:t>a</w:t>
      </w:r>
      <w:r w:rsidRPr="004B1D72">
        <w:rPr>
          <w:b/>
        </w:rPr>
        <w:t>)</w:t>
      </w:r>
      <w:r w:rsidRPr="004B1D72">
        <w:rPr>
          <w:b/>
        </w:rPr>
        <w:tab/>
      </w:r>
      <w:proofErr w:type="gramStart"/>
      <w:r w:rsidRPr="004B1D72">
        <w:rPr>
          <w:b/>
        </w:rPr>
        <w:t>полностью</w:t>
      </w:r>
      <w:proofErr w:type="gramEnd"/>
      <w:r w:rsidRPr="004B1D72">
        <w:rPr>
          <w:b/>
        </w:rPr>
        <w:t xml:space="preserve"> выключался дневной ходовой огонь на весь пер</w:t>
      </w:r>
      <w:r w:rsidRPr="004B1D72">
        <w:rPr>
          <w:b/>
        </w:rPr>
        <w:t>и</w:t>
      </w:r>
      <w:r w:rsidRPr="004B1D72">
        <w:rPr>
          <w:b/>
        </w:rPr>
        <w:t>од (цикл вкл./выкл.) работы огня переднего указателя пов</w:t>
      </w:r>
      <w:r w:rsidRPr="004B1D72">
        <w:rPr>
          <w:b/>
        </w:rPr>
        <w:t>о</w:t>
      </w:r>
      <w:r w:rsidRPr="004B1D72">
        <w:rPr>
          <w:b/>
        </w:rPr>
        <w:t>рота; либо</w:t>
      </w:r>
      <w:r>
        <w:rPr>
          <w:b/>
        </w:rPr>
        <w:t xml:space="preserve"> </w:t>
      </w:r>
    </w:p>
    <w:p w:rsidR="004B1D72" w:rsidRPr="004B1D72" w:rsidRDefault="004B1D72" w:rsidP="00DE186A">
      <w:pPr>
        <w:pStyle w:val="SingleTxt"/>
        <w:ind w:left="2693" w:hanging="475"/>
        <w:rPr>
          <w:b/>
        </w:rPr>
      </w:pPr>
      <w:r w:rsidRPr="004B1D72">
        <w:rPr>
          <w:b/>
          <w:lang w:val="en-GB"/>
        </w:rPr>
        <w:t>b</w:t>
      </w:r>
      <w:r w:rsidRPr="004B1D72">
        <w:rPr>
          <w:b/>
        </w:rPr>
        <w:t>)</w:t>
      </w:r>
      <w:r w:rsidRPr="004B1D72">
        <w:rPr>
          <w:b/>
        </w:rPr>
        <w:tab/>
        <w:t xml:space="preserve">выключались общие видимые поверхности </w:t>
      </w:r>
      <w:r w:rsidRPr="004B1D72">
        <w:rPr>
          <w:b/>
          <w:bCs/>
        </w:rPr>
        <w:t>дневного ходового огня, а сила света любой остальной части снижалась на весь период (цикл вкл./выкл.) работы переднего указателя пов</w:t>
      </w:r>
      <w:r w:rsidRPr="004B1D72">
        <w:rPr>
          <w:b/>
          <w:bCs/>
        </w:rPr>
        <w:t>о</w:t>
      </w:r>
      <w:r w:rsidRPr="004B1D72">
        <w:rPr>
          <w:b/>
          <w:bCs/>
        </w:rPr>
        <w:t>рота таким образом, чтобы она составляла не более 140 кд в любом направлении, в котором можно видеть этот огонь.</w:t>
      </w:r>
      <w:r>
        <w:rPr>
          <w:b/>
          <w:bCs/>
        </w:rPr>
        <w:t xml:space="preserve"> </w:t>
      </w:r>
      <w:r w:rsidRPr="004B1D72">
        <w:rPr>
          <w:b/>
          <w:bCs/>
        </w:rPr>
        <w:t>С</w:t>
      </w:r>
      <w:r w:rsidRPr="004B1D72">
        <w:rPr>
          <w:b/>
          <w:bCs/>
        </w:rPr>
        <w:t>о</w:t>
      </w:r>
      <w:r w:rsidRPr="004B1D72">
        <w:rPr>
          <w:b/>
          <w:bCs/>
        </w:rPr>
        <w:t>блюдение этого требования проверяют во время официальн</w:t>
      </w:r>
      <w:r w:rsidRPr="004B1D72">
        <w:rPr>
          <w:b/>
          <w:bCs/>
        </w:rPr>
        <w:t>о</w:t>
      </w:r>
      <w:r w:rsidRPr="004B1D72">
        <w:rPr>
          <w:b/>
          <w:bCs/>
        </w:rPr>
        <w:t>го утверждения дневного ходового огня и указывают в соо</w:t>
      </w:r>
      <w:r w:rsidRPr="004B1D72">
        <w:rPr>
          <w:b/>
          <w:bCs/>
        </w:rPr>
        <w:t>т</w:t>
      </w:r>
      <w:r w:rsidRPr="004B1D72">
        <w:rPr>
          <w:b/>
          <w:bCs/>
        </w:rPr>
        <w:t>ветствующей карточке сообщения</w:t>
      </w:r>
      <w:r w:rsidR="00DE186A">
        <w:rPr>
          <w:b/>
          <w:bCs/>
        </w:rPr>
        <w:t>».</w:t>
      </w:r>
    </w:p>
    <w:p w:rsidR="00DE186A" w:rsidRPr="00DE186A" w:rsidRDefault="00DE186A" w:rsidP="00DE186A">
      <w:pPr>
        <w:pStyle w:val="SingleTxt"/>
        <w:spacing w:after="0" w:line="120" w:lineRule="exact"/>
        <w:rPr>
          <w:b/>
          <w:sz w:val="10"/>
          <w:lang w:val="en-US"/>
        </w:rPr>
      </w:pPr>
    </w:p>
    <w:p w:rsidR="00DE186A" w:rsidRPr="00DE186A" w:rsidRDefault="00DE186A" w:rsidP="00DE186A">
      <w:pPr>
        <w:pStyle w:val="SingleTxt"/>
        <w:spacing w:after="0" w:line="120" w:lineRule="exact"/>
        <w:rPr>
          <w:b/>
          <w:sz w:val="10"/>
          <w:lang w:val="en-US"/>
        </w:rPr>
      </w:pPr>
    </w:p>
    <w:p w:rsidR="004B1D72" w:rsidRPr="004B1D72" w:rsidRDefault="009D449E" w:rsidP="00DE186A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br w:type="page"/>
      </w:r>
      <w:r w:rsidR="00DE186A">
        <w:lastRenderedPageBreak/>
        <w:tab/>
      </w:r>
      <w:r w:rsidR="004B1D72" w:rsidRPr="004B1D72">
        <w:rPr>
          <w:lang w:val="en-US"/>
        </w:rPr>
        <w:t>B</w:t>
      </w:r>
      <w:r w:rsidR="004B1D72" w:rsidRPr="004B1D72">
        <w:t>.</w:t>
      </w:r>
      <w:r w:rsidR="004B1D72" w:rsidRPr="004B1D72">
        <w:tab/>
        <w:t>Правила № 87</w:t>
      </w:r>
    </w:p>
    <w:p w:rsidR="00DE186A" w:rsidRPr="00DE186A" w:rsidRDefault="00DE186A" w:rsidP="00DE186A">
      <w:pPr>
        <w:pStyle w:val="SingleTxt"/>
        <w:spacing w:after="0" w:line="120" w:lineRule="exact"/>
        <w:rPr>
          <w:sz w:val="10"/>
        </w:rPr>
      </w:pPr>
    </w:p>
    <w:p w:rsidR="00DE186A" w:rsidRPr="00DE186A" w:rsidRDefault="00DE186A" w:rsidP="00DE186A">
      <w:pPr>
        <w:pStyle w:val="SingleTxt"/>
        <w:spacing w:after="0" w:line="120" w:lineRule="exact"/>
        <w:rPr>
          <w:sz w:val="10"/>
        </w:rPr>
      </w:pPr>
    </w:p>
    <w:p w:rsidR="004B1D72" w:rsidRPr="004B1D72" w:rsidRDefault="004B1D72" w:rsidP="004B1D72">
      <w:pPr>
        <w:pStyle w:val="SingleTxt"/>
      </w:pPr>
      <w:r w:rsidRPr="004B1D72">
        <w:t xml:space="preserve">Добавить </w:t>
      </w:r>
      <w:r w:rsidRPr="004B1D72">
        <w:rPr>
          <w:i/>
          <w:iCs/>
        </w:rPr>
        <w:t>новый пункт</w:t>
      </w:r>
      <w:r w:rsidRPr="004B1D72">
        <w:rPr>
          <w:i/>
        </w:rPr>
        <w:t xml:space="preserve"> 7.5</w:t>
      </w:r>
      <w:r w:rsidRPr="004B1D72">
        <w:rPr>
          <w:iCs/>
        </w:rPr>
        <w:t xml:space="preserve"> следующего содержания</w:t>
      </w:r>
      <w:r w:rsidRPr="004B1D72">
        <w:t xml:space="preserve">: </w:t>
      </w:r>
    </w:p>
    <w:p w:rsidR="004B1D72" w:rsidRPr="004B1D72" w:rsidRDefault="00DE186A" w:rsidP="002E32E0">
      <w:pPr>
        <w:pStyle w:val="SingleTxt"/>
        <w:ind w:left="2218" w:hanging="951"/>
        <w:rPr>
          <w:b/>
        </w:rPr>
      </w:pPr>
      <w:r>
        <w:rPr>
          <w:b/>
        </w:rPr>
        <w:t>«</w:t>
      </w:r>
      <w:r w:rsidR="004B1D72" w:rsidRPr="004B1D72">
        <w:rPr>
          <w:b/>
        </w:rPr>
        <w:t>7.5</w:t>
      </w:r>
      <w:proofErr w:type="gramStart"/>
      <w:r w:rsidR="004B1D72" w:rsidRPr="004B1D72">
        <w:rPr>
          <w:b/>
        </w:rPr>
        <w:tab/>
      </w:r>
      <w:r>
        <w:rPr>
          <w:b/>
        </w:rPr>
        <w:tab/>
      </w:r>
      <w:r w:rsidR="004B1D72" w:rsidRPr="004B1D72">
        <w:rPr>
          <w:b/>
        </w:rPr>
        <w:t>П</w:t>
      </w:r>
      <w:proofErr w:type="gramEnd"/>
      <w:r w:rsidR="004B1D72" w:rsidRPr="004B1D72">
        <w:rPr>
          <w:b/>
        </w:rPr>
        <w:t xml:space="preserve">о просьбе подателя заявки дневной ходовой огонь проверяют на </w:t>
      </w:r>
      <w:r>
        <w:rPr>
          <w:b/>
        </w:rPr>
        <w:t>«</w:t>
      </w:r>
      <w:r w:rsidR="004B1D72" w:rsidRPr="004B1D72">
        <w:rPr>
          <w:b/>
        </w:rPr>
        <w:t>снижение силы света</w:t>
      </w:r>
      <w:r>
        <w:rPr>
          <w:b/>
        </w:rPr>
        <w:t>»</w:t>
      </w:r>
      <w:r w:rsidR="004B1D72" w:rsidRPr="004B1D72">
        <w:rPr>
          <w:b/>
        </w:rPr>
        <w:t xml:space="preserve"> в порядке применения пункта 6.19.7.5 или</w:t>
      </w:r>
      <w:r w:rsidR="002E32E0">
        <w:rPr>
          <w:b/>
        </w:rPr>
        <w:t> </w:t>
      </w:r>
      <w:r w:rsidR="004B1D72" w:rsidRPr="004B1D72">
        <w:rPr>
          <w:b/>
        </w:rPr>
        <w:t>6.19.7.6</w:t>
      </w:r>
      <w:r w:rsidR="004B1D72">
        <w:rPr>
          <w:b/>
        </w:rPr>
        <w:t xml:space="preserve"> </w:t>
      </w:r>
      <w:r w:rsidR="004B1D72" w:rsidRPr="004B1D72">
        <w:rPr>
          <w:b/>
        </w:rPr>
        <w:t xml:space="preserve">Правил № 48. </w:t>
      </w:r>
    </w:p>
    <w:p w:rsidR="004B1D72" w:rsidRPr="004B1D72" w:rsidRDefault="004B1D72" w:rsidP="00DE186A">
      <w:pPr>
        <w:pStyle w:val="SingleTxt"/>
        <w:ind w:left="2218" w:hanging="951"/>
        <w:rPr>
          <w:b/>
        </w:rPr>
      </w:pPr>
      <w:r w:rsidRPr="004B1D72">
        <w:rPr>
          <w:b/>
        </w:rPr>
        <w:tab/>
      </w:r>
      <w:r w:rsidRPr="004B1D72">
        <w:rPr>
          <w:b/>
        </w:rPr>
        <w:tab/>
        <w:t>В этом случае, в дополнение к фотометрическому параметру, пре</w:t>
      </w:r>
      <w:r w:rsidRPr="004B1D72">
        <w:rPr>
          <w:b/>
        </w:rPr>
        <w:t>д</w:t>
      </w:r>
      <w:r w:rsidRPr="004B1D72">
        <w:rPr>
          <w:b/>
        </w:rPr>
        <w:t>писанному в пунктах 7.1</w:t>
      </w:r>
      <w:r w:rsidR="00DE186A">
        <w:rPr>
          <w:b/>
        </w:rPr>
        <w:t>–</w:t>
      </w:r>
      <w:r w:rsidRPr="004B1D72">
        <w:rPr>
          <w:b/>
        </w:rPr>
        <w:t>7.3, снижение силы света, излучаемого каждым огнем, не должна превышать 140 кд в любом направл</w:t>
      </w:r>
      <w:r w:rsidRPr="004B1D72">
        <w:rPr>
          <w:b/>
        </w:rPr>
        <w:t>е</w:t>
      </w:r>
      <w:r w:rsidRPr="004B1D72">
        <w:rPr>
          <w:b/>
        </w:rPr>
        <w:t>нии, в котором можно видеть этот огонь</w:t>
      </w:r>
      <w:r w:rsidR="00DE186A">
        <w:rPr>
          <w:b/>
        </w:rPr>
        <w:t>»</w:t>
      </w:r>
      <w:r w:rsidRPr="004B1D72">
        <w:rPr>
          <w:b/>
        </w:rPr>
        <w:t>.</w:t>
      </w:r>
    </w:p>
    <w:p w:rsidR="004B1D72" w:rsidRPr="004B1D72" w:rsidRDefault="004B1D72" w:rsidP="004B1D72">
      <w:pPr>
        <w:pStyle w:val="SingleTxt"/>
        <w:rPr>
          <w:i/>
        </w:rPr>
      </w:pPr>
      <w:r w:rsidRPr="004B1D72">
        <w:t xml:space="preserve">Добавить </w:t>
      </w:r>
      <w:r w:rsidRPr="004B1D72">
        <w:rPr>
          <w:i/>
        </w:rPr>
        <w:t xml:space="preserve">новый пункт 10.6 </w:t>
      </w:r>
      <w:r w:rsidRPr="004B1D72">
        <w:t>следующего содержания:</w:t>
      </w:r>
      <w:r w:rsidRPr="004B1D72">
        <w:rPr>
          <w:i/>
        </w:rPr>
        <w:t xml:space="preserve"> </w:t>
      </w:r>
    </w:p>
    <w:p w:rsidR="004B1D72" w:rsidRPr="004B1D72" w:rsidRDefault="00DE186A" w:rsidP="009D449E">
      <w:pPr>
        <w:pStyle w:val="SingleTxt"/>
        <w:ind w:left="2218" w:hanging="951"/>
        <w:rPr>
          <w:b/>
        </w:rPr>
      </w:pPr>
      <w:r>
        <w:rPr>
          <w:b/>
        </w:rPr>
        <w:t>«</w:t>
      </w:r>
      <w:r w:rsidR="004B1D72" w:rsidRPr="004B1D72">
        <w:rPr>
          <w:b/>
        </w:rPr>
        <w:t>10.6</w:t>
      </w:r>
      <w:proofErr w:type="gramStart"/>
      <w:r w:rsidR="004B1D72" w:rsidRPr="004B1D72">
        <w:rPr>
          <w:b/>
        </w:rPr>
        <w:tab/>
        <w:t>В</w:t>
      </w:r>
      <w:proofErr w:type="gramEnd"/>
      <w:r w:rsidR="004B1D72" w:rsidRPr="004B1D72">
        <w:rPr>
          <w:b/>
        </w:rPr>
        <w:t xml:space="preserve">се фотометрические и колориметрические измерения уровня </w:t>
      </w:r>
      <w:r>
        <w:rPr>
          <w:b/>
        </w:rPr>
        <w:t>«</w:t>
      </w:r>
      <w:r w:rsidR="004B1D72" w:rsidRPr="004B1D72">
        <w:rPr>
          <w:b/>
        </w:rPr>
        <w:t>снижения силы света</w:t>
      </w:r>
      <w:r>
        <w:rPr>
          <w:b/>
        </w:rPr>
        <w:t>»</w:t>
      </w:r>
      <w:r w:rsidR="004B1D72" w:rsidRPr="004B1D72">
        <w:rPr>
          <w:b/>
        </w:rPr>
        <w:t xml:space="preserve"> производят путем приложения к входным клеммам огня напряжения, заявленного изготовителем. В случае необходимости испытательная лаборатория может потребовать от изготовителя представить механизм управления источником св</w:t>
      </w:r>
      <w:r w:rsidR="004B1D72" w:rsidRPr="004B1D72">
        <w:rPr>
          <w:b/>
        </w:rPr>
        <w:t>е</w:t>
      </w:r>
      <w:r w:rsidR="004B1D72" w:rsidRPr="004B1D72">
        <w:rPr>
          <w:b/>
        </w:rPr>
        <w:t>та, необходимый для питания источника света и работы соотве</w:t>
      </w:r>
      <w:r w:rsidR="004B1D72" w:rsidRPr="004B1D72">
        <w:rPr>
          <w:b/>
        </w:rPr>
        <w:t>т</w:t>
      </w:r>
      <w:r w:rsidR="004B1D72" w:rsidRPr="004B1D72">
        <w:rPr>
          <w:b/>
        </w:rPr>
        <w:t>ствующих функций</w:t>
      </w:r>
      <w:r>
        <w:rPr>
          <w:b/>
        </w:rPr>
        <w:t>»</w:t>
      </w:r>
      <w:r w:rsidR="004B1D72" w:rsidRPr="004B1D72">
        <w:rPr>
          <w:b/>
        </w:rPr>
        <w:t>.</w:t>
      </w:r>
    </w:p>
    <w:p w:rsidR="004B1D72" w:rsidRPr="004B1D72" w:rsidRDefault="004B1D72" w:rsidP="004B1D72">
      <w:pPr>
        <w:pStyle w:val="SingleTxt"/>
        <w:rPr>
          <w:i/>
          <w:u w:val="single"/>
        </w:rPr>
      </w:pPr>
      <w:r w:rsidRPr="004B1D72">
        <w:rPr>
          <w:i/>
        </w:rPr>
        <w:t xml:space="preserve">Приложение 1, пункт 9 </w:t>
      </w:r>
      <w:r w:rsidRPr="004B1D72">
        <w:t>изменить следующим образом:</w:t>
      </w:r>
    </w:p>
    <w:p w:rsidR="004B1D72" w:rsidRPr="004B1D72" w:rsidRDefault="00DE186A" w:rsidP="004B1D72">
      <w:pPr>
        <w:pStyle w:val="SingleTxt"/>
      </w:pPr>
      <w:r>
        <w:t>«</w:t>
      </w:r>
      <w:r w:rsidR="004B1D72" w:rsidRPr="004B1D72">
        <w:t>9.</w:t>
      </w:r>
      <w:r w:rsidR="004B1D72" w:rsidRPr="004B1D72">
        <w:tab/>
        <w:t>Краткое описание:</w:t>
      </w:r>
    </w:p>
    <w:p w:rsidR="004B1D72" w:rsidRPr="004B1D72" w:rsidRDefault="004B1D72" w:rsidP="00DE186A">
      <w:pPr>
        <w:pStyle w:val="SingleTxt"/>
        <w:tabs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  <w:tab w:val="right" w:leader="dot" w:pos="8640"/>
        </w:tabs>
      </w:pPr>
      <w:r w:rsidRPr="004B1D72">
        <w:tab/>
        <w:t>По категории огня:</w:t>
      </w:r>
      <w:r w:rsidRPr="004B1D72">
        <w:tab/>
      </w:r>
    </w:p>
    <w:p w:rsidR="004B1D72" w:rsidRPr="004B1D72" w:rsidRDefault="004B1D72" w:rsidP="00DE186A">
      <w:pPr>
        <w:pStyle w:val="SingleTxt"/>
        <w:tabs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  <w:tab w:val="left" w:pos="5220"/>
          <w:tab w:val="right" w:leader="dot" w:pos="8640"/>
        </w:tabs>
        <w:rPr>
          <w:b/>
        </w:rPr>
      </w:pPr>
      <w:r w:rsidRPr="004B1D72">
        <w:rPr>
          <w:b/>
        </w:rPr>
        <w:tab/>
        <w:t>Снижение силы света</w:t>
      </w:r>
      <w:r w:rsidRPr="004B1D72">
        <w:rPr>
          <w:b/>
        </w:rPr>
        <w:tab/>
        <w:t>да/нет</w:t>
      </w:r>
      <w:proofErr w:type="gramStart"/>
      <w:r w:rsidRPr="004B1D72">
        <w:rPr>
          <w:b/>
          <w:vertAlign w:val="superscript"/>
        </w:rPr>
        <w:t>2</w:t>
      </w:r>
      <w:proofErr w:type="gramEnd"/>
    </w:p>
    <w:p w:rsidR="004B1D72" w:rsidRPr="004B1D72" w:rsidRDefault="004B1D72" w:rsidP="00DE186A">
      <w:pPr>
        <w:pStyle w:val="SingleTxt"/>
        <w:tabs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  <w:tab w:val="right" w:leader="dot" w:pos="8640"/>
        </w:tabs>
      </w:pPr>
      <w:r w:rsidRPr="004B1D72">
        <w:tab/>
        <w:t>Число, категория и тип источник</w:t>
      </w:r>
      <w:proofErr w:type="gramStart"/>
      <w:r w:rsidRPr="004B1D72">
        <w:t>а(</w:t>
      </w:r>
      <w:proofErr w:type="spellStart"/>
      <w:proofErr w:type="gramEnd"/>
      <w:r w:rsidRPr="004B1D72">
        <w:t>ов</w:t>
      </w:r>
      <w:proofErr w:type="spellEnd"/>
      <w:r w:rsidRPr="004B1D72">
        <w:t>) света</w:t>
      </w:r>
      <w:r w:rsidRPr="004B1D72">
        <w:rPr>
          <w:vertAlign w:val="superscript"/>
          <w:lang w:val="en-GB"/>
        </w:rPr>
        <w:footnoteReference w:id="2"/>
      </w:r>
      <w:r w:rsidR="00DE186A">
        <w:t>:</w:t>
      </w:r>
      <w:r w:rsidRPr="004B1D72">
        <w:tab/>
      </w:r>
    </w:p>
    <w:p w:rsidR="004B1D72" w:rsidRPr="004B1D72" w:rsidRDefault="004B1D72" w:rsidP="00DE186A">
      <w:pPr>
        <w:pStyle w:val="SingleTxt"/>
        <w:tabs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  <w:tab w:val="right" w:leader="dot" w:pos="8640"/>
        </w:tabs>
      </w:pPr>
      <w:r w:rsidRPr="004B1D72">
        <w:tab/>
        <w:t>Напряжение и мощность:</w:t>
      </w:r>
      <w:r>
        <w:t xml:space="preserve"> </w:t>
      </w:r>
      <w:r w:rsidRPr="004B1D72">
        <w:tab/>
      </w:r>
    </w:p>
    <w:p w:rsidR="004B1D72" w:rsidRPr="004B1D72" w:rsidRDefault="004B1D72" w:rsidP="00DE186A">
      <w:pPr>
        <w:pStyle w:val="SingleTxt"/>
        <w:tabs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  <w:tab w:val="right" w:leader="dot" w:pos="8640"/>
        </w:tabs>
      </w:pPr>
      <w:r w:rsidRPr="004B1D72">
        <w:tab/>
        <w:t>Использование электронного механизма управления источником света:</w:t>
      </w:r>
    </w:p>
    <w:p w:rsidR="004B1D72" w:rsidRPr="004B1D72" w:rsidRDefault="004B1D72" w:rsidP="00DE186A">
      <w:pPr>
        <w:pStyle w:val="SingleTxt"/>
        <w:tabs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  <w:tab w:val="left" w:pos="5220"/>
          <w:tab w:val="right" w:leader="dot" w:pos="8640"/>
        </w:tabs>
      </w:pPr>
      <w:r w:rsidRPr="004B1D72">
        <w:tab/>
      </w:r>
      <w:r w:rsidRPr="004B1D72">
        <w:rPr>
          <w:lang w:val="en-GB"/>
        </w:rPr>
        <w:t>a</w:t>
      </w:r>
      <w:r w:rsidRPr="004B1D72">
        <w:t>)</w:t>
      </w:r>
      <w:r w:rsidRPr="004B1D72">
        <w:tab/>
      </w:r>
      <w:proofErr w:type="gramStart"/>
      <w:r w:rsidRPr="004B1D72">
        <w:t>являющегося</w:t>
      </w:r>
      <w:proofErr w:type="gramEnd"/>
      <w:r w:rsidRPr="004B1D72">
        <w:t xml:space="preserve"> частью огня:</w:t>
      </w:r>
      <w:r w:rsidRPr="004B1D72">
        <w:tab/>
        <w:t>да/нет</w:t>
      </w:r>
      <w:r w:rsidRPr="004B1D72">
        <w:rPr>
          <w:vertAlign w:val="superscript"/>
        </w:rPr>
        <w:t>2</w:t>
      </w:r>
    </w:p>
    <w:p w:rsidR="004B1D72" w:rsidRPr="004B1D72" w:rsidRDefault="004B1D72" w:rsidP="00DE186A">
      <w:pPr>
        <w:pStyle w:val="SingleTxt"/>
        <w:tabs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  <w:tab w:val="left" w:pos="5220"/>
          <w:tab w:val="right" w:leader="dot" w:pos="8640"/>
        </w:tabs>
      </w:pPr>
      <w:r w:rsidRPr="004B1D72">
        <w:tab/>
      </w:r>
      <w:r w:rsidRPr="004B1D72">
        <w:rPr>
          <w:lang w:val="en-GB"/>
        </w:rPr>
        <w:t>b</w:t>
      </w:r>
      <w:r w:rsidRPr="004B1D72">
        <w:t>)</w:t>
      </w:r>
      <w:r w:rsidRPr="004B1D72">
        <w:tab/>
      </w:r>
      <w:proofErr w:type="gramStart"/>
      <w:r w:rsidRPr="004B1D72">
        <w:t>не</w:t>
      </w:r>
      <w:proofErr w:type="gramEnd"/>
      <w:r w:rsidRPr="004B1D72">
        <w:t xml:space="preserve"> являющегося частью огня: </w:t>
      </w:r>
      <w:r w:rsidR="00DE186A">
        <w:tab/>
      </w:r>
      <w:r w:rsidRPr="004B1D72">
        <w:t>да/нет</w:t>
      </w:r>
      <w:r w:rsidRPr="004B1D72">
        <w:rPr>
          <w:vertAlign w:val="superscript"/>
        </w:rPr>
        <w:t>2</w:t>
      </w:r>
    </w:p>
    <w:p w:rsidR="004B1D72" w:rsidRPr="004B1D72" w:rsidRDefault="004B1D72" w:rsidP="00DE186A">
      <w:pPr>
        <w:pStyle w:val="SingleTxt"/>
        <w:tabs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  <w:tab w:val="right" w:leader="dot" w:pos="8640"/>
        </w:tabs>
        <w:ind w:left="1742" w:hanging="475"/>
      </w:pPr>
      <w:r w:rsidRPr="004B1D72">
        <w:tab/>
        <w:t xml:space="preserve">Величина входного напряжения, подаваемого электронным механизмом управления источником света: </w:t>
      </w:r>
    </w:p>
    <w:p w:rsidR="004B1D72" w:rsidRPr="004B1D72" w:rsidRDefault="004B1D72" w:rsidP="00DE186A">
      <w:pPr>
        <w:pStyle w:val="SingleTxt"/>
        <w:tabs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  <w:tab w:val="right" w:leader="dot" w:pos="8640"/>
        </w:tabs>
        <w:rPr>
          <w:b/>
        </w:rPr>
      </w:pPr>
      <w:r w:rsidRPr="004B1D72">
        <w:rPr>
          <w:b/>
        </w:rPr>
        <w:tab/>
      </w:r>
      <w:r w:rsidRPr="004B1D72">
        <w:rPr>
          <w:b/>
          <w:lang w:val="en-GB"/>
        </w:rPr>
        <w:t>a</w:t>
      </w:r>
      <w:r w:rsidRPr="004B1D72">
        <w:rPr>
          <w:b/>
        </w:rPr>
        <w:t>)</w:t>
      </w:r>
      <w:r w:rsidRPr="004B1D72">
        <w:rPr>
          <w:b/>
        </w:rPr>
        <w:tab/>
      </w:r>
      <w:proofErr w:type="gramStart"/>
      <w:r w:rsidRPr="004B1D72">
        <w:rPr>
          <w:b/>
        </w:rPr>
        <w:t>в</w:t>
      </w:r>
      <w:proofErr w:type="gramEnd"/>
      <w:r w:rsidRPr="004B1D72">
        <w:rPr>
          <w:b/>
        </w:rPr>
        <w:t xml:space="preserve"> случае нормальной силы света:</w:t>
      </w:r>
      <w:r w:rsidRPr="004B1D72">
        <w:rPr>
          <w:b/>
        </w:rPr>
        <w:tab/>
      </w:r>
    </w:p>
    <w:p w:rsidR="004B1D72" w:rsidRPr="004B1D72" w:rsidRDefault="004B1D72" w:rsidP="00DE186A">
      <w:pPr>
        <w:pStyle w:val="SingleTxt"/>
        <w:tabs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  <w:tab w:val="right" w:leader="dot" w:pos="8640"/>
        </w:tabs>
        <w:rPr>
          <w:b/>
        </w:rPr>
      </w:pPr>
      <w:r w:rsidRPr="004B1D72">
        <w:rPr>
          <w:b/>
        </w:rPr>
        <w:tab/>
      </w:r>
      <w:r w:rsidRPr="004B1D72">
        <w:rPr>
          <w:b/>
          <w:lang w:val="en-GB"/>
        </w:rPr>
        <w:t>b</w:t>
      </w:r>
      <w:r w:rsidRPr="004B1D72">
        <w:rPr>
          <w:b/>
        </w:rPr>
        <w:t>)</w:t>
      </w:r>
      <w:r w:rsidRPr="004B1D72">
        <w:rPr>
          <w:b/>
        </w:rPr>
        <w:tab/>
      </w:r>
      <w:proofErr w:type="gramStart"/>
      <w:r w:rsidRPr="004B1D72">
        <w:rPr>
          <w:b/>
        </w:rPr>
        <w:t>в</w:t>
      </w:r>
      <w:proofErr w:type="gramEnd"/>
      <w:r w:rsidRPr="004B1D72">
        <w:rPr>
          <w:b/>
        </w:rPr>
        <w:t xml:space="preserve"> случае снижения силы света:</w:t>
      </w:r>
      <w:r w:rsidRPr="004B1D72">
        <w:rPr>
          <w:b/>
        </w:rPr>
        <w:tab/>
      </w:r>
    </w:p>
    <w:p w:rsidR="004B1D72" w:rsidRPr="004B1D72" w:rsidRDefault="004B1D72" w:rsidP="009D449E">
      <w:pPr>
        <w:pStyle w:val="SingleTxt"/>
        <w:tabs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  <w:tab w:val="right" w:leader="dot" w:pos="8640"/>
        </w:tabs>
        <w:ind w:left="1742"/>
      </w:pPr>
      <w:r w:rsidRPr="004B1D72">
        <w:t>Изготовитель электронного механизма управления источником силы света и идентификационный номер (когда механизм управления источником света является частью огня, но не находится в корпусе огня</w:t>
      </w:r>
      <w:proofErr w:type="gramStart"/>
      <w:r w:rsidRPr="004B1D72">
        <w:t>):</w:t>
      </w:r>
      <w:r w:rsidRPr="004B1D72">
        <w:tab/>
      </w:r>
      <w:r w:rsidR="00DE186A">
        <w:t>».</w:t>
      </w:r>
      <w:proofErr w:type="gramEnd"/>
    </w:p>
    <w:p w:rsidR="009D449E" w:rsidRPr="009D449E" w:rsidRDefault="009D449E" w:rsidP="009D449E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9D449E" w:rsidRPr="009D449E" w:rsidRDefault="009D449E" w:rsidP="009D449E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4B1D72" w:rsidRPr="009D449E" w:rsidRDefault="009D449E" w:rsidP="009D449E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  <w:t>II.</w:t>
      </w:r>
      <w:r>
        <w:tab/>
      </w:r>
      <w:r w:rsidR="004B1D72" w:rsidRPr="004B1D72">
        <w:t>Обоснование</w:t>
      </w:r>
    </w:p>
    <w:p w:rsidR="009D449E" w:rsidRPr="009D449E" w:rsidRDefault="009D449E" w:rsidP="009D449E">
      <w:pPr>
        <w:pStyle w:val="SingleTxt"/>
        <w:spacing w:after="0" w:line="120" w:lineRule="exact"/>
        <w:rPr>
          <w:sz w:val="10"/>
        </w:rPr>
      </w:pPr>
    </w:p>
    <w:p w:rsidR="009D449E" w:rsidRPr="009D449E" w:rsidRDefault="009D449E" w:rsidP="009D449E">
      <w:pPr>
        <w:pStyle w:val="SingleTxt"/>
        <w:spacing w:after="0" w:line="120" w:lineRule="exact"/>
        <w:rPr>
          <w:sz w:val="10"/>
        </w:rPr>
      </w:pPr>
    </w:p>
    <w:p w:rsidR="004B1D72" w:rsidRPr="004B1D72" w:rsidRDefault="004B1D72" w:rsidP="004B1D72">
      <w:pPr>
        <w:pStyle w:val="SingleTxt"/>
      </w:pPr>
      <w:r w:rsidRPr="004B1D72">
        <w:t>1.</w:t>
      </w:r>
      <w:r w:rsidRPr="004B1D72">
        <w:tab/>
        <w:t xml:space="preserve">На своей семьдесят четвертой сессии в октябре 2015 года </w:t>
      </w:r>
      <w:r w:rsidRPr="004B1D72">
        <w:rPr>
          <w:lang w:val="en-US"/>
        </w:rPr>
        <w:t>GRE</w:t>
      </w:r>
      <w:r w:rsidRPr="004B1D72">
        <w:t xml:space="preserve"> обсудила предложение экспертов от Германии, имеющее целью уточнить условия пер</w:t>
      </w:r>
      <w:r w:rsidRPr="004B1D72">
        <w:t>е</w:t>
      </w:r>
      <w:r w:rsidRPr="004B1D72">
        <w:t>ключения на дневные ходовые огни (ДХО), совмещенные с передними указат</w:t>
      </w:r>
      <w:r w:rsidRPr="004B1D72">
        <w:t>е</w:t>
      </w:r>
      <w:r w:rsidRPr="004B1D72">
        <w:t xml:space="preserve">лями поворота (УП) или расположенные на расстоянии не более 40 мм от них. </w:t>
      </w:r>
      <w:proofErr w:type="gramStart"/>
      <w:r w:rsidRPr="004B1D72">
        <w:rPr>
          <w:lang w:val="en-US"/>
        </w:rPr>
        <w:t>GRE</w:t>
      </w:r>
      <w:r w:rsidRPr="004B1D72">
        <w:t xml:space="preserve"> решила обсудить пересмотренный вариант этого предложения с учетом з</w:t>
      </w:r>
      <w:r w:rsidRPr="004B1D72">
        <w:t>а</w:t>
      </w:r>
      <w:r w:rsidRPr="004B1D72">
        <w:lastRenderedPageBreak/>
        <w:t>мечаний, полученных в ходе и после этой сессии, на своей семьдесят пятой се</w:t>
      </w:r>
      <w:r w:rsidRPr="004B1D72">
        <w:t>с</w:t>
      </w:r>
      <w:r w:rsidRPr="004B1D72">
        <w:t>сии в апреле 2016 года (</w:t>
      </w:r>
      <w:r w:rsidRPr="004B1D72">
        <w:rPr>
          <w:lang w:val="en-GB"/>
        </w:rPr>
        <w:t>ECE</w:t>
      </w:r>
      <w:r w:rsidRPr="004B1D72">
        <w:t>/</w:t>
      </w:r>
      <w:r w:rsidRPr="004B1D72">
        <w:rPr>
          <w:lang w:val="en-GB"/>
        </w:rPr>
        <w:t>TRANS</w:t>
      </w:r>
      <w:r w:rsidRPr="004B1D72">
        <w:t>/</w:t>
      </w:r>
      <w:r w:rsidRPr="004B1D72">
        <w:rPr>
          <w:lang w:val="en-GB"/>
        </w:rPr>
        <w:t>WP</w:t>
      </w:r>
      <w:r w:rsidRPr="004B1D72">
        <w:t>.29/</w:t>
      </w:r>
      <w:r w:rsidRPr="004B1D72">
        <w:rPr>
          <w:lang w:val="en-GB"/>
        </w:rPr>
        <w:t>GRE</w:t>
      </w:r>
      <w:r w:rsidRPr="004B1D72">
        <w:t>/74, пункт 16).</w:t>
      </w:r>
      <w:proofErr w:type="gramEnd"/>
    </w:p>
    <w:p w:rsidR="004B1D72" w:rsidRPr="004B1D72" w:rsidRDefault="004B1D72" w:rsidP="002E32E0">
      <w:pPr>
        <w:pStyle w:val="SingleTxt"/>
      </w:pPr>
      <w:r w:rsidRPr="004B1D72">
        <w:t xml:space="preserve">2. </w:t>
      </w:r>
      <w:r w:rsidRPr="004B1D72">
        <w:tab/>
        <w:t>Нынешний текст допускает различные толкования, которые дают соверше</w:t>
      </w:r>
      <w:r w:rsidRPr="004B1D72">
        <w:t>н</w:t>
      </w:r>
      <w:r w:rsidRPr="004B1D72">
        <w:t>но разные результаты и которые в ряде случаев противоречат требованию обе</w:t>
      </w:r>
      <w:r w:rsidRPr="004B1D72">
        <w:t>с</w:t>
      </w:r>
      <w:r w:rsidRPr="004B1D72">
        <w:t xml:space="preserve">печивать видимость огней передних указателей поворота в дневное время и, как следствие, </w:t>
      </w:r>
      <w:r w:rsidR="002E32E0">
        <w:t>–</w:t>
      </w:r>
      <w:r w:rsidRPr="004B1D72">
        <w:t xml:space="preserve"> требованиям, предъявляемым к безопасности дорожного движения. </w:t>
      </w:r>
    </w:p>
    <w:p w:rsidR="004B1D72" w:rsidRPr="004B1D72" w:rsidRDefault="004B1D72" w:rsidP="004B1D72">
      <w:pPr>
        <w:pStyle w:val="SingleTxt"/>
      </w:pPr>
      <w:r w:rsidRPr="004B1D72">
        <w:t>3.</w:t>
      </w:r>
      <w:r w:rsidRPr="004B1D72">
        <w:tab/>
        <w:t>Э</w:t>
      </w:r>
      <w:r w:rsidR="009D449E">
        <w:t>к</w:t>
      </w:r>
      <w:r w:rsidRPr="004B1D72">
        <w:t xml:space="preserve">сперты от </w:t>
      </w:r>
      <w:r w:rsidRPr="004B1D72">
        <w:rPr>
          <w:lang w:val="en-US"/>
        </w:rPr>
        <w:t>GRE</w:t>
      </w:r>
      <w:r w:rsidRPr="004B1D72">
        <w:t xml:space="preserve"> и БРГ уже обсуждали некоторые предложения, касающ</w:t>
      </w:r>
      <w:r w:rsidRPr="004B1D72">
        <w:t>и</w:t>
      </w:r>
      <w:r w:rsidRPr="004B1D72">
        <w:t>еся возможности частичного отключения ДХО в тех случаях, когда они совмещ</w:t>
      </w:r>
      <w:r w:rsidRPr="004B1D72">
        <w:t>е</w:t>
      </w:r>
      <w:r w:rsidRPr="004B1D72">
        <w:t>ны с огнем указателя поворота только отчасти.</w:t>
      </w:r>
    </w:p>
    <w:p w:rsidR="004B1D72" w:rsidRPr="004B1D72" w:rsidRDefault="004B1D72" w:rsidP="004B1D72">
      <w:pPr>
        <w:pStyle w:val="SingleTxt"/>
      </w:pPr>
      <w:r w:rsidRPr="004B1D72">
        <w:t>4.</w:t>
      </w:r>
      <w:r w:rsidRPr="004B1D72">
        <w:tab/>
        <w:t>В нынешнем варианте Правил № 48 предусматривается, что в том случае, когда подфарник/задний габаритный огонь</w:t>
      </w:r>
      <w:r>
        <w:t xml:space="preserve"> </w:t>
      </w:r>
      <w:r w:rsidRPr="004B1D72">
        <w:t xml:space="preserve">или </w:t>
      </w:r>
      <w:r w:rsidR="00DE186A">
        <w:t>«</w:t>
      </w:r>
      <w:r w:rsidRPr="004B1D72">
        <w:t>его совмещенная часть</w:t>
      </w:r>
      <w:r w:rsidR="00DE186A">
        <w:t>»</w:t>
      </w:r>
      <w:r w:rsidRPr="004B1D72">
        <w:t xml:space="preserve"> совм</w:t>
      </w:r>
      <w:r w:rsidRPr="004B1D72">
        <w:t>е</w:t>
      </w:r>
      <w:r w:rsidRPr="004B1D72">
        <w:t>щены с указателем поворота, то он может выключаться на весь период работы указателя поворота. Однако в случае ДХО эта возможность не предусмотрена.</w:t>
      </w:r>
    </w:p>
    <w:p w:rsidR="004B1D72" w:rsidRPr="004B1D72" w:rsidRDefault="004B1D72" w:rsidP="009D449E">
      <w:pPr>
        <w:pStyle w:val="SingleTxt"/>
      </w:pPr>
      <w:r w:rsidRPr="004B1D72">
        <w:t>5.</w:t>
      </w:r>
      <w:r w:rsidRPr="004B1D72">
        <w:tab/>
        <w:t xml:space="preserve">Новое предложение вносит </w:t>
      </w:r>
      <w:proofErr w:type="spellStart"/>
      <w:proofErr w:type="gramStart"/>
      <w:r w:rsidRPr="004B1D72">
        <w:t>б</w:t>
      </w:r>
      <w:r w:rsidR="009D449E">
        <w:t>о́</w:t>
      </w:r>
      <w:r w:rsidRPr="004B1D72">
        <w:t>льшую</w:t>
      </w:r>
      <w:proofErr w:type="spellEnd"/>
      <w:proofErr w:type="gramEnd"/>
      <w:r w:rsidRPr="004B1D72">
        <w:t xml:space="preserve"> ясность, дает изготовителям больше свободы и позволяет повысить безопасность дорожного движения, поскольку оно дает возможность увеличить видимость огней указателя поворота и избежать маскировки их функции.</w:t>
      </w:r>
    </w:p>
    <w:p w:rsidR="004B1D72" w:rsidRPr="004B1D72" w:rsidRDefault="004B1D72" w:rsidP="004B1D72">
      <w:pPr>
        <w:pStyle w:val="SingleTxt"/>
      </w:pPr>
      <w:r w:rsidRPr="004B1D72">
        <w:t>6.</w:t>
      </w:r>
      <w:r w:rsidRPr="004B1D72">
        <w:tab/>
        <w:t>Настоящее предложение, подготовленное с помощью экспертов БРГ, кот</w:t>
      </w:r>
      <w:r w:rsidRPr="004B1D72">
        <w:t>о</w:t>
      </w:r>
      <w:r w:rsidRPr="004B1D72">
        <w:t>рые внесли ценный вклад в его редакцию, включает:</w:t>
      </w:r>
      <w:r>
        <w:t xml:space="preserve"> </w:t>
      </w:r>
      <w:r w:rsidRPr="004B1D72">
        <w:t xml:space="preserve"> </w:t>
      </w:r>
    </w:p>
    <w:p w:rsidR="004B1D72" w:rsidRPr="004B1D72" w:rsidRDefault="004B1D72" w:rsidP="002E32E0">
      <w:pPr>
        <w:pStyle w:val="SingleTxt"/>
        <w:ind w:left="1742" w:hanging="475"/>
      </w:pPr>
      <w:r w:rsidRPr="004B1D72">
        <w:rPr>
          <w:lang w:val="en-GB"/>
        </w:rPr>
        <w:t>a</w:t>
      </w:r>
      <w:r w:rsidRPr="004B1D72">
        <w:t>)</w:t>
      </w:r>
      <w:r w:rsidRPr="004B1D72">
        <w:tab/>
        <w:t>предложение по поправке к Правилам № 48, имеющей целью уточнить условия выключения ДХО (а также привести их в соответствие с существ</w:t>
      </w:r>
      <w:r w:rsidRPr="004B1D72">
        <w:t>у</w:t>
      </w:r>
      <w:r w:rsidRPr="004B1D72">
        <w:t>ющими условиями, предусмотренными для подфарников, совмещенных с</w:t>
      </w:r>
      <w:r w:rsidR="002E32E0">
        <w:t> </w:t>
      </w:r>
      <w:r w:rsidRPr="004B1D72">
        <w:t>УП) и/или снижения силы света в том случае, когда ДХО или УП совм</w:t>
      </w:r>
      <w:r w:rsidRPr="004B1D72">
        <w:t>е</w:t>
      </w:r>
      <w:r w:rsidRPr="004B1D72">
        <w:t>щены полностью или частично и когда расстояние между ними равно или меньше 40 мм.</w:t>
      </w:r>
    </w:p>
    <w:p w:rsidR="004B1D72" w:rsidRPr="004B1D72" w:rsidRDefault="004B1D72" w:rsidP="009D449E">
      <w:pPr>
        <w:pStyle w:val="SingleTxt"/>
        <w:ind w:left="1742" w:hanging="475"/>
      </w:pPr>
      <w:r w:rsidRPr="004B1D72">
        <w:rPr>
          <w:lang w:val="en-GB"/>
        </w:rPr>
        <w:t>b</w:t>
      </w:r>
      <w:r w:rsidRPr="004B1D72">
        <w:t>)</w:t>
      </w:r>
      <w:r w:rsidRPr="004B1D72">
        <w:tab/>
      </w:r>
      <w:proofErr w:type="gramStart"/>
      <w:r w:rsidRPr="004B1D72">
        <w:t>предложение</w:t>
      </w:r>
      <w:proofErr w:type="gramEnd"/>
      <w:r w:rsidRPr="004B1D72">
        <w:t xml:space="preserve"> по поправке к Правилам № 87 с целью решить проблему пр</w:t>
      </w:r>
      <w:r w:rsidRPr="004B1D72">
        <w:t>о</w:t>
      </w:r>
      <w:r w:rsidRPr="004B1D72">
        <w:t>верки уровня снижения силы света ДХО, требуемого/допускаемого Прав</w:t>
      </w:r>
      <w:r w:rsidRPr="004B1D72">
        <w:t>и</w:t>
      </w:r>
      <w:r w:rsidRPr="004B1D72">
        <w:t xml:space="preserve">лами № 48. Оно предусматривает включение в эти Правила возможности дополнительной проверки и сертификации показателя </w:t>
      </w:r>
      <w:r w:rsidR="00DE186A">
        <w:t>«</w:t>
      </w:r>
      <w:r w:rsidRPr="004B1D72">
        <w:t>снижения силы св</w:t>
      </w:r>
      <w:r w:rsidRPr="004B1D72">
        <w:t>е</w:t>
      </w:r>
      <w:r w:rsidRPr="004B1D72">
        <w:t>та</w:t>
      </w:r>
      <w:r w:rsidR="00DE186A">
        <w:t>»</w:t>
      </w:r>
      <w:r w:rsidRPr="004B1D72">
        <w:t>, позволяя тем самым соблюсти соответствующие требования Пр</w:t>
      </w:r>
      <w:r w:rsidRPr="004B1D72">
        <w:t>а</w:t>
      </w:r>
      <w:r w:rsidRPr="004B1D72">
        <w:t>вил</w:t>
      </w:r>
      <w:r w:rsidR="009D449E">
        <w:t> </w:t>
      </w:r>
      <w:r w:rsidRPr="004B1D72">
        <w:t>№</w:t>
      </w:r>
      <w:r w:rsidR="009D449E">
        <w:t> </w:t>
      </w:r>
      <w:r w:rsidRPr="004B1D72">
        <w:t>48.</w:t>
      </w:r>
    </w:p>
    <w:p w:rsidR="004B1D72" w:rsidRPr="004B1D72" w:rsidRDefault="004B1D72" w:rsidP="004B1D72">
      <w:pPr>
        <w:pStyle w:val="SingleTxt"/>
      </w:pPr>
      <w:r w:rsidRPr="004B1D72">
        <w:t>8.</w:t>
      </w:r>
      <w:r w:rsidRPr="004B1D72">
        <w:tab/>
        <w:t>Следует надеяться, что это всестороннее предложение по поправкам к пр</w:t>
      </w:r>
      <w:r w:rsidRPr="004B1D72">
        <w:t>а</w:t>
      </w:r>
      <w:r w:rsidRPr="004B1D72">
        <w:t>вилам № 48 и 87 позволит устранить проблемы, с которыми сталкиваются адм</w:t>
      </w:r>
      <w:r w:rsidRPr="004B1D72">
        <w:t>и</w:t>
      </w:r>
      <w:r w:rsidRPr="004B1D72">
        <w:t xml:space="preserve">нистрации и изготовители транспортных средств/комплектующих изделий в деле соблюдения соответствующих требований. </w:t>
      </w:r>
    </w:p>
    <w:p w:rsidR="004B1D72" w:rsidRPr="00DE186A" w:rsidRDefault="00DE186A" w:rsidP="00DE186A">
      <w:pPr>
        <w:pStyle w:val="SingleTxt"/>
        <w:spacing w:after="0" w:line="240" w:lineRule="auto"/>
      </w:pPr>
      <w:r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2669540</wp:posOffset>
                </wp:positionH>
                <wp:positionV relativeFrom="paragraph">
                  <wp:posOffset>381000</wp:posOffset>
                </wp:positionV>
                <wp:extent cx="9144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2pt,30pt" to="282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" strokecolor="#010000" strokeweight=".25pt"/>
            </w:pict>
          </mc:Fallback>
        </mc:AlternateContent>
      </w:r>
    </w:p>
    <w:sectPr w:rsidR="004B1D72" w:rsidRPr="00DE186A" w:rsidSect="00FA2E4B">
      <w:type w:val="continuous"/>
      <w:pgSz w:w="11909" w:h="16834"/>
      <w:pgMar w:top="1742" w:right="936" w:bottom="1898" w:left="936" w:header="576" w:footer="103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B63" w:rsidRDefault="003D4B63" w:rsidP="008A1A7A">
      <w:pPr>
        <w:spacing w:line="240" w:lineRule="auto"/>
      </w:pPr>
      <w:r>
        <w:separator/>
      </w:r>
    </w:p>
  </w:endnote>
  <w:endnote w:type="continuationSeparator" w:id="0">
    <w:p w:rsidR="003D4B63" w:rsidRDefault="003D4B63" w:rsidP="008A1A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altName w:val="Britannic Bold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FA2E4B" w:rsidTr="00FA2E4B">
      <w:trPr>
        <w:jc w:val="center"/>
      </w:trPr>
      <w:tc>
        <w:tcPr>
          <w:tcW w:w="5126" w:type="dxa"/>
          <w:shd w:val="clear" w:color="auto" w:fill="auto"/>
          <w:vAlign w:val="bottom"/>
        </w:tcPr>
        <w:p w:rsidR="00FA2E4B" w:rsidRPr="00FA2E4B" w:rsidRDefault="00FA2E4B" w:rsidP="00FA2E4B">
          <w:pPr>
            <w:pStyle w:val="Footer"/>
            <w:rPr>
              <w:color w:val="000000"/>
            </w:rPr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1B4B0D">
            <w:rPr>
              <w:noProof/>
            </w:rPr>
            <w:t>4</w:t>
          </w:r>
          <w:r>
            <w:fldChar w:fldCharType="end"/>
          </w:r>
          <w:r>
            <w:t>/</w:t>
          </w:r>
          <w:fldSimple w:instr=" NUMPAGES  \* Arabic  \* MERGEFORMAT ">
            <w:r w:rsidR="001B4B0D">
              <w:rPr>
                <w:noProof/>
              </w:rPr>
              <w:t>4</w:t>
            </w:r>
          </w:fldSimple>
        </w:p>
      </w:tc>
      <w:tc>
        <w:tcPr>
          <w:tcW w:w="5127" w:type="dxa"/>
          <w:shd w:val="clear" w:color="auto" w:fill="auto"/>
          <w:vAlign w:val="bottom"/>
        </w:tcPr>
        <w:p w:rsidR="00FA2E4B" w:rsidRPr="00FA2E4B" w:rsidRDefault="00FA2E4B" w:rsidP="00FA2E4B">
          <w:pPr>
            <w:pStyle w:val="Footer"/>
            <w:jc w:val="right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F749E8">
            <w:rPr>
              <w:b w:val="0"/>
              <w:color w:val="000000"/>
              <w:sz w:val="14"/>
            </w:rPr>
            <w:t>GE.16-00823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</w:tr>
  </w:tbl>
  <w:p w:rsidR="00FA2E4B" w:rsidRPr="00FA2E4B" w:rsidRDefault="00FA2E4B" w:rsidP="00FA2E4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FA2E4B" w:rsidTr="00FA2E4B">
      <w:trPr>
        <w:jc w:val="center"/>
      </w:trPr>
      <w:tc>
        <w:tcPr>
          <w:tcW w:w="5126" w:type="dxa"/>
          <w:shd w:val="clear" w:color="auto" w:fill="auto"/>
          <w:vAlign w:val="bottom"/>
        </w:tcPr>
        <w:p w:rsidR="00FA2E4B" w:rsidRPr="00FA2E4B" w:rsidRDefault="00FA2E4B" w:rsidP="00FA2E4B">
          <w:pPr>
            <w:pStyle w:val="Footer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F749E8">
            <w:rPr>
              <w:b w:val="0"/>
              <w:color w:val="000000"/>
              <w:sz w:val="14"/>
            </w:rPr>
            <w:t>GE.16-00823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FA2E4B" w:rsidRPr="00FA2E4B" w:rsidRDefault="00FA2E4B" w:rsidP="00FA2E4B">
          <w:pPr>
            <w:pStyle w:val="Footer"/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1B4B0D">
            <w:rPr>
              <w:noProof/>
            </w:rPr>
            <w:t>3</w:t>
          </w:r>
          <w:r>
            <w:fldChar w:fldCharType="end"/>
          </w:r>
          <w:r>
            <w:t>/</w:t>
          </w:r>
          <w:fldSimple w:instr=" NUMPAGES  \* Arabic  \* MERGEFORMAT ">
            <w:r w:rsidR="001B4B0D">
              <w:rPr>
                <w:noProof/>
              </w:rPr>
              <w:t>3</w:t>
            </w:r>
          </w:fldSimple>
        </w:p>
      </w:tc>
    </w:tr>
  </w:tbl>
  <w:p w:rsidR="00FA2E4B" w:rsidRPr="00FA2E4B" w:rsidRDefault="00FA2E4B" w:rsidP="00FA2E4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873"/>
      <w:gridCol w:w="5127"/>
    </w:tblGrid>
    <w:tr w:rsidR="00FA2E4B" w:rsidTr="00FA2E4B">
      <w:tc>
        <w:tcPr>
          <w:tcW w:w="3873" w:type="dxa"/>
        </w:tcPr>
        <w:p w:rsidR="00FA2E4B" w:rsidRDefault="00FA2E4B" w:rsidP="004B1D72">
          <w:pPr>
            <w:pStyle w:val="ReleaseDate"/>
            <w:rPr>
              <w:color w:val="010000"/>
            </w:rPr>
          </w:pPr>
          <w:r>
            <w:rPr>
              <w:noProof/>
              <w:lang w:val="en-GB" w:eastAsia="en-GB"/>
            </w:rPr>
            <w:drawing>
              <wp:anchor distT="0" distB="0" distL="114300" distR="114300" simplePos="0" relativeHeight="251658240" behindDoc="0" locked="0" layoutInCell="1" allowOverlap="1" wp14:anchorId="3DAC411C" wp14:editId="144A9C6D">
                <wp:simplePos x="0" y="0"/>
                <wp:positionH relativeFrom="column">
                  <wp:posOffset>5659755</wp:posOffset>
                </wp:positionH>
                <wp:positionV relativeFrom="paragraph">
                  <wp:posOffset>-347345</wp:posOffset>
                </wp:positionV>
                <wp:extent cx="694690" cy="694690"/>
                <wp:effectExtent l="0" t="0" r="0" b="0"/>
                <wp:wrapNone/>
                <wp:docPr id="3" name="Picture 3" descr="http://undocs.org/m2/QRCode2.ashx?DS=ECE/TRANS/WP.29/GRE/2016/8&amp;Size =1&amp;Lang = 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2.ashx?DS=ECE/TRANS/WP.29/GRE/2016/8&amp;Size =1&amp;Lang = 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>GE.16-00823 (R)</w:t>
          </w:r>
          <w:r>
            <w:rPr>
              <w:color w:val="010000"/>
            </w:rPr>
            <w:t xml:space="preserve">    0</w:t>
          </w:r>
          <w:r w:rsidR="004B1D72">
            <w:rPr>
              <w:color w:val="010000"/>
              <w:lang w:val="en-US"/>
            </w:rPr>
            <w:t>5</w:t>
          </w:r>
          <w:r>
            <w:rPr>
              <w:color w:val="010000"/>
            </w:rPr>
            <w:t>0216    090216</w:t>
          </w:r>
        </w:p>
        <w:p w:rsidR="00FA2E4B" w:rsidRPr="00FA2E4B" w:rsidRDefault="00FA2E4B" w:rsidP="00FA2E4B">
          <w:pPr>
            <w:spacing w:before="80" w:line="210" w:lineRule="exact"/>
            <w:rPr>
              <w:rFonts w:ascii="Barcode 3 of 9 by request" w:hAnsi="Barcode 3 of 9 by request"/>
              <w:w w:val="100"/>
              <w:sz w:val="24"/>
            </w:rPr>
          </w:pPr>
          <w:r>
            <w:rPr>
              <w:rFonts w:ascii="Barcode 3 of 9 by request" w:hAnsi="Barcode 3 of 9 by request"/>
              <w:w w:val="100"/>
              <w:sz w:val="24"/>
            </w:rPr>
            <w:t>*1600823*</w:t>
          </w:r>
        </w:p>
      </w:tc>
      <w:tc>
        <w:tcPr>
          <w:tcW w:w="5127" w:type="dxa"/>
        </w:tcPr>
        <w:p w:rsidR="00FA2E4B" w:rsidRDefault="00FA2E4B" w:rsidP="00FA2E4B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  <w:lang w:val="en-GB" w:eastAsia="en-GB"/>
            </w:rPr>
            <w:drawing>
              <wp:inline distT="0" distB="0" distL="0" distR="0" wp14:anchorId="0D5FBF7E" wp14:editId="2D41F999">
                <wp:extent cx="2703582" cy="231648"/>
                <wp:effectExtent l="0" t="0" r="1905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358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FA2E4B" w:rsidRPr="00FA2E4B" w:rsidRDefault="00FA2E4B" w:rsidP="00FA2E4B">
    <w:pPr>
      <w:pStyle w:val="Footer"/>
      <w:spacing w:line="56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B63" w:rsidRPr="004B1D72" w:rsidRDefault="004B1D72" w:rsidP="004B1D72">
      <w:pPr>
        <w:pStyle w:val="Footer"/>
        <w:spacing w:after="80"/>
        <w:ind w:left="792"/>
        <w:rPr>
          <w:sz w:val="16"/>
        </w:rPr>
      </w:pPr>
      <w:r w:rsidRPr="004B1D72">
        <w:rPr>
          <w:sz w:val="16"/>
        </w:rPr>
        <w:t>__________________</w:t>
      </w:r>
    </w:p>
  </w:footnote>
  <w:footnote w:type="continuationSeparator" w:id="0">
    <w:p w:rsidR="003D4B63" w:rsidRPr="004B1D72" w:rsidRDefault="004B1D72" w:rsidP="004B1D72">
      <w:pPr>
        <w:pStyle w:val="Footer"/>
        <w:spacing w:after="80"/>
        <w:ind w:left="792"/>
        <w:rPr>
          <w:sz w:val="16"/>
        </w:rPr>
      </w:pPr>
      <w:r w:rsidRPr="004B1D72">
        <w:rPr>
          <w:sz w:val="16"/>
        </w:rPr>
        <w:t>__________________</w:t>
      </w:r>
    </w:p>
  </w:footnote>
  <w:footnote w:id="1">
    <w:p w:rsidR="004B1D72" w:rsidRDefault="004B1D72" w:rsidP="004B1D72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  <w:rPr>
          <w:sz w:val="18"/>
        </w:rPr>
      </w:pPr>
      <w:r>
        <w:tab/>
      </w:r>
      <w:r w:rsidRPr="004B1D72">
        <w:rPr>
          <w:rStyle w:val="FootnoteReference"/>
          <w:szCs w:val="18"/>
          <w:vertAlign w:val="baseline"/>
        </w:rPr>
        <w:t>*</w:t>
      </w:r>
      <w:r>
        <w:rPr>
          <w:sz w:val="20"/>
        </w:rPr>
        <w:tab/>
      </w:r>
      <w:r>
        <w:rPr>
          <w:szCs w:val="18"/>
        </w:rPr>
        <w:t xml:space="preserve">В соответствии с программой работы Комитета по внутреннему транспорту на </w:t>
      </w:r>
      <w:r w:rsidRPr="004B1D72">
        <w:rPr>
          <w:szCs w:val="18"/>
        </w:rPr>
        <w:br/>
      </w:r>
      <w:r>
        <w:rPr>
          <w:szCs w:val="18"/>
        </w:rPr>
        <w:t>2014–2018 годы (</w:t>
      </w:r>
      <w:r>
        <w:rPr>
          <w:szCs w:val="18"/>
          <w:lang w:val="en-US"/>
        </w:rPr>
        <w:t>ECE</w:t>
      </w:r>
      <w:r>
        <w:rPr>
          <w:szCs w:val="18"/>
        </w:rPr>
        <w:t>/</w:t>
      </w:r>
      <w:r>
        <w:rPr>
          <w:szCs w:val="18"/>
          <w:lang w:val="en-US"/>
        </w:rPr>
        <w:t>TRANS</w:t>
      </w:r>
      <w:r>
        <w:rPr>
          <w:szCs w:val="18"/>
        </w:rPr>
        <w:t xml:space="preserve">/240, пункт 105, и </w:t>
      </w:r>
      <w:r>
        <w:rPr>
          <w:szCs w:val="18"/>
          <w:lang w:val="en-US"/>
        </w:rPr>
        <w:t>ECE</w:t>
      </w:r>
      <w:r>
        <w:rPr>
          <w:szCs w:val="18"/>
        </w:rPr>
        <w:t>/</w:t>
      </w:r>
      <w:r>
        <w:rPr>
          <w:szCs w:val="18"/>
          <w:lang w:val="en-US"/>
        </w:rPr>
        <w:t>TRANS</w:t>
      </w:r>
      <w:r>
        <w:rPr>
          <w:szCs w:val="18"/>
        </w:rPr>
        <w:t>/2014/26, подпрограмма 02.4) Всемирный форум будет разрабатывать, согласовывать и обновлять правила в целях улучшения характеристик транспортных средств.</w:t>
      </w:r>
    </w:p>
  </w:footnote>
  <w:footnote w:id="2">
    <w:p w:rsidR="004B1D72" w:rsidRDefault="004B1D72" w:rsidP="004B1D72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  <w:rPr>
          <w:lang w:eastAsia="zh-CN"/>
        </w:rPr>
      </w:pPr>
      <w:r>
        <w:tab/>
      </w:r>
      <w:r>
        <w:rPr>
          <w:vertAlign w:val="superscript"/>
        </w:rPr>
        <w:footnoteRef/>
      </w:r>
      <w:r>
        <w:t xml:space="preserve"> </w:t>
      </w:r>
      <w:r>
        <w:tab/>
        <w:t>Для дневных ходовых огней с несменными источниками света указать количество и общую мощность используемых источников света.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FA2E4B" w:rsidTr="00FA2E4B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FA2E4B" w:rsidRPr="00FA2E4B" w:rsidRDefault="00FA2E4B" w:rsidP="00FA2E4B">
          <w:pPr>
            <w:pStyle w:val="Header"/>
            <w:spacing w:after="80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F749E8">
            <w:rPr>
              <w:b/>
            </w:rPr>
            <w:t>ECE/TRANS/WP.29/GRE/2016/8</w:t>
          </w:r>
          <w:r>
            <w:rPr>
              <w:b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FA2E4B" w:rsidRDefault="00FA2E4B" w:rsidP="00FA2E4B">
          <w:pPr>
            <w:pStyle w:val="Header"/>
          </w:pPr>
        </w:p>
      </w:tc>
    </w:tr>
  </w:tbl>
  <w:p w:rsidR="00FA2E4B" w:rsidRPr="00FA2E4B" w:rsidRDefault="00FA2E4B" w:rsidP="00FA2E4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FA2E4B" w:rsidTr="00FA2E4B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FA2E4B" w:rsidRDefault="00FA2E4B" w:rsidP="00FA2E4B">
          <w:pPr>
            <w:pStyle w:val="Header"/>
          </w:pPr>
        </w:p>
      </w:tc>
      <w:tc>
        <w:tcPr>
          <w:tcW w:w="5127" w:type="dxa"/>
          <w:shd w:val="clear" w:color="auto" w:fill="auto"/>
          <w:vAlign w:val="bottom"/>
        </w:tcPr>
        <w:p w:rsidR="00FA2E4B" w:rsidRPr="00FA2E4B" w:rsidRDefault="00FA2E4B" w:rsidP="00FA2E4B">
          <w:pPr>
            <w:pStyle w:val="Header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F749E8">
            <w:rPr>
              <w:b/>
            </w:rPr>
            <w:t>ECE/TRANS/WP.29/GRE/2016/8</w:t>
          </w:r>
          <w:r>
            <w:rPr>
              <w:b/>
            </w:rPr>
            <w:fldChar w:fldCharType="end"/>
          </w:r>
        </w:p>
      </w:tc>
    </w:tr>
  </w:tbl>
  <w:p w:rsidR="00FA2E4B" w:rsidRPr="00FA2E4B" w:rsidRDefault="00FA2E4B" w:rsidP="00FA2E4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2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3154"/>
      <w:gridCol w:w="245"/>
      <w:gridCol w:w="1828"/>
      <w:gridCol w:w="245"/>
      <w:gridCol w:w="3284"/>
    </w:tblGrid>
    <w:tr w:rsidR="00FA2E4B" w:rsidTr="00FA2E4B">
      <w:trPr>
        <w:trHeight w:hRule="exact" w:val="864"/>
      </w:trPr>
      <w:tc>
        <w:tcPr>
          <w:tcW w:w="4421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:rsidR="00FA2E4B" w:rsidRPr="00FA2E4B" w:rsidRDefault="00FA2E4B" w:rsidP="00FA2E4B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FA2E4B" w:rsidRDefault="00FA2E4B" w:rsidP="00FA2E4B">
          <w:pPr>
            <w:pStyle w:val="Header"/>
            <w:spacing w:after="120"/>
          </w:pPr>
        </w:p>
      </w:tc>
      <w:tc>
        <w:tcPr>
          <w:tcW w:w="5357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FA2E4B" w:rsidRPr="00FA2E4B" w:rsidRDefault="00FA2E4B" w:rsidP="00FA2E4B">
          <w:pPr>
            <w:pStyle w:val="Header"/>
            <w:spacing w:after="20"/>
            <w:jc w:val="right"/>
            <w:rPr>
              <w:sz w:val="20"/>
            </w:rPr>
          </w:pPr>
          <w:r>
            <w:rPr>
              <w:sz w:val="40"/>
            </w:rPr>
            <w:t>ECE</w:t>
          </w:r>
          <w:r>
            <w:rPr>
              <w:sz w:val="20"/>
            </w:rPr>
            <w:t>/TRANS/WP.29/GRE/2016/8</w:t>
          </w:r>
        </w:p>
      </w:tc>
    </w:tr>
    <w:tr w:rsidR="00FA2E4B" w:rsidRPr="00DE186A" w:rsidTr="00FA2E4B"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FA2E4B" w:rsidRPr="00FA2E4B" w:rsidRDefault="00FA2E4B" w:rsidP="00FA2E4B">
          <w:pPr>
            <w:pStyle w:val="Header"/>
            <w:spacing w:before="120"/>
            <w:jc w:val="center"/>
          </w:pPr>
          <w:r>
            <w:t xml:space="preserve"> </w:t>
          </w:r>
          <w:r>
            <w:rPr>
              <w:noProof/>
              <w:lang w:val="en-GB" w:eastAsia="en-GB"/>
            </w:rPr>
            <w:drawing>
              <wp:inline distT="0" distB="0" distL="0" distR="0" wp14:anchorId="2425515B" wp14:editId="46AEDEF5">
                <wp:extent cx="713232" cy="597103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FA2E4B" w:rsidRPr="00FA2E4B" w:rsidRDefault="00FA2E4B" w:rsidP="00FA2E4B">
          <w:pPr>
            <w:pStyle w:val="XLarge"/>
            <w:spacing w:before="109"/>
          </w:pPr>
          <w:r>
            <w:t>Экономический</w:t>
          </w:r>
          <w:r>
            <w:br/>
            <w:t>и Социальный Совет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FA2E4B" w:rsidRPr="00FA2E4B" w:rsidRDefault="00FA2E4B" w:rsidP="00FA2E4B">
          <w:pPr>
            <w:pStyle w:val="Header"/>
            <w:spacing w:before="109"/>
          </w:pPr>
        </w:p>
      </w:tc>
      <w:tc>
        <w:tcPr>
          <w:tcW w:w="328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FA2E4B" w:rsidRPr="004B1D72" w:rsidRDefault="00FA2E4B" w:rsidP="00FA2E4B">
          <w:pPr>
            <w:pStyle w:val="Distribution"/>
            <w:rPr>
              <w:color w:val="000000"/>
              <w:lang w:val="en-US"/>
            </w:rPr>
          </w:pPr>
          <w:r w:rsidRPr="004B1D72">
            <w:rPr>
              <w:color w:val="000000"/>
              <w:lang w:val="en-US"/>
            </w:rPr>
            <w:t>Distr.: General</w:t>
          </w:r>
        </w:p>
        <w:p w:rsidR="00FA2E4B" w:rsidRPr="004B1D72" w:rsidRDefault="00FA2E4B" w:rsidP="004B1D72">
          <w:pPr>
            <w:pStyle w:val="Publication"/>
            <w:rPr>
              <w:color w:val="000000"/>
              <w:lang w:val="en-US"/>
            </w:rPr>
          </w:pPr>
          <w:r w:rsidRPr="004B1D72">
            <w:rPr>
              <w:color w:val="000000"/>
              <w:lang w:val="en-US"/>
            </w:rPr>
            <w:t>21 January 2016</w:t>
          </w:r>
        </w:p>
        <w:p w:rsidR="00FA2E4B" w:rsidRPr="004B1D72" w:rsidRDefault="00FA2E4B" w:rsidP="00FA2E4B">
          <w:pPr>
            <w:rPr>
              <w:color w:val="000000"/>
              <w:lang w:val="en-US"/>
            </w:rPr>
          </w:pPr>
          <w:r w:rsidRPr="004B1D72">
            <w:rPr>
              <w:color w:val="000000"/>
              <w:lang w:val="en-US"/>
            </w:rPr>
            <w:t>Russian</w:t>
          </w:r>
        </w:p>
        <w:p w:rsidR="00FA2E4B" w:rsidRPr="004B1D72" w:rsidRDefault="00FA2E4B" w:rsidP="00FA2E4B">
          <w:pPr>
            <w:pStyle w:val="Original"/>
            <w:rPr>
              <w:color w:val="000000"/>
              <w:lang w:val="en-US"/>
            </w:rPr>
          </w:pPr>
          <w:r w:rsidRPr="004B1D72">
            <w:rPr>
              <w:color w:val="000000"/>
              <w:lang w:val="en-US"/>
            </w:rPr>
            <w:t>Original: English</w:t>
          </w:r>
        </w:p>
        <w:p w:rsidR="00FA2E4B" w:rsidRPr="004B1D72" w:rsidRDefault="00FA2E4B" w:rsidP="00FA2E4B">
          <w:pPr>
            <w:rPr>
              <w:lang w:val="en-US"/>
            </w:rPr>
          </w:pPr>
        </w:p>
      </w:tc>
    </w:tr>
  </w:tbl>
  <w:p w:rsidR="00FA2E4B" w:rsidRPr="004B1D72" w:rsidRDefault="00FA2E4B" w:rsidP="00FA2E4B">
    <w:pPr>
      <w:pStyle w:val="Header"/>
      <w:spacing w:line="20" w:lineRule="exact"/>
      <w:rPr>
        <w:sz w:val="2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E0274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D1A045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7822B9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686A6C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9B06E0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AA332A2"/>
    <w:multiLevelType w:val="hybridMultilevel"/>
    <w:tmpl w:val="BE82049E"/>
    <w:lvl w:ilvl="0" w:tplc="981625E8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80313F"/>
    <w:multiLevelType w:val="hybridMultilevel"/>
    <w:tmpl w:val="1720AFF8"/>
    <w:lvl w:ilvl="0" w:tplc="7182F308">
      <w:start w:val="1"/>
      <w:numFmt w:val="decimal"/>
      <w:lvlText w:val="%1."/>
      <w:lvlJc w:val="right"/>
      <w:pPr>
        <w:ind w:left="1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7">
    <w:nsid w:val="44E42048"/>
    <w:multiLevelType w:val="hybridMultilevel"/>
    <w:tmpl w:val="5534289A"/>
    <w:lvl w:ilvl="0" w:tplc="9432CEA0">
      <w:start w:val="1"/>
      <w:numFmt w:val="decimal"/>
      <w:pStyle w:val="ListContinue2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0E3267"/>
    <w:multiLevelType w:val="hybridMultilevel"/>
    <w:tmpl w:val="50A42332"/>
    <w:lvl w:ilvl="0" w:tplc="E55CAE2C">
      <w:start w:val="1"/>
      <w:numFmt w:val="upperRoman"/>
      <w:lvlText w:val="%1."/>
      <w:lvlJc w:val="left"/>
      <w:pPr>
        <w:ind w:left="1395" w:hanging="720"/>
      </w:pPr>
    </w:lvl>
    <w:lvl w:ilvl="1" w:tplc="04070019">
      <w:start w:val="1"/>
      <w:numFmt w:val="lowerLetter"/>
      <w:lvlText w:val="%2."/>
      <w:lvlJc w:val="left"/>
      <w:pPr>
        <w:ind w:left="1755" w:hanging="360"/>
      </w:pPr>
    </w:lvl>
    <w:lvl w:ilvl="2" w:tplc="0407001B">
      <w:start w:val="1"/>
      <w:numFmt w:val="lowerRoman"/>
      <w:lvlText w:val="%3."/>
      <w:lvlJc w:val="right"/>
      <w:pPr>
        <w:ind w:left="2475" w:hanging="180"/>
      </w:pPr>
    </w:lvl>
    <w:lvl w:ilvl="3" w:tplc="0407000F">
      <w:start w:val="1"/>
      <w:numFmt w:val="decimal"/>
      <w:lvlText w:val="%4."/>
      <w:lvlJc w:val="left"/>
      <w:pPr>
        <w:ind w:left="3195" w:hanging="360"/>
      </w:pPr>
    </w:lvl>
    <w:lvl w:ilvl="4" w:tplc="04070019">
      <w:start w:val="1"/>
      <w:numFmt w:val="lowerLetter"/>
      <w:lvlText w:val="%5."/>
      <w:lvlJc w:val="left"/>
      <w:pPr>
        <w:ind w:left="3915" w:hanging="360"/>
      </w:pPr>
    </w:lvl>
    <w:lvl w:ilvl="5" w:tplc="0407001B">
      <w:start w:val="1"/>
      <w:numFmt w:val="lowerRoman"/>
      <w:lvlText w:val="%6."/>
      <w:lvlJc w:val="right"/>
      <w:pPr>
        <w:ind w:left="4635" w:hanging="180"/>
      </w:pPr>
    </w:lvl>
    <w:lvl w:ilvl="6" w:tplc="0407000F">
      <w:start w:val="1"/>
      <w:numFmt w:val="decimal"/>
      <w:lvlText w:val="%7."/>
      <w:lvlJc w:val="left"/>
      <w:pPr>
        <w:ind w:left="5355" w:hanging="360"/>
      </w:pPr>
    </w:lvl>
    <w:lvl w:ilvl="7" w:tplc="04070019">
      <w:start w:val="1"/>
      <w:numFmt w:val="lowerLetter"/>
      <w:lvlText w:val="%8."/>
      <w:lvlJc w:val="left"/>
      <w:pPr>
        <w:ind w:left="6075" w:hanging="360"/>
      </w:pPr>
    </w:lvl>
    <w:lvl w:ilvl="8" w:tplc="0407001B">
      <w:start w:val="1"/>
      <w:numFmt w:val="lowerRoman"/>
      <w:lvlText w:val="%9."/>
      <w:lvlJc w:val="right"/>
      <w:pPr>
        <w:ind w:left="6795" w:hanging="180"/>
      </w:pPr>
    </w:lvl>
  </w:abstractNum>
  <w:abstractNum w:abstractNumId="9">
    <w:nsid w:val="54103B57"/>
    <w:multiLevelType w:val="hybridMultilevel"/>
    <w:tmpl w:val="33B864FA"/>
    <w:lvl w:ilvl="0" w:tplc="EF8680E4">
      <w:start w:val="1"/>
      <w:numFmt w:val="bullet"/>
      <w:pStyle w:val="Bullet3"/>
      <w:lvlText w:val=""/>
      <w:lvlJc w:val="left"/>
      <w:pPr>
        <w:ind w:left="2923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10">
    <w:nsid w:val="676B2E12"/>
    <w:multiLevelType w:val="hybridMultilevel"/>
    <w:tmpl w:val="44F61EA4"/>
    <w:lvl w:ilvl="0" w:tplc="6A0EF176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5"/>
  </w:num>
  <w:num w:numId="9">
    <w:abstractNumId w:val="10"/>
  </w:num>
  <w:num w:numId="10">
    <w:abstractNumId w:val="9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475"/>
  <w:autoHyphenation/>
  <w:hyphenationZone w:val="220"/>
  <w:doNotHyphenateCaps/>
  <w:evenAndOddHeaders/>
  <w:drawingGridHorizontalSpacing w:val="209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noColumnBalance/>
    <w:printColBlack/>
    <w:showBreaksInFrames/>
    <w:suppressBottomSpacing/>
    <w:suppressTopSpacing/>
    <w:suppressSpBfAfterPgBrk/>
    <w:shapeLayoutLikeWW8/>
    <w:forgetLastTabAlignment/>
    <w:doNotUseHTMLParagraphAutoSpacing/>
    <w:layoutRawTableWidth/>
    <w:doNotBreakWrappedTables/>
    <w:doNotSnapToGridInCell/>
    <w:selectFldWithFirstOrLastChar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docVars>
    <w:docVar w:name="Barcode" w:val="*1600823*"/>
    <w:docVar w:name="CreationDt" w:val="2/9/2016 4:04: PM"/>
    <w:docVar w:name="DocCategory" w:val="Doc"/>
    <w:docVar w:name="DocType" w:val="Final"/>
    <w:docVar w:name="DutyStation" w:val="Geneva"/>
    <w:docVar w:name="FooterJN" w:val="GE.16-00823"/>
    <w:docVar w:name="jobn" w:val="GE.16-00823 (R)"/>
    <w:docVar w:name="jobnDT" w:val="GE.16-00823 (R)   090216"/>
    <w:docVar w:name="jobnDTDT" w:val="GE.16-00823 (R)   090216   090216"/>
    <w:docVar w:name="JobNo" w:val="GE.1600823R"/>
    <w:docVar w:name="JobNo2" w:val="1600890R"/>
    <w:docVar w:name="LocalDrive" w:val="0"/>
    <w:docVar w:name="OandT" w:val=" "/>
    <w:docVar w:name="PaperSize" w:val="A4"/>
    <w:docVar w:name="sss1" w:val="ECE/TRANS/WP.29/GRE/2016/8"/>
    <w:docVar w:name="sss2" w:val="-"/>
    <w:docVar w:name="Symbol1" w:val="ECE/TRANS/WP.29/GRE/2016/8"/>
    <w:docVar w:name="Symbol2" w:val="-"/>
  </w:docVars>
  <w:rsids>
    <w:rsidRoot w:val="003D4B63"/>
    <w:rsid w:val="00004615"/>
    <w:rsid w:val="00004756"/>
    <w:rsid w:val="00010735"/>
    <w:rsid w:val="00010CB8"/>
    <w:rsid w:val="00013E03"/>
    <w:rsid w:val="00015201"/>
    <w:rsid w:val="0001588C"/>
    <w:rsid w:val="000162FB"/>
    <w:rsid w:val="00024A67"/>
    <w:rsid w:val="0002595F"/>
    <w:rsid w:val="00025CF3"/>
    <w:rsid w:val="0002669B"/>
    <w:rsid w:val="00033C1F"/>
    <w:rsid w:val="00041A49"/>
    <w:rsid w:val="000513EF"/>
    <w:rsid w:val="0005420D"/>
    <w:rsid w:val="00055EA2"/>
    <w:rsid w:val="00067A5A"/>
    <w:rsid w:val="00067A90"/>
    <w:rsid w:val="00070C37"/>
    <w:rsid w:val="000738BD"/>
    <w:rsid w:val="00076F88"/>
    <w:rsid w:val="0007796A"/>
    <w:rsid w:val="0008067C"/>
    <w:rsid w:val="00091DC8"/>
    <w:rsid w:val="00092464"/>
    <w:rsid w:val="000A111E"/>
    <w:rsid w:val="000A1DF3"/>
    <w:rsid w:val="000A4A11"/>
    <w:rsid w:val="000B02B7"/>
    <w:rsid w:val="000C069D"/>
    <w:rsid w:val="000C67BC"/>
    <w:rsid w:val="000D300C"/>
    <w:rsid w:val="000D64CF"/>
    <w:rsid w:val="000E0F08"/>
    <w:rsid w:val="000E30BA"/>
    <w:rsid w:val="000E35C6"/>
    <w:rsid w:val="000E3712"/>
    <w:rsid w:val="000E4411"/>
    <w:rsid w:val="000F1ACD"/>
    <w:rsid w:val="000F52C5"/>
    <w:rsid w:val="000F5D07"/>
    <w:rsid w:val="00105B0E"/>
    <w:rsid w:val="00113678"/>
    <w:rsid w:val="001235FD"/>
    <w:rsid w:val="0014308F"/>
    <w:rsid w:val="001444A3"/>
    <w:rsid w:val="00145BAE"/>
    <w:rsid w:val="00153645"/>
    <w:rsid w:val="00153E04"/>
    <w:rsid w:val="00153E8C"/>
    <w:rsid w:val="001565FD"/>
    <w:rsid w:val="00160648"/>
    <w:rsid w:val="00161F29"/>
    <w:rsid w:val="00162200"/>
    <w:rsid w:val="00162E88"/>
    <w:rsid w:val="00167FE9"/>
    <w:rsid w:val="00171F41"/>
    <w:rsid w:val="001726A4"/>
    <w:rsid w:val="001744B4"/>
    <w:rsid w:val="00175AC4"/>
    <w:rsid w:val="00177361"/>
    <w:rsid w:val="00177898"/>
    <w:rsid w:val="001802BD"/>
    <w:rsid w:val="001862BD"/>
    <w:rsid w:val="00193822"/>
    <w:rsid w:val="0019704E"/>
    <w:rsid w:val="001A0D31"/>
    <w:rsid w:val="001A39EE"/>
    <w:rsid w:val="001A4338"/>
    <w:rsid w:val="001A6777"/>
    <w:rsid w:val="001A76E4"/>
    <w:rsid w:val="001B4B0D"/>
    <w:rsid w:val="001C072D"/>
    <w:rsid w:val="001C54CE"/>
    <w:rsid w:val="001D15F8"/>
    <w:rsid w:val="001D1749"/>
    <w:rsid w:val="001D2679"/>
    <w:rsid w:val="001D502D"/>
    <w:rsid w:val="001D60ED"/>
    <w:rsid w:val="001E21CE"/>
    <w:rsid w:val="001E25A2"/>
    <w:rsid w:val="001E61AD"/>
    <w:rsid w:val="001E639C"/>
    <w:rsid w:val="001F1B08"/>
    <w:rsid w:val="001F4353"/>
    <w:rsid w:val="001F639D"/>
    <w:rsid w:val="00205CBD"/>
    <w:rsid w:val="00206603"/>
    <w:rsid w:val="002078A2"/>
    <w:rsid w:val="00211A7E"/>
    <w:rsid w:val="00215955"/>
    <w:rsid w:val="00217A24"/>
    <w:rsid w:val="00223C57"/>
    <w:rsid w:val="00227D15"/>
    <w:rsid w:val="00242477"/>
    <w:rsid w:val="00244051"/>
    <w:rsid w:val="002524D1"/>
    <w:rsid w:val="002535D8"/>
    <w:rsid w:val="00254046"/>
    <w:rsid w:val="002564AC"/>
    <w:rsid w:val="002608F3"/>
    <w:rsid w:val="00261386"/>
    <w:rsid w:val="00261C41"/>
    <w:rsid w:val="00264124"/>
    <w:rsid w:val="00264A43"/>
    <w:rsid w:val="002726BA"/>
    <w:rsid w:val="0027350A"/>
    <w:rsid w:val="00277697"/>
    <w:rsid w:val="00281B96"/>
    <w:rsid w:val="002853F1"/>
    <w:rsid w:val="00285565"/>
    <w:rsid w:val="00297C3D"/>
    <w:rsid w:val="002A04A3"/>
    <w:rsid w:val="002A0BAE"/>
    <w:rsid w:val="002A2DD8"/>
    <w:rsid w:val="002A712C"/>
    <w:rsid w:val="002A7921"/>
    <w:rsid w:val="002B1213"/>
    <w:rsid w:val="002B6501"/>
    <w:rsid w:val="002B6E2A"/>
    <w:rsid w:val="002C0A4B"/>
    <w:rsid w:val="002C3DE6"/>
    <w:rsid w:val="002C66D0"/>
    <w:rsid w:val="002D396F"/>
    <w:rsid w:val="002D4606"/>
    <w:rsid w:val="002D4A88"/>
    <w:rsid w:val="002D666D"/>
    <w:rsid w:val="002E1F79"/>
    <w:rsid w:val="002E32E0"/>
    <w:rsid w:val="002F3CF9"/>
    <w:rsid w:val="002F5C45"/>
    <w:rsid w:val="002F6149"/>
    <w:rsid w:val="002F7D25"/>
    <w:rsid w:val="00310EA4"/>
    <w:rsid w:val="00310ED4"/>
    <w:rsid w:val="00325C10"/>
    <w:rsid w:val="00326F5F"/>
    <w:rsid w:val="00332D90"/>
    <w:rsid w:val="00333B06"/>
    <w:rsid w:val="00337D91"/>
    <w:rsid w:val="00343513"/>
    <w:rsid w:val="00346BFB"/>
    <w:rsid w:val="00350756"/>
    <w:rsid w:val="003542EE"/>
    <w:rsid w:val="00360D26"/>
    <w:rsid w:val="00362148"/>
    <w:rsid w:val="00362FFE"/>
    <w:rsid w:val="003658B0"/>
    <w:rsid w:val="0038044D"/>
    <w:rsid w:val="00384AEE"/>
    <w:rsid w:val="0038527A"/>
    <w:rsid w:val="00386A98"/>
    <w:rsid w:val="00391367"/>
    <w:rsid w:val="0039505F"/>
    <w:rsid w:val="003A150E"/>
    <w:rsid w:val="003A2730"/>
    <w:rsid w:val="003B16B4"/>
    <w:rsid w:val="003B5A03"/>
    <w:rsid w:val="003B6E50"/>
    <w:rsid w:val="003C12AC"/>
    <w:rsid w:val="003C2842"/>
    <w:rsid w:val="003D0825"/>
    <w:rsid w:val="003D2003"/>
    <w:rsid w:val="003D4B63"/>
    <w:rsid w:val="003D5DA2"/>
    <w:rsid w:val="003E5193"/>
    <w:rsid w:val="00401CDD"/>
    <w:rsid w:val="00402244"/>
    <w:rsid w:val="00410A3F"/>
    <w:rsid w:val="00415DEC"/>
    <w:rsid w:val="00427FE5"/>
    <w:rsid w:val="00433222"/>
    <w:rsid w:val="00436A23"/>
    <w:rsid w:val="00436F13"/>
    <w:rsid w:val="00437F47"/>
    <w:rsid w:val="004420FB"/>
    <w:rsid w:val="00445A4E"/>
    <w:rsid w:val="00445BBD"/>
    <w:rsid w:val="004502EC"/>
    <w:rsid w:val="004504A6"/>
    <w:rsid w:val="00460D23"/>
    <w:rsid w:val="004645DD"/>
    <w:rsid w:val="00465DA3"/>
    <w:rsid w:val="0046710A"/>
    <w:rsid w:val="0047759D"/>
    <w:rsid w:val="00487893"/>
    <w:rsid w:val="0049612D"/>
    <w:rsid w:val="004964B8"/>
    <w:rsid w:val="004A04A6"/>
    <w:rsid w:val="004A21EE"/>
    <w:rsid w:val="004A36EE"/>
    <w:rsid w:val="004A5D8D"/>
    <w:rsid w:val="004A7499"/>
    <w:rsid w:val="004B1314"/>
    <w:rsid w:val="004B16C7"/>
    <w:rsid w:val="004B1D72"/>
    <w:rsid w:val="004B722C"/>
    <w:rsid w:val="004C1B79"/>
    <w:rsid w:val="004C27B4"/>
    <w:rsid w:val="004C3F11"/>
    <w:rsid w:val="004C6A2C"/>
    <w:rsid w:val="004D275F"/>
    <w:rsid w:val="004D474D"/>
    <w:rsid w:val="004D6276"/>
    <w:rsid w:val="004D656E"/>
    <w:rsid w:val="004E6443"/>
    <w:rsid w:val="004E7743"/>
    <w:rsid w:val="00504669"/>
    <w:rsid w:val="005058E0"/>
    <w:rsid w:val="00511EAC"/>
    <w:rsid w:val="005121DC"/>
    <w:rsid w:val="00513113"/>
    <w:rsid w:val="005135CF"/>
    <w:rsid w:val="00515869"/>
    <w:rsid w:val="005160BC"/>
    <w:rsid w:val="005214BA"/>
    <w:rsid w:val="00522E6D"/>
    <w:rsid w:val="00524A24"/>
    <w:rsid w:val="005251C4"/>
    <w:rsid w:val="00526E12"/>
    <w:rsid w:val="00532578"/>
    <w:rsid w:val="00533411"/>
    <w:rsid w:val="00533DAB"/>
    <w:rsid w:val="00540BD6"/>
    <w:rsid w:val="005427EA"/>
    <w:rsid w:val="00545562"/>
    <w:rsid w:val="0054563F"/>
    <w:rsid w:val="005469E1"/>
    <w:rsid w:val="0055087F"/>
    <w:rsid w:val="00552E08"/>
    <w:rsid w:val="00557DA1"/>
    <w:rsid w:val="005635F7"/>
    <w:rsid w:val="00563A41"/>
    <w:rsid w:val="0056579C"/>
    <w:rsid w:val="00567706"/>
    <w:rsid w:val="00572298"/>
    <w:rsid w:val="005734C2"/>
    <w:rsid w:val="00574AA1"/>
    <w:rsid w:val="00574BF2"/>
    <w:rsid w:val="0057633B"/>
    <w:rsid w:val="00577545"/>
    <w:rsid w:val="00585859"/>
    <w:rsid w:val="00590EDF"/>
    <w:rsid w:val="0059185A"/>
    <w:rsid w:val="005933CB"/>
    <w:rsid w:val="00593E2F"/>
    <w:rsid w:val="00595A74"/>
    <w:rsid w:val="005A002C"/>
    <w:rsid w:val="005A1D01"/>
    <w:rsid w:val="005A5601"/>
    <w:rsid w:val="005A62A9"/>
    <w:rsid w:val="005A7964"/>
    <w:rsid w:val="005B01FC"/>
    <w:rsid w:val="005B064E"/>
    <w:rsid w:val="005B499C"/>
    <w:rsid w:val="005B7528"/>
    <w:rsid w:val="005C0440"/>
    <w:rsid w:val="005D38B6"/>
    <w:rsid w:val="005D7642"/>
    <w:rsid w:val="005E0A46"/>
    <w:rsid w:val="005E3D0D"/>
    <w:rsid w:val="005E7DCF"/>
    <w:rsid w:val="005F02E0"/>
    <w:rsid w:val="005F6E5C"/>
    <w:rsid w:val="00602F9D"/>
    <w:rsid w:val="0060593E"/>
    <w:rsid w:val="00611EE5"/>
    <w:rsid w:val="00616833"/>
    <w:rsid w:val="00616B8D"/>
    <w:rsid w:val="006261A6"/>
    <w:rsid w:val="0062751F"/>
    <w:rsid w:val="00632AFD"/>
    <w:rsid w:val="0063491E"/>
    <w:rsid w:val="00634A27"/>
    <w:rsid w:val="00634BC5"/>
    <w:rsid w:val="00635AF8"/>
    <w:rsid w:val="006409EF"/>
    <w:rsid w:val="006457F1"/>
    <w:rsid w:val="006459C6"/>
    <w:rsid w:val="00646363"/>
    <w:rsid w:val="00647668"/>
    <w:rsid w:val="00655212"/>
    <w:rsid w:val="00657EE4"/>
    <w:rsid w:val="006816AA"/>
    <w:rsid w:val="00682A27"/>
    <w:rsid w:val="00684FCA"/>
    <w:rsid w:val="0069689E"/>
    <w:rsid w:val="006A1698"/>
    <w:rsid w:val="006A1D06"/>
    <w:rsid w:val="006A3F10"/>
    <w:rsid w:val="006A71EB"/>
    <w:rsid w:val="006B12A2"/>
    <w:rsid w:val="006B34CB"/>
    <w:rsid w:val="006B452C"/>
    <w:rsid w:val="006B590B"/>
    <w:rsid w:val="006C44B7"/>
    <w:rsid w:val="006C59D5"/>
    <w:rsid w:val="006D58BE"/>
    <w:rsid w:val="006E09D5"/>
    <w:rsid w:val="006E12EC"/>
    <w:rsid w:val="006E1418"/>
    <w:rsid w:val="006E3D95"/>
    <w:rsid w:val="006F3683"/>
    <w:rsid w:val="00700738"/>
    <w:rsid w:val="007042EA"/>
    <w:rsid w:val="007043B9"/>
    <w:rsid w:val="00705549"/>
    <w:rsid w:val="0071210D"/>
    <w:rsid w:val="00716BC5"/>
    <w:rsid w:val="007170E5"/>
    <w:rsid w:val="00723115"/>
    <w:rsid w:val="00723A18"/>
    <w:rsid w:val="00724550"/>
    <w:rsid w:val="00726A54"/>
    <w:rsid w:val="00730859"/>
    <w:rsid w:val="00731830"/>
    <w:rsid w:val="00736A19"/>
    <w:rsid w:val="00743C8D"/>
    <w:rsid w:val="00745258"/>
    <w:rsid w:val="00763C4A"/>
    <w:rsid w:val="00767AED"/>
    <w:rsid w:val="0077374B"/>
    <w:rsid w:val="007746A3"/>
    <w:rsid w:val="007766E6"/>
    <w:rsid w:val="00781ACA"/>
    <w:rsid w:val="00785F8F"/>
    <w:rsid w:val="00787B44"/>
    <w:rsid w:val="00790CD9"/>
    <w:rsid w:val="00791F20"/>
    <w:rsid w:val="00795A5A"/>
    <w:rsid w:val="00796EC3"/>
    <w:rsid w:val="007A0441"/>
    <w:rsid w:val="007A7058"/>
    <w:rsid w:val="007B098D"/>
    <w:rsid w:val="007B1DE5"/>
    <w:rsid w:val="007B1F63"/>
    <w:rsid w:val="007B5785"/>
    <w:rsid w:val="007B5CF3"/>
    <w:rsid w:val="007B67AE"/>
    <w:rsid w:val="007B6EBF"/>
    <w:rsid w:val="007C4E4D"/>
    <w:rsid w:val="007C62D1"/>
    <w:rsid w:val="007C706F"/>
    <w:rsid w:val="007C7320"/>
    <w:rsid w:val="007D01FF"/>
    <w:rsid w:val="007E0E39"/>
    <w:rsid w:val="007E2B60"/>
    <w:rsid w:val="007E5E30"/>
    <w:rsid w:val="007F0E54"/>
    <w:rsid w:val="007F5107"/>
    <w:rsid w:val="00803EC5"/>
    <w:rsid w:val="008040BA"/>
    <w:rsid w:val="008042D6"/>
    <w:rsid w:val="00806380"/>
    <w:rsid w:val="00821CE2"/>
    <w:rsid w:val="00830FF8"/>
    <w:rsid w:val="00833A04"/>
    <w:rsid w:val="00833B8D"/>
    <w:rsid w:val="00842DFF"/>
    <w:rsid w:val="0084324F"/>
    <w:rsid w:val="00843750"/>
    <w:rsid w:val="00844407"/>
    <w:rsid w:val="00853B24"/>
    <w:rsid w:val="00853E2A"/>
    <w:rsid w:val="008541E9"/>
    <w:rsid w:val="00856EEB"/>
    <w:rsid w:val="00863D60"/>
    <w:rsid w:val="00873020"/>
    <w:rsid w:val="008739EB"/>
    <w:rsid w:val="008776BB"/>
    <w:rsid w:val="00880540"/>
    <w:rsid w:val="0088396E"/>
    <w:rsid w:val="00884EB1"/>
    <w:rsid w:val="008862E4"/>
    <w:rsid w:val="008A1A7A"/>
    <w:rsid w:val="008A45EE"/>
    <w:rsid w:val="008B0632"/>
    <w:rsid w:val="008B08A3"/>
    <w:rsid w:val="008B4F64"/>
    <w:rsid w:val="008B53C0"/>
    <w:rsid w:val="008B5F7F"/>
    <w:rsid w:val="008B64B1"/>
    <w:rsid w:val="008B6A49"/>
    <w:rsid w:val="008B709D"/>
    <w:rsid w:val="008C11F5"/>
    <w:rsid w:val="008C2A03"/>
    <w:rsid w:val="008C3A6F"/>
    <w:rsid w:val="008C6372"/>
    <w:rsid w:val="008D0CE3"/>
    <w:rsid w:val="008E7A0A"/>
    <w:rsid w:val="008F12FD"/>
    <w:rsid w:val="008F13EA"/>
    <w:rsid w:val="008F24E6"/>
    <w:rsid w:val="00904F3C"/>
    <w:rsid w:val="0090623F"/>
    <w:rsid w:val="00906702"/>
    <w:rsid w:val="00907279"/>
    <w:rsid w:val="00907EDB"/>
    <w:rsid w:val="009110C5"/>
    <w:rsid w:val="00912FB5"/>
    <w:rsid w:val="00913A54"/>
    <w:rsid w:val="00915944"/>
    <w:rsid w:val="00915A9F"/>
    <w:rsid w:val="00922460"/>
    <w:rsid w:val="009228D9"/>
    <w:rsid w:val="00930B74"/>
    <w:rsid w:val="009312DC"/>
    <w:rsid w:val="009327BF"/>
    <w:rsid w:val="00934047"/>
    <w:rsid w:val="0093512D"/>
    <w:rsid w:val="00935F33"/>
    <w:rsid w:val="009403E4"/>
    <w:rsid w:val="0094745A"/>
    <w:rsid w:val="00952B5F"/>
    <w:rsid w:val="00953546"/>
    <w:rsid w:val="009541F6"/>
    <w:rsid w:val="0095649D"/>
    <w:rsid w:val="009565AD"/>
    <w:rsid w:val="00960332"/>
    <w:rsid w:val="00961B26"/>
    <w:rsid w:val="00963BDB"/>
    <w:rsid w:val="0097006F"/>
    <w:rsid w:val="00970DDD"/>
    <w:rsid w:val="00984EE4"/>
    <w:rsid w:val="00990168"/>
    <w:rsid w:val="0099354F"/>
    <w:rsid w:val="00996CBB"/>
    <w:rsid w:val="009A5318"/>
    <w:rsid w:val="009B16EA"/>
    <w:rsid w:val="009B2939"/>
    <w:rsid w:val="009B3444"/>
    <w:rsid w:val="009B5DCD"/>
    <w:rsid w:val="009B5EE6"/>
    <w:rsid w:val="009B7193"/>
    <w:rsid w:val="009C02FB"/>
    <w:rsid w:val="009C0F43"/>
    <w:rsid w:val="009C20B9"/>
    <w:rsid w:val="009C382E"/>
    <w:rsid w:val="009C490E"/>
    <w:rsid w:val="009C495F"/>
    <w:rsid w:val="009C6A25"/>
    <w:rsid w:val="009D28B9"/>
    <w:rsid w:val="009D449E"/>
    <w:rsid w:val="009D6E3D"/>
    <w:rsid w:val="009E5E58"/>
    <w:rsid w:val="009F0808"/>
    <w:rsid w:val="00A0688A"/>
    <w:rsid w:val="00A070E6"/>
    <w:rsid w:val="00A1426A"/>
    <w:rsid w:val="00A14F1D"/>
    <w:rsid w:val="00A152DC"/>
    <w:rsid w:val="00A1703F"/>
    <w:rsid w:val="00A2180A"/>
    <w:rsid w:val="00A22293"/>
    <w:rsid w:val="00A26973"/>
    <w:rsid w:val="00A312E7"/>
    <w:rsid w:val="00A3401C"/>
    <w:rsid w:val="00A344D5"/>
    <w:rsid w:val="00A37E33"/>
    <w:rsid w:val="00A452CF"/>
    <w:rsid w:val="00A46574"/>
    <w:rsid w:val="00A471A3"/>
    <w:rsid w:val="00A47B1B"/>
    <w:rsid w:val="00A5253A"/>
    <w:rsid w:val="00A63339"/>
    <w:rsid w:val="00A90F41"/>
    <w:rsid w:val="00A910E7"/>
    <w:rsid w:val="00A93B3B"/>
    <w:rsid w:val="00A951DD"/>
    <w:rsid w:val="00A95CBB"/>
    <w:rsid w:val="00A9600A"/>
    <w:rsid w:val="00A96C80"/>
    <w:rsid w:val="00AA0ABF"/>
    <w:rsid w:val="00AA27C2"/>
    <w:rsid w:val="00AB2CCF"/>
    <w:rsid w:val="00AB49FD"/>
    <w:rsid w:val="00AB69B0"/>
    <w:rsid w:val="00AC271B"/>
    <w:rsid w:val="00AD12DB"/>
    <w:rsid w:val="00AD6322"/>
    <w:rsid w:val="00AD6752"/>
    <w:rsid w:val="00AD78B1"/>
    <w:rsid w:val="00AF0B91"/>
    <w:rsid w:val="00AF1A65"/>
    <w:rsid w:val="00AF3B70"/>
    <w:rsid w:val="00B03D42"/>
    <w:rsid w:val="00B11766"/>
    <w:rsid w:val="00B17439"/>
    <w:rsid w:val="00B17940"/>
    <w:rsid w:val="00B17A11"/>
    <w:rsid w:val="00B217F6"/>
    <w:rsid w:val="00B2296A"/>
    <w:rsid w:val="00B2472B"/>
    <w:rsid w:val="00B2753B"/>
    <w:rsid w:val="00B30444"/>
    <w:rsid w:val="00B33139"/>
    <w:rsid w:val="00B36652"/>
    <w:rsid w:val="00B44E4D"/>
    <w:rsid w:val="00B47187"/>
    <w:rsid w:val="00B5129B"/>
    <w:rsid w:val="00B56376"/>
    <w:rsid w:val="00B5741E"/>
    <w:rsid w:val="00B606B7"/>
    <w:rsid w:val="00B62C69"/>
    <w:rsid w:val="00B666EC"/>
    <w:rsid w:val="00B77560"/>
    <w:rsid w:val="00B77FC0"/>
    <w:rsid w:val="00BA6AD7"/>
    <w:rsid w:val="00BB052D"/>
    <w:rsid w:val="00BB1F92"/>
    <w:rsid w:val="00BB2E06"/>
    <w:rsid w:val="00BB46C6"/>
    <w:rsid w:val="00BB5B7F"/>
    <w:rsid w:val="00BB5C4E"/>
    <w:rsid w:val="00BB7E8A"/>
    <w:rsid w:val="00BC1DDE"/>
    <w:rsid w:val="00BC20A0"/>
    <w:rsid w:val="00BC27F5"/>
    <w:rsid w:val="00BC5F6D"/>
    <w:rsid w:val="00BC75AA"/>
    <w:rsid w:val="00BD0770"/>
    <w:rsid w:val="00BD2F16"/>
    <w:rsid w:val="00BE1C7B"/>
    <w:rsid w:val="00BE2488"/>
    <w:rsid w:val="00BE2D25"/>
    <w:rsid w:val="00BE448A"/>
    <w:rsid w:val="00BE531D"/>
    <w:rsid w:val="00BE7378"/>
    <w:rsid w:val="00BF2725"/>
    <w:rsid w:val="00BF3D60"/>
    <w:rsid w:val="00BF5FCB"/>
    <w:rsid w:val="00BF72EA"/>
    <w:rsid w:val="00C00290"/>
    <w:rsid w:val="00C05FFF"/>
    <w:rsid w:val="00C10BAE"/>
    <w:rsid w:val="00C15F35"/>
    <w:rsid w:val="00C16B93"/>
    <w:rsid w:val="00C2210E"/>
    <w:rsid w:val="00C2524E"/>
    <w:rsid w:val="00C32802"/>
    <w:rsid w:val="00C35DFA"/>
    <w:rsid w:val="00C36272"/>
    <w:rsid w:val="00C40B0B"/>
    <w:rsid w:val="00C41B6F"/>
    <w:rsid w:val="00C42BBF"/>
    <w:rsid w:val="00C44979"/>
    <w:rsid w:val="00C45525"/>
    <w:rsid w:val="00C45A45"/>
    <w:rsid w:val="00C47EFE"/>
    <w:rsid w:val="00C50728"/>
    <w:rsid w:val="00C56B0F"/>
    <w:rsid w:val="00C57690"/>
    <w:rsid w:val="00C57E6A"/>
    <w:rsid w:val="00C60105"/>
    <w:rsid w:val="00C623BF"/>
    <w:rsid w:val="00C62B8D"/>
    <w:rsid w:val="00C6396F"/>
    <w:rsid w:val="00C640D1"/>
    <w:rsid w:val="00C64551"/>
    <w:rsid w:val="00C65540"/>
    <w:rsid w:val="00C7011D"/>
    <w:rsid w:val="00C70D59"/>
    <w:rsid w:val="00C7432F"/>
    <w:rsid w:val="00C77473"/>
    <w:rsid w:val="00C856F4"/>
    <w:rsid w:val="00C91210"/>
    <w:rsid w:val="00C94257"/>
    <w:rsid w:val="00C96443"/>
    <w:rsid w:val="00CA2CF3"/>
    <w:rsid w:val="00CB519E"/>
    <w:rsid w:val="00CC2E58"/>
    <w:rsid w:val="00CC3D89"/>
    <w:rsid w:val="00CC5B37"/>
    <w:rsid w:val="00CD2ED3"/>
    <w:rsid w:val="00CD3C62"/>
    <w:rsid w:val="00CE4211"/>
    <w:rsid w:val="00CF021B"/>
    <w:rsid w:val="00CF066B"/>
    <w:rsid w:val="00CF07BE"/>
    <w:rsid w:val="00CF40E0"/>
    <w:rsid w:val="00CF4412"/>
    <w:rsid w:val="00CF5B33"/>
    <w:rsid w:val="00D01748"/>
    <w:rsid w:val="00D028FF"/>
    <w:rsid w:val="00D03ECD"/>
    <w:rsid w:val="00D05963"/>
    <w:rsid w:val="00D07231"/>
    <w:rsid w:val="00D107E0"/>
    <w:rsid w:val="00D11640"/>
    <w:rsid w:val="00D1470E"/>
    <w:rsid w:val="00D20AA4"/>
    <w:rsid w:val="00D25A7B"/>
    <w:rsid w:val="00D32157"/>
    <w:rsid w:val="00D35B2E"/>
    <w:rsid w:val="00D40F84"/>
    <w:rsid w:val="00D434AF"/>
    <w:rsid w:val="00D44FA6"/>
    <w:rsid w:val="00D554C9"/>
    <w:rsid w:val="00D60D62"/>
    <w:rsid w:val="00D61BB7"/>
    <w:rsid w:val="00D62DA9"/>
    <w:rsid w:val="00D70D97"/>
    <w:rsid w:val="00D7165D"/>
    <w:rsid w:val="00D75705"/>
    <w:rsid w:val="00D961D6"/>
    <w:rsid w:val="00D97B17"/>
    <w:rsid w:val="00DA1A4A"/>
    <w:rsid w:val="00DA4AFE"/>
    <w:rsid w:val="00DA4BD0"/>
    <w:rsid w:val="00DA7B41"/>
    <w:rsid w:val="00DB058E"/>
    <w:rsid w:val="00DB326E"/>
    <w:rsid w:val="00DC1E7E"/>
    <w:rsid w:val="00DC31D2"/>
    <w:rsid w:val="00DC7A5F"/>
    <w:rsid w:val="00DD0CE6"/>
    <w:rsid w:val="00DD6A66"/>
    <w:rsid w:val="00DE0D15"/>
    <w:rsid w:val="00DE186A"/>
    <w:rsid w:val="00DF1CF0"/>
    <w:rsid w:val="00DF6656"/>
    <w:rsid w:val="00DF7388"/>
    <w:rsid w:val="00E02FA4"/>
    <w:rsid w:val="00E04C73"/>
    <w:rsid w:val="00E079A3"/>
    <w:rsid w:val="00E11718"/>
    <w:rsid w:val="00E12674"/>
    <w:rsid w:val="00E132AC"/>
    <w:rsid w:val="00E15CCC"/>
    <w:rsid w:val="00E15D7D"/>
    <w:rsid w:val="00E17234"/>
    <w:rsid w:val="00E23ABA"/>
    <w:rsid w:val="00E261F5"/>
    <w:rsid w:val="00E34A5B"/>
    <w:rsid w:val="00E3623B"/>
    <w:rsid w:val="00E455D9"/>
    <w:rsid w:val="00E4741B"/>
    <w:rsid w:val="00E478DE"/>
    <w:rsid w:val="00E5157F"/>
    <w:rsid w:val="00E5226F"/>
    <w:rsid w:val="00E53135"/>
    <w:rsid w:val="00E54141"/>
    <w:rsid w:val="00E54D94"/>
    <w:rsid w:val="00E57E26"/>
    <w:rsid w:val="00E6111E"/>
    <w:rsid w:val="00E616D0"/>
    <w:rsid w:val="00E61FD8"/>
    <w:rsid w:val="00E62CCE"/>
    <w:rsid w:val="00E62D29"/>
    <w:rsid w:val="00E64F51"/>
    <w:rsid w:val="00E65C07"/>
    <w:rsid w:val="00E8225E"/>
    <w:rsid w:val="00E847AF"/>
    <w:rsid w:val="00E86497"/>
    <w:rsid w:val="00E90547"/>
    <w:rsid w:val="00E970B0"/>
    <w:rsid w:val="00EA1656"/>
    <w:rsid w:val="00EA1819"/>
    <w:rsid w:val="00EA255B"/>
    <w:rsid w:val="00EA4CD6"/>
    <w:rsid w:val="00EB1F66"/>
    <w:rsid w:val="00EB646E"/>
    <w:rsid w:val="00EC34C1"/>
    <w:rsid w:val="00EC6F5D"/>
    <w:rsid w:val="00EC7A61"/>
    <w:rsid w:val="00ED1C96"/>
    <w:rsid w:val="00ED3E61"/>
    <w:rsid w:val="00EE3586"/>
    <w:rsid w:val="00EE63A7"/>
    <w:rsid w:val="00EE7479"/>
    <w:rsid w:val="00EE7954"/>
    <w:rsid w:val="00EF1FBD"/>
    <w:rsid w:val="00EF29BE"/>
    <w:rsid w:val="00EF7FD0"/>
    <w:rsid w:val="00F07943"/>
    <w:rsid w:val="00F07DDF"/>
    <w:rsid w:val="00F11204"/>
    <w:rsid w:val="00F16256"/>
    <w:rsid w:val="00F209ED"/>
    <w:rsid w:val="00F231E8"/>
    <w:rsid w:val="00F26EA8"/>
    <w:rsid w:val="00F30632"/>
    <w:rsid w:val="00F31B97"/>
    <w:rsid w:val="00F329D8"/>
    <w:rsid w:val="00F32BCD"/>
    <w:rsid w:val="00F33544"/>
    <w:rsid w:val="00F35ACF"/>
    <w:rsid w:val="00F36445"/>
    <w:rsid w:val="00F402F3"/>
    <w:rsid w:val="00F40CAB"/>
    <w:rsid w:val="00F414C3"/>
    <w:rsid w:val="00F51C87"/>
    <w:rsid w:val="00F5214D"/>
    <w:rsid w:val="00F55457"/>
    <w:rsid w:val="00F6077B"/>
    <w:rsid w:val="00F60D85"/>
    <w:rsid w:val="00F624BD"/>
    <w:rsid w:val="00F62A5E"/>
    <w:rsid w:val="00F631B9"/>
    <w:rsid w:val="00F634A6"/>
    <w:rsid w:val="00F6634F"/>
    <w:rsid w:val="00F72CD1"/>
    <w:rsid w:val="00F749E8"/>
    <w:rsid w:val="00F74A39"/>
    <w:rsid w:val="00F8138E"/>
    <w:rsid w:val="00F85203"/>
    <w:rsid w:val="00F87D5A"/>
    <w:rsid w:val="00F87EF6"/>
    <w:rsid w:val="00F906DA"/>
    <w:rsid w:val="00F92676"/>
    <w:rsid w:val="00F94262"/>
    <w:rsid w:val="00F947D0"/>
    <w:rsid w:val="00F9616B"/>
    <w:rsid w:val="00F979A8"/>
    <w:rsid w:val="00FA1B93"/>
    <w:rsid w:val="00FA2E4B"/>
    <w:rsid w:val="00FA5551"/>
    <w:rsid w:val="00FA6D66"/>
    <w:rsid w:val="00FA7C7A"/>
    <w:rsid w:val="00FC1C00"/>
    <w:rsid w:val="00FD213B"/>
    <w:rsid w:val="00FD3CE8"/>
    <w:rsid w:val="00FD5B91"/>
    <w:rsid w:val="00FD7004"/>
    <w:rsid w:val="00FD7513"/>
    <w:rsid w:val="00FE179A"/>
    <w:rsid w:val="00FE2684"/>
    <w:rsid w:val="00FF07F5"/>
    <w:rsid w:val="00FF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semiHidden="0" w:uiPriority="1" w:unhideWhenUsed="0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BC27F5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rsid w:val="005B01FC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rsid w:val="0027350A"/>
    <w:pPr>
      <w:suppressAutoHyphens/>
      <w:spacing w:line="210" w:lineRule="exact"/>
      <w:contextualSpacing/>
    </w:pPr>
    <w:rPr>
      <w:spacing w:val="5"/>
      <w:w w:val="104"/>
      <w:sz w:val="17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27350A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basedOn w:val="DefaultParagraphFont"/>
    <w:uiPriority w:val="1"/>
    <w:semiHidden/>
    <w:rsid w:val="00BC27F5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styleId="CommentReference">
    <w:name w:val="annotation reference"/>
    <w:basedOn w:val="DefaultParagraphFont"/>
    <w:uiPriority w:val="1"/>
    <w:semiHidden/>
    <w:unhideWhenUsed/>
    <w:rsid w:val="00FA2E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2E4B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2E4B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2E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2E4B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4B0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B0D"/>
    <w:rPr>
      <w:rFonts w:ascii="Tahoma" w:hAnsi="Tahoma" w:cs="Tahoma"/>
      <w:spacing w:val="4"/>
      <w:w w:val="103"/>
      <w:kern w:val="14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semiHidden="0" w:uiPriority="1" w:unhideWhenUsed="0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BC27F5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rsid w:val="005B01FC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rsid w:val="0027350A"/>
    <w:pPr>
      <w:suppressAutoHyphens/>
      <w:spacing w:line="210" w:lineRule="exact"/>
      <w:contextualSpacing/>
    </w:pPr>
    <w:rPr>
      <w:spacing w:val="5"/>
      <w:w w:val="104"/>
      <w:sz w:val="17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27350A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basedOn w:val="DefaultParagraphFont"/>
    <w:uiPriority w:val="1"/>
    <w:semiHidden/>
    <w:rsid w:val="00BC27F5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styleId="CommentReference">
    <w:name w:val="annotation reference"/>
    <w:basedOn w:val="DefaultParagraphFont"/>
    <w:uiPriority w:val="1"/>
    <w:semiHidden/>
    <w:unhideWhenUsed/>
    <w:rsid w:val="00FA2E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2E4B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2E4B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2E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2E4B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4B0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B0D"/>
    <w:rPr>
      <w:rFonts w:ascii="Tahoma" w:hAnsi="Tahoma" w:cs="Tahoma"/>
      <w:spacing w:val="4"/>
      <w:w w:val="103"/>
      <w:kern w:val="14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3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384A88-14A9-4102-B68A-716B561AC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1116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20150602</vt:lpstr>
    </vt:vector>
  </TitlesOfParts>
  <Company>DCM</Company>
  <LinksUpToDate>false</LinksUpToDate>
  <CharactersWithSpaces>7469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20150602</dc:title>
  <dc:creator>Prokoudina S.</dc:creator>
  <cp:lastModifiedBy>Caillot</cp:lastModifiedBy>
  <cp:revision>2</cp:revision>
  <cp:lastPrinted>2016-02-09T15:36:00Z</cp:lastPrinted>
  <dcterms:created xsi:type="dcterms:W3CDTF">2016-02-24T10:38:00Z</dcterms:created>
  <dcterms:modified xsi:type="dcterms:W3CDTF">2016-02-24T10:38:00Z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1600823R</vt:lpwstr>
  </property>
  <property fmtid="{D5CDD505-2E9C-101B-9397-08002B2CF9AE}" pid="3" name="ODSRefJobNo">
    <vt:lpwstr>1600890R</vt:lpwstr>
  </property>
  <property fmtid="{D5CDD505-2E9C-101B-9397-08002B2CF9AE}" pid="4" name="Symbol1">
    <vt:lpwstr>ECE/TRANS/WP.29/GRE/2016/8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Operator">
    <vt:lpwstr/>
  </property>
  <property fmtid="{D5CDD505-2E9C-101B-9397-08002B2CF9AE}" pid="8" name="DraftPages">
    <vt:lpwstr> </vt:lpwstr>
  </property>
  <property fmtid="{D5CDD505-2E9C-101B-9397-08002B2CF9AE}" pid="9" name="Comment">
    <vt:lpwstr/>
  </property>
  <property fmtid="{D5CDD505-2E9C-101B-9397-08002B2CF9AE}" pid="10" name="Distribution">
    <vt:lpwstr>General</vt:lpwstr>
  </property>
  <property fmtid="{D5CDD505-2E9C-101B-9397-08002B2CF9AE}" pid="11" name="Publication Date">
    <vt:lpwstr>21 January 2016</vt:lpwstr>
  </property>
  <property fmtid="{D5CDD505-2E9C-101B-9397-08002B2CF9AE}" pid="12" name="Original">
    <vt:lpwstr>English</vt:lpwstr>
  </property>
  <property fmtid="{D5CDD505-2E9C-101B-9397-08002B2CF9AE}" pid="13" name="Release Date">
    <vt:lpwstr>090216</vt:lpwstr>
  </property>
</Properties>
</file>