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98" w:rsidRDefault="00343D98" w:rsidP="00343D98">
      <w:pPr>
        <w:spacing w:line="240" w:lineRule="auto"/>
        <w:rPr>
          <w:sz w:val="2"/>
        </w:rPr>
        <w:sectPr w:rsidR="00343D98" w:rsidSect="00343D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343D98" w:rsidRDefault="00343D98" w:rsidP="00343D98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</w:t>
      </w:r>
      <w:r w:rsidR="00ED7DD1">
        <w:rPr>
          <w:sz w:val="28"/>
        </w:rPr>
        <w:t>’</w:t>
      </w:r>
      <w:r>
        <w:rPr>
          <w:sz w:val="28"/>
        </w:rPr>
        <w:t>Europe</w:t>
      </w:r>
    </w:p>
    <w:p w:rsidR="00343D98" w:rsidRDefault="00343D98" w:rsidP="00343D98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8E1E13" w:rsidRDefault="008E1E13" w:rsidP="00ED7DD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Forum mondial de l</w:t>
      </w:r>
      <w:r w:rsidR="00ED7DD1">
        <w:t>’</w:t>
      </w:r>
      <w:r>
        <w:t xml:space="preserve">harmonisation des Règlements </w:t>
      </w:r>
      <w:r w:rsidR="00ED7DD1">
        <w:br/>
      </w:r>
      <w:r>
        <w:t xml:space="preserve">concernant les véhicules </w:t>
      </w:r>
    </w:p>
    <w:p w:rsidR="00ED7DD1" w:rsidRPr="00ED7DD1" w:rsidRDefault="00ED7DD1" w:rsidP="00ED7DD1">
      <w:pPr>
        <w:spacing w:line="120" w:lineRule="exact"/>
        <w:rPr>
          <w:sz w:val="10"/>
        </w:rPr>
      </w:pPr>
    </w:p>
    <w:p w:rsidR="008E1E13" w:rsidRDefault="008E1E13" w:rsidP="00ED7D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Groupe de travail de l</w:t>
      </w:r>
      <w:r w:rsidR="00ED7DD1">
        <w:t>’</w:t>
      </w:r>
      <w:r>
        <w:t>éclairage et de la signalisation lumineuse</w:t>
      </w:r>
    </w:p>
    <w:p w:rsidR="00ED7DD1" w:rsidRPr="00ED7DD1" w:rsidRDefault="00ED7DD1" w:rsidP="00ED7DD1">
      <w:pPr>
        <w:spacing w:line="120" w:lineRule="exact"/>
        <w:rPr>
          <w:sz w:val="10"/>
        </w:rPr>
      </w:pPr>
    </w:p>
    <w:p w:rsidR="008E1E13" w:rsidRDefault="008E1E13" w:rsidP="00ED7D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Soixante-quinzième session</w:t>
      </w:r>
    </w:p>
    <w:p w:rsidR="008E1E13" w:rsidRPr="00ED7DD1" w:rsidRDefault="00BE15C0" w:rsidP="00ED7DD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Genève, 5-</w:t>
      </w:r>
      <w:r w:rsidR="008E1E13" w:rsidRPr="00ED7DD1">
        <w:t>8 avril 2016</w:t>
      </w:r>
    </w:p>
    <w:p w:rsidR="00ED7DD1" w:rsidRPr="00ED7DD1" w:rsidRDefault="008E1E13" w:rsidP="00ED7DD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D7DD1">
        <w:t>Point 4 de l</w:t>
      </w:r>
      <w:r w:rsidR="00ED7DD1" w:rsidRPr="00ED7DD1">
        <w:t>’</w:t>
      </w:r>
      <w:r w:rsidRPr="00ED7DD1">
        <w:t>ordre du jour provisoire</w:t>
      </w:r>
    </w:p>
    <w:p w:rsidR="008E1E13" w:rsidRDefault="008E1E13" w:rsidP="00ED7D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Simplification des Règlements concernant l</w:t>
      </w:r>
      <w:r w:rsidR="00ED7DD1">
        <w:t>’</w:t>
      </w:r>
      <w:r>
        <w:t xml:space="preserve">éclairage </w:t>
      </w:r>
      <w:r w:rsidR="009644C8">
        <w:br/>
      </w:r>
      <w:r>
        <w:t xml:space="preserve">et la signalisation lumineuse </w:t>
      </w:r>
    </w:p>
    <w:p w:rsidR="009644C8" w:rsidRPr="009644C8" w:rsidRDefault="009644C8" w:rsidP="009644C8">
      <w:pPr>
        <w:spacing w:line="120" w:lineRule="exact"/>
        <w:rPr>
          <w:sz w:val="10"/>
        </w:rPr>
      </w:pPr>
    </w:p>
    <w:p w:rsidR="009644C8" w:rsidRPr="009644C8" w:rsidRDefault="009644C8" w:rsidP="009644C8">
      <w:pPr>
        <w:spacing w:line="120" w:lineRule="exact"/>
        <w:rPr>
          <w:sz w:val="10"/>
        </w:rPr>
      </w:pPr>
    </w:p>
    <w:p w:rsidR="009644C8" w:rsidRPr="009644C8" w:rsidRDefault="009644C8" w:rsidP="009644C8">
      <w:pPr>
        <w:spacing w:line="120" w:lineRule="exact"/>
        <w:rPr>
          <w:sz w:val="10"/>
        </w:rPr>
      </w:pPr>
    </w:p>
    <w:p w:rsidR="008E1E13" w:rsidRDefault="008E1E13" w:rsidP="009644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Proposition de complément 6 à la version originale </w:t>
      </w:r>
      <w:r w:rsidR="009644C8">
        <w:br/>
      </w:r>
      <w:r>
        <w:t>du Règlement n</w:t>
      </w:r>
      <w:r w:rsidRPr="00ED7DD1">
        <w:rPr>
          <w:vertAlign w:val="superscript"/>
        </w:rPr>
        <w:t>o</w:t>
      </w:r>
      <w:r w:rsidR="00ED7DD1" w:rsidRPr="009644C8">
        <w:t> </w:t>
      </w:r>
      <w:r>
        <w:t>128 (Sources lumineuses à diodes électroluminescentes)</w:t>
      </w:r>
    </w:p>
    <w:p w:rsidR="009644C8" w:rsidRPr="009644C8" w:rsidRDefault="009644C8" w:rsidP="009644C8">
      <w:pPr>
        <w:pStyle w:val="SingleTxt"/>
        <w:spacing w:after="0" w:line="120" w:lineRule="exact"/>
        <w:rPr>
          <w:sz w:val="10"/>
        </w:rPr>
      </w:pPr>
    </w:p>
    <w:p w:rsidR="009644C8" w:rsidRPr="009644C8" w:rsidRDefault="009644C8" w:rsidP="009644C8">
      <w:pPr>
        <w:pStyle w:val="SingleTxt"/>
        <w:spacing w:after="0" w:line="120" w:lineRule="exact"/>
        <w:rPr>
          <w:sz w:val="10"/>
        </w:rPr>
      </w:pPr>
    </w:p>
    <w:p w:rsidR="008E1E13" w:rsidRDefault="009644C8" w:rsidP="009644C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E1E13">
        <w:t>Communication du groupe de travail informel de la simplification des Règlements relatifs à l</w:t>
      </w:r>
      <w:r w:rsidR="00ED7DD1">
        <w:t>’</w:t>
      </w:r>
      <w:r w:rsidR="008E1E13">
        <w:t>éclairage et à la signalisation lumineuse</w:t>
      </w:r>
      <w:r w:rsidRPr="00BE15C0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9644C8" w:rsidRPr="009644C8" w:rsidRDefault="009644C8" w:rsidP="009644C8">
      <w:pPr>
        <w:pStyle w:val="SingleTxt"/>
        <w:spacing w:after="0" w:line="120" w:lineRule="exact"/>
        <w:rPr>
          <w:sz w:val="10"/>
        </w:rPr>
      </w:pPr>
    </w:p>
    <w:p w:rsidR="009644C8" w:rsidRPr="009644C8" w:rsidRDefault="009644C8" w:rsidP="009644C8">
      <w:pPr>
        <w:pStyle w:val="SingleTxt"/>
        <w:spacing w:after="0" w:line="120" w:lineRule="exact"/>
        <w:rPr>
          <w:sz w:val="10"/>
        </w:rPr>
      </w:pPr>
    </w:p>
    <w:p w:rsidR="008E1E13" w:rsidRDefault="00AB65BE" w:rsidP="00AB65BE">
      <w:pPr>
        <w:pStyle w:val="SingleTxt"/>
      </w:pPr>
      <w:r>
        <w:tab/>
      </w:r>
      <w:r w:rsidR="008E1E13">
        <w:t>Le texte reproduit ci-après, établi par les experts du groupe de travail informel de la simplification des Règlements relatifs à l</w:t>
      </w:r>
      <w:r w:rsidR="00ED7DD1">
        <w:t>’</w:t>
      </w:r>
      <w:r w:rsidR="008E1E13">
        <w:t>éclairage et à la signalisation lumineuse, vise à simplifier la teneur et la procédure d</w:t>
      </w:r>
      <w:r w:rsidR="00ED7DD1">
        <w:t>’</w:t>
      </w:r>
      <w:r w:rsidR="008E1E13">
        <w:t>amendement des Règlements relatifs aux sources lumineuses</w:t>
      </w:r>
      <w:r w:rsidR="007305EF">
        <w:t xml:space="preserve">. Il est fondé sur le document </w:t>
      </w:r>
      <w:r w:rsidR="008E1E13">
        <w:t>ECE/TRANS/WP.29/GRE/2015/27 et tient compte des observations formulées à la soixante-quatorz</w:t>
      </w:r>
      <w:r w:rsidR="00922108">
        <w:t>ième session du GRE (ECE/TRANS/</w:t>
      </w:r>
      <w:r w:rsidR="008E1E13">
        <w:t>WP.29/GRE/74, par.</w:t>
      </w:r>
      <w:r>
        <w:t> </w:t>
      </w:r>
      <w:r w:rsidR="008E1E13">
        <w:t>9). Les modifications qu</w:t>
      </w:r>
      <w:r w:rsidR="00ED7DD1">
        <w:t>’</w:t>
      </w:r>
      <w:r w:rsidR="008E1E13">
        <w:t>il est proposé d</w:t>
      </w:r>
      <w:r w:rsidR="00ED7DD1">
        <w:t>’</w:t>
      </w:r>
      <w:r w:rsidR="008E1E13">
        <w:t>apporter au texte actuel du Règlement sont signalées en caractères gras pour les ajouts ou en caractè</w:t>
      </w:r>
      <w:r>
        <w:t>res biffés pour suppressions.</w:t>
      </w:r>
    </w:p>
    <w:p w:rsidR="008E1E13" w:rsidRDefault="008E1E13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E1E13" w:rsidRDefault="008E1E13" w:rsidP="0083555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GB"/>
        </w:rPr>
      </w:pPr>
      <w:r>
        <w:lastRenderedPageBreak/>
        <w:tab/>
      </w:r>
      <w:r>
        <w:rPr>
          <w:lang w:val="en-GB"/>
        </w:rPr>
        <w:t>I.</w:t>
      </w:r>
      <w:r>
        <w:rPr>
          <w:lang w:val="en-GB"/>
        </w:rPr>
        <w:tab/>
        <w:t>Proposition</w:t>
      </w:r>
    </w:p>
    <w:p w:rsidR="0083555D" w:rsidRPr="0083555D" w:rsidRDefault="0083555D" w:rsidP="0083555D">
      <w:pPr>
        <w:spacing w:line="120" w:lineRule="exact"/>
        <w:rPr>
          <w:sz w:val="10"/>
          <w:lang w:val="en-GB"/>
        </w:rPr>
      </w:pPr>
    </w:p>
    <w:p w:rsidR="0083555D" w:rsidRPr="0083555D" w:rsidRDefault="0083555D" w:rsidP="0083555D">
      <w:pPr>
        <w:spacing w:line="120" w:lineRule="exact"/>
        <w:rPr>
          <w:sz w:val="10"/>
          <w:lang w:val="en-GB"/>
        </w:rPr>
      </w:pPr>
    </w:p>
    <w:p w:rsidR="008E1E13" w:rsidRDefault="008E1E13" w:rsidP="0083555D">
      <w:pPr>
        <w:pStyle w:val="SingleTxt"/>
        <w:rPr>
          <w:snapToGrid w:val="0"/>
          <w:sz w:val="24"/>
          <w:lang w:val="fr-CH"/>
        </w:rPr>
      </w:pPr>
      <w:r>
        <w:rPr>
          <w:i/>
          <w:snapToGrid w:val="0"/>
        </w:rPr>
        <w:t xml:space="preserve">Titre, </w:t>
      </w:r>
      <w:proofErr w:type="gramStart"/>
      <w:r>
        <w:rPr>
          <w:snapToGrid w:val="0"/>
        </w:rPr>
        <w:t>modifier</w:t>
      </w:r>
      <w:proofErr w:type="gramEnd"/>
      <w:r>
        <w:rPr>
          <w:snapToGrid w:val="0"/>
        </w:rPr>
        <w:t xml:space="preserve"> comme suit</w:t>
      </w:r>
      <w:r w:rsidR="00BB0FA9">
        <w:rPr>
          <w:snapToGrid w:val="0"/>
        </w:rPr>
        <w:t> </w:t>
      </w:r>
      <w:r>
        <w:rPr>
          <w:snapToGrid w:val="0"/>
        </w:rPr>
        <w:t>:</w:t>
      </w:r>
    </w:p>
    <w:p w:rsidR="008E1E13" w:rsidRDefault="008E1E13" w:rsidP="0083555D">
      <w:pPr>
        <w:pStyle w:val="SingleTxt"/>
        <w:rPr>
          <w:rFonts w:eastAsia="Times New Roman"/>
          <w:i/>
          <w:snapToGrid w:val="0"/>
          <w:szCs w:val="24"/>
        </w:rPr>
      </w:pPr>
      <w:r>
        <w:rPr>
          <w:rFonts w:eastAsia="Times New Roman"/>
          <w:i/>
          <w:snapToGrid w:val="0"/>
          <w:szCs w:val="24"/>
        </w:rPr>
        <w:t>Sans objet en français.</w:t>
      </w:r>
    </w:p>
    <w:p w:rsidR="008E1E13" w:rsidRDefault="008E1E13" w:rsidP="0083555D">
      <w:pPr>
        <w:pStyle w:val="SingleTxt"/>
        <w:rPr>
          <w:rFonts w:eastAsia="Times New Roman"/>
          <w:snapToGrid w:val="0"/>
          <w:szCs w:val="24"/>
        </w:rPr>
      </w:pPr>
      <w:r>
        <w:rPr>
          <w:rFonts w:eastAsia="Times New Roman"/>
          <w:i/>
          <w:snapToGrid w:val="0"/>
          <w:szCs w:val="24"/>
        </w:rPr>
        <w:t>Paragraphe 1</w:t>
      </w:r>
      <w:r w:rsidR="00423DC6" w:rsidRPr="00423DC6">
        <w:rPr>
          <w:rFonts w:eastAsia="Times New Roman"/>
          <w:snapToGrid w:val="0"/>
          <w:szCs w:val="24"/>
        </w:rPr>
        <w:t>,</w:t>
      </w:r>
      <w:r w:rsidRPr="00423DC6">
        <w:rPr>
          <w:rFonts w:eastAsia="Times New Roman"/>
          <w:snapToGrid w:val="0"/>
          <w:szCs w:val="24"/>
        </w:rPr>
        <w:t xml:space="preserve"> </w:t>
      </w:r>
      <w:proofErr w:type="gramStart"/>
      <w:r>
        <w:rPr>
          <w:rFonts w:eastAsia="Times New Roman"/>
          <w:snapToGrid w:val="0"/>
          <w:szCs w:val="24"/>
        </w:rPr>
        <w:t>modifier</w:t>
      </w:r>
      <w:proofErr w:type="gramEnd"/>
      <w:r>
        <w:rPr>
          <w:rFonts w:eastAsia="Times New Roman"/>
          <w:snapToGrid w:val="0"/>
          <w:szCs w:val="24"/>
        </w:rPr>
        <w:t xml:space="preserve"> comme suit</w:t>
      </w:r>
      <w:r w:rsidR="00423DC6">
        <w:rPr>
          <w:rFonts w:eastAsia="Times New Roman"/>
          <w:snapToGrid w:val="0"/>
          <w:szCs w:val="24"/>
        </w:rPr>
        <w:t> </w:t>
      </w:r>
      <w:r>
        <w:rPr>
          <w:rFonts w:eastAsia="Times New Roman"/>
          <w:snapToGrid w:val="0"/>
          <w:szCs w:val="24"/>
        </w:rPr>
        <w:t>:</w:t>
      </w:r>
    </w:p>
    <w:p w:rsidR="008E1E13" w:rsidRDefault="00423DC6" w:rsidP="00423DC6">
      <w:pPr>
        <w:pStyle w:val="SingleTxt"/>
        <w:tabs>
          <w:tab w:val="clear" w:pos="1742"/>
        </w:tabs>
        <w:rPr>
          <w:rFonts w:eastAsia="Times New Roman"/>
          <w:bCs/>
          <w:snapToGrid w:val="0"/>
          <w:szCs w:val="24"/>
        </w:rPr>
      </w:pPr>
      <w:r>
        <w:rPr>
          <w:rFonts w:eastAsia="Times New Roman"/>
          <w:bCs/>
          <w:snapToGrid w:val="0"/>
          <w:szCs w:val="24"/>
        </w:rPr>
        <w:t>« </w:t>
      </w:r>
      <w:r w:rsidR="008E1E13">
        <w:rPr>
          <w:rFonts w:eastAsia="Times New Roman"/>
          <w:bCs/>
          <w:snapToGrid w:val="0"/>
          <w:szCs w:val="24"/>
        </w:rPr>
        <w:t>1.</w:t>
      </w:r>
      <w:r w:rsidR="008E1E13">
        <w:rPr>
          <w:rFonts w:eastAsia="Times New Roman"/>
          <w:bCs/>
          <w:snapToGrid w:val="0"/>
          <w:szCs w:val="24"/>
        </w:rPr>
        <w:tab/>
        <w:t>Domaine d</w:t>
      </w:r>
      <w:r w:rsidR="00ED7DD1">
        <w:rPr>
          <w:rFonts w:eastAsia="Times New Roman"/>
          <w:bCs/>
          <w:snapToGrid w:val="0"/>
          <w:szCs w:val="24"/>
        </w:rPr>
        <w:t>’</w:t>
      </w:r>
      <w:r w:rsidR="008E1E13">
        <w:rPr>
          <w:rFonts w:eastAsia="Times New Roman"/>
          <w:bCs/>
          <w:snapToGrid w:val="0"/>
          <w:szCs w:val="24"/>
        </w:rPr>
        <w:t xml:space="preserve">application </w:t>
      </w:r>
    </w:p>
    <w:p w:rsidR="008E1E13" w:rsidRDefault="00423DC6" w:rsidP="00423DC6">
      <w:pPr>
        <w:pStyle w:val="SingleTxt"/>
        <w:ind w:left="2218" w:hanging="95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8E1E13">
        <w:rPr>
          <w:snapToGrid w:val="0"/>
        </w:rPr>
        <w:t>Le présent Règlement s</w:t>
      </w:r>
      <w:r w:rsidR="00ED7DD1">
        <w:rPr>
          <w:snapToGrid w:val="0"/>
        </w:rPr>
        <w:t>’</w:t>
      </w:r>
      <w:r w:rsidR="008E1E13">
        <w:rPr>
          <w:snapToGrid w:val="0"/>
        </w:rPr>
        <w:t>applique aux sources lumineuses à DEL présentées à l</w:t>
      </w:r>
      <w:r w:rsidR="00ED7DD1">
        <w:rPr>
          <w:snapToGrid w:val="0"/>
        </w:rPr>
        <w:t>’</w:t>
      </w:r>
      <w:r w:rsidR="008E1E13">
        <w:rPr>
          <w:snapToGrid w:val="0"/>
        </w:rPr>
        <w:t>annexe</w:t>
      </w:r>
      <w:r w:rsidR="00021BEB">
        <w:rPr>
          <w:snapToGrid w:val="0"/>
        </w:rPr>
        <w:t> </w:t>
      </w:r>
      <w:r w:rsidR="008E1E13">
        <w:rPr>
          <w:snapToGrid w:val="0"/>
        </w:rPr>
        <w:t xml:space="preserve">1, qui sont destinées à être utilisées dans les feux </w:t>
      </w:r>
      <w:r w:rsidR="008E1E13">
        <w:rPr>
          <w:strike/>
          <w:snapToGrid w:val="0"/>
        </w:rPr>
        <w:t>de signalisation</w:t>
      </w:r>
      <w:r w:rsidR="008E1E13">
        <w:rPr>
          <w:snapToGrid w:val="0"/>
        </w:rPr>
        <w:t xml:space="preserve"> homologués des véhicules à moteur et de leurs remorques.</w:t>
      </w:r>
      <w:r>
        <w:rPr>
          <w:snapToGrid w:val="0"/>
        </w:rPr>
        <w:t> »</w:t>
      </w:r>
      <w:r w:rsidR="008E1E13">
        <w:rPr>
          <w:snapToGrid w:val="0"/>
        </w:rPr>
        <w:t>.</w:t>
      </w:r>
    </w:p>
    <w:p w:rsidR="008E1E13" w:rsidRDefault="008E1E13" w:rsidP="0083555D">
      <w:pPr>
        <w:pStyle w:val="SingleTxt"/>
        <w:rPr>
          <w:rFonts w:eastAsia="Times New Roman"/>
          <w:bCs/>
          <w:snapToGrid w:val="0"/>
          <w:szCs w:val="24"/>
          <w:lang w:val="en-US"/>
        </w:rPr>
      </w:pPr>
      <w:proofErr w:type="spellStart"/>
      <w:r>
        <w:rPr>
          <w:rFonts w:eastAsia="Times New Roman"/>
          <w:bCs/>
          <w:i/>
          <w:snapToGrid w:val="0"/>
          <w:szCs w:val="24"/>
          <w:lang w:val="en-US"/>
        </w:rPr>
        <w:t>Paragraphe</w:t>
      </w:r>
      <w:proofErr w:type="spellEnd"/>
      <w:r>
        <w:rPr>
          <w:rFonts w:eastAsia="Times New Roman"/>
          <w:bCs/>
          <w:i/>
          <w:snapToGrid w:val="0"/>
          <w:szCs w:val="24"/>
          <w:lang w:val="en-US"/>
        </w:rPr>
        <w:t xml:space="preserve"> 3.1</w:t>
      </w:r>
      <w:r w:rsidRPr="00526BD4">
        <w:rPr>
          <w:rFonts w:eastAsia="Times New Roman"/>
          <w:bCs/>
          <w:snapToGrid w:val="0"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napToGrid w:val="0"/>
          <w:szCs w:val="24"/>
          <w:lang w:val="en-US"/>
        </w:rPr>
        <w:t>remplacer</w:t>
      </w:r>
      <w:proofErr w:type="spellEnd"/>
      <w:r>
        <w:rPr>
          <w:rFonts w:eastAsia="Times New Roman"/>
          <w:bCs/>
          <w:snapToGrid w:val="0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napToGrid w:val="0"/>
          <w:szCs w:val="24"/>
          <w:lang w:val="en-US"/>
        </w:rPr>
        <w:t>comme</w:t>
      </w:r>
      <w:proofErr w:type="spellEnd"/>
      <w:r>
        <w:rPr>
          <w:rFonts w:eastAsia="Times New Roman"/>
          <w:bCs/>
          <w:snapToGrid w:val="0"/>
          <w:szCs w:val="24"/>
          <w:lang w:val="en-US"/>
        </w:rPr>
        <w:t xml:space="preserve"> </w:t>
      </w:r>
      <w:proofErr w:type="gramStart"/>
      <w:r>
        <w:rPr>
          <w:rFonts w:eastAsia="Times New Roman"/>
          <w:bCs/>
          <w:snapToGrid w:val="0"/>
          <w:szCs w:val="24"/>
          <w:lang w:val="en-US"/>
        </w:rPr>
        <w:t>suit</w:t>
      </w:r>
      <w:r w:rsidR="00526BD4">
        <w:rPr>
          <w:rFonts w:eastAsia="Times New Roman"/>
          <w:bCs/>
          <w:snapToGrid w:val="0"/>
          <w:szCs w:val="24"/>
          <w:lang w:val="en-US"/>
        </w:rPr>
        <w:t> </w:t>
      </w:r>
      <w:r>
        <w:rPr>
          <w:rFonts w:eastAsia="Times New Roman"/>
          <w:bCs/>
          <w:snapToGrid w:val="0"/>
          <w:szCs w:val="24"/>
          <w:lang w:val="en-US"/>
        </w:rPr>
        <w:t>:</w:t>
      </w:r>
      <w:proofErr w:type="gramEnd"/>
    </w:p>
    <w:p w:rsidR="008E1E13" w:rsidRDefault="00021BEB" w:rsidP="00021BEB">
      <w:pPr>
        <w:pStyle w:val="SingleTxt"/>
        <w:tabs>
          <w:tab w:val="clear" w:pos="1742"/>
        </w:tabs>
      </w:pPr>
      <w:r>
        <w:rPr>
          <w:rFonts w:eastAsia="Times New Roman"/>
          <w:bCs/>
          <w:snapToGrid w:val="0"/>
          <w:szCs w:val="24"/>
        </w:rPr>
        <w:t>« </w:t>
      </w:r>
      <w:r w:rsidR="008E1E13">
        <w:t>3.1</w:t>
      </w:r>
      <w:r w:rsidR="008E1E13">
        <w:tab/>
        <w:t>Définitions</w:t>
      </w:r>
    </w:p>
    <w:p w:rsidR="008E1E13" w:rsidRDefault="00526BD4" w:rsidP="00526BD4">
      <w:pPr>
        <w:pStyle w:val="SingleTxt"/>
        <w:ind w:left="2218" w:hanging="951"/>
        <w:rPr>
          <w:rFonts w:eastAsia="Times New Roman"/>
          <w:bCs/>
          <w:i/>
          <w:snapToGrid w:val="0"/>
          <w:szCs w:val="24"/>
          <w:lang w:val="fr-CH"/>
        </w:rPr>
      </w:pPr>
      <w:r>
        <w:rPr>
          <w:rFonts w:eastAsia="Times New Roman"/>
          <w:b/>
          <w:snapToGrid w:val="0"/>
          <w:szCs w:val="24"/>
        </w:rPr>
        <w:tab/>
      </w:r>
      <w:r>
        <w:rPr>
          <w:rFonts w:eastAsia="Times New Roman"/>
          <w:b/>
          <w:snapToGrid w:val="0"/>
          <w:szCs w:val="24"/>
        </w:rPr>
        <w:tab/>
      </w:r>
      <w:r w:rsidR="008E1E13">
        <w:rPr>
          <w:rFonts w:eastAsia="Times New Roman"/>
          <w:b/>
          <w:snapToGrid w:val="0"/>
          <w:szCs w:val="24"/>
        </w:rPr>
        <w:t>Les définition</w:t>
      </w:r>
      <w:r>
        <w:rPr>
          <w:rFonts w:eastAsia="Times New Roman"/>
          <w:b/>
          <w:snapToGrid w:val="0"/>
          <w:szCs w:val="24"/>
        </w:rPr>
        <w:t>s figurant dans le Règlement [n</w:t>
      </w:r>
      <w:r w:rsidRPr="00526BD4">
        <w:rPr>
          <w:rFonts w:eastAsia="Times New Roman"/>
          <w:b/>
          <w:snapToGrid w:val="0"/>
          <w:szCs w:val="24"/>
          <w:vertAlign w:val="superscript"/>
        </w:rPr>
        <w:t>o</w:t>
      </w:r>
      <w:r>
        <w:rPr>
          <w:rFonts w:eastAsia="Times New Roman"/>
          <w:b/>
          <w:snapToGrid w:val="0"/>
          <w:szCs w:val="24"/>
        </w:rPr>
        <w:t> </w:t>
      </w:r>
      <w:r w:rsidR="008E1E13">
        <w:rPr>
          <w:rFonts w:eastAsia="Times New Roman"/>
          <w:b/>
          <w:snapToGrid w:val="0"/>
          <w:szCs w:val="24"/>
        </w:rPr>
        <w:t>y] ou ses révisions ultérieures en vigueur à la date de la demande d</w:t>
      </w:r>
      <w:r w:rsidR="00ED7DD1">
        <w:rPr>
          <w:rFonts w:eastAsia="Times New Roman"/>
          <w:b/>
          <w:snapToGrid w:val="0"/>
          <w:szCs w:val="24"/>
        </w:rPr>
        <w:t>’</w:t>
      </w:r>
      <w:r w:rsidR="008E1E13">
        <w:rPr>
          <w:rFonts w:eastAsia="Times New Roman"/>
          <w:b/>
          <w:snapToGrid w:val="0"/>
          <w:szCs w:val="24"/>
        </w:rPr>
        <w:t>homologation de type s</w:t>
      </w:r>
      <w:r w:rsidR="00ED7DD1">
        <w:rPr>
          <w:rFonts w:eastAsia="Times New Roman"/>
          <w:b/>
          <w:snapToGrid w:val="0"/>
          <w:szCs w:val="24"/>
        </w:rPr>
        <w:t>’</w:t>
      </w:r>
      <w:r w:rsidR="008E1E13">
        <w:rPr>
          <w:rFonts w:eastAsia="Times New Roman"/>
          <w:b/>
          <w:snapToGrid w:val="0"/>
          <w:szCs w:val="24"/>
        </w:rPr>
        <w:t>appliquent.</w:t>
      </w:r>
      <w:r w:rsidRPr="00021BEB">
        <w:rPr>
          <w:rFonts w:eastAsia="Times New Roman"/>
          <w:snapToGrid w:val="0"/>
          <w:szCs w:val="24"/>
        </w:rPr>
        <w:t> »</w:t>
      </w:r>
      <w:r w:rsidR="008E1E13" w:rsidRPr="00021BEB">
        <w:rPr>
          <w:rFonts w:eastAsia="Times New Roman"/>
          <w:snapToGrid w:val="0"/>
          <w:szCs w:val="24"/>
        </w:rPr>
        <w:t>.</w:t>
      </w:r>
    </w:p>
    <w:p w:rsidR="008E1E13" w:rsidRDefault="008E1E13" w:rsidP="0083555D">
      <w:pPr>
        <w:pStyle w:val="SingleTxt"/>
        <w:rPr>
          <w:rFonts w:eastAsia="Times New Roman"/>
          <w:bCs/>
          <w:snapToGrid w:val="0"/>
          <w:szCs w:val="24"/>
        </w:rPr>
      </w:pPr>
      <w:r>
        <w:rPr>
          <w:rFonts w:eastAsia="Times New Roman"/>
          <w:bCs/>
          <w:i/>
          <w:snapToGrid w:val="0"/>
          <w:szCs w:val="24"/>
        </w:rPr>
        <w:t>Paragraphe 3.2.7,</w:t>
      </w:r>
      <w:r>
        <w:rPr>
          <w:rFonts w:eastAsia="Times New Roman"/>
          <w:bCs/>
          <w:snapToGrid w:val="0"/>
          <w:szCs w:val="24"/>
        </w:rPr>
        <w:t xml:space="preserve"> </w:t>
      </w:r>
      <w:proofErr w:type="gramStart"/>
      <w:r>
        <w:rPr>
          <w:rFonts w:eastAsia="Times New Roman"/>
          <w:bCs/>
          <w:snapToGrid w:val="0"/>
          <w:szCs w:val="24"/>
        </w:rPr>
        <w:t>modifier</w:t>
      </w:r>
      <w:proofErr w:type="gramEnd"/>
      <w:r>
        <w:rPr>
          <w:rFonts w:eastAsia="Times New Roman"/>
          <w:bCs/>
          <w:snapToGrid w:val="0"/>
          <w:szCs w:val="24"/>
        </w:rPr>
        <w:t xml:space="preserve"> comme suit</w:t>
      </w:r>
      <w:r w:rsidR="00021BEB">
        <w:rPr>
          <w:rFonts w:eastAsia="Times New Roman"/>
          <w:bCs/>
          <w:snapToGrid w:val="0"/>
          <w:szCs w:val="24"/>
        </w:rPr>
        <w:t> </w:t>
      </w:r>
      <w:r>
        <w:rPr>
          <w:rFonts w:eastAsia="Times New Roman"/>
          <w:bCs/>
          <w:snapToGrid w:val="0"/>
          <w:szCs w:val="24"/>
        </w:rPr>
        <w:t>:</w:t>
      </w:r>
    </w:p>
    <w:p w:rsidR="008E1E13" w:rsidRDefault="00021BEB" w:rsidP="00021BEB">
      <w:pPr>
        <w:pStyle w:val="SingleTxt"/>
        <w:tabs>
          <w:tab w:val="clear" w:pos="1742"/>
        </w:tabs>
        <w:ind w:left="2218" w:hanging="951"/>
        <w:rPr>
          <w:rFonts w:eastAsia="Times New Roman"/>
          <w:bCs/>
          <w:snapToGrid w:val="0"/>
          <w:szCs w:val="24"/>
        </w:rPr>
      </w:pPr>
      <w:r>
        <w:rPr>
          <w:rFonts w:eastAsia="Times New Roman"/>
          <w:snapToGrid w:val="0"/>
          <w:szCs w:val="24"/>
        </w:rPr>
        <w:t>« </w:t>
      </w:r>
      <w:r w:rsidR="008E1E13">
        <w:rPr>
          <w:rFonts w:eastAsia="Times New Roman"/>
          <w:snapToGrid w:val="0"/>
          <w:szCs w:val="24"/>
        </w:rPr>
        <w:t>3.2.7</w:t>
      </w:r>
      <w:r w:rsidR="008E1E13">
        <w:rPr>
          <w:rFonts w:eastAsia="Times New Roman"/>
          <w:snapToGrid w:val="0"/>
          <w:szCs w:val="24"/>
        </w:rPr>
        <w:tab/>
        <w:t xml:space="preserve">La ou les jonctions de semi-conducteur </w:t>
      </w:r>
      <w:r w:rsidR="008E1E13">
        <w:rPr>
          <w:rFonts w:eastAsia="Times New Roman"/>
          <w:b/>
          <w:snapToGrid w:val="0"/>
          <w:szCs w:val="24"/>
        </w:rPr>
        <w:t>et éventuellement un ou plusieurs éléments de conversion de la fluorescence</w:t>
      </w:r>
      <w:r w:rsidR="008E1E13">
        <w:rPr>
          <w:rFonts w:eastAsia="Times New Roman"/>
          <w:snapToGrid w:val="0"/>
          <w:szCs w:val="24"/>
        </w:rPr>
        <w:t xml:space="preserve"> doivent être les seuls éléments de la source lumineuse à diode électroluminescente (DEL) qui génè</w:t>
      </w:r>
      <w:r w:rsidR="008E1E13">
        <w:rPr>
          <w:rFonts w:eastAsia="Times New Roman"/>
          <w:strike/>
          <w:snapToGrid w:val="0"/>
          <w:szCs w:val="24"/>
        </w:rPr>
        <w:t>rent</w:t>
      </w:r>
      <w:r w:rsidR="008E1E13">
        <w:rPr>
          <w:rFonts w:eastAsia="Times New Roman"/>
          <w:snapToGrid w:val="0"/>
          <w:szCs w:val="24"/>
        </w:rPr>
        <w:t xml:space="preserve"> et émet</w:t>
      </w:r>
      <w:r w:rsidR="008E1E13">
        <w:rPr>
          <w:rFonts w:eastAsia="Times New Roman"/>
          <w:strike/>
          <w:snapToGrid w:val="0"/>
          <w:szCs w:val="24"/>
        </w:rPr>
        <w:t>tent</w:t>
      </w:r>
      <w:r w:rsidR="008E1E13">
        <w:rPr>
          <w:rFonts w:eastAsia="Times New Roman"/>
          <w:snapToGrid w:val="0"/>
          <w:szCs w:val="24"/>
        </w:rPr>
        <w:t xml:space="preserve"> de la lumière</w:t>
      </w:r>
      <w:r w:rsidR="008E1E13">
        <w:rPr>
          <w:rFonts w:eastAsia="Times New Roman"/>
          <w:strike/>
          <w:snapToGrid w:val="0"/>
          <w:szCs w:val="24"/>
        </w:rPr>
        <w:t>, soit directement soit par conversion de la fluorescence,</w:t>
      </w:r>
      <w:r w:rsidR="008E1E13">
        <w:rPr>
          <w:rFonts w:eastAsia="Times New Roman"/>
          <w:snapToGrid w:val="0"/>
          <w:szCs w:val="24"/>
        </w:rPr>
        <w:t xml:space="preserve"> lorsqu</w:t>
      </w:r>
      <w:r w:rsidR="00ED7DD1">
        <w:rPr>
          <w:rFonts w:eastAsia="Times New Roman"/>
          <w:snapToGrid w:val="0"/>
          <w:szCs w:val="24"/>
        </w:rPr>
        <w:t>’</w:t>
      </w:r>
      <w:r w:rsidR="008E1E13">
        <w:rPr>
          <w:rFonts w:eastAsia="Times New Roman"/>
          <w:snapToGrid w:val="0"/>
          <w:szCs w:val="24"/>
        </w:rPr>
        <w:t>elle</w:t>
      </w:r>
      <w:r w:rsidR="008E1E13">
        <w:rPr>
          <w:rFonts w:eastAsia="Times New Roman"/>
          <w:strike/>
          <w:snapToGrid w:val="0"/>
          <w:szCs w:val="24"/>
        </w:rPr>
        <w:t>s</w:t>
      </w:r>
      <w:r w:rsidR="008E1E13">
        <w:rPr>
          <w:rFonts w:eastAsia="Times New Roman"/>
          <w:snapToGrid w:val="0"/>
          <w:szCs w:val="24"/>
        </w:rPr>
        <w:t xml:space="preserve"> </w:t>
      </w:r>
      <w:r w:rsidR="008E1E13">
        <w:rPr>
          <w:rFonts w:eastAsia="Times New Roman"/>
          <w:strike/>
          <w:snapToGrid w:val="0"/>
          <w:szCs w:val="24"/>
        </w:rPr>
        <w:t>sont</w:t>
      </w:r>
      <w:r w:rsidR="008E1E13">
        <w:rPr>
          <w:rFonts w:eastAsia="Times New Roman"/>
          <w:snapToGrid w:val="0"/>
          <w:szCs w:val="24"/>
        </w:rPr>
        <w:t xml:space="preserve"> est mise</w:t>
      </w:r>
      <w:r w:rsidR="008E1E13">
        <w:rPr>
          <w:rFonts w:eastAsia="Times New Roman"/>
          <w:strike/>
          <w:snapToGrid w:val="0"/>
          <w:szCs w:val="24"/>
        </w:rPr>
        <w:t>s</w:t>
      </w:r>
      <w:r w:rsidR="008E1E13">
        <w:rPr>
          <w:rFonts w:eastAsia="Times New Roman"/>
          <w:snapToGrid w:val="0"/>
          <w:szCs w:val="24"/>
        </w:rPr>
        <w:t xml:space="preserve"> sous tension.</w:t>
      </w:r>
      <w:r>
        <w:rPr>
          <w:rFonts w:eastAsia="Times New Roman"/>
          <w:snapToGrid w:val="0"/>
          <w:szCs w:val="24"/>
        </w:rPr>
        <w:t> »</w:t>
      </w:r>
      <w:r w:rsidR="008E1E13">
        <w:rPr>
          <w:rFonts w:eastAsia="Times New Roman"/>
          <w:snapToGrid w:val="0"/>
          <w:szCs w:val="24"/>
        </w:rPr>
        <w:t>.</w:t>
      </w:r>
    </w:p>
    <w:p w:rsidR="008E1E13" w:rsidRDefault="008E1E13" w:rsidP="00021BEB">
      <w:pPr>
        <w:pStyle w:val="SingleTxt"/>
        <w:rPr>
          <w:rFonts w:eastAsia="Times New Roman"/>
          <w:bCs/>
          <w:i/>
          <w:snapToGrid w:val="0"/>
          <w:szCs w:val="24"/>
        </w:rPr>
      </w:pPr>
      <w:r>
        <w:rPr>
          <w:rFonts w:eastAsia="Times New Roman"/>
          <w:bCs/>
          <w:i/>
          <w:snapToGrid w:val="0"/>
          <w:szCs w:val="24"/>
        </w:rPr>
        <w:t xml:space="preserve">Paragraphes 3.4 et 3.4.1 </w:t>
      </w:r>
    </w:p>
    <w:p w:rsidR="008E1E13" w:rsidRDefault="00021BEB" w:rsidP="00021BEB">
      <w:pPr>
        <w:pStyle w:val="SingleTxt"/>
        <w:tabs>
          <w:tab w:val="clear" w:pos="1742"/>
        </w:tabs>
        <w:ind w:left="2218" w:hanging="951"/>
        <w:rPr>
          <w:rFonts w:eastAsia="Times New Roman"/>
          <w:bCs/>
          <w:snapToGrid w:val="0"/>
          <w:szCs w:val="24"/>
        </w:rPr>
      </w:pPr>
      <w:r>
        <w:rPr>
          <w:rFonts w:eastAsia="Times New Roman"/>
          <w:bCs/>
          <w:snapToGrid w:val="0"/>
          <w:szCs w:val="24"/>
        </w:rPr>
        <w:t>« </w:t>
      </w:r>
      <w:r w:rsidR="008E1E13">
        <w:rPr>
          <w:rFonts w:eastAsia="Times New Roman"/>
          <w:bCs/>
          <w:snapToGrid w:val="0"/>
          <w:szCs w:val="24"/>
        </w:rPr>
        <w:t>3.4</w:t>
      </w:r>
      <w:r w:rsidR="008E1E13">
        <w:rPr>
          <w:rFonts w:eastAsia="Times New Roman"/>
          <w:bCs/>
          <w:snapToGrid w:val="0"/>
          <w:szCs w:val="24"/>
        </w:rPr>
        <w:tab/>
        <w:t>Position et dimensions de la zone d</w:t>
      </w:r>
      <w:r w:rsidR="00ED7DD1">
        <w:rPr>
          <w:rFonts w:eastAsia="Times New Roman"/>
          <w:bCs/>
          <w:snapToGrid w:val="0"/>
          <w:szCs w:val="24"/>
        </w:rPr>
        <w:t>’</w:t>
      </w:r>
      <w:r w:rsidR="008E1E13">
        <w:rPr>
          <w:rFonts w:eastAsia="Times New Roman"/>
          <w:bCs/>
          <w:snapToGrid w:val="0"/>
          <w:szCs w:val="24"/>
        </w:rPr>
        <w:t xml:space="preserve">émission de la lumière </w:t>
      </w:r>
      <w:r w:rsidR="008E1E13">
        <w:rPr>
          <w:rFonts w:eastAsia="Times New Roman"/>
          <w:bCs/>
          <w:strike/>
          <w:snapToGrid w:val="0"/>
          <w:szCs w:val="24"/>
        </w:rPr>
        <w:t>apparente</w:t>
      </w:r>
    </w:p>
    <w:p w:rsidR="008E1E13" w:rsidRDefault="008E1E13" w:rsidP="00021BEB">
      <w:pPr>
        <w:pStyle w:val="SingleTxt"/>
        <w:tabs>
          <w:tab w:val="clear" w:pos="1742"/>
        </w:tabs>
        <w:ind w:left="2218" w:hanging="951"/>
        <w:rPr>
          <w:rFonts w:eastAsia="Times New Roman"/>
          <w:bCs/>
          <w:snapToGrid w:val="0"/>
          <w:szCs w:val="24"/>
        </w:rPr>
      </w:pPr>
      <w:r>
        <w:rPr>
          <w:rFonts w:eastAsia="Times New Roman"/>
          <w:bCs/>
          <w:snapToGrid w:val="0"/>
          <w:szCs w:val="24"/>
        </w:rPr>
        <w:t>3.4.1</w:t>
      </w:r>
      <w:r>
        <w:rPr>
          <w:rFonts w:eastAsia="Times New Roman"/>
          <w:bCs/>
          <w:snapToGrid w:val="0"/>
          <w:szCs w:val="24"/>
        </w:rPr>
        <w:tab/>
        <w:t>La position et les dimensions de la zone d</w:t>
      </w:r>
      <w:r w:rsidR="00ED7DD1">
        <w:rPr>
          <w:rFonts w:eastAsia="Times New Roman"/>
          <w:bCs/>
          <w:snapToGrid w:val="0"/>
          <w:szCs w:val="24"/>
        </w:rPr>
        <w:t>’</w:t>
      </w:r>
      <w:r>
        <w:rPr>
          <w:rFonts w:eastAsia="Times New Roman"/>
          <w:bCs/>
          <w:snapToGrid w:val="0"/>
          <w:szCs w:val="24"/>
        </w:rPr>
        <w:t xml:space="preserve">émission de la lumière </w:t>
      </w:r>
      <w:r>
        <w:rPr>
          <w:rFonts w:eastAsia="Times New Roman"/>
          <w:bCs/>
          <w:strike/>
          <w:snapToGrid w:val="0"/>
          <w:szCs w:val="24"/>
        </w:rPr>
        <w:t>apparente</w:t>
      </w:r>
      <w:r>
        <w:rPr>
          <w:rFonts w:eastAsia="Times New Roman"/>
          <w:bCs/>
          <w:snapToGrid w:val="0"/>
          <w:szCs w:val="24"/>
        </w:rPr>
        <w:t xml:space="preserve"> doivent satisfaire aux prescriptions indiquées sur la feuille de données pertinente de l</w:t>
      </w:r>
      <w:r w:rsidR="00ED7DD1">
        <w:rPr>
          <w:rFonts w:eastAsia="Times New Roman"/>
          <w:bCs/>
          <w:snapToGrid w:val="0"/>
          <w:szCs w:val="24"/>
        </w:rPr>
        <w:t>’</w:t>
      </w:r>
      <w:r>
        <w:rPr>
          <w:rFonts w:eastAsia="Times New Roman"/>
          <w:bCs/>
          <w:snapToGrid w:val="0"/>
          <w:szCs w:val="24"/>
        </w:rPr>
        <w:t>annexe 1.</w:t>
      </w:r>
      <w:r w:rsidR="00021BEB">
        <w:rPr>
          <w:rFonts w:eastAsia="Times New Roman"/>
          <w:bCs/>
          <w:snapToGrid w:val="0"/>
          <w:szCs w:val="24"/>
        </w:rPr>
        <w:t> »</w:t>
      </w:r>
      <w:r>
        <w:rPr>
          <w:rFonts w:eastAsia="Times New Roman"/>
          <w:bCs/>
          <w:snapToGrid w:val="0"/>
          <w:szCs w:val="24"/>
        </w:rPr>
        <w:t>.</w:t>
      </w:r>
    </w:p>
    <w:p w:rsidR="008E1E13" w:rsidRDefault="008E1E13" w:rsidP="00085741">
      <w:pPr>
        <w:pStyle w:val="SingleTxt"/>
        <w:rPr>
          <w:rFonts w:eastAsia="Times New Roman"/>
          <w:bCs/>
          <w:i/>
          <w:snapToGrid w:val="0"/>
          <w:szCs w:val="24"/>
        </w:rPr>
      </w:pPr>
      <w:r>
        <w:rPr>
          <w:rFonts w:eastAsia="Times New Roman"/>
          <w:bCs/>
          <w:i/>
          <w:snapToGrid w:val="0"/>
          <w:szCs w:val="24"/>
        </w:rPr>
        <w:t>Annexe 1</w:t>
      </w:r>
      <w:r w:rsidRPr="00BB0FA9">
        <w:rPr>
          <w:rFonts w:eastAsia="Times New Roman"/>
          <w:bCs/>
          <w:snapToGrid w:val="0"/>
          <w:szCs w:val="24"/>
        </w:rPr>
        <w:t xml:space="preserve">, </w:t>
      </w:r>
      <w:proofErr w:type="gramStart"/>
      <w:r>
        <w:rPr>
          <w:rFonts w:eastAsia="Times New Roman"/>
          <w:bCs/>
          <w:snapToGrid w:val="0"/>
          <w:szCs w:val="24"/>
        </w:rPr>
        <w:t>remplacer</w:t>
      </w:r>
      <w:proofErr w:type="gramEnd"/>
      <w:r>
        <w:rPr>
          <w:rFonts w:eastAsia="Times New Roman"/>
          <w:bCs/>
          <w:snapToGrid w:val="0"/>
          <w:szCs w:val="24"/>
        </w:rPr>
        <w:t xml:space="preserve"> par une nouvelle annexe 1 ainsi conçue</w:t>
      </w:r>
      <w:r w:rsidR="00085741">
        <w:rPr>
          <w:rFonts w:eastAsia="Times New Roman"/>
          <w:bCs/>
          <w:snapToGrid w:val="0"/>
          <w:szCs w:val="24"/>
        </w:rPr>
        <w:t> </w:t>
      </w:r>
      <w:r w:rsidRPr="00085741">
        <w:rPr>
          <w:rFonts w:eastAsia="Times New Roman"/>
          <w:bCs/>
          <w:snapToGrid w:val="0"/>
          <w:szCs w:val="24"/>
        </w:rPr>
        <w:t>:</w:t>
      </w:r>
    </w:p>
    <w:p w:rsidR="008E1E13" w:rsidRDefault="00085741" w:rsidP="00085741">
      <w:pPr>
        <w:pStyle w:val="SingleTxt"/>
        <w:rPr>
          <w:rFonts w:eastAsia="Times New Roman"/>
          <w:b/>
          <w:bCs/>
          <w:i/>
          <w:snapToGrid w:val="0"/>
          <w:szCs w:val="24"/>
        </w:rPr>
      </w:pPr>
      <w:r>
        <w:rPr>
          <w:rFonts w:eastAsia="Times New Roman"/>
          <w:b/>
          <w:bCs/>
          <w:snapToGrid w:val="0"/>
          <w:szCs w:val="24"/>
        </w:rPr>
        <w:t>« </w:t>
      </w:r>
      <w:r w:rsidR="008E1E13">
        <w:rPr>
          <w:rFonts w:eastAsia="Times New Roman"/>
          <w:b/>
          <w:bCs/>
          <w:snapToGrid w:val="0"/>
          <w:szCs w:val="24"/>
        </w:rPr>
        <w:t>Feuilles</w:t>
      </w:r>
      <w:r w:rsidR="008E1E13">
        <w:rPr>
          <w:rFonts w:eastAsia="Times New Roman"/>
          <w:b/>
          <w:snapToGrid w:val="0"/>
          <w:szCs w:val="24"/>
        </w:rPr>
        <w:t>* pour les sources lumineuses à DEL</w:t>
      </w:r>
    </w:p>
    <w:p w:rsidR="008E1E13" w:rsidRDefault="008E1E13" w:rsidP="00085741">
      <w:pPr>
        <w:pStyle w:val="SingleTx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Les feuilles relatives à la catégorie de sources lumineuses à DEL et le groupe auquel appartient cette catégorie, ainsi que les restrictions d</w:t>
      </w:r>
      <w:r w:rsidR="00ED7DD1">
        <w:rPr>
          <w:rFonts w:eastAsia="Times New Roman"/>
          <w:b/>
          <w:szCs w:val="24"/>
        </w:rPr>
        <w:t>’</w:t>
      </w:r>
      <w:r>
        <w:rPr>
          <w:rFonts w:eastAsia="Times New Roman"/>
          <w:b/>
          <w:szCs w:val="24"/>
        </w:rPr>
        <w:t>utilisation correspondantes, s</w:t>
      </w:r>
      <w:r w:rsidR="00ED7DD1">
        <w:rPr>
          <w:rFonts w:eastAsia="Times New Roman"/>
          <w:b/>
          <w:szCs w:val="24"/>
        </w:rPr>
        <w:t>’</w:t>
      </w:r>
      <w:r>
        <w:rPr>
          <w:rFonts w:eastAsia="Times New Roman"/>
          <w:b/>
          <w:szCs w:val="24"/>
        </w:rPr>
        <w:t>appliquent conformément à la Résolution [n</w:t>
      </w:r>
      <w:r w:rsidRPr="00ED7DD1">
        <w:rPr>
          <w:rFonts w:eastAsia="Times New Roman"/>
          <w:b/>
          <w:szCs w:val="24"/>
          <w:vertAlign w:val="superscript"/>
        </w:rPr>
        <w:t>o</w:t>
      </w:r>
      <w:r w:rsidR="00ED7DD1" w:rsidRPr="00085741">
        <w:rPr>
          <w:rFonts w:eastAsia="Times New Roman"/>
          <w:b/>
          <w:szCs w:val="24"/>
        </w:rPr>
        <w:t> </w:t>
      </w:r>
      <w:r>
        <w:rPr>
          <w:rFonts w:eastAsia="Times New Roman"/>
          <w:b/>
          <w:szCs w:val="24"/>
        </w:rPr>
        <w:t>y] ou à ses révisions ultérieures applicables au moment de la demande d</w:t>
      </w:r>
      <w:r w:rsidR="00ED7DD1">
        <w:rPr>
          <w:rFonts w:eastAsia="Times New Roman"/>
          <w:b/>
          <w:szCs w:val="24"/>
        </w:rPr>
        <w:t>’</w:t>
      </w:r>
      <w:r>
        <w:rPr>
          <w:rFonts w:eastAsia="Times New Roman"/>
          <w:b/>
          <w:szCs w:val="24"/>
        </w:rPr>
        <w:t>homologation de type de la source lumineuse à DEL.</w:t>
      </w:r>
    </w:p>
    <w:p w:rsidR="008E1E13" w:rsidRPr="00922108" w:rsidRDefault="008E1E13" w:rsidP="00085741">
      <w:pPr>
        <w:pStyle w:val="SingleTxt"/>
        <w:rPr>
          <w:rFonts w:eastAsia="Times New Roman"/>
          <w:b/>
          <w:snapToGrid w:val="0"/>
          <w:sz w:val="17"/>
          <w:szCs w:val="17"/>
          <w:lang w:val="en-US"/>
        </w:rPr>
      </w:pPr>
      <w:r w:rsidRPr="00922108">
        <w:rPr>
          <w:rFonts w:eastAsia="Times New Roman"/>
          <w:b/>
          <w:snapToGrid w:val="0"/>
          <w:sz w:val="17"/>
          <w:szCs w:val="17"/>
        </w:rPr>
        <w:t xml:space="preserve">* </w:t>
      </w:r>
      <w:r w:rsidR="00085741" w:rsidRPr="00922108">
        <w:rPr>
          <w:rFonts w:eastAsia="Times New Roman"/>
          <w:b/>
          <w:snapToGrid w:val="0"/>
          <w:sz w:val="17"/>
          <w:szCs w:val="17"/>
        </w:rPr>
        <w:t xml:space="preserve"> </w:t>
      </w:r>
      <w:r w:rsidRPr="00922108">
        <w:rPr>
          <w:rFonts w:eastAsia="Times New Roman"/>
          <w:b/>
          <w:snapToGrid w:val="0"/>
          <w:sz w:val="17"/>
          <w:szCs w:val="17"/>
        </w:rPr>
        <w:t>À compter du [date], les feuilles relatives aux sources lumineuses à décharge, la liste par groupe des catégories de sources lumineuses et les restrictions d</w:t>
      </w:r>
      <w:r w:rsidR="00ED7DD1" w:rsidRPr="00922108">
        <w:rPr>
          <w:rFonts w:eastAsia="Times New Roman"/>
          <w:b/>
          <w:snapToGrid w:val="0"/>
          <w:sz w:val="17"/>
          <w:szCs w:val="17"/>
        </w:rPr>
        <w:t>’</w:t>
      </w:r>
      <w:r w:rsidRPr="00922108">
        <w:rPr>
          <w:rFonts w:eastAsia="Times New Roman"/>
          <w:b/>
          <w:snapToGrid w:val="0"/>
          <w:sz w:val="17"/>
          <w:szCs w:val="17"/>
        </w:rPr>
        <w:t>utilisation et numéros de feuille correspondants figurent dans la Résolution [n</w:t>
      </w:r>
      <w:r w:rsidRPr="00922108">
        <w:rPr>
          <w:rFonts w:eastAsia="Times New Roman"/>
          <w:b/>
          <w:snapToGrid w:val="0"/>
          <w:sz w:val="17"/>
          <w:szCs w:val="17"/>
          <w:vertAlign w:val="superscript"/>
        </w:rPr>
        <w:t>o</w:t>
      </w:r>
      <w:r w:rsidR="00ED7DD1" w:rsidRPr="00922108">
        <w:rPr>
          <w:rFonts w:eastAsia="Times New Roman"/>
          <w:b/>
          <w:snapToGrid w:val="0"/>
          <w:sz w:val="17"/>
          <w:szCs w:val="17"/>
        </w:rPr>
        <w:t> </w:t>
      </w:r>
      <w:r w:rsidRPr="00922108">
        <w:rPr>
          <w:rFonts w:eastAsia="Times New Roman"/>
          <w:b/>
          <w:snapToGrid w:val="0"/>
          <w:sz w:val="17"/>
          <w:szCs w:val="17"/>
        </w:rPr>
        <w:t xml:space="preserve">y] publiée sous la </w:t>
      </w:r>
      <w:r w:rsidR="00085741" w:rsidRPr="00922108">
        <w:rPr>
          <w:rFonts w:eastAsia="Times New Roman"/>
          <w:b/>
          <w:snapToGrid w:val="0"/>
          <w:sz w:val="17"/>
          <w:szCs w:val="17"/>
        </w:rPr>
        <w:t>cote ECE/TRANS/WP.29/11XX. »</w:t>
      </w:r>
      <w:r w:rsidRPr="00922108">
        <w:rPr>
          <w:rFonts w:eastAsia="Times New Roman"/>
          <w:b/>
          <w:snapToGrid w:val="0"/>
          <w:sz w:val="17"/>
          <w:szCs w:val="17"/>
          <w:lang w:val="en-US"/>
        </w:rPr>
        <w:t>.</w:t>
      </w:r>
    </w:p>
    <w:p w:rsidR="008E1E13" w:rsidRDefault="008E1E13" w:rsidP="00085741">
      <w:pPr>
        <w:pStyle w:val="SingleTxt"/>
        <w:keepNext/>
        <w:keepLines/>
        <w:rPr>
          <w:rFonts w:eastAsia="Times New Roman"/>
          <w:i/>
          <w:snapToGrid w:val="0"/>
          <w:szCs w:val="24"/>
          <w:lang w:val="en-US"/>
        </w:rPr>
      </w:pPr>
      <w:proofErr w:type="spellStart"/>
      <w:r>
        <w:rPr>
          <w:rFonts w:eastAsia="Times New Roman"/>
          <w:i/>
          <w:snapToGrid w:val="0"/>
          <w:szCs w:val="24"/>
          <w:lang w:val="en-US"/>
        </w:rPr>
        <w:lastRenderedPageBreak/>
        <w:t>Annexe</w:t>
      </w:r>
      <w:proofErr w:type="spellEnd"/>
      <w:r>
        <w:rPr>
          <w:rFonts w:eastAsia="Times New Roman"/>
          <w:i/>
          <w:snapToGrid w:val="0"/>
          <w:szCs w:val="24"/>
          <w:lang w:val="en-US"/>
        </w:rPr>
        <w:t xml:space="preserve"> 6</w:t>
      </w:r>
      <w:r w:rsidRPr="00BB0FA9">
        <w:rPr>
          <w:rFonts w:eastAsia="Times New Roman"/>
          <w:snapToGrid w:val="0"/>
          <w:szCs w:val="24"/>
          <w:lang w:val="en-US"/>
        </w:rPr>
        <w:t xml:space="preserve">, </w:t>
      </w:r>
    </w:p>
    <w:p w:rsidR="008E1E13" w:rsidRDefault="008E1E13" w:rsidP="00085741">
      <w:pPr>
        <w:pStyle w:val="SingleTxt"/>
        <w:keepNext/>
        <w:keepLines/>
        <w:rPr>
          <w:rFonts w:eastAsia="Times New Roman"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Tableau 1</w:t>
      </w:r>
      <w:r w:rsidRPr="00085741">
        <w:rPr>
          <w:rFonts w:eastAsia="Times New Roman"/>
          <w:szCs w:val="24"/>
          <w:lang w:val="en-US"/>
        </w:rPr>
        <w:t xml:space="preserve">, </w:t>
      </w:r>
      <w:r>
        <w:rPr>
          <w:rFonts w:eastAsia="Times New Roman"/>
          <w:szCs w:val="24"/>
          <w:lang w:val="en-US"/>
        </w:rPr>
        <w:t xml:space="preserve">modifier </w:t>
      </w:r>
      <w:proofErr w:type="spellStart"/>
      <w:r>
        <w:rPr>
          <w:rFonts w:eastAsia="Times New Roman"/>
          <w:szCs w:val="24"/>
          <w:lang w:val="en-US"/>
        </w:rPr>
        <w:t>comme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suit</w:t>
      </w:r>
      <w:r w:rsidR="00085741">
        <w:rPr>
          <w:rFonts w:eastAsia="Times New Roman"/>
          <w:szCs w:val="24"/>
          <w:lang w:val="en-US"/>
        </w:rPr>
        <w:t> </w:t>
      </w:r>
      <w:r>
        <w:rPr>
          <w:rFonts w:eastAsia="Times New Roman"/>
          <w:szCs w:val="24"/>
          <w:lang w:val="en-US"/>
        </w:rPr>
        <w:t>:</w:t>
      </w:r>
      <w:proofErr w:type="gramEnd"/>
    </w:p>
    <w:p w:rsidR="008E1E13" w:rsidRDefault="00085741" w:rsidP="00085741">
      <w:pPr>
        <w:pStyle w:val="SingleTxt"/>
        <w:keepNext/>
        <w:keepLines/>
        <w:rPr>
          <w:snapToGrid w:val="0"/>
          <w:lang w:val="en-US"/>
        </w:rPr>
      </w:pPr>
      <w:r>
        <w:rPr>
          <w:rFonts w:eastAsia="Times New Roman"/>
          <w:bCs/>
          <w:snapToGrid w:val="0"/>
          <w:szCs w:val="24"/>
        </w:rPr>
        <w:t>« </w:t>
      </w:r>
      <w:r w:rsidR="008E1E13">
        <w:rPr>
          <w:snapToGrid w:val="0"/>
          <w:lang w:val="en-US"/>
        </w:rPr>
        <w:t>…</w:t>
      </w:r>
    </w:p>
    <w:tbl>
      <w:tblPr>
        <w:tblW w:w="0" w:type="auto"/>
        <w:jc w:val="center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160"/>
        <w:gridCol w:w="1080"/>
        <w:gridCol w:w="1509"/>
      </w:tblGrid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keepNext/>
              <w:keepLines/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</w:pPr>
            <w:proofErr w:type="spellStart"/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>Groupe</w:t>
            </w:r>
            <w:proofErr w:type="spellEnd"/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 xml:space="preserve"> de </w:t>
            </w:r>
            <w:proofErr w:type="spellStart"/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>caractéristiques</w:t>
            </w:r>
            <w:proofErr w:type="spellEnd"/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keepNext/>
              <w:keepLines/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Groupement</w:t>
            </w:r>
            <w:r w:rsidRPr="00922108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*</w:t>
            </w: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des procès-verbaux d</w:t>
            </w:r>
            <w:r w:rsidR="00ED7DD1"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’</w:t>
            </w: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essai selon les types de l</w:t>
            </w:r>
            <w:r w:rsidRPr="00EC2859">
              <w:rPr>
                <w:rFonts w:eastAsia="Times New Roman"/>
                <w:bCs/>
                <w:i/>
                <w:strike/>
                <w:snapToGrid w:val="0"/>
                <w:sz w:val="14"/>
                <w:szCs w:val="14"/>
              </w:rPr>
              <w:t>ampes</w:t>
            </w: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</w:t>
            </w:r>
            <w:r w:rsidRPr="00EC2859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t>sources lumineuses à DEL</w:t>
            </w: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keepNext/>
              <w:keepLines/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Échantillon annuel minimal par groupe*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keepNext/>
              <w:keepLines/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Niveau acceptable </w:t>
            </w:r>
            <w:r w:rsidR="00250615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br/>
            </w:r>
            <w:r w:rsidRPr="00EC2859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>de non-conformité par groupe de caractéristiques (%)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proofErr w:type="spellStart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Marquage</w:t>
            </w:r>
            <w:proofErr w:type="spellEnd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lisibilité</w:t>
            </w:r>
            <w:proofErr w:type="spellEnd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 xml:space="preserve"> et </w:t>
            </w:r>
            <w:proofErr w:type="spellStart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durabilité</w:t>
            </w:r>
            <w:proofErr w:type="spellEnd"/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Tous types possédant les mêmes dimensions extérieures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315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1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Dimensions extérieures de la </w:t>
            </w:r>
            <w:r w:rsidRPr="00EC2859">
              <w:rPr>
                <w:rFonts w:eastAsia="Times New Roman"/>
                <w:bCs/>
                <w:strike/>
                <w:snapToGrid w:val="0"/>
                <w:sz w:val="17"/>
                <w:szCs w:val="17"/>
              </w:rPr>
              <w:t>lampe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Pr="00EC2859">
              <w:rPr>
                <w:rFonts w:eastAsia="Times New Roman"/>
                <w:b/>
                <w:bCs/>
                <w:snapToGrid w:val="0"/>
                <w:sz w:val="17"/>
                <w:szCs w:val="17"/>
              </w:rPr>
              <w:t>source lumineuse à DEL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(compte non tenu du culot </w:t>
            </w:r>
            <w:r w:rsidR="00F25D3F">
              <w:rPr>
                <w:rFonts w:eastAsia="Times New Roman"/>
                <w:bCs/>
                <w:snapToGrid w:val="0"/>
                <w:sz w:val="17"/>
                <w:szCs w:val="17"/>
              </w:rPr>
              <w:br/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et de la base)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Tous types de la même catégorie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1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Dimensions des culots et des bases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Tous types de la même catégorie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6,5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Dimensions relatives à la surface de sortie de la lumière et des éléments intérieurs**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Toutes </w:t>
            </w:r>
            <w:r w:rsidRPr="00EC2859">
              <w:rPr>
                <w:rFonts w:eastAsia="Times New Roman"/>
                <w:bCs/>
                <w:strike/>
                <w:snapToGrid w:val="0"/>
                <w:sz w:val="17"/>
                <w:szCs w:val="17"/>
              </w:rPr>
              <w:t>lampes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Pr="00EC2859">
              <w:rPr>
                <w:rFonts w:eastAsia="Times New Roman"/>
                <w:b/>
                <w:bCs/>
                <w:snapToGrid w:val="0"/>
                <w:sz w:val="17"/>
                <w:szCs w:val="17"/>
              </w:rPr>
              <w:t>sources lumineuses à DEL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="00F25D3F">
              <w:rPr>
                <w:rFonts w:eastAsia="Times New Roman"/>
                <w:bCs/>
                <w:snapToGrid w:val="0"/>
                <w:sz w:val="17"/>
                <w:szCs w:val="17"/>
              </w:rPr>
              <w:br/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du même type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6,5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Lectures initiales, puissance, couleur et flux lumineux**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napToGrid w:val="0"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Toutes </w:t>
            </w:r>
            <w:r w:rsidRPr="00EC2859">
              <w:rPr>
                <w:rFonts w:eastAsia="Times New Roman"/>
                <w:bCs/>
                <w:strike/>
                <w:snapToGrid w:val="0"/>
                <w:sz w:val="17"/>
                <w:szCs w:val="17"/>
              </w:rPr>
              <w:t>lampes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Pr="00EC2859">
              <w:rPr>
                <w:rFonts w:eastAsia="Times New Roman"/>
                <w:b/>
                <w:bCs/>
                <w:snapToGrid w:val="0"/>
                <w:sz w:val="17"/>
                <w:szCs w:val="17"/>
              </w:rPr>
              <w:t>sources lumineuses à DEL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="00F25D3F">
              <w:rPr>
                <w:rFonts w:eastAsia="Times New Roman"/>
                <w:bCs/>
                <w:snapToGrid w:val="0"/>
                <w:sz w:val="17"/>
                <w:szCs w:val="17"/>
              </w:rPr>
              <w:br/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du même type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1</w:t>
            </w:r>
          </w:p>
        </w:tc>
      </w:tr>
      <w:tr w:rsidR="00EC2859" w:rsidRPr="00EC2859" w:rsidTr="002D7F69">
        <w:trPr>
          <w:cantSplit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suppressAutoHyphens/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z w:val="17"/>
                <w:szCs w:val="17"/>
              </w:rPr>
              <w:t>Répartition normalisée de l</w:t>
            </w:r>
            <w:r w:rsidR="00ED7DD1" w:rsidRPr="00EC2859">
              <w:rPr>
                <w:rFonts w:eastAsia="Times New Roman"/>
                <w:bCs/>
                <w:sz w:val="17"/>
                <w:szCs w:val="17"/>
              </w:rPr>
              <w:t>’</w:t>
            </w:r>
            <w:r w:rsidRPr="00EC2859">
              <w:rPr>
                <w:rFonts w:eastAsia="Times New Roman"/>
                <w:bCs/>
                <w:sz w:val="17"/>
                <w:szCs w:val="17"/>
              </w:rPr>
              <w:t xml:space="preserve">intensité lumineuse ou du flux lumineux cumulé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EC2859">
            <w:pPr>
              <w:suppressAutoHyphens/>
              <w:autoSpaceDN w:val="0"/>
              <w:spacing w:before="40" w:after="40" w:line="210" w:lineRule="exact"/>
              <w:ind w:right="43"/>
              <w:rPr>
                <w:rFonts w:eastAsia="Times New Roman"/>
                <w:bCs/>
                <w:sz w:val="17"/>
                <w:szCs w:val="17"/>
                <w:lang w:val="fr-CH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Toutes </w:t>
            </w:r>
            <w:r w:rsidRPr="00EC2859">
              <w:rPr>
                <w:rFonts w:eastAsia="Times New Roman"/>
                <w:bCs/>
                <w:strike/>
                <w:snapToGrid w:val="0"/>
                <w:sz w:val="17"/>
                <w:szCs w:val="17"/>
              </w:rPr>
              <w:t>lampes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Pr="00EC2859">
              <w:rPr>
                <w:rFonts w:eastAsia="Times New Roman"/>
                <w:b/>
                <w:bCs/>
                <w:snapToGrid w:val="0"/>
                <w:sz w:val="17"/>
                <w:szCs w:val="17"/>
              </w:rPr>
              <w:t>sources lumineuses à DEL</w:t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 </w:t>
            </w:r>
            <w:r w:rsidR="00F25D3F">
              <w:rPr>
                <w:rFonts w:eastAsia="Times New Roman"/>
                <w:bCs/>
                <w:snapToGrid w:val="0"/>
                <w:sz w:val="17"/>
                <w:szCs w:val="17"/>
              </w:rPr>
              <w:br/>
            </w:r>
            <w:r w:rsidRPr="00EC2859">
              <w:rPr>
                <w:rFonts w:eastAsia="Times New Roman"/>
                <w:bCs/>
                <w:snapToGrid w:val="0"/>
                <w:sz w:val="17"/>
                <w:szCs w:val="17"/>
              </w:rPr>
              <w:t xml:space="preserve">du même type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1E13" w:rsidRPr="00EC2859" w:rsidRDefault="008E1E13" w:rsidP="00420432">
            <w:pPr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</w:pPr>
            <w:r w:rsidRPr="00EC2859">
              <w:rPr>
                <w:rFonts w:eastAsia="Times New Roman"/>
                <w:bCs/>
                <w:snapToGrid w:val="0"/>
                <w:sz w:val="17"/>
                <w:szCs w:val="17"/>
                <w:lang w:val="en-GB"/>
              </w:rPr>
              <w:t>6,5</w:t>
            </w:r>
          </w:p>
        </w:tc>
      </w:tr>
    </w:tbl>
    <w:p w:rsidR="002D7F69" w:rsidRDefault="002D7F69" w:rsidP="002D7F69">
      <w:pPr>
        <w:pStyle w:val="SingleTxt"/>
        <w:jc w:val="right"/>
        <w:rPr>
          <w:snapToGrid w:val="0"/>
        </w:rPr>
      </w:pPr>
      <w:r>
        <w:rPr>
          <w:snapToGrid w:val="0"/>
        </w:rPr>
        <w:t>».</w:t>
      </w:r>
    </w:p>
    <w:p w:rsidR="002D7F69" w:rsidRPr="002D7F69" w:rsidRDefault="002D7F69" w:rsidP="002D7F69">
      <w:pPr>
        <w:pStyle w:val="SingleTxt"/>
        <w:spacing w:after="0" w:line="120" w:lineRule="exact"/>
        <w:jc w:val="right"/>
        <w:rPr>
          <w:snapToGrid w:val="0"/>
          <w:sz w:val="10"/>
        </w:rPr>
      </w:pPr>
    </w:p>
    <w:p w:rsidR="002D7F69" w:rsidRPr="002D7F69" w:rsidRDefault="002D7F69" w:rsidP="002D7F69">
      <w:pPr>
        <w:pStyle w:val="SingleTxt"/>
        <w:spacing w:after="0" w:line="120" w:lineRule="exact"/>
        <w:jc w:val="right"/>
        <w:rPr>
          <w:snapToGrid w:val="0"/>
          <w:sz w:val="10"/>
        </w:rPr>
      </w:pPr>
    </w:p>
    <w:p w:rsidR="002D7F69" w:rsidRPr="002D7F69" w:rsidRDefault="002D7F69" w:rsidP="002D7F69">
      <w:pPr>
        <w:pStyle w:val="SingleTxt"/>
        <w:spacing w:after="0" w:line="120" w:lineRule="exact"/>
        <w:jc w:val="right"/>
        <w:rPr>
          <w:snapToGrid w:val="0"/>
          <w:sz w:val="10"/>
        </w:rPr>
      </w:pPr>
    </w:p>
    <w:p w:rsidR="008E1E13" w:rsidRDefault="008E1E13" w:rsidP="002D7F69">
      <w:pPr>
        <w:pStyle w:val="SingleTxt"/>
        <w:rPr>
          <w:snapToGrid w:val="0"/>
          <w:sz w:val="24"/>
          <w:lang w:val="fr-CH"/>
        </w:rPr>
      </w:pPr>
      <w:r w:rsidRPr="002D7F69">
        <w:rPr>
          <w:i/>
          <w:snapToGrid w:val="0"/>
        </w:rPr>
        <w:t xml:space="preserve">Tableau 3, </w:t>
      </w:r>
      <w:r w:rsidRPr="002D7F69">
        <w:rPr>
          <w:i/>
        </w:rPr>
        <w:t>ligne d</w:t>
      </w:r>
      <w:r w:rsidR="00ED7DD1" w:rsidRPr="002D7F69">
        <w:rPr>
          <w:i/>
        </w:rPr>
        <w:t>’</w:t>
      </w:r>
      <w:r w:rsidRPr="002D7F69">
        <w:rPr>
          <w:i/>
        </w:rPr>
        <w:t>en-tête</w:t>
      </w:r>
      <w:r>
        <w:rPr>
          <w:snapToGrid w:val="0"/>
        </w:rPr>
        <w:t xml:space="preserve">, </w:t>
      </w:r>
      <w:proofErr w:type="gramStart"/>
      <w:r>
        <w:rPr>
          <w:snapToGrid w:val="0"/>
        </w:rPr>
        <w:t>modifier</w:t>
      </w:r>
      <w:proofErr w:type="gramEnd"/>
      <w:r>
        <w:rPr>
          <w:snapToGrid w:val="0"/>
        </w:rPr>
        <w:t xml:space="preserve"> comme suit</w:t>
      </w:r>
      <w:r w:rsidR="002D7F69">
        <w:rPr>
          <w:snapToGrid w:val="0"/>
        </w:rPr>
        <w:t> </w:t>
      </w:r>
      <w:r>
        <w:rPr>
          <w:snapToGrid w:val="0"/>
        </w:rPr>
        <w:t>:</w:t>
      </w:r>
    </w:p>
    <w:p w:rsidR="008E1E13" w:rsidRDefault="002D7F69" w:rsidP="002D7F69">
      <w:pPr>
        <w:pStyle w:val="SingleTxt"/>
        <w:rPr>
          <w:snapToGrid w:val="0"/>
        </w:rPr>
      </w:pPr>
      <w:r>
        <w:rPr>
          <w:snapToGrid w:val="0"/>
        </w:rPr>
        <w:t>« 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93"/>
        <w:gridCol w:w="964"/>
        <w:gridCol w:w="1574"/>
        <w:gridCol w:w="941"/>
        <w:gridCol w:w="1633"/>
        <w:gridCol w:w="882"/>
      </w:tblGrid>
      <w:tr w:rsidR="00754E17" w:rsidRPr="00060F42" w:rsidTr="00422074">
        <w:trPr>
          <w:tblHeader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422074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Nombre des </w:t>
            </w:r>
            <w:r w:rsidRPr="00060F42">
              <w:rPr>
                <w:rFonts w:eastAsia="Times New Roman"/>
                <w:bCs/>
                <w:i/>
                <w:strike/>
                <w:snapToGrid w:val="0"/>
                <w:sz w:val="14"/>
                <w:szCs w:val="14"/>
              </w:rPr>
              <w:t>lampes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</w:t>
            </w:r>
            <w:r w:rsidRPr="00060F42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t>sources lumineuses à DEL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figurant sur les procès-verbaux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060F42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</w:pPr>
            <w:proofErr w:type="spellStart"/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>Tolérance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422074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Nombre des </w:t>
            </w:r>
            <w:r w:rsidRPr="00060F42">
              <w:rPr>
                <w:rFonts w:eastAsia="Times New Roman"/>
                <w:bCs/>
                <w:i/>
                <w:strike/>
                <w:snapToGrid w:val="0"/>
                <w:sz w:val="14"/>
                <w:szCs w:val="14"/>
              </w:rPr>
              <w:t>lampes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</w:t>
            </w:r>
            <w:r w:rsidRPr="00060F42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t>sources lumineuses à DEL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figurant sur les procès-verbaux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060F42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</w:pPr>
            <w:proofErr w:type="spellStart"/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>Tolérance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422074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fr-CH"/>
              </w:rPr>
            </w:pP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Nombre des </w:t>
            </w:r>
            <w:r w:rsidRPr="00060F42">
              <w:rPr>
                <w:rFonts w:eastAsia="Times New Roman"/>
                <w:bCs/>
                <w:i/>
                <w:strike/>
                <w:snapToGrid w:val="0"/>
                <w:sz w:val="14"/>
                <w:szCs w:val="14"/>
              </w:rPr>
              <w:t>lampes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</w:t>
            </w:r>
            <w:r w:rsidRPr="00060F42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t xml:space="preserve">sources lumineuses </w:t>
            </w:r>
            <w:r w:rsidR="00422074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br/>
            </w:r>
            <w:r w:rsidRPr="00060F42">
              <w:rPr>
                <w:rFonts w:eastAsia="Times New Roman"/>
                <w:b/>
                <w:bCs/>
                <w:i/>
                <w:snapToGrid w:val="0"/>
                <w:sz w:val="14"/>
                <w:szCs w:val="14"/>
              </w:rPr>
              <w:t>à DEL</w:t>
            </w:r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</w:rPr>
              <w:t xml:space="preserve"> figurant sur les procès-verbaux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E17" w:rsidRPr="00060F42" w:rsidRDefault="00754E17" w:rsidP="00060F42">
            <w:pPr>
              <w:autoSpaceDN w:val="0"/>
              <w:spacing w:before="80" w:after="80" w:line="160" w:lineRule="exact"/>
              <w:ind w:right="43"/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</w:pPr>
            <w:proofErr w:type="spellStart"/>
            <w:r w:rsidRPr="00060F42">
              <w:rPr>
                <w:rFonts w:eastAsia="Times New Roman"/>
                <w:bCs/>
                <w:i/>
                <w:snapToGrid w:val="0"/>
                <w:sz w:val="14"/>
                <w:szCs w:val="14"/>
                <w:lang w:val="en-GB"/>
              </w:rPr>
              <w:t>Tolérance</w:t>
            </w:r>
            <w:proofErr w:type="spellEnd"/>
          </w:p>
        </w:tc>
      </w:tr>
    </w:tbl>
    <w:p w:rsidR="00754E17" w:rsidRDefault="00754E17" w:rsidP="00754E17">
      <w:pPr>
        <w:pStyle w:val="SingleTxt"/>
        <w:jc w:val="right"/>
        <w:rPr>
          <w:snapToGrid w:val="0"/>
        </w:rPr>
      </w:pPr>
      <w:r>
        <w:rPr>
          <w:snapToGrid w:val="0"/>
        </w:rPr>
        <w:t>».</w:t>
      </w:r>
    </w:p>
    <w:p w:rsidR="00754E17" w:rsidRPr="00C07694" w:rsidRDefault="00754E17" w:rsidP="00C07694">
      <w:pPr>
        <w:pStyle w:val="SingleTxt"/>
        <w:spacing w:after="0" w:line="120" w:lineRule="exact"/>
        <w:rPr>
          <w:sz w:val="10"/>
          <w:lang w:val="en-GB"/>
        </w:rPr>
      </w:pPr>
    </w:p>
    <w:p w:rsidR="00C07694" w:rsidRPr="00C07694" w:rsidRDefault="00C07694" w:rsidP="00C07694">
      <w:pPr>
        <w:pStyle w:val="SingleTxt"/>
        <w:spacing w:after="0" w:line="120" w:lineRule="exact"/>
        <w:rPr>
          <w:sz w:val="10"/>
          <w:lang w:val="en-GB"/>
        </w:rPr>
      </w:pPr>
    </w:p>
    <w:p w:rsidR="00C07694" w:rsidRPr="00C07694" w:rsidRDefault="00C07694" w:rsidP="00C07694">
      <w:pPr>
        <w:pStyle w:val="SingleTxt"/>
        <w:spacing w:after="0" w:line="120" w:lineRule="exact"/>
        <w:rPr>
          <w:sz w:val="10"/>
          <w:lang w:val="en-GB"/>
        </w:rPr>
      </w:pPr>
    </w:p>
    <w:p w:rsidR="008E1E13" w:rsidRDefault="008E1E13" w:rsidP="00C0769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GB"/>
        </w:rPr>
      </w:pPr>
      <w:r>
        <w:rPr>
          <w:lang w:val="en-GB"/>
        </w:rPr>
        <w:tab/>
        <w:t>II.</w:t>
      </w:r>
      <w:r>
        <w:rPr>
          <w:lang w:val="en-GB"/>
        </w:rPr>
        <w:tab/>
        <w:t>Justification</w:t>
      </w:r>
    </w:p>
    <w:p w:rsidR="00C07694" w:rsidRPr="00C07694" w:rsidRDefault="00C07694" w:rsidP="00C07694">
      <w:pPr>
        <w:spacing w:line="120" w:lineRule="exact"/>
        <w:rPr>
          <w:sz w:val="10"/>
          <w:lang w:val="en-GB"/>
        </w:rPr>
      </w:pPr>
    </w:p>
    <w:p w:rsidR="00C07694" w:rsidRPr="00C07694" w:rsidRDefault="00C07694" w:rsidP="00C07694">
      <w:pPr>
        <w:spacing w:line="120" w:lineRule="exact"/>
        <w:rPr>
          <w:sz w:val="10"/>
          <w:lang w:val="en-GB"/>
        </w:rPr>
      </w:pPr>
    </w:p>
    <w:p w:rsidR="008E1E13" w:rsidRDefault="00B9257F" w:rsidP="00C07694">
      <w:pPr>
        <w:pStyle w:val="SingleTxt"/>
        <w:rPr>
          <w:lang w:eastAsia="it-IT"/>
        </w:rPr>
      </w:pPr>
      <w:r>
        <w:rPr>
          <w:lang w:eastAsia="it-IT"/>
        </w:rPr>
        <w:tab/>
      </w:r>
      <w:r w:rsidR="008E1E13">
        <w:rPr>
          <w:lang w:eastAsia="it-IT"/>
        </w:rPr>
        <w:t>Les modifications proposées dans le présent document font partie d</w:t>
      </w:r>
      <w:r w:rsidR="00ED7DD1">
        <w:rPr>
          <w:lang w:eastAsia="it-IT"/>
        </w:rPr>
        <w:t>’</w:t>
      </w:r>
      <w:r w:rsidR="008E1E13">
        <w:rPr>
          <w:lang w:eastAsia="it-IT"/>
        </w:rPr>
        <w:t>un ensemble de propositions visant à simplifier les Règlements concernant les sources lumineuses. La</w:t>
      </w:r>
      <w:r w:rsidR="00C07694">
        <w:rPr>
          <w:lang w:eastAsia="it-IT"/>
        </w:rPr>
        <w:t> </w:t>
      </w:r>
      <w:r w:rsidR="008E1E13">
        <w:rPr>
          <w:lang w:eastAsia="it-IT"/>
        </w:rPr>
        <w:t>justification de la présente proposition est annexée à celle du projet de Résolution sur les spécifications communes des catégories de sources lumineuses (ECE/TRANS/WP.29/GRE/2016/5).</w:t>
      </w:r>
      <w:bookmarkStart w:id="1" w:name="insstart"/>
      <w:bookmarkEnd w:id="1"/>
    </w:p>
    <w:p w:rsidR="00040350" w:rsidRPr="00040350" w:rsidRDefault="00040350" w:rsidP="0004035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040350" w:rsidRPr="00040350" w:rsidSect="00343D9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38" w:rsidRDefault="00AA2838" w:rsidP="00F3330B">
      <w:pPr>
        <w:spacing w:line="240" w:lineRule="auto"/>
      </w:pPr>
      <w:r>
        <w:separator/>
      </w:r>
    </w:p>
  </w:endnote>
  <w:endnote w:type="continuationSeparator" w:id="0">
    <w:p w:rsidR="00AA2838" w:rsidRDefault="00AA283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3D98" w:rsidTr="00343D98">
      <w:trPr>
        <w:jc w:val="center"/>
      </w:trPr>
      <w:tc>
        <w:tcPr>
          <w:tcW w:w="5126" w:type="dxa"/>
          <w:shd w:val="clear" w:color="auto" w:fill="auto"/>
        </w:tcPr>
        <w:p w:rsidR="00343D98" w:rsidRPr="00343D98" w:rsidRDefault="00343D98" w:rsidP="00343D9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30E29">
            <w:rPr>
              <w:b w:val="0"/>
              <w:w w:val="103"/>
              <w:sz w:val="14"/>
            </w:rPr>
            <w:t>GE.16-00891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343D98" w:rsidRPr="00343D98" w:rsidRDefault="00343D98" w:rsidP="00343D9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5574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5574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343D98" w:rsidRPr="00343D98" w:rsidRDefault="00343D98" w:rsidP="0034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3D98" w:rsidTr="00343D98">
      <w:trPr>
        <w:jc w:val="center"/>
      </w:trPr>
      <w:tc>
        <w:tcPr>
          <w:tcW w:w="5126" w:type="dxa"/>
          <w:shd w:val="clear" w:color="auto" w:fill="auto"/>
        </w:tcPr>
        <w:p w:rsidR="00343D98" w:rsidRPr="00343D98" w:rsidRDefault="00343D98" w:rsidP="00343D9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5574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5574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343D98" w:rsidRPr="00343D98" w:rsidRDefault="00343D98" w:rsidP="00343D9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30E29">
            <w:rPr>
              <w:b w:val="0"/>
              <w:w w:val="103"/>
              <w:sz w:val="14"/>
            </w:rPr>
            <w:t>GE.16-00891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43D98" w:rsidRPr="00343D98" w:rsidRDefault="00343D98" w:rsidP="00343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98" w:rsidRDefault="00343D9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0FF06EC" wp14:editId="62B96E4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6/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6/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343D98" w:rsidTr="00343D98">
      <w:tc>
        <w:tcPr>
          <w:tcW w:w="3859" w:type="dxa"/>
        </w:tcPr>
        <w:p w:rsidR="00343D98" w:rsidRDefault="00343D98" w:rsidP="00343D9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30E29">
            <w:rPr>
              <w:b w:val="0"/>
              <w:sz w:val="20"/>
            </w:rPr>
            <w:t>GE.16-00891 (F)</w:t>
          </w:r>
          <w:r>
            <w:rPr>
              <w:b w:val="0"/>
              <w:sz w:val="20"/>
            </w:rPr>
            <w:fldChar w:fldCharType="end"/>
          </w:r>
          <w:r w:rsidR="009644C8">
            <w:rPr>
              <w:b w:val="0"/>
              <w:sz w:val="20"/>
            </w:rPr>
            <w:t xml:space="preserve">    12</w:t>
          </w:r>
          <w:r>
            <w:rPr>
              <w:b w:val="0"/>
              <w:sz w:val="20"/>
            </w:rPr>
            <w:t>0216    230216</w:t>
          </w:r>
        </w:p>
        <w:p w:rsidR="00343D98" w:rsidRPr="00343D98" w:rsidRDefault="00343D98" w:rsidP="00343D9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30E2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*1600891*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343D98" w:rsidRDefault="00343D98" w:rsidP="00343D9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C7FB12" wp14:editId="58F7CF9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3D98" w:rsidRPr="00343D98" w:rsidRDefault="00343D98" w:rsidP="00343D9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38" w:rsidRPr="009644C8" w:rsidRDefault="009644C8" w:rsidP="009644C8">
      <w:pPr>
        <w:pStyle w:val="Footer"/>
        <w:spacing w:after="80"/>
        <w:ind w:left="792"/>
        <w:rPr>
          <w:sz w:val="16"/>
        </w:rPr>
      </w:pPr>
      <w:r w:rsidRPr="009644C8">
        <w:rPr>
          <w:sz w:val="16"/>
        </w:rPr>
        <w:t>__________________</w:t>
      </w:r>
    </w:p>
  </w:footnote>
  <w:footnote w:type="continuationSeparator" w:id="0">
    <w:p w:rsidR="00AA2838" w:rsidRPr="009644C8" w:rsidRDefault="009644C8" w:rsidP="009644C8">
      <w:pPr>
        <w:pStyle w:val="Footer"/>
        <w:spacing w:after="80"/>
        <w:ind w:left="792"/>
        <w:rPr>
          <w:sz w:val="16"/>
        </w:rPr>
      </w:pPr>
      <w:r w:rsidRPr="009644C8">
        <w:rPr>
          <w:sz w:val="16"/>
        </w:rPr>
        <w:t>__________________</w:t>
      </w:r>
    </w:p>
  </w:footnote>
  <w:footnote w:id="1">
    <w:p w:rsidR="009644C8" w:rsidRPr="009644C8" w:rsidRDefault="009644C8" w:rsidP="009644C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9644C8">
        <w:rPr>
          <w:rStyle w:val="FootnoteReference"/>
          <w:vertAlign w:val="baseline"/>
        </w:rPr>
        <w:t>*</w:t>
      </w:r>
      <w:r>
        <w:tab/>
      </w:r>
      <w:r>
        <w:rPr>
          <w:szCs w:val="18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3D98" w:rsidTr="00343D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3D98" w:rsidRPr="00343D98" w:rsidRDefault="00343D98" w:rsidP="00343D9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30E29">
            <w:rPr>
              <w:b/>
              <w:color w:val="000000"/>
            </w:rPr>
            <w:t>ECE/TRANS/WP.29/GRE/2016/4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3D98" w:rsidRDefault="00343D98" w:rsidP="00343D98">
          <w:pPr>
            <w:pStyle w:val="Header"/>
          </w:pPr>
        </w:p>
      </w:tc>
    </w:tr>
  </w:tbl>
  <w:p w:rsidR="00343D98" w:rsidRPr="00343D98" w:rsidRDefault="00343D98" w:rsidP="00343D9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3D98" w:rsidTr="00343D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3D98" w:rsidRDefault="00343D98" w:rsidP="00343D9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43D98" w:rsidRPr="00343D98" w:rsidRDefault="00343D98" w:rsidP="00343D9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30E29">
            <w:rPr>
              <w:b/>
              <w:color w:val="000000"/>
            </w:rPr>
            <w:t>ECE/TRANS/WP.29/GRE/2016/4</w:t>
          </w:r>
          <w:r>
            <w:rPr>
              <w:b/>
              <w:color w:val="000000"/>
            </w:rPr>
            <w:fldChar w:fldCharType="end"/>
          </w:r>
        </w:p>
      </w:tc>
    </w:tr>
  </w:tbl>
  <w:p w:rsidR="00343D98" w:rsidRPr="00343D98" w:rsidRDefault="00343D98" w:rsidP="00343D9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343D98" w:rsidTr="00343D9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3D98" w:rsidRDefault="00343D98" w:rsidP="00343D9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3D98" w:rsidRPr="00343D98" w:rsidRDefault="00343D98" w:rsidP="00343D9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3D98" w:rsidRDefault="00343D98" w:rsidP="00343D9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343D98" w:rsidRPr="00343D98" w:rsidRDefault="00343D98" w:rsidP="00343D9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/TRANS/WP.29/GRE/2016/4</w:t>
          </w:r>
        </w:p>
      </w:tc>
    </w:tr>
    <w:tr w:rsidR="00343D98" w:rsidRPr="00343D98" w:rsidTr="00343D9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D98" w:rsidRPr="00343D98" w:rsidRDefault="00343D98" w:rsidP="00343D9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A317FD5" wp14:editId="0802082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D98" w:rsidRPr="00343D98" w:rsidRDefault="00343D98" w:rsidP="00343D9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D98" w:rsidRPr="00343D98" w:rsidRDefault="00343D98" w:rsidP="00343D9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D98" w:rsidRDefault="00343D98" w:rsidP="00343D9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343D98" w:rsidRDefault="00343D98" w:rsidP="00343D98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22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2016</w:t>
          </w:r>
        </w:p>
        <w:p w:rsidR="00343D98" w:rsidRDefault="00343D98" w:rsidP="00343D98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343D98" w:rsidRPr="00343D98" w:rsidRDefault="00343D98" w:rsidP="00343D98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343D98" w:rsidRPr="00343D98" w:rsidRDefault="00343D98" w:rsidP="00343D9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00891*"/>
    <w:docVar w:name="CreationDt" w:val="2/23/2016 10:55 AM"/>
    <w:docVar w:name="DocCategory" w:val="Doc"/>
    <w:docVar w:name="DocType" w:val="Final"/>
    <w:docVar w:name="DutyStation" w:val="Geneva"/>
    <w:docVar w:name="FooterJN" w:val="GE.16-00891"/>
    <w:docVar w:name="jobn" w:val="GE.16-00891 (F)"/>
    <w:docVar w:name="jobnDT" w:val="GE.16-00891 (F)   230216"/>
    <w:docVar w:name="jobnDTDT" w:val="GE.16-00891 (F)   230216   230216"/>
    <w:docVar w:name="JobNo" w:val="GE.1600891F"/>
    <w:docVar w:name="JobNo2" w:val="GE.1600976F"/>
    <w:docVar w:name="LocalDrive" w:val="0"/>
    <w:docVar w:name="OandT" w:val="CC"/>
    <w:docVar w:name="PaperSize" w:val="A4"/>
    <w:docVar w:name="sss1" w:val="ECE/TRANS/WP.29/GRE/2016/4"/>
    <w:docVar w:name="sss2" w:val="-"/>
    <w:docVar w:name="Symbol1" w:val="ECE/TRANS/WP.29/GRE/2016/4"/>
    <w:docVar w:name="Symbol2" w:val="-"/>
  </w:docVars>
  <w:rsids>
    <w:rsidRoot w:val="00AA2838"/>
    <w:rsid w:val="000015B8"/>
    <w:rsid w:val="000046A5"/>
    <w:rsid w:val="000055FB"/>
    <w:rsid w:val="00010C97"/>
    <w:rsid w:val="00016483"/>
    <w:rsid w:val="00021BEB"/>
    <w:rsid w:val="00022173"/>
    <w:rsid w:val="0002226F"/>
    <w:rsid w:val="00022B4A"/>
    <w:rsid w:val="00023E37"/>
    <w:rsid w:val="000249FF"/>
    <w:rsid w:val="00025DE5"/>
    <w:rsid w:val="000274C2"/>
    <w:rsid w:val="00030E29"/>
    <w:rsid w:val="00033DC9"/>
    <w:rsid w:val="000378DE"/>
    <w:rsid w:val="00040350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0F42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5741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4C8E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A52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061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D7F69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D98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32"/>
    <w:rsid w:val="004204AE"/>
    <w:rsid w:val="004216F7"/>
    <w:rsid w:val="00422074"/>
    <w:rsid w:val="00423DC6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6BD4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05EF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4E17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555D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13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10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4C8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2838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5BE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257F"/>
    <w:rsid w:val="00B932C8"/>
    <w:rsid w:val="00B93B31"/>
    <w:rsid w:val="00B9457F"/>
    <w:rsid w:val="00B965BF"/>
    <w:rsid w:val="00BA0244"/>
    <w:rsid w:val="00BA06B1"/>
    <w:rsid w:val="00BA3125"/>
    <w:rsid w:val="00BA3654"/>
    <w:rsid w:val="00BA600B"/>
    <w:rsid w:val="00BB0FA9"/>
    <w:rsid w:val="00BC05C8"/>
    <w:rsid w:val="00BC0F9A"/>
    <w:rsid w:val="00BC3D5F"/>
    <w:rsid w:val="00BC43E2"/>
    <w:rsid w:val="00BD0917"/>
    <w:rsid w:val="00BD1607"/>
    <w:rsid w:val="00BD45A0"/>
    <w:rsid w:val="00BD45BA"/>
    <w:rsid w:val="00BE15C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07694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2859"/>
    <w:rsid w:val="00EC34E0"/>
    <w:rsid w:val="00EC5385"/>
    <w:rsid w:val="00EC5430"/>
    <w:rsid w:val="00EC60B6"/>
    <w:rsid w:val="00EC6373"/>
    <w:rsid w:val="00EC7853"/>
    <w:rsid w:val="00ED047D"/>
    <w:rsid w:val="00ED076F"/>
    <w:rsid w:val="00ED0A59"/>
    <w:rsid w:val="00ED297E"/>
    <w:rsid w:val="00ED4626"/>
    <w:rsid w:val="00ED5B3C"/>
    <w:rsid w:val="00ED732D"/>
    <w:rsid w:val="00ED7BC4"/>
    <w:rsid w:val="00ED7DD1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5D3F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5574D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26F7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524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34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9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9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34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9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9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536B-1C31-4881-8481-D858094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Chautagnat</dc:creator>
  <cp:lastModifiedBy>Caillot</cp:lastModifiedBy>
  <cp:revision>2</cp:revision>
  <cp:lastPrinted>2016-02-23T10:48:00Z</cp:lastPrinted>
  <dcterms:created xsi:type="dcterms:W3CDTF">2016-02-24T10:31:00Z</dcterms:created>
  <dcterms:modified xsi:type="dcterms:W3CDTF">2016-02-24T10:31:00Z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1600891F</vt:lpwstr>
  </property>
  <property fmtid="{D5CDD505-2E9C-101B-9397-08002B2CF9AE}" pid="3" name="ODSRefJobNo">
    <vt:lpwstr>1600976F</vt:lpwstr>
  </property>
  <property fmtid="{D5CDD505-2E9C-101B-9397-08002B2CF9AE}" pid="4" name="Symbol1">
    <vt:lpwstr>ECE/TRANS/WP.29/GRE/2016/4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CC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janvier 2016</vt:lpwstr>
  </property>
  <property fmtid="{D5CDD505-2E9C-101B-9397-08002B2CF9AE}" pid="12" name="Original">
    <vt:lpwstr>anglais</vt:lpwstr>
  </property>
  <property fmtid="{D5CDD505-2E9C-101B-9397-08002B2CF9AE}" pid="13" name="Release Date">
    <vt:lpwstr>230216</vt:lpwstr>
  </property>
</Properties>
</file>