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86" w:rsidRDefault="00D01786" w:rsidP="00D01786">
      <w:pPr>
        <w:spacing w:line="240" w:lineRule="auto"/>
        <w:rPr>
          <w:sz w:val="2"/>
        </w:rPr>
        <w:sectPr w:rsidR="00D01786" w:rsidSect="00D01786">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D01786" w:rsidRDefault="00D01786" w:rsidP="00D01786">
      <w:pPr>
        <w:pStyle w:val="H1"/>
        <w:spacing w:after="120"/>
        <w:rPr>
          <w:sz w:val="28"/>
        </w:rPr>
      </w:pPr>
      <w:r>
        <w:rPr>
          <w:sz w:val="28"/>
        </w:rPr>
        <w:lastRenderedPageBreak/>
        <w:t>Commission économique pour l’Europe</w:t>
      </w:r>
    </w:p>
    <w:p w:rsidR="00D01786" w:rsidRDefault="00D01786" w:rsidP="00D01786">
      <w:pPr>
        <w:pStyle w:val="H1"/>
        <w:spacing w:after="120" w:line="300" w:lineRule="exact"/>
        <w:rPr>
          <w:b w:val="0"/>
          <w:sz w:val="28"/>
        </w:rPr>
      </w:pPr>
      <w:r>
        <w:rPr>
          <w:b w:val="0"/>
          <w:sz w:val="28"/>
        </w:rPr>
        <w:t>Comité des transports intérieurs</w:t>
      </w:r>
    </w:p>
    <w:p w:rsidR="00210CC8" w:rsidRDefault="00210CC8" w:rsidP="00210C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210CC8">
        <w:rPr>
          <w:lang w:val="fr-FR"/>
        </w:rPr>
        <w:t>Forum mondial de l</w:t>
      </w:r>
      <w:r w:rsidR="00CA5192">
        <w:rPr>
          <w:lang w:val="fr-FR"/>
        </w:rPr>
        <w:t>’</w:t>
      </w:r>
      <w:r w:rsidRPr="00210CC8">
        <w:rPr>
          <w:lang w:val="fr-FR"/>
        </w:rPr>
        <w:t xml:space="preserve">harmonisation des Règlements </w:t>
      </w:r>
      <w:r>
        <w:rPr>
          <w:lang w:val="fr-FR"/>
        </w:rPr>
        <w:br/>
      </w:r>
      <w:r w:rsidRPr="00210CC8">
        <w:rPr>
          <w:lang w:val="fr-FR"/>
        </w:rPr>
        <w:t>concernant les véhicules</w:t>
      </w:r>
    </w:p>
    <w:p w:rsidR="00210CC8" w:rsidRPr="00210CC8" w:rsidRDefault="00210CC8" w:rsidP="00210CC8">
      <w:pPr>
        <w:pStyle w:val="SingleTxt"/>
        <w:spacing w:after="0" w:line="120" w:lineRule="exact"/>
        <w:ind w:left="0"/>
        <w:rPr>
          <w:sz w:val="10"/>
          <w:lang w:val="fr-FR"/>
        </w:rPr>
      </w:pPr>
    </w:p>
    <w:p w:rsidR="00210CC8" w:rsidRPr="00210CC8" w:rsidRDefault="00210CC8" w:rsidP="00210C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10CC8">
        <w:rPr>
          <w:lang w:val="fr-FR"/>
        </w:rPr>
        <w:t>Groupe de travail de l</w:t>
      </w:r>
      <w:r w:rsidR="00CA5192">
        <w:rPr>
          <w:lang w:val="fr-FR"/>
        </w:rPr>
        <w:t>’</w:t>
      </w:r>
      <w:r w:rsidRPr="00210CC8">
        <w:rPr>
          <w:lang w:val="fr-FR"/>
        </w:rPr>
        <w:t>éclairage et de la signalisation lumineuse</w:t>
      </w:r>
    </w:p>
    <w:p w:rsidR="00833EF7" w:rsidRPr="00833EF7" w:rsidRDefault="00833EF7" w:rsidP="00833E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210CC8" w:rsidRPr="00210CC8" w:rsidRDefault="00210CC8" w:rsidP="00210C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10CC8">
        <w:rPr>
          <w:lang w:val="fr-FR"/>
        </w:rPr>
        <w:t>Soixante-quinzième session</w:t>
      </w:r>
    </w:p>
    <w:p w:rsidR="00210CC8" w:rsidRPr="00210CC8" w:rsidRDefault="00210CC8" w:rsidP="00CA519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210CC8">
        <w:rPr>
          <w:lang w:val="fr-FR"/>
        </w:rPr>
        <w:t>Genève, 5</w:t>
      </w:r>
      <w:r w:rsidR="00CA5192">
        <w:rPr>
          <w:lang w:val="fr-FR"/>
        </w:rPr>
        <w:t>-</w:t>
      </w:r>
      <w:r w:rsidRPr="00210CC8">
        <w:rPr>
          <w:lang w:val="fr-FR"/>
        </w:rPr>
        <w:t>8 avril 2016</w:t>
      </w:r>
    </w:p>
    <w:p w:rsidR="00210CC8" w:rsidRPr="00210CC8" w:rsidRDefault="00210CC8" w:rsidP="00210CC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210CC8">
        <w:rPr>
          <w:lang w:val="fr-FR"/>
        </w:rPr>
        <w:t>Point 1 de l’ordre du jour provisoire</w:t>
      </w:r>
    </w:p>
    <w:p w:rsidR="00210CC8" w:rsidRDefault="00210CC8" w:rsidP="00210C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Adoption de l’ordre du jour</w:t>
      </w:r>
    </w:p>
    <w:p w:rsidR="00210CC8" w:rsidRPr="00210CC8" w:rsidRDefault="00210CC8" w:rsidP="00210CC8">
      <w:pPr>
        <w:pStyle w:val="SingleTxt"/>
        <w:spacing w:after="0" w:line="120" w:lineRule="exact"/>
        <w:ind w:left="0"/>
        <w:rPr>
          <w:sz w:val="10"/>
          <w:lang w:val="fr-FR"/>
        </w:rPr>
      </w:pPr>
    </w:p>
    <w:p w:rsidR="00210CC8" w:rsidRPr="00210CC8" w:rsidRDefault="00210CC8" w:rsidP="00210CC8">
      <w:pPr>
        <w:pStyle w:val="SingleTxt"/>
        <w:spacing w:after="0" w:line="120" w:lineRule="exact"/>
        <w:ind w:left="0"/>
        <w:rPr>
          <w:sz w:val="10"/>
          <w:lang w:val="fr-FR"/>
        </w:rPr>
      </w:pPr>
    </w:p>
    <w:p w:rsidR="00210CC8" w:rsidRPr="00210CC8" w:rsidRDefault="00210CC8" w:rsidP="00210CC8">
      <w:pPr>
        <w:pStyle w:val="SingleTxt"/>
        <w:spacing w:after="0" w:line="120" w:lineRule="exact"/>
        <w:ind w:left="0"/>
        <w:rPr>
          <w:sz w:val="10"/>
          <w:lang w:val="fr-FR"/>
        </w:rPr>
      </w:pPr>
    </w:p>
    <w:p w:rsidR="00CA5192" w:rsidRDefault="00210CC8" w:rsidP="00210C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OLE_LINK2"/>
      <w:r w:rsidRPr="00210CC8">
        <w:rPr>
          <w:lang w:val="fr-FR"/>
        </w:rPr>
        <w:tab/>
      </w:r>
      <w:r w:rsidRPr="00210CC8">
        <w:rPr>
          <w:lang w:val="fr-FR"/>
        </w:rPr>
        <w:tab/>
        <w:t xml:space="preserve">Ordre du jour provisoire annoté </w:t>
      </w:r>
      <w:r>
        <w:rPr>
          <w:lang w:val="fr-FR"/>
        </w:rPr>
        <w:br/>
      </w:r>
      <w:r w:rsidRPr="00210CC8">
        <w:rPr>
          <w:lang w:val="fr-FR"/>
        </w:rPr>
        <w:t>de la soixante-quinzième session</w:t>
      </w:r>
      <w:r w:rsidRPr="00B9546D">
        <w:rPr>
          <w:b w:val="0"/>
          <w:sz w:val="20"/>
          <w:szCs w:val="20"/>
          <w:vertAlign w:val="superscript"/>
          <w:lang w:val="fr-FR"/>
        </w:rPr>
        <w:footnoteReference w:id="1"/>
      </w:r>
      <w:r w:rsidRPr="00210CC8">
        <w:rPr>
          <w:b w:val="0"/>
          <w:sz w:val="20"/>
          <w:szCs w:val="20"/>
          <w:vertAlign w:val="superscript"/>
          <w:lang w:val="fr-FR"/>
        </w:rPr>
        <w:t>,</w:t>
      </w:r>
      <w:r w:rsidRPr="00210CC8">
        <w:rPr>
          <w:b w:val="0"/>
          <w:sz w:val="20"/>
          <w:szCs w:val="20"/>
          <w:lang w:val="fr-FR"/>
        </w:rPr>
        <w:t xml:space="preserve"> </w:t>
      </w:r>
      <w:r w:rsidRPr="00B9546D">
        <w:rPr>
          <w:b w:val="0"/>
          <w:sz w:val="20"/>
          <w:szCs w:val="20"/>
          <w:vertAlign w:val="superscript"/>
          <w:lang w:val="fr-FR"/>
        </w:rPr>
        <w:footnoteReference w:id="2"/>
      </w:r>
      <w:bookmarkEnd w:id="1"/>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sz w:val="10"/>
          <w:lang w:val="fr-FR"/>
        </w:rPr>
      </w:pPr>
    </w:p>
    <w:p w:rsidR="00210CC8" w:rsidRDefault="00210CC8" w:rsidP="00FF6E11">
      <w:pPr>
        <w:pStyle w:val="SingleTxt"/>
        <w:rPr>
          <w:lang w:val="fr-FR"/>
        </w:rPr>
      </w:pPr>
      <w:proofErr w:type="gramStart"/>
      <w:r w:rsidRPr="00210CC8">
        <w:rPr>
          <w:lang w:val="fr-FR"/>
        </w:rPr>
        <w:t>qui</w:t>
      </w:r>
      <w:proofErr w:type="gramEnd"/>
      <w:r w:rsidRPr="00210CC8">
        <w:rPr>
          <w:lang w:val="fr-FR"/>
        </w:rPr>
        <w:t xml:space="preserve"> s’ouvrira au Palais des Nations, à Genève, le 5</w:t>
      </w:r>
      <w:r w:rsidR="00CA5192">
        <w:rPr>
          <w:lang w:val="fr-FR"/>
        </w:rPr>
        <w:t> </w:t>
      </w:r>
      <w:r w:rsidRPr="00210CC8">
        <w:rPr>
          <w:lang w:val="fr-FR"/>
        </w:rPr>
        <w:t>avril 2016 à 9</w:t>
      </w:r>
      <w:r w:rsidR="00FF6E11">
        <w:rPr>
          <w:lang w:val="fr-FR"/>
        </w:rPr>
        <w:t> </w:t>
      </w:r>
      <w:r w:rsidRPr="00210CC8">
        <w:rPr>
          <w:lang w:val="fr-FR"/>
        </w:rPr>
        <w:t>h</w:t>
      </w:r>
      <w:r w:rsidR="00FF6E11">
        <w:rPr>
          <w:lang w:val="fr-FR"/>
        </w:rPr>
        <w:t> </w:t>
      </w:r>
      <w:r w:rsidRPr="00210CC8">
        <w:rPr>
          <w:lang w:val="fr-FR"/>
        </w:rPr>
        <w:t>30 et s’achèvera le 8</w:t>
      </w:r>
      <w:r w:rsidR="00CA5192">
        <w:rPr>
          <w:lang w:val="fr-FR"/>
        </w:rPr>
        <w:t> </w:t>
      </w:r>
      <w:r w:rsidRPr="00210CC8">
        <w:rPr>
          <w:lang w:val="fr-FR"/>
        </w:rPr>
        <w:t>avril 2016 à 17</w:t>
      </w:r>
      <w:r w:rsidR="00FF6E11">
        <w:rPr>
          <w:lang w:val="fr-FR"/>
        </w:rPr>
        <w:t> </w:t>
      </w:r>
      <w:r w:rsidRPr="00210CC8">
        <w:rPr>
          <w:lang w:val="fr-FR"/>
        </w:rPr>
        <w:t>h</w:t>
      </w:r>
      <w:r w:rsidR="00FF6E11">
        <w:rPr>
          <w:lang w:val="fr-FR"/>
        </w:rPr>
        <w:t> </w:t>
      </w:r>
      <w:r w:rsidRPr="00210CC8">
        <w:rPr>
          <w:lang w:val="fr-FR"/>
        </w:rPr>
        <w:t>30.</w:t>
      </w:r>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sz w:val="10"/>
          <w:lang w:val="fr-CH"/>
        </w:rPr>
      </w:pPr>
    </w:p>
    <w:p w:rsidR="00210CC8" w:rsidRDefault="00210CC8" w:rsidP="00210C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I.</w:t>
      </w:r>
      <w:r w:rsidRPr="00210CC8">
        <w:rPr>
          <w:lang w:val="fr-FR"/>
        </w:rPr>
        <w:tab/>
        <w:t>Ordre du jour provisoire</w:t>
      </w:r>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sz w:val="10"/>
          <w:lang w:val="fr-FR"/>
        </w:rPr>
      </w:pPr>
    </w:p>
    <w:p w:rsidR="00210CC8" w:rsidRPr="00210CC8" w:rsidRDefault="00210CC8" w:rsidP="00B9546D">
      <w:pPr>
        <w:pStyle w:val="SingleTxt"/>
        <w:ind w:left="1742" w:hanging="475"/>
        <w:jc w:val="left"/>
        <w:rPr>
          <w:lang w:val="fr-CH"/>
        </w:rPr>
      </w:pPr>
      <w:r w:rsidRPr="00210CC8">
        <w:rPr>
          <w:lang w:val="fr-FR"/>
        </w:rPr>
        <w:t>1.</w:t>
      </w:r>
      <w:r w:rsidRPr="00210CC8">
        <w:rPr>
          <w:lang w:val="fr-FR"/>
        </w:rPr>
        <w:tab/>
        <w:t>Adoption de l’ordre du jour.</w:t>
      </w:r>
    </w:p>
    <w:p w:rsidR="00210CC8" w:rsidRPr="00210CC8" w:rsidRDefault="00210CC8" w:rsidP="00CA5192">
      <w:pPr>
        <w:pStyle w:val="SingleTxt"/>
        <w:ind w:left="1742" w:hanging="475"/>
        <w:jc w:val="left"/>
        <w:rPr>
          <w:lang w:val="fr-CH"/>
        </w:rPr>
      </w:pPr>
      <w:r w:rsidRPr="00210CC8">
        <w:rPr>
          <w:lang w:val="fr-FR"/>
        </w:rPr>
        <w:t>2.</w:t>
      </w:r>
      <w:r w:rsidRPr="00210CC8">
        <w:rPr>
          <w:lang w:val="fr-FR"/>
        </w:rPr>
        <w:tab/>
        <w:t xml:space="preserve">Accord de 1998 </w:t>
      </w:r>
      <w:r w:rsidR="00CA5192">
        <w:rPr>
          <w:lang w:val="fr-FR"/>
        </w:rPr>
        <w:t>–</w:t>
      </w:r>
      <w:r w:rsidRPr="00210CC8">
        <w:rPr>
          <w:lang w:val="fr-FR"/>
        </w:rPr>
        <w:t xml:space="preserve"> Règlements techniques mondiaux (RTM) : éléments nouveaux.</w:t>
      </w:r>
    </w:p>
    <w:p w:rsidR="00210CC8" w:rsidRPr="00210CC8" w:rsidRDefault="00210CC8" w:rsidP="00CA5192">
      <w:pPr>
        <w:pStyle w:val="SingleTxt"/>
        <w:ind w:left="1742" w:hanging="475"/>
        <w:jc w:val="left"/>
        <w:rPr>
          <w:lang w:val="fr-CH"/>
        </w:rPr>
      </w:pPr>
      <w:r w:rsidRPr="00210CC8">
        <w:rPr>
          <w:lang w:val="fr-FR"/>
        </w:rPr>
        <w:t>3.</w:t>
      </w:r>
      <w:r w:rsidRPr="00210CC8">
        <w:rPr>
          <w:lang w:val="fr-FR"/>
        </w:rPr>
        <w:tab/>
        <w:t xml:space="preserve">Accord de 1997 </w:t>
      </w:r>
      <w:r w:rsidR="00CA5192">
        <w:rPr>
          <w:lang w:val="fr-FR"/>
        </w:rPr>
        <w:t>–</w:t>
      </w:r>
      <w:r w:rsidRPr="00210CC8">
        <w:rPr>
          <w:lang w:val="fr-FR"/>
        </w:rPr>
        <w:t xml:space="preserve"> Règles</w:t>
      </w:r>
      <w:r w:rsidR="00CA5192">
        <w:rPr>
          <w:lang w:val="fr-FR"/>
        </w:rPr>
        <w:t> :</w:t>
      </w:r>
      <w:r w:rsidRPr="00210CC8">
        <w:rPr>
          <w:lang w:val="fr-FR"/>
        </w:rPr>
        <w:t xml:space="preserve"> élaboration.</w:t>
      </w:r>
    </w:p>
    <w:p w:rsidR="00210CC8" w:rsidRPr="00210CC8" w:rsidRDefault="00210CC8" w:rsidP="00B9546D">
      <w:pPr>
        <w:pStyle w:val="SingleTxt"/>
        <w:ind w:left="1742" w:hanging="475"/>
        <w:jc w:val="left"/>
        <w:rPr>
          <w:lang w:val="fr-CH"/>
        </w:rPr>
      </w:pPr>
      <w:r w:rsidRPr="00210CC8">
        <w:rPr>
          <w:lang w:val="fr-FR"/>
        </w:rPr>
        <w:lastRenderedPageBreak/>
        <w:t>4.</w:t>
      </w:r>
      <w:r w:rsidRPr="00210CC8">
        <w:rPr>
          <w:lang w:val="fr-FR"/>
        </w:rPr>
        <w:tab/>
      </w:r>
      <w:r w:rsidRPr="00B9546D">
        <w:rPr>
          <w:rFonts w:eastAsiaTheme="minorHAnsi"/>
          <w:lang w:val="fr-FR" w:eastAsia="en-US"/>
        </w:rPr>
        <w:t>Simplification</w:t>
      </w:r>
      <w:r w:rsidRPr="00210CC8">
        <w:rPr>
          <w:lang w:val="fr-FR"/>
        </w:rPr>
        <w:t xml:space="preserve"> des Règlements concernant l’éclairage et la signalisation lumineuse.</w:t>
      </w:r>
    </w:p>
    <w:p w:rsidR="00210CC8" w:rsidRPr="00210CC8" w:rsidRDefault="00210CC8" w:rsidP="00FF6E11">
      <w:pPr>
        <w:pStyle w:val="SingleTxt"/>
        <w:ind w:left="1742" w:hanging="475"/>
        <w:jc w:val="left"/>
        <w:rPr>
          <w:lang w:val="fr-CH"/>
        </w:rPr>
      </w:pPr>
      <w:r w:rsidRPr="00210CC8">
        <w:rPr>
          <w:lang w:val="fr-FR"/>
        </w:rPr>
        <w:t>5.</w:t>
      </w:r>
      <w:r w:rsidRPr="00210CC8">
        <w:rPr>
          <w:lang w:val="fr-FR"/>
        </w:rPr>
        <w:tab/>
      </w:r>
      <w:r w:rsidRPr="00B9546D">
        <w:rPr>
          <w:rFonts w:eastAsiaTheme="minorHAnsi"/>
          <w:lang w:val="fr-FR" w:eastAsia="en-US"/>
        </w:rPr>
        <w:t>Règlements</w:t>
      </w:r>
      <w:r w:rsidRPr="00210CC8">
        <w:rPr>
          <w:lang w:val="fr-FR"/>
        </w:rPr>
        <w:t xml:space="preserve"> </w:t>
      </w:r>
      <w:r w:rsidR="00CA5192">
        <w:rPr>
          <w:lang w:val="fr-FR"/>
        </w:rPr>
        <w:t>n</w:t>
      </w:r>
      <w:r w:rsidR="00CA5192" w:rsidRPr="00CA5192">
        <w:rPr>
          <w:vertAlign w:val="superscript"/>
          <w:lang w:val="fr-FR"/>
        </w:rPr>
        <w:t>os</w:t>
      </w:r>
      <w:r w:rsidR="00CA5192">
        <w:rPr>
          <w:lang w:val="fr-FR"/>
        </w:rPr>
        <w:t> </w:t>
      </w:r>
      <w:r w:rsidRPr="00210CC8">
        <w:rPr>
          <w:lang w:val="fr-FR"/>
        </w:rPr>
        <w:t>37 (Lampes à incandescence), 99 (Sources lumineuses à décharge) et 128 (Sources lumineuses à diodes électroluminescentes).</w:t>
      </w:r>
    </w:p>
    <w:p w:rsidR="00210CC8" w:rsidRPr="00210CC8" w:rsidRDefault="00210CC8" w:rsidP="00CA5192">
      <w:pPr>
        <w:pStyle w:val="SingleTxt"/>
        <w:ind w:left="1742" w:hanging="475"/>
        <w:jc w:val="left"/>
        <w:rPr>
          <w:lang w:val="fr-CH"/>
        </w:rPr>
      </w:pPr>
      <w:r w:rsidRPr="00210CC8">
        <w:rPr>
          <w:lang w:val="fr-FR"/>
        </w:rPr>
        <w:t>6.</w:t>
      </w:r>
      <w:r w:rsidRPr="00210CC8">
        <w:rPr>
          <w:lang w:val="fr-FR"/>
        </w:rPr>
        <w:tab/>
      </w:r>
      <w:r w:rsidRPr="00B9546D">
        <w:rPr>
          <w:rFonts w:eastAsiaTheme="minorHAnsi"/>
          <w:lang w:val="fr-FR" w:eastAsia="en-US"/>
        </w:rPr>
        <w:t>Règlement</w:t>
      </w:r>
      <w:r w:rsidRPr="00210CC8">
        <w:rPr>
          <w:lang w:val="fr-FR"/>
        </w:rPr>
        <w:t xml:space="preserve"> </w:t>
      </w:r>
      <w:r w:rsidR="00CA5192">
        <w:rPr>
          <w:lang w:val="fr-FR"/>
        </w:rPr>
        <w:t>n</w:t>
      </w:r>
      <w:r w:rsidR="00CA5192" w:rsidRPr="00CA5192">
        <w:rPr>
          <w:vertAlign w:val="superscript"/>
          <w:lang w:val="fr-FR"/>
        </w:rPr>
        <w:t>o</w:t>
      </w:r>
      <w:r w:rsidR="00CA5192">
        <w:rPr>
          <w:lang w:val="fr-FR"/>
        </w:rPr>
        <w:t> </w:t>
      </w:r>
      <w:r w:rsidRPr="00210CC8">
        <w:rPr>
          <w:lang w:val="fr-FR"/>
        </w:rPr>
        <w:t>48 (Installation des dispositifs d’éclairage et de signalisation lumineuse):</w:t>
      </w:r>
    </w:p>
    <w:p w:rsidR="00210CC8" w:rsidRPr="00210CC8" w:rsidRDefault="00210CC8" w:rsidP="00880648">
      <w:pPr>
        <w:pStyle w:val="SingleTxt"/>
        <w:ind w:left="2217" w:hanging="950"/>
        <w:rPr>
          <w:lang w:val="fr-CH"/>
        </w:rPr>
      </w:pPr>
      <w:r w:rsidRPr="00210CC8">
        <w:rPr>
          <w:lang w:val="fr-FR"/>
        </w:rPr>
        <w:tab/>
        <w:t>a)</w:t>
      </w:r>
      <w:r w:rsidRPr="00210CC8">
        <w:rPr>
          <w:lang w:val="fr-FR"/>
        </w:rPr>
        <w:tab/>
        <w:t>Propositions d’amendements aux séries 05 et 06 d’amendements;</w:t>
      </w:r>
    </w:p>
    <w:p w:rsidR="00210CC8" w:rsidRPr="00210CC8" w:rsidRDefault="00210CC8" w:rsidP="00CA5192">
      <w:pPr>
        <w:pStyle w:val="SingleTxt"/>
        <w:ind w:left="2217" w:hanging="950"/>
        <w:rPr>
          <w:lang w:val="fr-CH"/>
        </w:rPr>
      </w:pPr>
      <w:r w:rsidRPr="00210CC8">
        <w:rPr>
          <w:lang w:val="fr-FR"/>
        </w:rPr>
        <w:tab/>
        <w:t>b)</w:t>
      </w:r>
      <w:r w:rsidRPr="00210CC8">
        <w:rPr>
          <w:lang w:val="fr-FR"/>
        </w:rPr>
        <w:tab/>
        <w:t xml:space="preserve">Autres propositions d’amendements au Règlement </w:t>
      </w:r>
      <w:r w:rsidR="00CA5192">
        <w:rPr>
          <w:lang w:val="fr-FR"/>
        </w:rPr>
        <w:t>n</w:t>
      </w:r>
      <w:r w:rsidR="00CA5192" w:rsidRPr="00CA5192">
        <w:rPr>
          <w:vertAlign w:val="superscript"/>
          <w:lang w:val="fr-FR"/>
        </w:rPr>
        <w:t>o</w:t>
      </w:r>
      <w:r w:rsidR="00CA5192">
        <w:rPr>
          <w:lang w:val="fr-FR"/>
        </w:rPr>
        <w:t> </w:t>
      </w:r>
      <w:r w:rsidRPr="00210CC8">
        <w:rPr>
          <w:lang w:val="fr-FR"/>
        </w:rPr>
        <w:t>48.</w:t>
      </w:r>
    </w:p>
    <w:p w:rsidR="00210CC8" w:rsidRPr="00210CC8" w:rsidRDefault="00210CC8" w:rsidP="00CA5192">
      <w:pPr>
        <w:pStyle w:val="SingleTxt"/>
        <w:ind w:left="1742" w:hanging="475"/>
        <w:jc w:val="left"/>
        <w:rPr>
          <w:lang w:val="fr-CH"/>
        </w:rPr>
      </w:pPr>
      <w:r w:rsidRPr="00210CC8">
        <w:rPr>
          <w:lang w:val="fr-FR"/>
        </w:rPr>
        <w:t>7.</w:t>
      </w:r>
      <w:r w:rsidRPr="00210CC8">
        <w:rPr>
          <w:lang w:val="fr-FR"/>
        </w:rPr>
        <w:tab/>
      </w:r>
      <w:r w:rsidRPr="00B9546D">
        <w:rPr>
          <w:rFonts w:eastAsiaTheme="minorHAnsi"/>
          <w:lang w:val="fr-FR" w:eastAsia="en-US"/>
        </w:rPr>
        <w:t>Autres</w:t>
      </w:r>
      <w:r w:rsidRPr="00210CC8">
        <w:rPr>
          <w:lang w:val="fr-FR"/>
        </w:rPr>
        <w:t xml:space="preserve"> Règlements</w:t>
      </w:r>
      <w:r w:rsidR="00CA5192">
        <w:rPr>
          <w:lang w:val="fr-FR"/>
        </w:rPr>
        <w:t> :</w:t>
      </w:r>
    </w:p>
    <w:p w:rsidR="00880648" w:rsidRDefault="00210CC8" w:rsidP="00CA5192">
      <w:pPr>
        <w:pStyle w:val="SingleTxt"/>
        <w:rPr>
          <w:lang w:val="fr-CH"/>
        </w:rPr>
      </w:pPr>
      <w:r w:rsidRPr="00210CC8">
        <w:rPr>
          <w:lang w:val="fr-FR"/>
        </w:rPr>
        <w:tab/>
        <w:t>a)</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6 (Feux indicateurs de direction);</w:t>
      </w:r>
    </w:p>
    <w:p w:rsidR="00880648" w:rsidRDefault="00880648" w:rsidP="00CA5192">
      <w:pPr>
        <w:pStyle w:val="SingleTxt"/>
        <w:ind w:left="2217" w:hanging="950"/>
        <w:rPr>
          <w:lang w:val="fr-CH"/>
        </w:rPr>
      </w:pPr>
      <w:r>
        <w:rPr>
          <w:lang w:val="fr-CH"/>
        </w:rPr>
        <w:tab/>
      </w:r>
      <w:r w:rsidR="00210CC8" w:rsidRPr="00210CC8">
        <w:rPr>
          <w:lang w:val="fr-FR"/>
        </w:rPr>
        <w:t>b)</w:t>
      </w:r>
      <w:r w:rsidR="00210CC8"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00210CC8" w:rsidRPr="00210CC8">
        <w:rPr>
          <w:lang w:val="fr-FR"/>
        </w:rPr>
        <w:t>7 (Feux de position, feux-stop et feux d’encombrement);</w:t>
      </w:r>
    </w:p>
    <w:p w:rsidR="00880648" w:rsidRDefault="00880648" w:rsidP="00CA5192">
      <w:pPr>
        <w:pStyle w:val="SingleTxt"/>
        <w:ind w:left="2217" w:hanging="950"/>
        <w:rPr>
          <w:lang w:val="fr-CH"/>
        </w:rPr>
      </w:pPr>
      <w:r>
        <w:rPr>
          <w:lang w:val="fr-CH"/>
        </w:rPr>
        <w:tab/>
      </w:r>
      <w:r w:rsidR="00210CC8" w:rsidRPr="00210CC8">
        <w:rPr>
          <w:lang w:val="fr-FR"/>
        </w:rPr>
        <w:t xml:space="preserve">c) </w:t>
      </w:r>
      <w:r w:rsidR="00210CC8"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00210CC8" w:rsidRPr="00210CC8">
        <w:rPr>
          <w:lang w:val="fr-FR"/>
        </w:rPr>
        <w:t>10 (Compatibilité électromagnétique);</w:t>
      </w:r>
    </w:p>
    <w:p w:rsidR="00880648" w:rsidRDefault="00880648" w:rsidP="00CA5192">
      <w:pPr>
        <w:pStyle w:val="SingleTxt"/>
        <w:rPr>
          <w:lang w:val="fr-CH"/>
        </w:rPr>
      </w:pPr>
      <w:r>
        <w:rPr>
          <w:lang w:val="fr-CH"/>
        </w:rPr>
        <w:tab/>
      </w:r>
      <w:r w:rsidR="00210CC8" w:rsidRPr="00210CC8">
        <w:rPr>
          <w:lang w:val="fr-FR"/>
        </w:rPr>
        <w:t>d)</w:t>
      </w:r>
      <w:r w:rsidR="00210CC8"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00210CC8" w:rsidRPr="00210CC8">
        <w:rPr>
          <w:lang w:val="fr-FR"/>
        </w:rPr>
        <w:t>19 (Feux de brouillard avant);</w:t>
      </w:r>
    </w:p>
    <w:p w:rsidR="00880648" w:rsidRDefault="00880648" w:rsidP="00CA5192">
      <w:pPr>
        <w:pStyle w:val="SingleTxt"/>
        <w:ind w:left="2217" w:hanging="950"/>
        <w:rPr>
          <w:lang w:val="fr-CH"/>
        </w:rPr>
      </w:pPr>
      <w:r>
        <w:rPr>
          <w:lang w:val="fr-CH"/>
        </w:rPr>
        <w:tab/>
      </w:r>
      <w:r w:rsidR="00210CC8" w:rsidRPr="00210CC8">
        <w:rPr>
          <w:lang w:val="fr-FR"/>
        </w:rPr>
        <w:t>e)</w:t>
      </w:r>
      <w:r w:rsidR="00210CC8"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00210CC8" w:rsidRPr="00210CC8">
        <w:rPr>
          <w:lang w:val="fr-FR"/>
        </w:rPr>
        <w:t>23 (Feux de marche arrière);</w:t>
      </w:r>
    </w:p>
    <w:p w:rsidR="00880648" w:rsidRDefault="00880648" w:rsidP="00CA5192">
      <w:pPr>
        <w:pStyle w:val="SingleTxt"/>
        <w:ind w:left="2217" w:hanging="950"/>
        <w:rPr>
          <w:lang w:val="fr-CH"/>
        </w:rPr>
      </w:pPr>
      <w:r>
        <w:rPr>
          <w:lang w:val="fr-CH"/>
        </w:rPr>
        <w:tab/>
      </w:r>
      <w:r w:rsidR="00210CC8" w:rsidRPr="00210CC8">
        <w:rPr>
          <w:lang w:val="fr-FR"/>
        </w:rPr>
        <w:t>f)</w:t>
      </w:r>
      <w:r w:rsidR="00210CC8"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00210CC8" w:rsidRPr="00210CC8">
        <w:rPr>
          <w:lang w:val="fr-FR"/>
        </w:rPr>
        <w:t>38 (Feux de brouillard arrière);</w:t>
      </w:r>
    </w:p>
    <w:p w:rsidR="00210CC8" w:rsidRPr="00210CC8" w:rsidRDefault="00880648" w:rsidP="00CA5192">
      <w:pPr>
        <w:pStyle w:val="SingleTxt"/>
        <w:ind w:left="2217" w:hanging="950"/>
        <w:rPr>
          <w:lang w:val="fr-CH"/>
        </w:rPr>
      </w:pPr>
      <w:r>
        <w:rPr>
          <w:lang w:val="fr-CH"/>
        </w:rPr>
        <w:tab/>
      </w:r>
      <w:r w:rsidR="00210CC8" w:rsidRPr="00210CC8">
        <w:rPr>
          <w:lang w:val="fr-FR"/>
        </w:rPr>
        <w:t>g)</w:t>
      </w:r>
      <w:r w:rsidR="00210CC8"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00210CC8" w:rsidRPr="00210CC8">
        <w:rPr>
          <w:lang w:val="fr-FR"/>
        </w:rPr>
        <w:t>45 (Nettoie-projecteurs);</w:t>
      </w:r>
    </w:p>
    <w:p w:rsidR="00880648" w:rsidRDefault="00880648" w:rsidP="00CA5192">
      <w:pPr>
        <w:pStyle w:val="SingleTxt"/>
        <w:ind w:left="2217" w:hanging="950"/>
        <w:rPr>
          <w:lang w:val="fr-CH"/>
        </w:rPr>
      </w:pPr>
      <w:r>
        <w:rPr>
          <w:lang w:val="fr-FR"/>
        </w:rPr>
        <w:tab/>
      </w:r>
      <w:r w:rsidR="00210CC8" w:rsidRPr="00210CC8">
        <w:rPr>
          <w:lang w:val="fr-FR"/>
        </w:rPr>
        <w:t>h)</w:t>
      </w:r>
      <w:r w:rsidR="00210CC8"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00210CC8" w:rsidRPr="00210CC8">
        <w:rPr>
          <w:lang w:val="fr-FR"/>
        </w:rPr>
        <w:t>50 (Feux de position, feux-stop, feux indicateurs de direction pour cyclomoteurs et motocycles);</w:t>
      </w:r>
    </w:p>
    <w:p w:rsidR="00880648" w:rsidRDefault="00880648" w:rsidP="00CA5192">
      <w:pPr>
        <w:pStyle w:val="SingleTxt"/>
        <w:ind w:left="2217" w:hanging="950"/>
        <w:rPr>
          <w:lang w:val="fr-CH"/>
        </w:rPr>
      </w:pPr>
      <w:r>
        <w:rPr>
          <w:lang w:val="fr-CH"/>
        </w:rPr>
        <w:tab/>
      </w:r>
      <w:r w:rsidR="00210CC8" w:rsidRPr="00210CC8">
        <w:rPr>
          <w:lang w:val="fr-FR"/>
        </w:rPr>
        <w:t>i)</w:t>
      </w:r>
      <w:r w:rsidR="00210CC8"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00210CC8" w:rsidRPr="00210CC8">
        <w:rPr>
          <w:lang w:val="fr-FR"/>
        </w:rPr>
        <w:t>53 (Installation des dispositifs d’éclairage et de signalisation lumineuse sur les véhicules de la catégorie L</w:t>
      </w:r>
      <w:r w:rsidR="00210CC8" w:rsidRPr="00833EF7">
        <w:rPr>
          <w:vertAlign w:val="subscript"/>
          <w:lang w:val="fr-FR"/>
        </w:rPr>
        <w:t>3</w:t>
      </w:r>
      <w:r w:rsidR="00210CC8" w:rsidRPr="00210CC8">
        <w:rPr>
          <w:lang w:val="fr-FR"/>
        </w:rPr>
        <w:t>);</w:t>
      </w:r>
    </w:p>
    <w:p w:rsidR="00880648" w:rsidRDefault="00880648" w:rsidP="00CA5192">
      <w:pPr>
        <w:pStyle w:val="SingleTxt"/>
        <w:ind w:left="2217" w:hanging="950"/>
        <w:rPr>
          <w:lang w:val="fr-CH"/>
        </w:rPr>
      </w:pPr>
      <w:r>
        <w:rPr>
          <w:lang w:val="fr-CH"/>
        </w:rPr>
        <w:tab/>
      </w:r>
      <w:r w:rsidR="00210CC8" w:rsidRPr="00210CC8">
        <w:rPr>
          <w:lang w:val="fr-FR"/>
        </w:rPr>
        <w:t>j)</w:t>
      </w:r>
      <w:r w:rsidR="00210CC8"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00210CC8" w:rsidRPr="00210CC8">
        <w:rPr>
          <w:lang w:val="fr-FR"/>
        </w:rPr>
        <w:t>77 (Feux de stationnement);</w:t>
      </w:r>
    </w:p>
    <w:p w:rsidR="00880648" w:rsidRDefault="00880648" w:rsidP="00CA5192">
      <w:pPr>
        <w:pStyle w:val="SingleTxt"/>
        <w:ind w:left="2217" w:hanging="950"/>
        <w:rPr>
          <w:lang w:val="fr-CH"/>
        </w:rPr>
      </w:pPr>
      <w:r>
        <w:rPr>
          <w:lang w:val="fr-CH"/>
        </w:rPr>
        <w:tab/>
      </w:r>
      <w:r w:rsidR="00210CC8" w:rsidRPr="00210CC8">
        <w:rPr>
          <w:lang w:val="fr-FR"/>
        </w:rPr>
        <w:t>k)</w:t>
      </w:r>
      <w:r w:rsidR="00210CC8"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00210CC8" w:rsidRPr="00210CC8">
        <w:rPr>
          <w:lang w:val="fr-FR"/>
        </w:rPr>
        <w:t>86 (Installation des dispositifs d’éclairage et de signalisation lumineuse des tracteurs agricoles);</w:t>
      </w:r>
    </w:p>
    <w:p w:rsidR="00880648" w:rsidRDefault="00880648" w:rsidP="00CA5192">
      <w:pPr>
        <w:pStyle w:val="SingleTxt"/>
        <w:ind w:left="2217" w:hanging="950"/>
        <w:rPr>
          <w:lang w:val="fr-CH"/>
        </w:rPr>
      </w:pPr>
      <w:r>
        <w:rPr>
          <w:lang w:val="fr-CH"/>
        </w:rPr>
        <w:tab/>
      </w:r>
      <w:r w:rsidR="00210CC8" w:rsidRPr="00210CC8">
        <w:rPr>
          <w:lang w:val="fr-FR"/>
        </w:rPr>
        <w:t>l)</w:t>
      </w:r>
      <w:r w:rsidR="00210CC8"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00210CC8" w:rsidRPr="00210CC8">
        <w:rPr>
          <w:lang w:val="fr-FR"/>
        </w:rPr>
        <w:t>87 (Feux de circulation diurne);</w:t>
      </w:r>
    </w:p>
    <w:p w:rsidR="00880648" w:rsidRDefault="00880648" w:rsidP="00CA5192">
      <w:pPr>
        <w:pStyle w:val="SingleTxt"/>
        <w:ind w:left="2217" w:hanging="950"/>
        <w:rPr>
          <w:lang w:val="fr-CH"/>
        </w:rPr>
      </w:pPr>
      <w:r>
        <w:rPr>
          <w:lang w:val="fr-CH"/>
        </w:rPr>
        <w:tab/>
      </w:r>
      <w:r w:rsidR="00210CC8" w:rsidRPr="00210CC8">
        <w:rPr>
          <w:lang w:val="fr-FR"/>
        </w:rPr>
        <w:t>m)</w:t>
      </w:r>
      <w:r w:rsidR="00210CC8"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00210CC8" w:rsidRPr="00210CC8">
        <w:rPr>
          <w:lang w:val="fr-FR"/>
        </w:rPr>
        <w:t>91 (Feux de position latéraux);</w:t>
      </w:r>
    </w:p>
    <w:p w:rsidR="00880648" w:rsidRDefault="00880648" w:rsidP="00CA5192">
      <w:pPr>
        <w:pStyle w:val="SingleTxt"/>
        <w:ind w:left="2217" w:hanging="950"/>
        <w:rPr>
          <w:lang w:val="fr-CH"/>
        </w:rPr>
      </w:pPr>
      <w:r>
        <w:rPr>
          <w:lang w:val="fr-CH"/>
        </w:rPr>
        <w:tab/>
      </w:r>
      <w:r w:rsidR="00210CC8" w:rsidRPr="00210CC8">
        <w:rPr>
          <w:lang w:val="fr-FR"/>
        </w:rPr>
        <w:t>n)</w:t>
      </w:r>
      <w:r w:rsidR="00210CC8"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00210CC8" w:rsidRPr="00210CC8">
        <w:rPr>
          <w:lang w:val="fr-FR"/>
        </w:rPr>
        <w:t>98 (Projecteurs munis de sources lumineuses à décharge);</w:t>
      </w:r>
    </w:p>
    <w:p w:rsidR="00880648" w:rsidRDefault="00880648" w:rsidP="00CA5192">
      <w:pPr>
        <w:pStyle w:val="SingleTxt"/>
        <w:ind w:left="2217" w:hanging="950"/>
        <w:rPr>
          <w:lang w:val="fr-CH"/>
        </w:rPr>
      </w:pPr>
      <w:r>
        <w:rPr>
          <w:lang w:val="fr-CH"/>
        </w:rPr>
        <w:tab/>
      </w:r>
      <w:r w:rsidR="00210CC8" w:rsidRPr="00210CC8">
        <w:rPr>
          <w:lang w:val="fr-FR"/>
        </w:rPr>
        <w:t>o)</w:t>
      </w:r>
      <w:r w:rsidR="00210CC8"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00210CC8" w:rsidRPr="00210CC8">
        <w:rPr>
          <w:lang w:val="fr-FR"/>
        </w:rPr>
        <w:t>112 (Projecteurs émettant un faisceau de croisement asymétrique);</w:t>
      </w:r>
    </w:p>
    <w:p w:rsidR="00880648" w:rsidRDefault="00880648" w:rsidP="00CA5192">
      <w:pPr>
        <w:pStyle w:val="SingleTxt"/>
        <w:ind w:left="2217" w:hanging="950"/>
        <w:rPr>
          <w:lang w:val="fr-CH"/>
        </w:rPr>
      </w:pPr>
      <w:r>
        <w:rPr>
          <w:lang w:val="fr-CH"/>
        </w:rPr>
        <w:tab/>
      </w:r>
      <w:r w:rsidR="00210CC8" w:rsidRPr="00210CC8">
        <w:rPr>
          <w:lang w:val="fr-FR"/>
        </w:rPr>
        <w:t>p)</w:t>
      </w:r>
      <w:r w:rsidR="00210CC8"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00210CC8" w:rsidRPr="00210CC8">
        <w:rPr>
          <w:lang w:val="fr-FR"/>
        </w:rPr>
        <w:t>113 (Projecteurs émettant un faisceau de croisement symétrique);</w:t>
      </w:r>
    </w:p>
    <w:p w:rsidR="00880648" w:rsidRDefault="00880648" w:rsidP="00CA5192">
      <w:pPr>
        <w:pStyle w:val="SingleTxt"/>
        <w:ind w:left="2217" w:hanging="950"/>
        <w:rPr>
          <w:lang w:val="fr-CH"/>
        </w:rPr>
      </w:pPr>
      <w:r>
        <w:rPr>
          <w:lang w:val="fr-CH"/>
        </w:rPr>
        <w:tab/>
      </w:r>
      <w:r w:rsidR="00210CC8" w:rsidRPr="00210CC8">
        <w:rPr>
          <w:lang w:val="fr-FR"/>
        </w:rPr>
        <w:t>q)</w:t>
      </w:r>
      <w:r w:rsidR="00210CC8"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00210CC8" w:rsidRPr="00210CC8">
        <w:rPr>
          <w:lang w:val="fr-FR"/>
        </w:rPr>
        <w:t>119 (Feux d’angle);</w:t>
      </w:r>
    </w:p>
    <w:p w:rsidR="00210CC8" w:rsidRPr="00210CC8" w:rsidRDefault="00880648" w:rsidP="00CA5192">
      <w:pPr>
        <w:pStyle w:val="SingleTxt"/>
        <w:ind w:left="2217" w:hanging="950"/>
        <w:rPr>
          <w:lang w:val="fr-CH"/>
        </w:rPr>
      </w:pPr>
      <w:r>
        <w:rPr>
          <w:lang w:val="fr-CH"/>
        </w:rPr>
        <w:tab/>
      </w:r>
      <w:r w:rsidR="00210CC8" w:rsidRPr="00210CC8">
        <w:rPr>
          <w:lang w:val="fr-FR"/>
        </w:rPr>
        <w:t>r)</w:t>
      </w:r>
      <w:r w:rsidR="00210CC8"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00210CC8" w:rsidRPr="00210CC8">
        <w:rPr>
          <w:lang w:val="fr-FR"/>
        </w:rPr>
        <w:t>123 (Systèmes d’éclairage avant actifs (AFS)).</w:t>
      </w:r>
    </w:p>
    <w:p w:rsidR="00210CC8" w:rsidRPr="00210CC8" w:rsidRDefault="00210CC8" w:rsidP="00B9546D">
      <w:pPr>
        <w:pStyle w:val="SingleTxt"/>
        <w:ind w:left="1742" w:hanging="475"/>
        <w:jc w:val="left"/>
        <w:rPr>
          <w:lang w:val="fr-CH"/>
        </w:rPr>
      </w:pPr>
      <w:r w:rsidRPr="00210CC8">
        <w:rPr>
          <w:lang w:val="fr-FR"/>
        </w:rPr>
        <w:t>8.</w:t>
      </w:r>
      <w:r w:rsidRPr="00210CC8">
        <w:rPr>
          <w:lang w:val="fr-FR"/>
        </w:rPr>
        <w:tab/>
      </w:r>
      <w:r w:rsidRPr="00B9546D">
        <w:rPr>
          <w:rFonts w:eastAsiaTheme="minorHAnsi"/>
          <w:lang w:val="fr-FR" w:eastAsia="en-US"/>
        </w:rPr>
        <w:t>Propositions</w:t>
      </w:r>
      <w:r w:rsidRPr="00210CC8">
        <w:rPr>
          <w:lang w:val="fr-FR"/>
        </w:rPr>
        <w:t xml:space="preserve"> d’amendements en suspens.</w:t>
      </w:r>
    </w:p>
    <w:p w:rsidR="00210CC8" w:rsidRPr="00210CC8" w:rsidRDefault="00210CC8" w:rsidP="00CA5192">
      <w:pPr>
        <w:pStyle w:val="SingleTxt"/>
        <w:ind w:left="1742" w:hanging="475"/>
        <w:jc w:val="left"/>
        <w:rPr>
          <w:lang w:val="fr-CH"/>
        </w:rPr>
      </w:pPr>
      <w:r w:rsidRPr="00210CC8">
        <w:rPr>
          <w:lang w:val="fr-FR"/>
        </w:rPr>
        <w:t>9.</w:t>
      </w:r>
      <w:r w:rsidRPr="00210CC8">
        <w:rPr>
          <w:lang w:val="fr-FR"/>
        </w:rPr>
        <w:tab/>
      </w:r>
      <w:r w:rsidRPr="00B9546D">
        <w:rPr>
          <w:rFonts w:eastAsiaTheme="minorHAnsi"/>
          <w:lang w:val="fr-FR" w:eastAsia="en-US"/>
        </w:rPr>
        <w:t>Questions</w:t>
      </w:r>
      <w:r w:rsidRPr="00210CC8">
        <w:rPr>
          <w:lang w:val="fr-FR"/>
        </w:rPr>
        <w:t xml:space="preserve"> diverses</w:t>
      </w:r>
      <w:r w:rsidR="00CA5192">
        <w:rPr>
          <w:lang w:val="fr-FR"/>
        </w:rPr>
        <w:t> :</w:t>
      </w:r>
    </w:p>
    <w:p w:rsidR="00210CC8" w:rsidRPr="00210CC8" w:rsidRDefault="00210CC8" w:rsidP="00880648">
      <w:pPr>
        <w:pStyle w:val="SingleTxt"/>
        <w:ind w:left="2217" w:hanging="950"/>
        <w:rPr>
          <w:lang w:val="fr-CH"/>
        </w:rPr>
      </w:pPr>
      <w:r w:rsidRPr="00210CC8">
        <w:rPr>
          <w:lang w:val="fr-FR"/>
        </w:rPr>
        <w:tab/>
        <w:t>a)</w:t>
      </w:r>
      <w:r w:rsidRPr="00210CC8">
        <w:rPr>
          <w:lang w:val="fr-FR"/>
        </w:rPr>
        <w:tab/>
        <w:t>Amendements à la Convention sur la circulation routière (Vienne, 1968);</w:t>
      </w:r>
    </w:p>
    <w:p w:rsidR="00210CC8" w:rsidRPr="00210CC8" w:rsidRDefault="00210CC8" w:rsidP="00880648">
      <w:pPr>
        <w:pStyle w:val="SingleTxt"/>
        <w:ind w:left="2217" w:hanging="950"/>
        <w:rPr>
          <w:lang w:val="fr-CH"/>
        </w:rPr>
      </w:pPr>
      <w:r w:rsidRPr="00210CC8">
        <w:rPr>
          <w:lang w:val="fr-FR"/>
        </w:rPr>
        <w:tab/>
        <w:t>b)</w:t>
      </w:r>
      <w:r w:rsidRPr="00210CC8">
        <w:rPr>
          <w:lang w:val="fr-FR"/>
        </w:rPr>
        <w:tab/>
        <w:t>Décennie d’action pour la sécurité routière 2011-2020;</w:t>
      </w:r>
    </w:p>
    <w:p w:rsidR="00210CC8" w:rsidRPr="00210CC8" w:rsidRDefault="00210CC8" w:rsidP="00880648">
      <w:pPr>
        <w:pStyle w:val="SingleTxt"/>
        <w:ind w:left="2217" w:hanging="950"/>
        <w:rPr>
          <w:lang w:val="fr-CH"/>
        </w:rPr>
      </w:pPr>
      <w:r w:rsidRPr="00210CC8">
        <w:rPr>
          <w:lang w:val="fr-FR"/>
        </w:rPr>
        <w:tab/>
        <w:t>c)</w:t>
      </w:r>
      <w:r w:rsidRPr="00210CC8">
        <w:rPr>
          <w:lang w:val="fr-FR"/>
        </w:rPr>
        <w:tab/>
        <w:t>Mise au point d’une homologation de type internationale de l</w:t>
      </w:r>
      <w:r w:rsidR="00CA5192">
        <w:rPr>
          <w:lang w:val="fr-FR"/>
        </w:rPr>
        <w:t>’</w:t>
      </w:r>
      <w:r w:rsidRPr="00210CC8">
        <w:rPr>
          <w:lang w:val="fr-FR"/>
        </w:rPr>
        <w:t>ensemble du véhicule;</w:t>
      </w:r>
    </w:p>
    <w:p w:rsidR="00210CC8" w:rsidRPr="00210CC8" w:rsidRDefault="00210CC8" w:rsidP="00880648">
      <w:pPr>
        <w:pStyle w:val="SingleTxt"/>
        <w:ind w:left="2217" w:hanging="950"/>
        <w:rPr>
          <w:lang w:val="fr-CH"/>
        </w:rPr>
      </w:pPr>
      <w:r w:rsidRPr="00210CC8">
        <w:rPr>
          <w:lang w:val="fr-FR"/>
        </w:rPr>
        <w:tab/>
        <w:t>d)</w:t>
      </w:r>
      <w:r w:rsidRPr="00210CC8">
        <w:rPr>
          <w:lang w:val="fr-FR"/>
        </w:rPr>
        <w:tab/>
        <w:t>Phénomènes de lumière parasite et de dégradation des couleurs.</w:t>
      </w:r>
    </w:p>
    <w:p w:rsidR="00210CC8" w:rsidRPr="00210CC8" w:rsidRDefault="00210CC8" w:rsidP="00B9546D">
      <w:pPr>
        <w:pStyle w:val="SingleTxt"/>
        <w:ind w:left="1742" w:hanging="475"/>
        <w:jc w:val="left"/>
        <w:rPr>
          <w:lang w:val="fr-CH"/>
        </w:rPr>
      </w:pPr>
      <w:r w:rsidRPr="00210CC8">
        <w:rPr>
          <w:lang w:val="fr-FR"/>
        </w:rPr>
        <w:lastRenderedPageBreak/>
        <w:t>10.</w:t>
      </w:r>
      <w:r w:rsidRPr="00210CC8">
        <w:rPr>
          <w:lang w:val="fr-FR"/>
        </w:rPr>
        <w:tab/>
      </w:r>
      <w:r w:rsidRPr="00B9546D">
        <w:rPr>
          <w:rFonts w:eastAsiaTheme="minorHAnsi"/>
          <w:lang w:val="fr-FR" w:eastAsia="en-US"/>
        </w:rPr>
        <w:t>Nouvelles</w:t>
      </w:r>
      <w:r w:rsidRPr="00210CC8">
        <w:rPr>
          <w:lang w:val="fr-FR"/>
        </w:rPr>
        <w:t xml:space="preserve"> questions et soumissions tardives.</w:t>
      </w:r>
    </w:p>
    <w:p w:rsidR="00210CC8" w:rsidRPr="00210CC8" w:rsidRDefault="00210CC8" w:rsidP="00CA5192">
      <w:pPr>
        <w:pStyle w:val="SingleTxt"/>
        <w:ind w:left="1742" w:hanging="475"/>
        <w:jc w:val="left"/>
        <w:rPr>
          <w:lang w:val="fr-CH"/>
        </w:rPr>
      </w:pPr>
      <w:r w:rsidRPr="00210CC8">
        <w:rPr>
          <w:lang w:val="fr-FR"/>
        </w:rPr>
        <w:t>11.</w:t>
      </w:r>
      <w:r w:rsidRPr="00210CC8">
        <w:rPr>
          <w:lang w:val="fr-FR"/>
        </w:rPr>
        <w:tab/>
      </w:r>
      <w:r w:rsidRPr="00B9546D">
        <w:rPr>
          <w:rFonts w:eastAsiaTheme="minorHAnsi"/>
          <w:lang w:val="fr-FR" w:eastAsia="en-US"/>
        </w:rPr>
        <w:t>Orientation</w:t>
      </w:r>
      <w:r w:rsidRPr="00210CC8">
        <w:rPr>
          <w:lang w:val="fr-FR"/>
        </w:rPr>
        <w:t xml:space="preserve"> des travaux futurs du GRE</w:t>
      </w:r>
      <w:r w:rsidR="00CA5192">
        <w:rPr>
          <w:lang w:val="fr-FR"/>
        </w:rPr>
        <w:t> :</w:t>
      </w:r>
    </w:p>
    <w:p w:rsidR="00210CC8" w:rsidRPr="00210CC8" w:rsidRDefault="00210CC8" w:rsidP="00880648">
      <w:pPr>
        <w:pStyle w:val="SingleTxt"/>
        <w:ind w:left="2217" w:hanging="950"/>
        <w:rPr>
          <w:lang w:val="fr-CH"/>
        </w:rPr>
      </w:pPr>
      <w:r w:rsidRPr="00210CC8">
        <w:rPr>
          <w:lang w:val="fr-FR"/>
        </w:rPr>
        <w:tab/>
        <w:t>a)</w:t>
      </w:r>
      <w:r w:rsidRPr="00210CC8">
        <w:rPr>
          <w:lang w:val="fr-FR"/>
        </w:rPr>
        <w:tab/>
        <w:t>Tâches du GRE;</w:t>
      </w:r>
    </w:p>
    <w:p w:rsidR="00210CC8" w:rsidRPr="00210CC8" w:rsidRDefault="00210CC8" w:rsidP="00CA5192">
      <w:pPr>
        <w:pStyle w:val="SingleTxt"/>
        <w:ind w:left="2217" w:hanging="950"/>
        <w:rPr>
          <w:lang w:val="fr-CH"/>
        </w:rPr>
      </w:pPr>
      <w:r w:rsidRPr="00210CC8">
        <w:rPr>
          <w:lang w:val="fr-FR"/>
        </w:rPr>
        <w:tab/>
        <w:t>b)</w:t>
      </w:r>
      <w:r w:rsidRPr="00210CC8">
        <w:rPr>
          <w:lang w:val="fr-FR"/>
        </w:rPr>
        <w:tab/>
        <w:t xml:space="preserve">État d’avancement des travaux des équipes spéciales relevant du Groupe de travail </w:t>
      </w:r>
      <w:r w:rsidR="00CA5192">
        <w:rPr>
          <w:lang w:val="fr-FR"/>
        </w:rPr>
        <w:t>« </w:t>
      </w:r>
      <w:r w:rsidRPr="00210CC8">
        <w:rPr>
          <w:lang w:val="fr-FR"/>
        </w:rPr>
        <w:t>Bruxelles 1952</w:t>
      </w:r>
      <w:r w:rsidR="00CA5192">
        <w:rPr>
          <w:lang w:val="fr-FR"/>
        </w:rPr>
        <w:t> »</w:t>
      </w:r>
      <w:r w:rsidRPr="00210CC8">
        <w:rPr>
          <w:lang w:val="fr-FR"/>
        </w:rPr>
        <w:t xml:space="preserve"> (GTB).</w:t>
      </w:r>
      <w:r w:rsidRPr="00210CC8">
        <w:rPr>
          <w:lang w:val="fr-FR"/>
        </w:rPr>
        <w:tab/>
      </w:r>
    </w:p>
    <w:p w:rsidR="00CA5192" w:rsidRDefault="00210CC8" w:rsidP="00B9546D">
      <w:pPr>
        <w:pStyle w:val="SingleTxt"/>
        <w:ind w:left="1742" w:hanging="475"/>
        <w:jc w:val="left"/>
        <w:rPr>
          <w:lang w:val="fr-FR"/>
        </w:rPr>
      </w:pPr>
      <w:r w:rsidRPr="00210CC8">
        <w:rPr>
          <w:lang w:val="fr-FR"/>
        </w:rPr>
        <w:t>12.</w:t>
      </w:r>
      <w:r w:rsidRPr="00210CC8">
        <w:rPr>
          <w:lang w:val="fr-FR"/>
        </w:rPr>
        <w:tab/>
        <w:t>Ordre du jour provisoire de la prochaine session.</w:t>
      </w:r>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sz w:val="10"/>
          <w:lang w:val="fr-CH"/>
        </w:rPr>
      </w:pPr>
    </w:p>
    <w:p w:rsidR="00210CC8" w:rsidRPr="00210CC8" w:rsidRDefault="00210CC8" w:rsidP="00210C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10CC8">
        <w:rPr>
          <w:lang w:val="fr-FR"/>
        </w:rPr>
        <w:tab/>
        <w:t>II.</w:t>
      </w:r>
      <w:r w:rsidRPr="00210CC8">
        <w:rPr>
          <w:lang w:val="fr-FR"/>
        </w:rPr>
        <w:tab/>
        <w:t>Annotations</w:t>
      </w:r>
    </w:p>
    <w:p w:rsidR="00210CC8" w:rsidRPr="00210CC8" w:rsidRDefault="00210CC8" w:rsidP="00210CC8">
      <w:pPr>
        <w:pStyle w:val="SingleTxt"/>
        <w:spacing w:after="0" w:line="120" w:lineRule="exact"/>
        <w:rPr>
          <w:b/>
          <w:sz w:val="10"/>
          <w:lang w:val="fr-FR"/>
        </w:rPr>
      </w:pPr>
    </w:p>
    <w:p w:rsidR="00210CC8" w:rsidRPr="00210CC8" w:rsidRDefault="00210CC8" w:rsidP="00210CC8">
      <w:pPr>
        <w:pStyle w:val="SingleTxt"/>
        <w:spacing w:after="0" w:line="120" w:lineRule="exact"/>
        <w:rPr>
          <w:b/>
          <w:sz w:val="10"/>
          <w:lang w:val="fr-FR"/>
        </w:rPr>
      </w:pPr>
    </w:p>
    <w:p w:rsidR="00210CC8" w:rsidRDefault="00210CC8" w:rsidP="00210C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1.</w:t>
      </w:r>
      <w:r w:rsidRPr="00210CC8">
        <w:rPr>
          <w:lang w:val="fr-FR"/>
        </w:rPr>
        <w:tab/>
        <w:t>Adoption de l’ordre du jour</w:t>
      </w:r>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sz w:val="10"/>
          <w:lang w:val="fr-FR"/>
        </w:rPr>
      </w:pPr>
    </w:p>
    <w:p w:rsidR="00210CC8" w:rsidRPr="00210CC8" w:rsidRDefault="00CA5192" w:rsidP="00210CC8">
      <w:pPr>
        <w:pStyle w:val="SingleTxt"/>
        <w:rPr>
          <w:lang w:val="fr-CH"/>
        </w:rPr>
      </w:pPr>
      <w:r>
        <w:rPr>
          <w:lang w:val="fr-FR"/>
        </w:rPr>
        <w:tab/>
      </w:r>
      <w:r w:rsidR="00210CC8" w:rsidRPr="00210CC8">
        <w:rPr>
          <w:lang w:val="fr-FR"/>
        </w:rPr>
        <w:t>Conformément à l’article 7 du chapitre III du Règlement intérieur du Forum mondial de l</w:t>
      </w:r>
      <w:r>
        <w:rPr>
          <w:lang w:val="fr-FR"/>
        </w:rPr>
        <w:t>’</w:t>
      </w:r>
      <w:r w:rsidR="00210CC8" w:rsidRPr="00210CC8">
        <w:rPr>
          <w:lang w:val="fr-FR"/>
        </w:rPr>
        <w:t>harmonisation des Règlements concernant les véhicules (WP.29) (TRANS/WP.29/690, Amend.1 et Amend.2), le premier point de l’ordre du jour provisoire est l’adoption de l’ordre du jour.</w:t>
      </w:r>
    </w:p>
    <w:p w:rsidR="00210CC8" w:rsidRDefault="00880648" w:rsidP="00210CC8">
      <w:pPr>
        <w:pStyle w:val="SingleTxt"/>
        <w:rPr>
          <w:lang w:val="fr-FR"/>
        </w:rPr>
      </w:pPr>
      <w:r w:rsidRPr="00880648">
        <w:rPr>
          <w:bCs/>
          <w:i/>
          <w:lang w:val="fr-FR"/>
        </w:rPr>
        <w:t>Document </w:t>
      </w:r>
      <w:r w:rsidRPr="00880648">
        <w:rPr>
          <w:bCs/>
          <w:lang w:val="fr-FR"/>
        </w:rPr>
        <w:t>:</w:t>
      </w:r>
      <w:r w:rsidR="00210CC8" w:rsidRPr="00210CC8">
        <w:rPr>
          <w:lang w:val="fr-FR"/>
        </w:rPr>
        <w:t xml:space="preserve"> </w:t>
      </w:r>
      <w:r w:rsidR="00210CC8" w:rsidRPr="00210CC8">
        <w:rPr>
          <w:lang w:val="fr-FR"/>
        </w:rPr>
        <w:tab/>
        <w:t>ECE/TRANS/WP.29/GRE/2016/1</w:t>
      </w:r>
      <w:r>
        <w:rPr>
          <w:lang w:val="fr-FR"/>
        </w:rPr>
        <w:t>.</w:t>
      </w:r>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sz w:val="10"/>
          <w:lang w:val="fr-FR"/>
        </w:rPr>
      </w:pPr>
    </w:p>
    <w:p w:rsidR="00210CC8" w:rsidRPr="00210CC8" w:rsidRDefault="00210CC8" w:rsidP="00FF6E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10CC8">
        <w:rPr>
          <w:lang w:val="fr-FR"/>
        </w:rPr>
        <w:tab/>
        <w:t>2.</w:t>
      </w:r>
      <w:r w:rsidRPr="00210CC8">
        <w:rPr>
          <w:lang w:val="fr-FR"/>
        </w:rPr>
        <w:tab/>
        <w:t xml:space="preserve">Accord de 1998 </w:t>
      </w:r>
      <w:r w:rsidR="00CA5192">
        <w:rPr>
          <w:lang w:val="fr-FR"/>
        </w:rPr>
        <w:t>–</w:t>
      </w:r>
      <w:r w:rsidRPr="00210CC8">
        <w:rPr>
          <w:lang w:val="fr-FR"/>
        </w:rPr>
        <w:t xml:space="preserve"> Règlements techniques mondiaux (RTM)</w:t>
      </w:r>
      <w:r w:rsidR="00FF6E11">
        <w:rPr>
          <w:lang w:val="fr-FR"/>
        </w:rPr>
        <w:t> </w:t>
      </w:r>
      <w:r w:rsidRPr="00210CC8">
        <w:rPr>
          <w:lang w:val="fr-FR"/>
        </w:rPr>
        <w:t>: éléments nouveaux</w:t>
      </w:r>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sz w:val="10"/>
          <w:lang w:val="fr-FR"/>
        </w:rPr>
      </w:pPr>
    </w:p>
    <w:p w:rsidR="00210CC8" w:rsidRPr="00210CC8" w:rsidRDefault="00CA5192" w:rsidP="00210CC8">
      <w:pPr>
        <w:pStyle w:val="SingleTxt"/>
        <w:rPr>
          <w:lang w:val="fr-CH"/>
        </w:rPr>
      </w:pPr>
      <w:r>
        <w:rPr>
          <w:lang w:val="fr-FR"/>
        </w:rPr>
        <w:tab/>
      </w:r>
      <w:r w:rsidR="00210CC8" w:rsidRPr="00210CC8">
        <w:rPr>
          <w:lang w:val="fr-FR"/>
        </w:rPr>
        <w:t>Le Groupe de travail de l</w:t>
      </w:r>
      <w:r>
        <w:rPr>
          <w:lang w:val="fr-FR"/>
        </w:rPr>
        <w:t>’</w:t>
      </w:r>
      <w:r w:rsidR="00210CC8" w:rsidRPr="00210CC8">
        <w:rPr>
          <w:lang w:val="fr-FR"/>
        </w:rPr>
        <w:t>éclairage et de la signalisation lumineuse (GRE) souhaitera peut-être reprendre l’examen de cette question en attendant que de nouvelles propositions soient formulées et que des volontaires se présentent pour élaborer un RTM.</w:t>
      </w:r>
    </w:p>
    <w:p w:rsidR="00210CC8" w:rsidRDefault="00880648" w:rsidP="00210CC8">
      <w:pPr>
        <w:pStyle w:val="SingleTxt"/>
        <w:rPr>
          <w:lang w:val="fr-FR"/>
        </w:rPr>
      </w:pPr>
      <w:r w:rsidRPr="00880648">
        <w:rPr>
          <w:bCs/>
          <w:i/>
          <w:lang w:val="fr-FR"/>
        </w:rPr>
        <w:t>Document </w:t>
      </w:r>
      <w:r w:rsidRPr="00880648">
        <w:rPr>
          <w:bCs/>
          <w:lang w:val="fr-FR"/>
        </w:rPr>
        <w:t>:</w:t>
      </w:r>
      <w:r w:rsidR="00210CC8" w:rsidRPr="00210CC8">
        <w:rPr>
          <w:lang w:val="fr-FR"/>
        </w:rPr>
        <w:t xml:space="preserve"> </w:t>
      </w:r>
      <w:r w:rsidR="00210CC8" w:rsidRPr="00210CC8">
        <w:rPr>
          <w:lang w:val="fr-FR"/>
        </w:rPr>
        <w:tab/>
        <w:t xml:space="preserve">ECE/TRANS/WP.29/GRE/71, </w:t>
      </w:r>
      <w:r w:rsidR="00CA5192">
        <w:rPr>
          <w:lang w:val="fr-FR"/>
        </w:rPr>
        <w:t>par. </w:t>
      </w:r>
      <w:r w:rsidR="00210CC8" w:rsidRPr="00210CC8">
        <w:rPr>
          <w:lang w:val="fr-FR"/>
        </w:rPr>
        <w:t>5.</w:t>
      </w:r>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sz w:val="10"/>
          <w:lang w:val="fr-FR"/>
        </w:rPr>
      </w:pPr>
    </w:p>
    <w:p w:rsidR="00210CC8" w:rsidRPr="00210CC8" w:rsidRDefault="00210CC8" w:rsidP="00CA51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10CC8">
        <w:rPr>
          <w:lang w:val="fr-FR"/>
        </w:rPr>
        <w:tab/>
        <w:t>3.</w:t>
      </w:r>
      <w:r w:rsidRPr="00210CC8">
        <w:rPr>
          <w:lang w:val="fr-FR"/>
        </w:rPr>
        <w:tab/>
        <w:t xml:space="preserve">Accord de 1997 </w:t>
      </w:r>
      <w:r w:rsidR="00CA5192">
        <w:rPr>
          <w:lang w:val="fr-FR"/>
        </w:rPr>
        <w:t>–</w:t>
      </w:r>
      <w:r w:rsidRPr="00210CC8">
        <w:rPr>
          <w:lang w:val="fr-FR"/>
        </w:rPr>
        <w:t xml:space="preserve"> Règles</w:t>
      </w:r>
      <w:r w:rsidR="00CA5192">
        <w:rPr>
          <w:lang w:val="fr-FR"/>
        </w:rPr>
        <w:t> :</w:t>
      </w:r>
      <w:r w:rsidRPr="00210CC8">
        <w:rPr>
          <w:lang w:val="fr-FR"/>
        </w:rPr>
        <w:t xml:space="preserve"> élaboration</w:t>
      </w:r>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sz w:val="10"/>
          <w:lang w:val="fr-FR"/>
        </w:rPr>
      </w:pPr>
    </w:p>
    <w:p w:rsidR="00210CC8" w:rsidRDefault="00CA5192" w:rsidP="00CA5192">
      <w:pPr>
        <w:pStyle w:val="SingleTxt"/>
        <w:rPr>
          <w:lang w:val="fr-FR"/>
        </w:rPr>
      </w:pPr>
      <w:r>
        <w:rPr>
          <w:lang w:val="fr-FR"/>
        </w:rPr>
        <w:tab/>
      </w:r>
      <w:r w:rsidR="00210CC8" w:rsidRPr="00210CC8">
        <w:rPr>
          <w:lang w:val="fr-FR"/>
        </w:rPr>
        <w:t xml:space="preserve">Le GRE souhaitera peut-être examiner de nouvelles propositions d’amendements aux Règles </w:t>
      </w:r>
      <w:r>
        <w:rPr>
          <w:lang w:val="fr-FR"/>
        </w:rPr>
        <w:t>n</w:t>
      </w:r>
      <w:r w:rsidRPr="00CA5192">
        <w:rPr>
          <w:vertAlign w:val="superscript"/>
          <w:lang w:val="fr-FR"/>
        </w:rPr>
        <w:t>os</w:t>
      </w:r>
      <w:r>
        <w:rPr>
          <w:lang w:val="fr-FR"/>
        </w:rPr>
        <w:t> </w:t>
      </w:r>
      <w:r w:rsidR="00210CC8" w:rsidRPr="00210CC8">
        <w:rPr>
          <w:lang w:val="fr-FR"/>
        </w:rPr>
        <w:t>1 et 2, s’il y a lieu.</w:t>
      </w:r>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sz w:val="10"/>
          <w:lang w:val="fr-CH"/>
        </w:rPr>
      </w:pPr>
    </w:p>
    <w:p w:rsidR="00210CC8" w:rsidRPr="00210CC8" w:rsidRDefault="00210CC8" w:rsidP="00210C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10CC8">
        <w:rPr>
          <w:lang w:val="fr-FR"/>
        </w:rPr>
        <w:tab/>
        <w:t>4.</w:t>
      </w:r>
      <w:r w:rsidRPr="00210CC8">
        <w:rPr>
          <w:lang w:val="fr-FR"/>
        </w:rPr>
        <w:tab/>
        <w:t xml:space="preserve">Simplification des Règlements concernant l’éclairage </w:t>
      </w:r>
      <w:r>
        <w:rPr>
          <w:lang w:val="fr-FR"/>
        </w:rPr>
        <w:br/>
      </w:r>
      <w:r w:rsidRPr="00210CC8">
        <w:rPr>
          <w:lang w:val="fr-FR"/>
        </w:rPr>
        <w:t>et la signalisation lumineuse</w:t>
      </w:r>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sz w:val="10"/>
          <w:lang w:val="fr-FR"/>
        </w:rPr>
      </w:pPr>
    </w:p>
    <w:p w:rsidR="00CA5192" w:rsidRDefault="00CA5192" w:rsidP="00833EF7">
      <w:pPr>
        <w:pStyle w:val="SingleTxt"/>
        <w:rPr>
          <w:lang w:val="fr-FR"/>
        </w:rPr>
      </w:pPr>
      <w:r>
        <w:rPr>
          <w:lang w:val="fr-FR"/>
        </w:rPr>
        <w:tab/>
      </w:r>
      <w:r w:rsidR="00210CC8" w:rsidRPr="00210CC8">
        <w:rPr>
          <w:lang w:val="fr-FR"/>
        </w:rPr>
        <w:t xml:space="preserve">Le GRE sera informé de l’état d’avancement des travaux du groupe de travail informel chargé de la simplification des Règlements relatifs à l’éclairage et à la signalisation lumineuse. Le GRE est notamment invité à examiner le projet de résolution sur la spécification commune des catégories de sources lumineuses </w:t>
      </w:r>
      <w:r w:rsidR="00210CC8" w:rsidRPr="00833EF7">
        <w:rPr>
          <w:spacing w:val="2"/>
          <w:w w:val="101"/>
          <w:lang w:val="fr-FR"/>
        </w:rPr>
        <w:t>(ECE/TRANS/WP.29/GRE/2016/5, GRE-75-02, GRE-75-03, GRE-75-04 et GRE-75-05)</w:t>
      </w:r>
      <w:r w:rsidR="00210CC8" w:rsidRPr="00210CC8">
        <w:rPr>
          <w:lang w:val="fr-FR"/>
        </w:rPr>
        <w:t xml:space="preserve"> et les propositions actualisées visant à simplifier les </w:t>
      </w:r>
      <w:r w:rsidR="00833EF7" w:rsidRPr="00210CC8">
        <w:rPr>
          <w:lang w:val="fr-FR"/>
        </w:rPr>
        <w:t xml:space="preserve">Règlements </w:t>
      </w:r>
      <w:r w:rsidR="00833EF7">
        <w:rPr>
          <w:lang w:val="fr-FR"/>
        </w:rPr>
        <w:t>n</w:t>
      </w:r>
      <w:r w:rsidR="00833EF7" w:rsidRPr="00833EF7">
        <w:rPr>
          <w:vertAlign w:val="superscript"/>
          <w:lang w:val="fr-FR"/>
        </w:rPr>
        <w:t>os</w:t>
      </w:r>
      <w:r w:rsidR="00833EF7">
        <w:rPr>
          <w:lang w:val="fr-FR"/>
        </w:rPr>
        <w:t> </w:t>
      </w:r>
      <w:r w:rsidR="00210CC8" w:rsidRPr="00210CC8">
        <w:rPr>
          <w:lang w:val="fr-FR"/>
        </w:rPr>
        <w:t>37, 99 et 128 en retirant de ceux-ci les feuilles de données relatives aux différentes sources lumineuses pour les intégrer à la résolution (ECE/TRANS/WP.29/GRE/2016/2, ECE/TRANS/WP.29/GRE/2016/3, ECE/TRANS/WP.29/GRE/2016/4).</w:t>
      </w:r>
    </w:p>
    <w:p w:rsidR="00210CC8" w:rsidRDefault="00880648" w:rsidP="00880648">
      <w:pPr>
        <w:pStyle w:val="SingleTxt"/>
        <w:ind w:left="2693" w:hanging="1426"/>
        <w:rPr>
          <w:lang w:val="fr-FR"/>
        </w:rPr>
      </w:pPr>
      <w:r w:rsidRPr="00880648">
        <w:rPr>
          <w:bCs/>
          <w:i/>
          <w:lang w:val="fr-FR"/>
        </w:rPr>
        <w:t>Documents</w:t>
      </w:r>
      <w:r w:rsidRPr="00880648">
        <w:rPr>
          <w:bCs/>
          <w:lang w:val="fr-FR"/>
        </w:rPr>
        <w:t> :</w:t>
      </w:r>
      <w:r w:rsidR="00210CC8" w:rsidRPr="00210CC8">
        <w:rPr>
          <w:lang w:val="fr-FR"/>
        </w:rPr>
        <w:tab/>
        <w:t>ECE/TRANS/WP.29/GRE/2016/2, ECE/TRANS/WP.29/GRE/2016/3, ECE/TRANS/WP.29/GRE/2016/4, ECE/TRANS/WP.29/GRE/2016/5</w:t>
      </w:r>
      <w:r>
        <w:rPr>
          <w:lang w:val="fr-FR"/>
        </w:rPr>
        <w:t xml:space="preserve">; </w:t>
      </w:r>
      <w:r w:rsidR="00210CC8" w:rsidRPr="00CA5192">
        <w:rPr>
          <w:spacing w:val="0"/>
          <w:w w:val="100"/>
          <w:lang w:val="fr-FR"/>
        </w:rPr>
        <w:t>documents informels GRE-75-02, GRE-75-03, GRE-75-04 et GRE-75-05</w:t>
      </w:r>
      <w:r w:rsidRPr="00CA5192">
        <w:rPr>
          <w:spacing w:val="0"/>
          <w:w w:val="100"/>
          <w:lang w:val="fr-FR"/>
        </w:rPr>
        <w:t>.</w:t>
      </w:r>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sz w:val="10"/>
          <w:lang w:val="fr-CH"/>
        </w:rPr>
      </w:pPr>
    </w:p>
    <w:p w:rsidR="00210CC8" w:rsidRDefault="00210CC8" w:rsidP="00210C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lastRenderedPageBreak/>
        <w:tab/>
        <w:t>5.</w:t>
      </w:r>
      <w:r w:rsidRPr="00210CC8">
        <w:rPr>
          <w:lang w:val="fr-FR"/>
        </w:rPr>
        <w:tab/>
        <w:t xml:space="preserve">Règlements </w:t>
      </w:r>
      <w:r>
        <w:rPr>
          <w:lang w:val="fr-FR"/>
        </w:rPr>
        <w:t>n</w:t>
      </w:r>
      <w:r w:rsidRPr="00210CC8">
        <w:rPr>
          <w:vertAlign w:val="superscript"/>
          <w:lang w:val="fr-FR"/>
        </w:rPr>
        <w:t>os</w:t>
      </w:r>
      <w:r>
        <w:rPr>
          <w:lang w:val="fr-FR"/>
        </w:rPr>
        <w:t> </w:t>
      </w:r>
      <w:r w:rsidRPr="00210CC8">
        <w:rPr>
          <w:lang w:val="fr-FR"/>
        </w:rPr>
        <w:t xml:space="preserve">37 (Lampes à incandescence), 99 (Sources </w:t>
      </w:r>
      <w:r>
        <w:rPr>
          <w:lang w:val="fr-FR"/>
        </w:rPr>
        <w:br/>
      </w:r>
      <w:r w:rsidRPr="00210CC8">
        <w:rPr>
          <w:lang w:val="fr-FR"/>
        </w:rPr>
        <w:t>lumineuses à décharge) et 128 (Sources lumineuses à diodes électroluminescentes)</w:t>
      </w:r>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sz w:val="10"/>
          <w:lang w:val="fr-FR"/>
        </w:rPr>
      </w:pPr>
    </w:p>
    <w:p w:rsidR="00CA5192" w:rsidRPr="00FF6E11" w:rsidRDefault="00FF6E11" w:rsidP="00FF6E11">
      <w:pPr>
        <w:pStyle w:val="SingleTxt"/>
        <w:spacing w:after="100"/>
        <w:rPr>
          <w:spacing w:val="2"/>
          <w:lang w:val="fr-FR"/>
        </w:rPr>
      </w:pPr>
      <w:r>
        <w:rPr>
          <w:spacing w:val="2"/>
          <w:lang w:val="fr-FR"/>
        </w:rPr>
        <w:tab/>
      </w:r>
      <w:r w:rsidR="00210CC8" w:rsidRPr="00FF6E11">
        <w:rPr>
          <w:spacing w:val="2"/>
          <w:lang w:val="fr-FR"/>
        </w:rPr>
        <w:t xml:space="preserve">Le GRE souhaitera peut-être examiner une proposition de l’expert du Groupe de travail </w:t>
      </w:r>
      <w:r w:rsidR="00CA5192" w:rsidRPr="00FF6E11">
        <w:rPr>
          <w:spacing w:val="2"/>
          <w:lang w:val="fr-FR"/>
        </w:rPr>
        <w:t>« </w:t>
      </w:r>
      <w:r w:rsidR="00210CC8" w:rsidRPr="00FF6E11">
        <w:rPr>
          <w:spacing w:val="2"/>
          <w:lang w:val="fr-FR"/>
        </w:rPr>
        <w:t>Bruxelles 1952</w:t>
      </w:r>
      <w:r w:rsidR="00CA5192" w:rsidRPr="00FF6E11">
        <w:rPr>
          <w:spacing w:val="2"/>
          <w:lang w:val="fr-FR"/>
        </w:rPr>
        <w:t> »</w:t>
      </w:r>
      <w:r w:rsidR="00210CC8" w:rsidRPr="00FF6E11">
        <w:rPr>
          <w:spacing w:val="2"/>
          <w:lang w:val="fr-FR"/>
        </w:rPr>
        <w:t xml:space="preserve"> (GTB) dont l</w:t>
      </w:r>
      <w:r w:rsidR="00CA5192" w:rsidRPr="00FF6E11">
        <w:rPr>
          <w:spacing w:val="2"/>
          <w:lang w:val="fr-FR"/>
        </w:rPr>
        <w:t>’</w:t>
      </w:r>
      <w:r w:rsidR="00210CC8" w:rsidRPr="00FF6E11">
        <w:rPr>
          <w:spacing w:val="2"/>
          <w:lang w:val="fr-FR"/>
        </w:rPr>
        <w:t xml:space="preserve">objectif est de clarifier l’interprétation des spécifications des lampes à incandescence de la catégorie H19 dans le Règlement </w:t>
      </w:r>
      <w:r w:rsidR="00CA5192" w:rsidRPr="00FF6E11">
        <w:rPr>
          <w:spacing w:val="2"/>
          <w:lang w:val="fr-FR"/>
        </w:rPr>
        <w:t>n</w:t>
      </w:r>
      <w:r w:rsidR="00CA5192" w:rsidRPr="00FF6E11">
        <w:rPr>
          <w:spacing w:val="2"/>
          <w:vertAlign w:val="superscript"/>
          <w:lang w:val="fr-FR"/>
        </w:rPr>
        <w:t>o</w:t>
      </w:r>
      <w:r w:rsidR="00CA5192" w:rsidRPr="00FF6E11">
        <w:rPr>
          <w:spacing w:val="2"/>
          <w:lang w:val="fr-FR"/>
        </w:rPr>
        <w:t> </w:t>
      </w:r>
      <w:r w:rsidR="00210CC8" w:rsidRPr="00FF6E11">
        <w:rPr>
          <w:spacing w:val="2"/>
          <w:lang w:val="fr-FR"/>
        </w:rPr>
        <w:t>37.</w:t>
      </w:r>
    </w:p>
    <w:p w:rsidR="00210CC8" w:rsidRDefault="00880648" w:rsidP="00FF6E11">
      <w:pPr>
        <w:pStyle w:val="SingleTxt"/>
        <w:spacing w:after="100"/>
        <w:rPr>
          <w:lang w:val="fr-FR"/>
        </w:rPr>
      </w:pPr>
      <w:r w:rsidRPr="00880648">
        <w:rPr>
          <w:bCs/>
          <w:i/>
          <w:lang w:val="fr-FR"/>
        </w:rPr>
        <w:t>Document </w:t>
      </w:r>
      <w:r w:rsidRPr="00880648">
        <w:rPr>
          <w:bCs/>
          <w:lang w:val="fr-FR"/>
        </w:rPr>
        <w:t>:</w:t>
      </w:r>
      <w:r w:rsidR="00210CC8" w:rsidRPr="00210CC8">
        <w:rPr>
          <w:lang w:val="fr-FR"/>
        </w:rPr>
        <w:t xml:space="preserve"> </w:t>
      </w:r>
      <w:r w:rsidR="00210CC8" w:rsidRPr="00210CC8">
        <w:rPr>
          <w:lang w:val="fr-FR"/>
        </w:rPr>
        <w:tab/>
        <w:t>ECE/TRANS/WP.29/GRE/2016/6</w:t>
      </w:r>
      <w:r>
        <w:rPr>
          <w:lang w:val="fr-FR"/>
        </w:rPr>
        <w:t>.</w:t>
      </w:r>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sz w:val="10"/>
          <w:lang w:val="fr-CH"/>
        </w:rPr>
      </w:pPr>
    </w:p>
    <w:p w:rsidR="00210CC8" w:rsidRPr="00210CC8" w:rsidRDefault="00210CC8" w:rsidP="00CA51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10CC8">
        <w:rPr>
          <w:lang w:val="fr-FR"/>
        </w:rPr>
        <w:tab/>
        <w:t>6.</w:t>
      </w:r>
      <w:r w:rsidRPr="00210CC8">
        <w:rPr>
          <w:lang w:val="fr-FR"/>
        </w:rPr>
        <w:tab/>
        <w:t xml:space="preserve">Règlement </w:t>
      </w:r>
      <w:r w:rsidR="00CA5192" w:rsidRPr="00CA5192">
        <w:rPr>
          <w:lang w:val="fr-FR"/>
        </w:rPr>
        <w:t>n</w:t>
      </w:r>
      <w:r w:rsidR="00CA5192" w:rsidRPr="00CA5192">
        <w:rPr>
          <w:vertAlign w:val="superscript"/>
          <w:lang w:val="fr-FR"/>
        </w:rPr>
        <w:t>o</w:t>
      </w:r>
      <w:r w:rsidR="00CA5192" w:rsidRPr="00CA5192">
        <w:rPr>
          <w:lang w:val="fr-FR"/>
        </w:rPr>
        <w:t> </w:t>
      </w:r>
      <w:r w:rsidRPr="00210CC8">
        <w:rPr>
          <w:lang w:val="fr-FR"/>
        </w:rPr>
        <w:t>48 (Installation des dispositifs d</w:t>
      </w:r>
      <w:r w:rsidR="00CA5192">
        <w:rPr>
          <w:lang w:val="fr-FR"/>
        </w:rPr>
        <w:t>’</w:t>
      </w:r>
      <w:r w:rsidRPr="00210CC8">
        <w:rPr>
          <w:lang w:val="fr-FR"/>
        </w:rPr>
        <w:t xml:space="preserve">éclairage </w:t>
      </w:r>
      <w:r>
        <w:rPr>
          <w:lang w:val="fr-FR"/>
        </w:rPr>
        <w:br/>
      </w:r>
      <w:r w:rsidRPr="00210CC8">
        <w:rPr>
          <w:lang w:val="fr-FR"/>
        </w:rPr>
        <w:t>et de signalisation lumineuse)</w:t>
      </w:r>
    </w:p>
    <w:p w:rsidR="00210CC8" w:rsidRPr="00210CC8" w:rsidRDefault="00210CC8" w:rsidP="00210CC8">
      <w:pPr>
        <w:pStyle w:val="SingleTxt"/>
        <w:spacing w:after="0" w:line="120" w:lineRule="exact"/>
        <w:rPr>
          <w:b/>
          <w:sz w:val="10"/>
          <w:lang w:val="fr-FR"/>
        </w:rPr>
      </w:pPr>
    </w:p>
    <w:p w:rsidR="00210CC8" w:rsidRPr="00210CC8" w:rsidRDefault="00210CC8" w:rsidP="00210CC8">
      <w:pPr>
        <w:pStyle w:val="SingleTxt"/>
        <w:spacing w:after="0" w:line="120" w:lineRule="exact"/>
        <w:rPr>
          <w:b/>
          <w:sz w:val="10"/>
          <w:lang w:val="fr-FR"/>
        </w:rPr>
      </w:pPr>
    </w:p>
    <w:p w:rsidR="00CA5192" w:rsidRDefault="00210CC8" w:rsidP="00210C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a)</w:t>
      </w:r>
      <w:r w:rsidRPr="00210CC8">
        <w:rPr>
          <w:lang w:val="fr-FR"/>
        </w:rPr>
        <w:tab/>
        <w:t>Propositions d’amendements aux séries 05 et 06 d’amendements</w:t>
      </w:r>
    </w:p>
    <w:p w:rsidR="00210CC8" w:rsidRPr="00210CC8" w:rsidRDefault="00210CC8" w:rsidP="00210CC8">
      <w:pPr>
        <w:pStyle w:val="SingleTxt"/>
        <w:spacing w:after="0" w:line="120" w:lineRule="exact"/>
        <w:rPr>
          <w:sz w:val="10"/>
          <w:lang w:val="fr-FR"/>
        </w:rPr>
      </w:pPr>
    </w:p>
    <w:p w:rsidR="00CA5192" w:rsidRDefault="00210CC8" w:rsidP="00FF6E11">
      <w:pPr>
        <w:pStyle w:val="SingleTxt"/>
        <w:spacing w:after="100"/>
        <w:rPr>
          <w:lang w:val="fr-FR"/>
        </w:rPr>
      </w:pPr>
      <w:r>
        <w:rPr>
          <w:lang w:val="fr-FR"/>
        </w:rPr>
        <w:tab/>
      </w:r>
      <w:r w:rsidRPr="00210CC8">
        <w:rPr>
          <w:lang w:val="fr-FR"/>
        </w:rPr>
        <w:t xml:space="preserve">Le GRE souhaitera peut-être examiner une proposition soumise par l’équipe spéciale des témoins de fonctionnement (ECE/TRANS/WP.29/GRE/2016/7). Cette proposition devrait être examinée en même temps que les propositions visant à modifier les </w:t>
      </w:r>
      <w:r w:rsidR="00833EF7" w:rsidRPr="00210CC8">
        <w:rPr>
          <w:lang w:val="fr-FR"/>
        </w:rPr>
        <w:t xml:space="preserve">Règlements </w:t>
      </w:r>
      <w:r w:rsidR="00CA5192">
        <w:rPr>
          <w:lang w:val="fr-FR"/>
        </w:rPr>
        <w:t>n</w:t>
      </w:r>
      <w:r w:rsidR="00CA5192" w:rsidRPr="00CA5192">
        <w:rPr>
          <w:vertAlign w:val="superscript"/>
          <w:lang w:val="fr-FR"/>
        </w:rPr>
        <w:t>os</w:t>
      </w:r>
      <w:r w:rsidR="00CA5192">
        <w:rPr>
          <w:lang w:val="fr-FR"/>
        </w:rPr>
        <w:t> </w:t>
      </w:r>
      <w:r w:rsidRPr="00210CC8">
        <w:rPr>
          <w:lang w:val="fr-FR"/>
        </w:rPr>
        <w:t>7 et 87 (ECE/TRANS/WP.29/GRE/2016/12 et ECE/TRANS/WP.29/GRE/2016/17, respectivement).</w:t>
      </w:r>
    </w:p>
    <w:p w:rsidR="00210CC8" w:rsidRPr="00210CC8" w:rsidRDefault="00880648" w:rsidP="00FF6E11">
      <w:pPr>
        <w:pStyle w:val="SingleTxt"/>
        <w:spacing w:after="100"/>
        <w:ind w:left="2693" w:hanging="1426"/>
        <w:rPr>
          <w:lang w:val="fr-CH"/>
        </w:rPr>
      </w:pPr>
      <w:r w:rsidRPr="00880648">
        <w:rPr>
          <w:bCs/>
          <w:i/>
          <w:lang w:val="fr-FR"/>
        </w:rPr>
        <w:t>Documents</w:t>
      </w:r>
      <w:r w:rsidRPr="00880648">
        <w:rPr>
          <w:bCs/>
          <w:lang w:val="fr-FR"/>
        </w:rPr>
        <w:t> :</w:t>
      </w:r>
      <w:r w:rsidR="00210CC8" w:rsidRPr="00210CC8">
        <w:rPr>
          <w:lang w:val="fr-FR"/>
        </w:rPr>
        <w:tab/>
      </w:r>
      <w:r w:rsidR="00210CC8" w:rsidRPr="00880648">
        <w:rPr>
          <w:spacing w:val="2"/>
          <w:lang w:val="fr-FR"/>
        </w:rPr>
        <w:t>ECE/TRANS/WP.29/GRE/2016/7, ECE/TRANS/WP.29/GRE/2016/12,</w:t>
      </w:r>
      <w:r w:rsidR="00210CC8" w:rsidRPr="00210CC8">
        <w:rPr>
          <w:lang w:val="fr-FR"/>
        </w:rPr>
        <w:t xml:space="preserve"> ECE/TRANS/WP.29/GRE/2016/17</w:t>
      </w:r>
      <w:r>
        <w:rPr>
          <w:lang w:val="fr-FR"/>
        </w:rPr>
        <w:t>.</w:t>
      </w:r>
    </w:p>
    <w:p w:rsidR="00CA5192" w:rsidRDefault="00210CC8" w:rsidP="00FF6E11">
      <w:pPr>
        <w:pStyle w:val="SingleTxt"/>
        <w:spacing w:after="100"/>
        <w:rPr>
          <w:lang w:val="fr-FR"/>
        </w:rPr>
      </w:pPr>
      <w:r>
        <w:rPr>
          <w:lang w:val="fr-FR"/>
        </w:rPr>
        <w:tab/>
      </w:r>
      <w:r w:rsidRPr="00210CC8">
        <w:rPr>
          <w:lang w:val="fr-FR"/>
        </w:rPr>
        <w:t xml:space="preserve">Le GRE souhaitera peut-être examiner une proposition de l’expert de l’Allemagne visant à améliorer la sécurité routière dans les situations où un indicateur de direction est activé alors qu’un feu de circulation diurne est allumé (ECE/TRANS/WP.29/GRE/2016/8). Le document correspondant a également pour objet de proposer des amendements au Règlement </w:t>
      </w:r>
      <w:r w:rsidR="00CA5192">
        <w:rPr>
          <w:lang w:val="fr-FR"/>
        </w:rPr>
        <w:t>n</w:t>
      </w:r>
      <w:r w:rsidR="00CA5192" w:rsidRPr="00CA5192">
        <w:rPr>
          <w:vertAlign w:val="superscript"/>
          <w:lang w:val="fr-FR"/>
        </w:rPr>
        <w:t>o</w:t>
      </w:r>
      <w:r w:rsidR="00CA5192">
        <w:rPr>
          <w:lang w:val="fr-FR"/>
        </w:rPr>
        <w:t> </w:t>
      </w:r>
      <w:r w:rsidRPr="00210CC8">
        <w:rPr>
          <w:lang w:val="fr-FR"/>
        </w:rPr>
        <w:t>87.</w:t>
      </w:r>
    </w:p>
    <w:p w:rsidR="00210CC8" w:rsidRPr="00210CC8" w:rsidRDefault="00880648" w:rsidP="00FF6E11">
      <w:pPr>
        <w:pStyle w:val="SingleTxt"/>
        <w:spacing w:after="100"/>
        <w:rPr>
          <w:lang w:val="fr-CH"/>
        </w:rPr>
      </w:pPr>
      <w:r w:rsidRPr="00880648">
        <w:rPr>
          <w:bCs/>
          <w:i/>
          <w:lang w:val="fr-FR"/>
        </w:rPr>
        <w:t>Document </w:t>
      </w:r>
      <w:r w:rsidRPr="00880648">
        <w:rPr>
          <w:bCs/>
          <w:lang w:val="fr-FR"/>
        </w:rPr>
        <w:t>:</w:t>
      </w:r>
      <w:r w:rsidR="00210CC8" w:rsidRPr="00210CC8">
        <w:rPr>
          <w:lang w:val="fr-FR"/>
        </w:rPr>
        <w:tab/>
        <w:t>ECE/TRANS/WP.29/GRE/2016/8</w:t>
      </w:r>
      <w:r>
        <w:rPr>
          <w:lang w:val="fr-FR"/>
        </w:rPr>
        <w:t>.</w:t>
      </w:r>
    </w:p>
    <w:p w:rsidR="00CA5192" w:rsidRPr="00FF6E11" w:rsidRDefault="00210CC8" w:rsidP="00FF6E11">
      <w:pPr>
        <w:pStyle w:val="SingleTxt"/>
        <w:spacing w:after="100"/>
        <w:rPr>
          <w:spacing w:val="2"/>
          <w:lang w:val="fr-FR"/>
        </w:rPr>
      </w:pPr>
      <w:r w:rsidRPr="00FF6E11">
        <w:rPr>
          <w:spacing w:val="2"/>
          <w:lang w:val="fr-FR"/>
        </w:rPr>
        <w:tab/>
        <w:t>Le Groupe de travail est invité à examiner une proposition soumise par l</w:t>
      </w:r>
      <w:r w:rsidR="00CA5192" w:rsidRPr="00FF6E11">
        <w:rPr>
          <w:spacing w:val="2"/>
          <w:lang w:val="fr-FR"/>
        </w:rPr>
        <w:t>’</w:t>
      </w:r>
      <w:r w:rsidRPr="00FF6E11">
        <w:rPr>
          <w:spacing w:val="2"/>
          <w:lang w:val="fr-FR"/>
        </w:rPr>
        <w:t xml:space="preserve">expert du GTB qui a pour objet de clarifier le libellé du paragraphe 6.21.1.2.4 du Règlement </w:t>
      </w:r>
      <w:r w:rsidR="00CA5192" w:rsidRPr="00FF6E11">
        <w:rPr>
          <w:spacing w:val="2"/>
          <w:lang w:val="fr-FR"/>
        </w:rPr>
        <w:t>n</w:t>
      </w:r>
      <w:r w:rsidR="00CA5192" w:rsidRPr="00FF6E11">
        <w:rPr>
          <w:spacing w:val="2"/>
          <w:vertAlign w:val="superscript"/>
          <w:lang w:val="fr-FR"/>
        </w:rPr>
        <w:t>o</w:t>
      </w:r>
      <w:r w:rsidR="00CA5192" w:rsidRPr="00FF6E11">
        <w:rPr>
          <w:spacing w:val="2"/>
          <w:lang w:val="fr-FR"/>
        </w:rPr>
        <w:t> </w:t>
      </w:r>
      <w:r w:rsidRPr="00FF6E11">
        <w:rPr>
          <w:spacing w:val="2"/>
          <w:lang w:val="fr-FR"/>
        </w:rPr>
        <w:t>48.</w:t>
      </w:r>
    </w:p>
    <w:p w:rsidR="00210CC8" w:rsidRPr="00210CC8" w:rsidRDefault="00880648" w:rsidP="00FF6E11">
      <w:pPr>
        <w:pStyle w:val="SingleTxt"/>
        <w:spacing w:after="100"/>
        <w:rPr>
          <w:lang w:val="fr-CH"/>
        </w:rPr>
      </w:pPr>
      <w:r w:rsidRPr="00880648">
        <w:rPr>
          <w:bCs/>
          <w:i/>
          <w:lang w:val="fr-FR"/>
        </w:rPr>
        <w:t>Document </w:t>
      </w:r>
      <w:r w:rsidRPr="00880648">
        <w:rPr>
          <w:bCs/>
          <w:lang w:val="fr-FR"/>
        </w:rPr>
        <w:t>:</w:t>
      </w:r>
      <w:r w:rsidR="00210CC8" w:rsidRPr="00210CC8">
        <w:rPr>
          <w:lang w:val="fr-FR"/>
        </w:rPr>
        <w:tab/>
        <w:t>ECE/TRANS/WP.29/GRE/2016/9</w:t>
      </w:r>
      <w:r>
        <w:rPr>
          <w:lang w:val="fr-FR"/>
        </w:rPr>
        <w:t>.</w:t>
      </w:r>
    </w:p>
    <w:p w:rsidR="00CA5192" w:rsidRDefault="00210CC8" w:rsidP="00FF6E11">
      <w:pPr>
        <w:pStyle w:val="SingleTxt"/>
        <w:spacing w:after="100"/>
        <w:rPr>
          <w:lang w:val="fr-FR"/>
        </w:rPr>
      </w:pPr>
      <w:r>
        <w:rPr>
          <w:lang w:val="fr-FR"/>
        </w:rPr>
        <w:tab/>
      </w:r>
      <w:r w:rsidRPr="00210CC8">
        <w:rPr>
          <w:lang w:val="fr-FR"/>
        </w:rPr>
        <w:t>Le GRE examinera une proposition soumise par l’expert du GTB visant à rendre plus claires les dispositions transitoires afin d</w:t>
      </w:r>
      <w:r w:rsidR="00CA5192">
        <w:rPr>
          <w:lang w:val="fr-FR"/>
        </w:rPr>
        <w:t>’</w:t>
      </w:r>
      <w:r w:rsidRPr="00210CC8">
        <w:rPr>
          <w:lang w:val="fr-FR"/>
        </w:rPr>
        <w:t>éviter que plusieurs séries d’amendements ne soient simultanément en vigueur.</w:t>
      </w:r>
    </w:p>
    <w:p w:rsidR="00210CC8" w:rsidRDefault="00880648" w:rsidP="00FF6E11">
      <w:pPr>
        <w:pStyle w:val="SingleTxt"/>
        <w:spacing w:after="100"/>
        <w:rPr>
          <w:lang w:val="fr-FR"/>
        </w:rPr>
      </w:pPr>
      <w:r w:rsidRPr="00880648">
        <w:rPr>
          <w:bCs/>
          <w:i/>
          <w:lang w:val="fr-FR"/>
        </w:rPr>
        <w:t>Document </w:t>
      </w:r>
      <w:r w:rsidRPr="00880648">
        <w:rPr>
          <w:bCs/>
          <w:lang w:val="fr-FR"/>
        </w:rPr>
        <w:t>:</w:t>
      </w:r>
      <w:r w:rsidR="00210CC8" w:rsidRPr="00210CC8">
        <w:rPr>
          <w:lang w:val="fr-FR"/>
        </w:rPr>
        <w:tab/>
        <w:t>ECE/TRANS/WP.29/GRE/2016/10</w:t>
      </w:r>
      <w:r>
        <w:rPr>
          <w:lang w:val="fr-FR"/>
        </w:rPr>
        <w:t>.</w:t>
      </w:r>
    </w:p>
    <w:p w:rsidR="00210CC8" w:rsidRPr="00210CC8" w:rsidRDefault="00210CC8" w:rsidP="00210CC8">
      <w:pPr>
        <w:pStyle w:val="SingleTxt"/>
        <w:spacing w:after="0" w:line="120" w:lineRule="exact"/>
        <w:rPr>
          <w:sz w:val="10"/>
          <w:lang w:val="fr-FR"/>
        </w:rPr>
      </w:pPr>
    </w:p>
    <w:p w:rsidR="00210CC8"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b)</w:t>
      </w:r>
      <w:r w:rsidRPr="00210CC8">
        <w:rPr>
          <w:lang w:val="fr-FR"/>
        </w:rPr>
        <w:tab/>
        <w:t xml:space="preserve">Autres propositions d’amendements au Règlement </w:t>
      </w:r>
      <w:r w:rsidR="00CA5192">
        <w:rPr>
          <w:lang w:val="fr-FR"/>
        </w:rPr>
        <w:t>n</w:t>
      </w:r>
      <w:r w:rsidR="00CA5192" w:rsidRPr="00CA5192">
        <w:rPr>
          <w:vertAlign w:val="superscript"/>
          <w:lang w:val="fr-FR"/>
        </w:rPr>
        <w:t>o</w:t>
      </w:r>
      <w:r w:rsidR="00CA5192">
        <w:rPr>
          <w:lang w:val="fr-FR"/>
        </w:rPr>
        <w:t> </w:t>
      </w:r>
      <w:r w:rsidRPr="00210CC8">
        <w:rPr>
          <w:lang w:val="fr-FR"/>
        </w:rPr>
        <w:t>48</w:t>
      </w:r>
    </w:p>
    <w:p w:rsidR="00210CC8" w:rsidRPr="00210CC8" w:rsidRDefault="00210CC8" w:rsidP="00210CC8">
      <w:pPr>
        <w:pStyle w:val="SingleTxt"/>
        <w:spacing w:after="0" w:line="120" w:lineRule="exact"/>
        <w:rPr>
          <w:sz w:val="10"/>
          <w:lang w:val="fr-FR"/>
        </w:rPr>
      </w:pPr>
    </w:p>
    <w:p w:rsidR="00210CC8" w:rsidRPr="00210CC8" w:rsidRDefault="00210CC8" w:rsidP="00FF6E11">
      <w:pPr>
        <w:pStyle w:val="SingleTxt"/>
        <w:spacing w:after="100"/>
        <w:rPr>
          <w:lang w:val="fr-CH"/>
        </w:rPr>
      </w:pPr>
      <w:r>
        <w:rPr>
          <w:lang w:val="fr-FR"/>
        </w:rPr>
        <w:tab/>
      </w:r>
      <w:r w:rsidRPr="00210CC8">
        <w:rPr>
          <w:lang w:val="fr-FR"/>
        </w:rPr>
        <w:t>Le GRE sera informé des activités menées par le groupe de travail informel sur la visibilité, l’éblouissement et le réglage et des projets de proposition élaborés par ce groupe de travail.</w:t>
      </w:r>
    </w:p>
    <w:p w:rsidR="00210CC8" w:rsidRDefault="00880648" w:rsidP="00FF6E11">
      <w:pPr>
        <w:pStyle w:val="SingleTxt"/>
        <w:spacing w:after="100"/>
        <w:rPr>
          <w:lang w:val="fr-FR"/>
        </w:rPr>
      </w:pPr>
      <w:r w:rsidRPr="00880648">
        <w:rPr>
          <w:bCs/>
          <w:i/>
          <w:lang w:val="fr-FR"/>
        </w:rPr>
        <w:t>Document </w:t>
      </w:r>
      <w:r w:rsidRPr="00880648">
        <w:rPr>
          <w:bCs/>
          <w:lang w:val="fr-FR"/>
        </w:rPr>
        <w:t>:</w:t>
      </w:r>
      <w:r w:rsidR="00210CC8" w:rsidRPr="00210CC8">
        <w:rPr>
          <w:lang w:val="fr-FR"/>
        </w:rPr>
        <w:t xml:space="preserve"> </w:t>
      </w:r>
      <w:r w:rsidR="00210CC8" w:rsidRPr="00210CC8">
        <w:rPr>
          <w:lang w:val="fr-FR"/>
        </w:rPr>
        <w:tab/>
        <w:t>ECE</w:t>
      </w:r>
      <w:r>
        <w:rPr>
          <w:lang w:val="fr-FR"/>
        </w:rPr>
        <w:t>/TRANS/WP.29/GRE/74, annexe III.</w:t>
      </w:r>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sz w:val="10"/>
          <w:lang w:val="fr-CH"/>
        </w:rPr>
      </w:pPr>
    </w:p>
    <w:p w:rsidR="00210CC8" w:rsidRDefault="00210CC8" w:rsidP="00210C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7.</w:t>
      </w:r>
      <w:r w:rsidRPr="00210CC8">
        <w:rPr>
          <w:lang w:val="fr-FR"/>
        </w:rPr>
        <w:tab/>
        <w:t>Autres Règlements</w:t>
      </w:r>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sz w:val="10"/>
          <w:lang w:val="fr-FR"/>
        </w:rPr>
      </w:pPr>
    </w:p>
    <w:p w:rsidR="00210CC8"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 xml:space="preserve"> </w:t>
      </w:r>
      <w:r w:rsidRPr="00210CC8">
        <w:rPr>
          <w:lang w:val="fr-FR"/>
        </w:rPr>
        <w:tab/>
        <w:t>a)</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6 (Feux indicateurs de direction)</w:t>
      </w:r>
    </w:p>
    <w:p w:rsidR="00210CC8" w:rsidRPr="00210CC8" w:rsidRDefault="00210CC8" w:rsidP="00210CC8">
      <w:pPr>
        <w:pStyle w:val="SingleTxt"/>
        <w:spacing w:after="0" w:line="120" w:lineRule="exact"/>
        <w:rPr>
          <w:sz w:val="10"/>
          <w:lang w:val="fr-FR"/>
        </w:rPr>
      </w:pPr>
    </w:p>
    <w:p w:rsidR="00CA5192" w:rsidRDefault="00210CC8" w:rsidP="00FF6E11">
      <w:pPr>
        <w:pStyle w:val="SingleTxt"/>
        <w:spacing w:after="100"/>
        <w:rPr>
          <w:lang w:val="fr-FR"/>
        </w:rPr>
      </w:pPr>
      <w:r>
        <w:rPr>
          <w:lang w:val="fr-FR"/>
        </w:rPr>
        <w:tab/>
      </w:r>
      <w:r w:rsidRPr="00210CC8">
        <w:rPr>
          <w:lang w:val="fr-FR"/>
        </w:rPr>
        <w:t>Le GRE examinera une proposition soumise par l</w:t>
      </w:r>
      <w:r w:rsidR="00CA5192">
        <w:rPr>
          <w:lang w:val="fr-FR"/>
        </w:rPr>
        <w:t>’</w:t>
      </w:r>
      <w:r w:rsidRPr="00210CC8">
        <w:rPr>
          <w:lang w:val="fr-FR"/>
        </w:rPr>
        <w:t xml:space="preserve">expert du GTB visant à aligner les dispositions du paragraphe 6.1 avec la définition du </w:t>
      </w:r>
      <w:r w:rsidR="00CA5192">
        <w:rPr>
          <w:lang w:val="fr-FR"/>
        </w:rPr>
        <w:t>« </w:t>
      </w:r>
      <w:r w:rsidRPr="00210CC8">
        <w:rPr>
          <w:lang w:val="fr-FR"/>
        </w:rPr>
        <w:t>feu simple</w:t>
      </w:r>
      <w:r w:rsidR="00CA5192">
        <w:rPr>
          <w:lang w:val="fr-FR"/>
        </w:rPr>
        <w:t> »</w:t>
      </w:r>
      <w:r w:rsidRPr="00210CC8">
        <w:rPr>
          <w:lang w:val="fr-FR"/>
        </w:rPr>
        <w:t xml:space="preserve">. Une proposition analogue été élaborée au sujet du Règlement </w:t>
      </w:r>
      <w:r w:rsidR="00CA5192">
        <w:rPr>
          <w:lang w:val="fr-FR"/>
        </w:rPr>
        <w:t>n</w:t>
      </w:r>
      <w:r w:rsidR="00CA5192" w:rsidRPr="00CA5192">
        <w:rPr>
          <w:vertAlign w:val="superscript"/>
          <w:lang w:val="fr-FR"/>
        </w:rPr>
        <w:t>o</w:t>
      </w:r>
      <w:r w:rsidR="00CA5192">
        <w:rPr>
          <w:lang w:val="fr-FR"/>
        </w:rPr>
        <w:t> </w:t>
      </w:r>
      <w:r w:rsidRPr="00210CC8">
        <w:rPr>
          <w:lang w:val="fr-FR"/>
        </w:rPr>
        <w:t>7.</w:t>
      </w:r>
    </w:p>
    <w:p w:rsidR="00210CC8" w:rsidRDefault="00880648" w:rsidP="00210CC8">
      <w:pPr>
        <w:pStyle w:val="SingleTxt"/>
        <w:rPr>
          <w:lang w:val="fr-FR"/>
        </w:rPr>
      </w:pPr>
      <w:r w:rsidRPr="00880648">
        <w:rPr>
          <w:bCs/>
          <w:i/>
          <w:lang w:val="fr-FR"/>
        </w:rPr>
        <w:t>Document </w:t>
      </w:r>
      <w:r w:rsidRPr="00880648">
        <w:rPr>
          <w:bCs/>
          <w:lang w:val="fr-FR"/>
        </w:rPr>
        <w:t>:</w:t>
      </w:r>
      <w:r>
        <w:rPr>
          <w:lang w:val="fr-FR"/>
        </w:rPr>
        <w:t xml:space="preserve"> </w:t>
      </w:r>
      <w:r>
        <w:rPr>
          <w:lang w:val="fr-FR"/>
        </w:rPr>
        <w:tab/>
        <w:t>ECE/TRANS/WP.29/GRE/2016/11.</w:t>
      </w:r>
    </w:p>
    <w:p w:rsidR="00210CC8"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lastRenderedPageBreak/>
        <w:tab/>
        <w:t>b)</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7 (Feux de position, feux-stop et feux d</w:t>
      </w:r>
      <w:r w:rsidR="00CA5192">
        <w:rPr>
          <w:lang w:val="fr-FR"/>
        </w:rPr>
        <w:t>’</w:t>
      </w:r>
      <w:r w:rsidRPr="00210CC8">
        <w:rPr>
          <w:lang w:val="fr-FR"/>
        </w:rPr>
        <w:t>encombrement)</w:t>
      </w:r>
    </w:p>
    <w:p w:rsidR="00210CC8" w:rsidRPr="00210CC8" w:rsidRDefault="00210CC8" w:rsidP="00210CC8">
      <w:pPr>
        <w:pStyle w:val="SingleTxt"/>
        <w:spacing w:after="0" w:line="120" w:lineRule="exact"/>
        <w:rPr>
          <w:sz w:val="10"/>
          <w:lang w:val="fr-FR"/>
        </w:rPr>
      </w:pPr>
    </w:p>
    <w:p w:rsidR="00CA5192" w:rsidRDefault="00210CC8" w:rsidP="00880648">
      <w:pPr>
        <w:pStyle w:val="SingleTxt"/>
        <w:rPr>
          <w:lang w:val="fr-FR"/>
        </w:rPr>
      </w:pPr>
      <w:r>
        <w:rPr>
          <w:lang w:val="fr-FR"/>
        </w:rPr>
        <w:tab/>
      </w:r>
      <w:r w:rsidRPr="00210CC8">
        <w:rPr>
          <w:lang w:val="fr-FR"/>
        </w:rPr>
        <w:t>Le GRE est invité à examiner une proposition de l’expert de l’équipe spéciale des témoins de fonctionnement (ECE/TRANS/WP.29/GRE/2016/12), qui devrait être étudiée en même temps que le document ECE/TRANS/WP.29/GRE/2016/7 (point 6 a) de l’ordre du jour).</w:t>
      </w:r>
    </w:p>
    <w:p w:rsidR="00210CC8" w:rsidRPr="00210CC8" w:rsidRDefault="00880648" w:rsidP="00880648">
      <w:pPr>
        <w:pStyle w:val="SingleTxt"/>
        <w:rPr>
          <w:lang w:val="fr-CH"/>
        </w:rPr>
      </w:pPr>
      <w:r w:rsidRPr="00880648">
        <w:rPr>
          <w:bCs/>
          <w:i/>
          <w:lang w:val="fr-FR"/>
        </w:rPr>
        <w:t>Document </w:t>
      </w:r>
      <w:r w:rsidRPr="00880648">
        <w:rPr>
          <w:bCs/>
          <w:lang w:val="fr-FR"/>
        </w:rPr>
        <w:t>:</w:t>
      </w:r>
      <w:r w:rsidR="00210CC8" w:rsidRPr="00210CC8">
        <w:rPr>
          <w:lang w:val="fr-FR"/>
        </w:rPr>
        <w:t xml:space="preserve"> </w:t>
      </w:r>
      <w:r w:rsidR="00210CC8" w:rsidRPr="00210CC8">
        <w:rPr>
          <w:lang w:val="fr-FR"/>
        </w:rPr>
        <w:tab/>
        <w:t>ECE/TRANS/WP.29/GRE/2016/12</w:t>
      </w:r>
      <w:r>
        <w:rPr>
          <w:lang w:val="fr-FR"/>
        </w:rPr>
        <w:t>.</w:t>
      </w:r>
    </w:p>
    <w:p w:rsidR="00CA5192" w:rsidRDefault="00210CC8" w:rsidP="00CA5192">
      <w:pPr>
        <w:pStyle w:val="SingleTxt"/>
        <w:rPr>
          <w:lang w:val="fr-FR"/>
        </w:rPr>
      </w:pPr>
      <w:r>
        <w:rPr>
          <w:lang w:val="fr-FR"/>
        </w:rPr>
        <w:tab/>
      </w:r>
      <w:r w:rsidRPr="00210CC8">
        <w:rPr>
          <w:lang w:val="fr-FR"/>
        </w:rPr>
        <w:t>Le GRE souhaitera peut-être examiner une proposition soumise par l</w:t>
      </w:r>
      <w:r w:rsidR="00CA5192">
        <w:rPr>
          <w:lang w:val="fr-FR"/>
        </w:rPr>
        <w:t>’</w:t>
      </w:r>
      <w:r w:rsidRPr="00210CC8">
        <w:rPr>
          <w:lang w:val="fr-FR"/>
        </w:rPr>
        <w:t xml:space="preserve">expert du GTB visant à aligner les dispositions du paragraphe 6.1 avec la définition du </w:t>
      </w:r>
      <w:r w:rsidR="00CA5192">
        <w:rPr>
          <w:lang w:val="fr-FR"/>
        </w:rPr>
        <w:t>« </w:t>
      </w:r>
      <w:r w:rsidRPr="00210CC8">
        <w:rPr>
          <w:lang w:val="fr-FR"/>
        </w:rPr>
        <w:t>feu simple</w:t>
      </w:r>
      <w:r w:rsidR="00CA5192">
        <w:rPr>
          <w:lang w:val="fr-FR"/>
        </w:rPr>
        <w:t> »</w:t>
      </w:r>
      <w:r w:rsidRPr="00210CC8">
        <w:rPr>
          <w:lang w:val="fr-FR"/>
        </w:rPr>
        <w:t xml:space="preserve">. Une proposition analogue été élaborée au sujet du Règlement </w:t>
      </w:r>
      <w:r w:rsidR="00CA5192">
        <w:rPr>
          <w:lang w:val="fr-FR"/>
        </w:rPr>
        <w:t>n</w:t>
      </w:r>
      <w:r w:rsidR="00CA5192" w:rsidRPr="00CA5192">
        <w:rPr>
          <w:vertAlign w:val="superscript"/>
          <w:lang w:val="fr-FR"/>
        </w:rPr>
        <w:t>o</w:t>
      </w:r>
      <w:r w:rsidR="00CA5192">
        <w:rPr>
          <w:lang w:val="fr-FR"/>
        </w:rPr>
        <w:t> </w:t>
      </w:r>
      <w:r w:rsidRPr="00210CC8">
        <w:rPr>
          <w:lang w:val="fr-FR"/>
        </w:rPr>
        <w:t>6.</w:t>
      </w:r>
    </w:p>
    <w:p w:rsidR="00210CC8" w:rsidRPr="00210CC8" w:rsidRDefault="00880648" w:rsidP="00210CC8">
      <w:pPr>
        <w:pStyle w:val="SingleTxt"/>
        <w:rPr>
          <w:lang w:val="fr-CH"/>
        </w:rPr>
      </w:pPr>
      <w:r w:rsidRPr="00880648">
        <w:rPr>
          <w:bCs/>
          <w:i/>
          <w:lang w:val="fr-FR"/>
        </w:rPr>
        <w:t>Document </w:t>
      </w:r>
      <w:r w:rsidRPr="00880648">
        <w:rPr>
          <w:bCs/>
          <w:lang w:val="fr-FR"/>
        </w:rPr>
        <w:t>:</w:t>
      </w:r>
      <w:r>
        <w:rPr>
          <w:lang w:val="fr-FR"/>
        </w:rPr>
        <w:t xml:space="preserve"> </w:t>
      </w:r>
      <w:r>
        <w:rPr>
          <w:lang w:val="fr-FR"/>
        </w:rPr>
        <w:tab/>
        <w:t>ECE/TRANS/WP.29/GRE/2016/11.</w:t>
      </w:r>
    </w:p>
    <w:p w:rsidR="00CA5192" w:rsidRDefault="00210CC8" w:rsidP="00CA5192">
      <w:pPr>
        <w:pStyle w:val="SingleTxt"/>
        <w:rPr>
          <w:lang w:val="fr-FR"/>
        </w:rPr>
      </w:pPr>
      <w:r>
        <w:rPr>
          <w:lang w:val="fr-FR"/>
        </w:rPr>
        <w:tab/>
      </w:r>
      <w:r w:rsidRPr="00210CC8">
        <w:rPr>
          <w:lang w:val="fr-FR"/>
        </w:rPr>
        <w:t xml:space="preserve">Le GRE souhaitera peut-être étudier une proposition de l’expert du GTB visant à mettre à jour les dispositions sur la défaillance des sources lumineuses lorsqu’un témoin indiquant un défaut de fonctionnement est installé. Des propositions analogues ont également été établies pour les </w:t>
      </w:r>
      <w:r w:rsidR="00833EF7" w:rsidRPr="00210CC8">
        <w:rPr>
          <w:lang w:val="fr-FR"/>
        </w:rPr>
        <w:t xml:space="preserve">Règlements </w:t>
      </w:r>
      <w:r w:rsidR="00CA5192">
        <w:rPr>
          <w:lang w:val="fr-FR"/>
        </w:rPr>
        <w:t>n</w:t>
      </w:r>
      <w:r w:rsidR="00CA5192" w:rsidRPr="00CA5192">
        <w:rPr>
          <w:vertAlign w:val="superscript"/>
          <w:lang w:val="fr-FR"/>
        </w:rPr>
        <w:t>os</w:t>
      </w:r>
      <w:r w:rsidR="00CA5192">
        <w:rPr>
          <w:lang w:val="fr-FR"/>
        </w:rPr>
        <w:t> </w:t>
      </w:r>
      <w:r w:rsidRPr="00210CC8">
        <w:rPr>
          <w:lang w:val="fr-FR"/>
        </w:rPr>
        <w:t>23, 38, 77, 91 et 119.</w:t>
      </w:r>
    </w:p>
    <w:p w:rsidR="00210CC8" w:rsidRDefault="00880648" w:rsidP="00210CC8">
      <w:pPr>
        <w:pStyle w:val="SingleTxt"/>
        <w:rPr>
          <w:lang w:val="fr-FR"/>
        </w:rPr>
      </w:pPr>
      <w:r w:rsidRPr="00880648">
        <w:rPr>
          <w:bCs/>
          <w:i/>
          <w:lang w:val="fr-FR"/>
        </w:rPr>
        <w:t>Document </w:t>
      </w:r>
      <w:r w:rsidRPr="00880648">
        <w:rPr>
          <w:bCs/>
          <w:lang w:val="fr-FR"/>
        </w:rPr>
        <w:t>:</w:t>
      </w:r>
      <w:r>
        <w:rPr>
          <w:lang w:val="fr-FR"/>
        </w:rPr>
        <w:t xml:space="preserve"> </w:t>
      </w:r>
      <w:r>
        <w:rPr>
          <w:lang w:val="fr-FR"/>
        </w:rPr>
        <w:tab/>
        <w:t>ECE/TRANS/WP.29/GRE/2016/13.</w:t>
      </w:r>
    </w:p>
    <w:p w:rsidR="00210CC8" w:rsidRPr="00210CC8" w:rsidRDefault="00210CC8" w:rsidP="00210CC8">
      <w:pPr>
        <w:pStyle w:val="SingleTxt"/>
        <w:spacing w:after="0" w:line="120" w:lineRule="exact"/>
        <w:rPr>
          <w:sz w:val="10"/>
          <w:lang w:val="fr-FR"/>
        </w:rPr>
      </w:pPr>
    </w:p>
    <w:p w:rsidR="00210CC8"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c)</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10 (Compatibilité électromagnétique)</w:t>
      </w:r>
    </w:p>
    <w:p w:rsidR="00210CC8" w:rsidRPr="00210CC8" w:rsidRDefault="00210CC8" w:rsidP="00210CC8">
      <w:pPr>
        <w:pStyle w:val="SingleTxt"/>
        <w:spacing w:after="0" w:line="120" w:lineRule="exact"/>
        <w:rPr>
          <w:sz w:val="10"/>
          <w:lang w:val="fr-FR"/>
        </w:rPr>
      </w:pPr>
    </w:p>
    <w:p w:rsidR="00CA5192" w:rsidRDefault="00210CC8" w:rsidP="00210CC8">
      <w:pPr>
        <w:pStyle w:val="SingleTxt"/>
        <w:rPr>
          <w:lang w:val="fr-FR"/>
        </w:rPr>
      </w:pPr>
      <w:r>
        <w:rPr>
          <w:lang w:val="fr-FR"/>
        </w:rPr>
        <w:tab/>
      </w:r>
      <w:r w:rsidRPr="00210CC8">
        <w:rPr>
          <w:lang w:val="fr-FR"/>
        </w:rPr>
        <w:t>Le GRE souhaitera peut-être se rappeler des documents qu</w:t>
      </w:r>
      <w:r w:rsidR="00CA5192">
        <w:rPr>
          <w:lang w:val="fr-FR"/>
        </w:rPr>
        <w:t>’</w:t>
      </w:r>
      <w:r w:rsidRPr="00210CC8">
        <w:rPr>
          <w:lang w:val="fr-FR"/>
        </w:rPr>
        <w:t xml:space="preserve">il a examinés à la session précédente (ECE/TRANS/WP.29/GRE/74, </w:t>
      </w:r>
      <w:r w:rsidR="00CA5192">
        <w:rPr>
          <w:lang w:val="fr-FR"/>
        </w:rPr>
        <w:t>par. </w:t>
      </w:r>
      <w:r w:rsidRPr="00210CC8">
        <w:rPr>
          <w:lang w:val="fr-FR"/>
        </w:rPr>
        <w:t>22 à 14). Le GRE sera informé des activités de l</w:t>
      </w:r>
      <w:r w:rsidR="00CA5192">
        <w:rPr>
          <w:lang w:val="fr-FR"/>
        </w:rPr>
        <w:t>’</w:t>
      </w:r>
      <w:r w:rsidRPr="00210CC8">
        <w:rPr>
          <w:lang w:val="fr-FR"/>
        </w:rPr>
        <w:t>équipe spéciale de la compatibilité électromagnétique et de toutes les propositions d</w:t>
      </w:r>
      <w:r w:rsidR="00CA5192">
        <w:rPr>
          <w:lang w:val="fr-FR"/>
        </w:rPr>
        <w:t>’</w:t>
      </w:r>
      <w:r w:rsidRPr="00210CC8">
        <w:rPr>
          <w:lang w:val="fr-FR"/>
        </w:rPr>
        <w:t>amendement élaborées par celle-ci.</w:t>
      </w:r>
    </w:p>
    <w:p w:rsidR="00210CC8" w:rsidRDefault="00880648" w:rsidP="00CA5192">
      <w:pPr>
        <w:pStyle w:val="SingleTxt"/>
        <w:ind w:left="2693" w:hanging="1426"/>
        <w:rPr>
          <w:lang w:val="fr-FR"/>
        </w:rPr>
      </w:pPr>
      <w:r w:rsidRPr="00880648">
        <w:rPr>
          <w:bCs/>
          <w:i/>
          <w:lang w:val="fr-FR"/>
        </w:rPr>
        <w:t>Documents</w:t>
      </w:r>
      <w:r w:rsidRPr="00880648">
        <w:rPr>
          <w:bCs/>
          <w:lang w:val="fr-FR"/>
        </w:rPr>
        <w:t> :</w:t>
      </w:r>
      <w:r w:rsidR="00210CC8" w:rsidRPr="00210CC8">
        <w:rPr>
          <w:lang w:val="fr-FR"/>
        </w:rPr>
        <w:tab/>
      </w:r>
      <w:r w:rsidR="00210CC8" w:rsidRPr="00880648">
        <w:rPr>
          <w:spacing w:val="0"/>
          <w:lang w:val="fr-FR"/>
        </w:rPr>
        <w:t>ECE/TRANS/WP.29/GRE/2014/41</w:t>
      </w:r>
      <w:r>
        <w:rPr>
          <w:spacing w:val="0"/>
          <w:lang w:val="fr-FR"/>
        </w:rPr>
        <w:t>;</w:t>
      </w:r>
      <w:r w:rsidR="00210CC8" w:rsidRPr="00880648">
        <w:rPr>
          <w:spacing w:val="0"/>
          <w:lang w:val="fr-FR"/>
        </w:rPr>
        <w:t xml:space="preserve"> ECE/TRANS/WP.29/GRE/2016/35,</w:t>
      </w:r>
      <w:r w:rsidR="00210CC8" w:rsidRPr="00210CC8">
        <w:rPr>
          <w:lang w:val="fr-FR"/>
        </w:rPr>
        <w:t xml:space="preserve"> ECE/TRANS/WP.29/GRE/2016/36</w:t>
      </w:r>
      <w:r w:rsidR="00CA5192">
        <w:rPr>
          <w:lang w:val="fr-FR"/>
        </w:rPr>
        <w:t>;</w:t>
      </w:r>
      <w:r w:rsidR="00210CC8" w:rsidRPr="00210CC8">
        <w:rPr>
          <w:lang w:val="fr-FR"/>
        </w:rPr>
        <w:t xml:space="preserve"> document informel GRE-74-12</w:t>
      </w:r>
      <w:r>
        <w:rPr>
          <w:lang w:val="fr-FR"/>
        </w:rPr>
        <w:t>.</w:t>
      </w:r>
    </w:p>
    <w:p w:rsidR="00210CC8" w:rsidRPr="00210CC8" w:rsidRDefault="00210CC8" w:rsidP="00210CC8">
      <w:pPr>
        <w:pStyle w:val="SingleTxt"/>
        <w:spacing w:after="0" w:line="120" w:lineRule="exact"/>
        <w:rPr>
          <w:sz w:val="10"/>
          <w:lang w:val="fr-FR"/>
        </w:rPr>
      </w:pPr>
    </w:p>
    <w:p w:rsidR="00210CC8"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d)</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19 (Feux de brouillard avant)</w:t>
      </w:r>
    </w:p>
    <w:p w:rsidR="00210CC8" w:rsidRPr="00210CC8" w:rsidRDefault="00210CC8" w:rsidP="00210CC8">
      <w:pPr>
        <w:pStyle w:val="SingleTxt"/>
        <w:spacing w:after="0" w:line="120" w:lineRule="exact"/>
        <w:rPr>
          <w:sz w:val="10"/>
          <w:lang w:val="fr-FR"/>
        </w:rPr>
      </w:pPr>
    </w:p>
    <w:p w:rsidR="00CA5192" w:rsidRPr="00FF6E11" w:rsidRDefault="00210CC8" w:rsidP="00CA5192">
      <w:pPr>
        <w:pStyle w:val="SingleTxt"/>
        <w:rPr>
          <w:spacing w:val="2"/>
          <w:lang w:val="fr-FR"/>
        </w:rPr>
      </w:pPr>
      <w:r w:rsidRPr="00FF6E11">
        <w:rPr>
          <w:spacing w:val="2"/>
          <w:lang w:val="fr-FR"/>
        </w:rPr>
        <w:tab/>
        <w:t xml:space="preserve">Le GRE souhaitera peut-être examiner une proposition de l’expert du GTB visant à corriger les prescriptions relatives à l’essai avec le mélange salissant. Des propositions analogues ont également été établies pour les </w:t>
      </w:r>
      <w:r w:rsidR="00833EF7" w:rsidRPr="00FF6E11">
        <w:rPr>
          <w:spacing w:val="2"/>
          <w:lang w:val="fr-FR"/>
        </w:rPr>
        <w:t xml:space="preserve">Règlements </w:t>
      </w:r>
      <w:r w:rsidR="00CA5192" w:rsidRPr="00FF6E11">
        <w:rPr>
          <w:spacing w:val="2"/>
          <w:lang w:val="fr-FR"/>
        </w:rPr>
        <w:t>n</w:t>
      </w:r>
      <w:r w:rsidR="00CA5192" w:rsidRPr="00FF6E11">
        <w:rPr>
          <w:spacing w:val="2"/>
          <w:vertAlign w:val="superscript"/>
          <w:lang w:val="fr-FR"/>
        </w:rPr>
        <w:t>os</w:t>
      </w:r>
      <w:r w:rsidR="00CA5192" w:rsidRPr="00FF6E11">
        <w:rPr>
          <w:spacing w:val="2"/>
          <w:lang w:val="fr-FR"/>
        </w:rPr>
        <w:t> </w:t>
      </w:r>
      <w:r w:rsidRPr="00FF6E11">
        <w:rPr>
          <w:spacing w:val="2"/>
          <w:lang w:val="fr-FR"/>
        </w:rPr>
        <w:t>45, 98, 112, 113 et 123.</w:t>
      </w:r>
    </w:p>
    <w:p w:rsidR="00210CC8" w:rsidRDefault="00880648" w:rsidP="00210CC8">
      <w:pPr>
        <w:pStyle w:val="SingleTxt"/>
        <w:rPr>
          <w:lang w:val="fr-FR"/>
        </w:rPr>
      </w:pPr>
      <w:r w:rsidRPr="00880648">
        <w:rPr>
          <w:bCs/>
          <w:i/>
          <w:lang w:val="fr-FR"/>
        </w:rPr>
        <w:t>Document </w:t>
      </w:r>
      <w:r w:rsidRPr="00880648">
        <w:rPr>
          <w:bCs/>
          <w:lang w:val="fr-FR"/>
        </w:rPr>
        <w:t>:</w:t>
      </w:r>
      <w:r w:rsidR="00210CC8">
        <w:rPr>
          <w:lang w:val="fr-FR"/>
        </w:rPr>
        <w:t xml:space="preserve"> </w:t>
      </w:r>
      <w:r w:rsidR="00210CC8">
        <w:rPr>
          <w:lang w:val="fr-FR"/>
        </w:rPr>
        <w:tab/>
        <w:t>ECE/TRANS/WP.29/GRE/2016/14</w:t>
      </w:r>
      <w:r w:rsidR="00CA5192">
        <w:rPr>
          <w:lang w:val="fr-FR"/>
        </w:rPr>
        <w:t>.</w:t>
      </w:r>
    </w:p>
    <w:p w:rsidR="00210CC8" w:rsidRPr="00210CC8" w:rsidRDefault="00210CC8" w:rsidP="00210CC8">
      <w:pPr>
        <w:pStyle w:val="SingleTxt"/>
        <w:spacing w:after="0" w:line="120" w:lineRule="exact"/>
        <w:rPr>
          <w:sz w:val="10"/>
          <w:lang w:val="fr-FR"/>
        </w:rPr>
      </w:pPr>
    </w:p>
    <w:p w:rsidR="00210CC8"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e)</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23 (Feux de marche arrière)</w:t>
      </w:r>
    </w:p>
    <w:p w:rsidR="00210CC8" w:rsidRPr="00210CC8" w:rsidRDefault="00210CC8" w:rsidP="00210CC8">
      <w:pPr>
        <w:pStyle w:val="SingleTxt"/>
        <w:spacing w:after="0" w:line="120" w:lineRule="exact"/>
        <w:rPr>
          <w:sz w:val="10"/>
          <w:lang w:val="fr-FR"/>
        </w:rPr>
      </w:pPr>
    </w:p>
    <w:p w:rsidR="00CA5192" w:rsidRDefault="00210CC8" w:rsidP="00210CC8">
      <w:pPr>
        <w:pStyle w:val="SingleTxt"/>
        <w:rPr>
          <w:lang w:val="fr-FR"/>
        </w:rPr>
      </w:pPr>
      <w:r>
        <w:rPr>
          <w:lang w:val="fr-FR"/>
        </w:rPr>
        <w:tab/>
      </w:r>
      <w:r w:rsidRPr="00210CC8">
        <w:rPr>
          <w:lang w:val="fr-FR"/>
        </w:rPr>
        <w:t>Le GRE souhaitera peut-être étudier une proposition de l’expert du GTB visant à mettre à jour les dispositions sur la défaillance des sources lumineuses lorsqu’un témoin indiquant un défaut de fonctionnement est installé.</w:t>
      </w:r>
    </w:p>
    <w:p w:rsidR="00210CC8" w:rsidRDefault="00880648" w:rsidP="00210CC8">
      <w:pPr>
        <w:pStyle w:val="SingleTxt"/>
        <w:rPr>
          <w:lang w:val="fr-FR"/>
        </w:rPr>
      </w:pPr>
      <w:r w:rsidRPr="00880648">
        <w:rPr>
          <w:bCs/>
          <w:i/>
          <w:lang w:val="fr-FR"/>
        </w:rPr>
        <w:t>Document </w:t>
      </w:r>
      <w:r w:rsidRPr="00880648">
        <w:rPr>
          <w:bCs/>
          <w:lang w:val="fr-FR"/>
        </w:rPr>
        <w:t>:</w:t>
      </w:r>
      <w:r w:rsidR="00210CC8">
        <w:rPr>
          <w:lang w:val="fr-FR"/>
        </w:rPr>
        <w:t xml:space="preserve"> </w:t>
      </w:r>
      <w:r w:rsidR="00210CC8">
        <w:rPr>
          <w:lang w:val="fr-FR"/>
        </w:rPr>
        <w:tab/>
        <w:t>ECE/TRANS/WP.29/GRE/2016/13</w:t>
      </w:r>
      <w:r w:rsidR="00CA5192">
        <w:rPr>
          <w:lang w:val="fr-FR"/>
        </w:rPr>
        <w:t>.</w:t>
      </w:r>
    </w:p>
    <w:p w:rsidR="00210CC8" w:rsidRPr="00210CC8" w:rsidRDefault="00210CC8" w:rsidP="00210CC8">
      <w:pPr>
        <w:pStyle w:val="SingleTxt"/>
        <w:spacing w:after="0" w:line="120" w:lineRule="exact"/>
        <w:rPr>
          <w:sz w:val="10"/>
          <w:lang w:val="fr-FR"/>
        </w:rPr>
      </w:pPr>
    </w:p>
    <w:p w:rsidR="00210CC8"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f)</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38 (Feux de brouillard arrière)</w:t>
      </w:r>
    </w:p>
    <w:p w:rsidR="00210CC8" w:rsidRPr="00210CC8" w:rsidRDefault="00210CC8" w:rsidP="00210CC8">
      <w:pPr>
        <w:pStyle w:val="SingleTxt"/>
        <w:spacing w:after="0" w:line="120" w:lineRule="exact"/>
        <w:rPr>
          <w:sz w:val="10"/>
          <w:lang w:val="fr-FR"/>
        </w:rPr>
      </w:pPr>
    </w:p>
    <w:p w:rsidR="00CA5192" w:rsidRDefault="00210CC8" w:rsidP="00210CC8">
      <w:pPr>
        <w:pStyle w:val="SingleTxt"/>
        <w:rPr>
          <w:lang w:val="fr-FR"/>
        </w:rPr>
      </w:pPr>
      <w:r>
        <w:rPr>
          <w:lang w:val="fr-FR"/>
        </w:rPr>
        <w:tab/>
      </w:r>
      <w:r w:rsidRPr="00210CC8">
        <w:rPr>
          <w:lang w:val="fr-FR"/>
        </w:rPr>
        <w:t>Le GRE souhaitera peut-être étudier une proposition de l’expert du GTB visant à mettre à jour les dispositions sur la défaillance des sources lumineuses lorsqu’un témoin indiquant un défaut de fonctionnement est installé.</w:t>
      </w:r>
    </w:p>
    <w:p w:rsidR="00210CC8" w:rsidRDefault="00880648" w:rsidP="00210CC8">
      <w:pPr>
        <w:pStyle w:val="SingleTxt"/>
        <w:rPr>
          <w:lang w:val="fr-FR"/>
        </w:rPr>
      </w:pPr>
      <w:r w:rsidRPr="00880648">
        <w:rPr>
          <w:bCs/>
          <w:i/>
          <w:lang w:val="fr-FR"/>
        </w:rPr>
        <w:t>Document </w:t>
      </w:r>
      <w:r w:rsidRPr="00880648">
        <w:rPr>
          <w:bCs/>
          <w:lang w:val="fr-FR"/>
        </w:rPr>
        <w:t>:</w:t>
      </w:r>
      <w:r w:rsidR="00210CC8" w:rsidRPr="00210CC8">
        <w:rPr>
          <w:lang w:val="fr-FR"/>
        </w:rPr>
        <w:t xml:space="preserve"> </w:t>
      </w:r>
      <w:r w:rsidR="00210CC8">
        <w:rPr>
          <w:lang w:val="fr-FR"/>
        </w:rPr>
        <w:tab/>
        <w:t>ECE/TRANS/WP.29/GRE/2016/13</w:t>
      </w:r>
      <w:r w:rsidR="00CA5192">
        <w:rPr>
          <w:lang w:val="fr-FR"/>
        </w:rPr>
        <w:t>.</w:t>
      </w:r>
    </w:p>
    <w:p w:rsidR="00210CC8" w:rsidRPr="00210CC8" w:rsidRDefault="00210CC8" w:rsidP="00210CC8">
      <w:pPr>
        <w:pStyle w:val="SingleTxt"/>
        <w:spacing w:after="0" w:line="120" w:lineRule="exact"/>
        <w:rPr>
          <w:sz w:val="10"/>
          <w:lang w:val="fr-FR"/>
        </w:rPr>
      </w:pPr>
    </w:p>
    <w:p w:rsidR="00210CC8"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g)</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45 (Nettoie-projecteurs)</w:t>
      </w:r>
    </w:p>
    <w:p w:rsidR="00210CC8" w:rsidRPr="00210CC8" w:rsidRDefault="00210CC8" w:rsidP="00210CC8">
      <w:pPr>
        <w:pStyle w:val="SingleTxt"/>
        <w:spacing w:after="0" w:line="120" w:lineRule="exact"/>
        <w:rPr>
          <w:sz w:val="10"/>
          <w:lang w:val="fr-FR"/>
        </w:rPr>
      </w:pPr>
    </w:p>
    <w:p w:rsidR="00CA5192" w:rsidRDefault="00833EF7" w:rsidP="00210CC8">
      <w:pPr>
        <w:pStyle w:val="SingleTxt"/>
        <w:rPr>
          <w:lang w:val="fr-FR"/>
        </w:rPr>
      </w:pPr>
      <w:r>
        <w:rPr>
          <w:lang w:val="fr-FR"/>
        </w:rPr>
        <w:tab/>
      </w:r>
      <w:r w:rsidR="00210CC8" w:rsidRPr="00210CC8">
        <w:rPr>
          <w:lang w:val="fr-FR"/>
        </w:rPr>
        <w:t>Le GRE souhaitera peut-être examiner une proposition de l’expert du GTB visant à corriger les prescriptions relatives à l’essai avec le mélange salissant.</w:t>
      </w:r>
    </w:p>
    <w:p w:rsidR="00210CC8" w:rsidRDefault="00880648" w:rsidP="00210CC8">
      <w:pPr>
        <w:pStyle w:val="SingleTxt"/>
        <w:rPr>
          <w:lang w:val="fr-FR"/>
        </w:rPr>
      </w:pPr>
      <w:r w:rsidRPr="00880648">
        <w:rPr>
          <w:bCs/>
          <w:i/>
          <w:lang w:val="fr-FR"/>
        </w:rPr>
        <w:t>Document </w:t>
      </w:r>
      <w:r w:rsidRPr="00880648">
        <w:rPr>
          <w:bCs/>
          <w:lang w:val="fr-FR"/>
        </w:rPr>
        <w:t>:</w:t>
      </w:r>
      <w:r w:rsidR="00210CC8" w:rsidRPr="00210CC8">
        <w:rPr>
          <w:lang w:val="fr-FR"/>
        </w:rPr>
        <w:t xml:space="preserve"> </w:t>
      </w:r>
      <w:r w:rsidR="00210CC8" w:rsidRPr="00210CC8">
        <w:rPr>
          <w:lang w:val="fr-FR"/>
        </w:rPr>
        <w:tab/>
        <w:t>ECE/TRANS/WP.29/G</w:t>
      </w:r>
      <w:r w:rsidR="00CA5192">
        <w:rPr>
          <w:lang w:val="fr-FR"/>
        </w:rPr>
        <w:t>RE/2016/14.</w:t>
      </w:r>
    </w:p>
    <w:p w:rsidR="00210CC8"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lastRenderedPageBreak/>
        <w:tab/>
        <w:t>h)</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 xml:space="preserve">50 (Feux de position, feux-stop, feux indicateurs </w:t>
      </w:r>
      <w:r>
        <w:rPr>
          <w:lang w:val="fr-FR"/>
        </w:rPr>
        <w:br/>
      </w:r>
      <w:r w:rsidRPr="00210CC8">
        <w:rPr>
          <w:lang w:val="fr-FR"/>
        </w:rPr>
        <w:t>de direction pour cyclomoteurs et motocycles)</w:t>
      </w:r>
    </w:p>
    <w:p w:rsidR="00210CC8" w:rsidRPr="00210CC8" w:rsidRDefault="00210CC8" w:rsidP="00210CC8">
      <w:pPr>
        <w:pStyle w:val="SingleTxt"/>
        <w:spacing w:after="0" w:line="120" w:lineRule="exact"/>
        <w:rPr>
          <w:sz w:val="10"/>
          <w:lang w:val="fr-FR"/>
        </w:rPr>
      </w:pPr>
    </w:p>
    <w:p w:rsidR="00CA5192" w:rsidRDefault="00210CC8" w:rsidP="00FF6E11">
      <w:pPr>
        <w:pStyle w:val="SingleTxt"/>
        <w:spacing w:after="100" w:line="232" w:lineRule="exact"/>
        <w:rPr>
          <w:lang w:val="fr-FR"/>
        </w:rPr>
      </w:pPr>
      <w:r>
        <w:rPr>
          <w:lang w:val="fr-FR"/>
        </w:rPr>
        <w:tab/>
      </w:r>
      <w:r w:rsidRPr="00210CC8">
        <w:rPr>
          <w:lang w:val="fr-FR"/>
        </w:rPr>
        <w:t>Lors de la précédente session, le GRE a examiné une proposition soumise par l</w:t>
      </w:r>
      <w:r w:rsidR="00CA5192">
        <w:rPr>
          <w:lang w:val="fr-FR"/>
        </w:rPr>
        <w:t>’</w:t>
      </w:r>
      <w:r w:rsidRPr="00210CC8">
        <w:rPr>
          <w:lang w:val="fr-FR"/>
        </w:rPr>
        <w:t>expert de l</w:t>
      </w:r>
      <w:r w:rsidR="00CA5192">
        <w:rPr>
          <w:lang w:val="fr-FR"/>
        </w:rPr>
        <w:t>’</w:t>
      </w:r>
      <w:r w:rsidRPr="00210CC8">
        <w:rPr>
          <w:lang w:val="fr-FR"/>
        </w:rPr>
        <w:t>Association internationale des constructeurs de motocycles (AICM) visant à modifier l’angle d’incidence prescrit pour le dispositif d’éclairage de la plaque d’immatriculation arrière (ECE/TRANS/WP.29/GRE/2015/38). Le GRE souhaitera peut-être reprendre l’examen de cette question en s’appuyant sur un nouveau document informel qui lui sera communiqué par l</w:t>
      </w:r>
      <w:r w:rsidR="00CA5192">
        <w:rPr>
          <w:lang w:val="fr-FR"/>
        </w:rPr>
        <w:t>’</w:t>
      </w:r>
      <w:r w:rsidRPr="00210CC8">
        <w:rPr>
          <w:lang w:val="fr-FR"/>
        </w:rPr>
        <w:t>AICM.</w:t>
      </w:r>
    </w:p>
    <w:p w:rsidR="00210CC8" w:rsidRDefault="00880648" w:rsidP="00FF6E11">
      <w:pPr>
        <w:pStyle w:val="SingleTxt"/>
        <w:spacing w:after="100" w:line="232" w:lineRule="exact"/>
        <w:rPr>
          <w:lang w:val="fr-FR"/>
        </w:rPr>
      </w:pPr>
      <w:r w:rsidRPr="00880648">
        <w:rPr>
          <w:bCs/>
          <w:i/>
          <w:lang w:val="fr-FR"/>
        </w:rPr>
        <w:t>Document </w:t>
      </w:r>
      <w:r w:rsidRPr="00880648">
        <w:rPr>
          <w:bCs/>
          <w:lang w:val="fr-FR"/>
        </w:rPr>
        <w:t>:</w:t>
      </w:r>
      <w:r w:rsidR="00210CC8" w:rsidRPr="00210CC8">
        <w:rPr>
          <w:lang w:val="fr-FR"/>
        </w:rPr>
        <w:t xml:space="preserve"> </w:t>
      </w:r>
      <w:r w:rsidR="00210CC8" w:rsidRPr="00210CC8">
        <w:rPr>
          <w:lang w:val="fr-FR"/>
        </w:rPr>
        <w:tab/>
        <w:t>ECE/TRANS/WP.29/GRE/2015/38</w:t>
      </w:r>
      <w:r w:rsidR="00CA5192">
        <w:rPr>
          <w:lang w:val="fr-FR"/>
        </w:rPr>
        <w:t>.</w:t>
      </w:r>
    </w:p>
    <w:p w:rsidR="00210CC8" w:rsidRPr="00210CC8" w:rsidRDefault="00210CC8" w:rsidP="00210CC8">
      <w:pPr>
        <w:pStyle w:val="SingleTxt"/>
        <w:spacing w:after="0" w:line="120" w:lineRule="exact"/>
        <w:rPr>
          <w:sz w:val="10"/>
          <w:lang w:val="fr-FR"/>
        </w:rPr>
      </w:pPr>
    </w:p>
    <w:p w:rsidR="00210CC8"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i)</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53 (Installation des dispositifs d’éclairage et de signalisation lumineuse sur les véhicules de la catégorie L</w:t>
      </w:r>
      <w:r w:rsidRPr="00833EF7">
        <w:rPr>
          <w:vertAlign w:val="subscript"/>
          <w:lang w:val="fr-FR"/>
        </w:rPr>
        <w:t>3</w:t>
      </w:r>
      <w:r w:rsidRPr="00210CC8">
        <w:rPr>
          <w:lang w:val="fr-FR"/>
        </w:rPr>
        <w:t>)</w:t>
      </w:r>
    </w:p>
    <w:p w:rsidR="00210CC8" w:rsidRPr="00210CC8" w:rsidRDefault="00210CC8" w:rsidP="00210CC8">
      <w:pPr>
        <w:pStyle w:val="SingleTxt"/>
        <w:spacing w:after="0" w:line="120" w:lineRule="exact"/>
        <w:rPr>
          <w:sz w:val="10"/>
          <w:lang w:val="fr-FR"/>
        </w:rPr>
      </w:pPr>
    </w:p>
    <w:p w:rsidR="00CA5192" w:rsidRDefault="00210CC8" w:rsidP="00FF6E11">
      <w:pPr>
        <w:pStyle w:val="SingleTxt"/>
        <w:spacing w:after="100" w:line="232" w:lineRule="exact"/>
        <w:rPr>
          <w:lang w:val="fr-FR"/>
        </w:rPr>
      </w:pPr>
      <w:r>
        <w:rPr>
          <w:lang w:val="fr-FR"/>
        </w:rPr>
        <w:tab/>
      </w:r>
      <w:r w:rsidRPr="00210CC8">
        <w:rPr>
          <w:lang w:val="fr-FR"/>
        </w:rPr>
        <w:t>Le GRE souhaitera sans doute examiner une proposition formulée par l</w:t>
      </w:r>
      <w:r w:rsidR="00CA5192">
        <w:rPr>
          <w:lang w:val="fr-FR"/>
        </w:rPr>
        <w:t>’</w:t>
      </w:r>
      <w:r w:rsidRPr="00210CC8">
        <w:rPr>
          <w:lang w:val="fr-FR"/>
        </w:rPr>
        <w:t>expert du GTB visant à autoriser l’activation d’unités d’éclairage supplémentaires en même temps que les feux de route, afin d</w:t>
      </w:r>
      <w:r w:rsidR="00CA5192">
        <w:rPr>
          <w:lang w:val="fr-FR"/>
        </w:rPr>
        <w:t>’</w:t>
      </w:r>
      <w:r w:rsidRPr="00210CC8">
        <w:rPr>
          <w:lang w:val="fr-FR"/>
        </w:rPr>
        <w:t>améliorer l</w:t>
      </w:r>
      <w:r w:rsidR="00CA5192">
        <w:rPr>
          <w:lang w:val="fr-FR"/>
        </w:rPr>
        <w:t>’</w:t>
      </w:r>
      <w:r w:rsidRPr="00210CC8">
        <w:rPr>
          <w:lang w:val="fr-FR"/>
        </w:rPr>
        <w:t>éclairement lors de la mise sur l’angle du motocycle.</w:t>
      </w:r>
    </w:p>
    <w:p w:rsidR="00210CC8" w:rsidRPr="00210CC8" w:rsidRDefault="00880648" w:rsidP="00FF6E11">
      <w:pPr>
        <w:pStyle w:val="SingleTxt"/>
        <w:spacing w:after="100" w:line="232" w:lineRule="exact"/>
        <w:rPr>
          <w:lang w:val="fr-CH"/>
        </w:rPr>
      </w:pPr>
      <w:r w:rsidRPr="00880648">
        <w:rPr>
          <w:bCs/>
          <w:i/>
          <w:lang w:val="fr-FR"/>
        </w:rPr>
        <w:t>Document </w:t>
      </w:r>
      <w:r w:rsidRPr="00880648">
        <w:rPr>
          <w:bCs/>
          <w:lang w:val="fr-FR"/>
        </w:rPr>
        <w:t>:</w:t>
      </w:r>
      <w:r w:rsidR="00210CC8" w:rsidRPr="00210CC8">
        <w:rPr>
          <w:lang w:val="fr-FR"/>
        </w:rPr>
        <w:t xml:space="preserve"> </w:t>
      </w:r>
      <w:r w:rsidR="00210CC8" w:rsidRPr="00210CC8">
        <w:rPr>
          <w:lang w:val="fr-FR"/>
        </w:rPr>
        <w:tab/>
      </w:r>
      <w:r w:rsidR="00CA5192">
        <w:rPr>
          <w:lang w:val="fr-FR"/>
        </w:rPr>
        <w:t>ECE/TRANS/WP.29/GRE/2016/15.</w:t>
      </w:r>
    </w:p>
    <w:p w:rsidR="00210CC8" w:rsidRPr="00FF6E11" w:rsidRDefault="00210CC8" w:rsidP="00FF6E11">
      <w:pPr>
        <w:pStyle w:val="SingleTxt"/>
        <w:spacing w:after="100" w:line="232" w:lineRule="exact"/>
        <w:rPr>
          <w:spacing w:val="2"/>
          <w:lang w:val="fr-CH"/>
        </w:rPr>
      </w:pPr>
      <w:r w:rsidRPr="00FF6E11">
        <w:rPr>
          <w:spacing w:val="2"/>
          <w:lang w:val="fr-FR"/>
        </w:rPr>
        <w:tab/>
        <w:t>À sa dernière session, le GRE a examiné une proposition de l’expert de l’AICM qui vise à autoriser l’utilisation de méthodes différentes pour l’activation des feux de freinage et à aligner les dispositions relatives aux feux de freinage sur celles qui s’appliquent aux quatre-roues. Le GRE souhaitera peut-être reprendre l’examen de cette question en s’appuyant sur un document révisé qui lui sera communiqué par l</w:t>
      </w:r>
      <w:r w:rsidR="00CA5192" w:rsidRPr="00FF6E11">
        <w:rPr>
          <w:spacing w:val="2"/>
          <w:lang w:val="fr-FR"/>
        </w:rPr>
        <w:t>’</w:t>
      </w:r>
      <w:r w:rsidRPr="00FF6E11">
        <w:rPr>
          <w:spacing w:val="2"/>
          <w:lang w:val="fr-FR"/>
        </w:rPr>
        <w:t>AICM.</w:t>
      </w:r>
    </w:p>
    <w:p w:rsidR="00210CC8" w:rsidRDefault="00880648" w:rsidP="00FF6E11">
      <w:pPr>
        <w:pStyle w:val="SingleTxt"/>
        <w:spacing w:after="100" w:line="232" w:lineRule="exact"/>
        <w:rPr>
          <w:lang w:val="fr-FR"/>
        </w:rPr>
      </w:pPr>
      <w:r w:rsidRPr="00880648">
        <w:rPr>
          <w:bCs/>
          <w:i/>
          <w:lang w:val="fr-FR"/>
        </w:rPr>
        <w:t>Document </w:t>
      </w:r>
      <w:r w:rsidRPr="00880648">
        <w:rPr>
          <w:bCs/>
          <w:lang w:val="fr-FR"/>
        </w:rPr>
        <w:t>:</w:t>
      </w:r>
      <w:r w:rsidR="00210CC8" w:rsidRPr="00210CC8">
        <w:rPr>
          <w:lang w:val="fr-FR"/>
        </w:rPr>
        <w:t xml:space="preserve"> </w:t>
      </w:r>
      <w:r w:rsidR="00210CC8" w:rsidRPr="00210CC8">
        <w:rPr>
          <w:lang w:val="fr-FR"/>
        </w:rPr>
        <w:tab/>
        <w:t>ECE/TRANS/WP.29/GRE/2015/42</w:t>
      </w:r>
      <w:r w:rsidR="00CA5192">
        <w:rPr>
          <w:lang w:val="fr-FR"/>
        </w:rPr>
        <w:t>.</w:t>
      </w:r>
    </w:p>
    <w:p w:rsidR="00210CC8" w:rsidRPr="00210CC8" w:rsidRDefault="00210CC8" w:rsidP="00210CC8">
      <w:pPr>
        <w:pStyle w:val="SingleTxt"/>
        <w:spacing w:after="0" w:line="120" w:lineRule="exact"/>
        <w:rPr>
          <w:sz w:val="10"/>
          <w:lang w:val="fr-FR"/>
        </w:rPr>
      </w:pPr>
    </w:p>
    <w:p w:rsidR="00210CC8"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j)</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77 (Feux de stationnement)</w:t>
      </w:r>
    </w:p>
    <w:p w:rsidR="00210CC8" w:rsidRPr="00210CC8" w:rsidRDefault="00210CC8" w:rsidP="00210CC8">
      <w:pPr>
        <w:pStyle w:val="SingleTxt"/>
        <w:spacing w:after="0" w:line="120" w:lineRule="exact"/>
        <w:rPr>
          <w:sz w:val="10"/>
          <w:lang w:val="fr-FR"/>
        </w:rPr>
      </w:pPr>
    </w:p>
    <w:p w:rsidR="00CA5192" w:rsidRDefault="00210CC8" w:rsidP="00FF6E11">
      <w:pPr>
        <w:pStyle w:val="SingleTxt"/>
        <w:spacing w:after="100" w:line="232" w:lineRule="exact"/>
        <w:rPr>
          <w:lang w:val="fr-FR"/>
        </w:rPr>
      </w:pPr>
      <w:r>
        <w:rPr>
          <w:lang w:val="fr-FR"/>
        </w:rPr>
        <w:tab/>
      </w:r>
      <w:r w:rsidRPr="00210CC8">
        <w:rPr>
          <w:lang w:val="fr-FR"/>
        </w:rPr>
        <w:t>Le GRE souhaitera peut-être étudier une proposition de l’expert du GTB visant à mettre à jour les dispositions sur la défaillance des sources lumineuses lorsqu’un témoin indiquant un défaut de fonctionnement est installé.</w:t>
      </w:r>
    </w:p>
    <w:p w:rsidR="00210CC8" w:rsidRDefault="00880648" w:rsidP="00FF6E11">
      <w:pPr>
        <w:pStyle w:val="SingleTxt"/>
        <w:spacing w:after="100" w:line="232" w:lineRule="exact"/>
        <w:rPr>
          <w:lang w:val="fr-FR"/>
        </w:rPr>
      </w:pPr>
      <w:r w:rsidRPr="00880648">
        <w:rPr>
          <w:bCs/>
          <w:i/>
          <w:lang w:val="fr-FR"/>
        </w:rPr>
        <w:t>Document </w:t>
      </w:r>
      <w:r w:rsidRPr="00880648">
        <w:rPr>
          <w:bCs/>
          <w:lang w:val="fr-FR"/>
        </w:rPr>
        <w:t>:</w:t>
      </w:r>
      <w:r w:rsidR="00210CC8" w:rsidRPr="00210CC8">
        <w:rPr>
          <w:lang w:val="fr-FR"/>
        </w:rPr>
        <w:t xml:space="preserve"> </w:t>
      </w:r>
      <w:r w:rsidR="00210CC8" w:rsidRPr="00210CC8">
        <w:rPr>
          <w:lang w:val="fr-FR"/>
        </w:rPr>
        <w:tab/>
        <w:t>E</w:t>
      </w:r>
      <w:r w:rsidR="00CA5192">
        <w:rPr>
          <w:lang w:val="fr-FR"/>
        </w:rPr>
        <w:t>CE/TRANS/WP.29/GRE/2016/13.</w:t>
      </w:r>
    </w:p>
    <w:p w:rsidR="00210CC8" w:rsidRPr="00210CC8" w:rsidRDefault="00210CC8" w:rsidP="00210CC8">
      <w:pPr>
        <w:pStyle w:val="SingleTxt"/>
        <w:spacing w:after="0" w:line="120" w:lineRule="exact"/>
        <w:rPr>
          <w:sz w:val="10"/>
          <w:lang w:val="fr-FR"/>
        </w:rPr>
      </w:pPr>
    </w:p>
    <w:p w:rsidR="00210CC8" w:rsidRPr="00210CC8"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10CC8">
        <w:rPr>
          <w:lang w:val="fr-FR"/>
        </w:rPr>
        <w:tab/>
        <w:t>k)</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86 (Installation des dispositifs d’éclairage et de signalisation lumineuse des tracteurs agricoles)</w:t>
      </w:r>
    </w:p>
    <w:p w:rsidR="00210CC8" w:rsidRPr="00210CC8" w:rsidRDefault="00210CC8" w:rsidP="00210CC8">
      <w:pPr>
        <w:pStyle w:val="SingleTxt"/>
        <w:spacing w:after="0" w:line="120" w:lineRule="exact"/>
        <w:rPr>
          <w:sz w:val="10"/>
          <w:lang w:val="fr-FR"/>
        </w:rPr>
      </w:pPr>
    </w:p>
    <w:p w:rsidR="00CA5192" w:rsidRDefault="00210CC8" w:rsidP="00FF6E11">
      <w:pPr>
        <w:pStyle w:val="SingleTxt"/>
        <w:spacing w:after="100" w:line="232" w:lineRule="exact"/>
        <w:rPr>
          <w:lang w:val="fr-FR"/>
        </w:rPr>
      </w:pPr>
      <w:r>
        <w:rPr>
          <w:lang w:val="fr-FR"/>
        </w:rPr>
        <w:tab/>
      </w:r>
      <w:r w:rsidRPr="00210CC8">
        <w:rPr>
          <w:lang w:val="fr-FR"/>
        </w:rPr>
        <w:t>Le GRE est invité à examiner une proposition révisée concernant la série 01 d</w:t>
      </w:r>
      <w:r w:rsidR="00CA5192">
        <w:rPr>
          <w:lang w:val="fr-FR"/>
        </w:rPr>
        <w:t>’</w:t>
      </w:r>
      <w:r w:rsidRPr="00210CC8">
        <w:rPr>
          <w:lang w:val="fr-FR"/>
        </w:rPr>
        <w:t xml:space="preserve">amendements au Règlement </w:t>
      </w:r>
      <w:r w:rsidR="00CA5192">
        <w:rPr>
          <w:lang w:val="fr-FR"/>
        </w:rPr>
        <w:t>n</w:t>
      </w:r>
      <w:r w:rsidR="00CA5192" w:rsidRPr="00CA5192">
        <w:rPr>
          <w:vertAlign w:val="superscript"/>
          <w:lang w:val="fr-FR"/>
        </w:rPr>
        <w:t>o</w:t>
      </w:r>
      <w:r w:rsidR="00CA5192">
        <w:rPr>
          <w:lang w:val="fr-FR"/>
        </w:rPr>
        <w:t> </w:t>
      </w:r>
      <w:r w:rsidRPr="00210CC8">
        <w:rPr>
          <w:lang w:val="fr-FR"/>
        </w:rPr>
        <w:t xml:space="preserve">86, qui a été élaborée par le </w:t>
      </w:r>
      <w:r w:rsidR="00833EF7" w:rsidRPr="00210CC8">
        <w:rPr>
          <w:lang w:val="fr-FR"/>
        </w:rPr>
        <w:t xml:space="preserve">groupe </w:t>
      </w:r>
      <w:r w:rsidRPr="00210CC8">
        <w:rPr>
          <w:lang w:val="fr-FR"/>
        </w:rPr>
        <w:t>de travail informel de l’installation des dispositifs d’éclairage et de signalisation lumineuse sur les tracteurs agricoles (AVLI).</w:t>
      </w:r>
    </w:p>
    <w:p w:rsidR="00210CC8" w:rsidRDefault="00880648" w:rsidP="00FF6E11">
      <w:pPr>
        <w:pStyle w:val="SingleTxt"/>
        <w:spacing w:after="100" w:line="232" w:lineRule="exact"/>
        <w:rPr>
          <w:lang w:val="fr-FR"/>
        </w:rPr>
      </w:pPr>
      <w:r w:rsidRPr="00880648">
        <w:rPr>
          <w:bCs/>
          <w:i/>
          <w:lang w:val="fr-FR"/>
        </w:rPr>
        <w:t>Document </w:t>
      </w:r>
      <w:r w:rsidRPr="00880648">
        <w:rPr>
          <w:bCs/>
          <w:lang w:val="fr-FR"/>
        </w:rPr>
        <w:t>:</w:t>
      </w:r>
      <w:r w:rsidR="00CA5192">
        <w:rPr>
          <w:lang w:val="fr-FR"/>
        </w:rPr>
        <w:t xml:space="preserve"> </w:t>
      </w:r>
      <w:r w:rsidR="00CA5192">
        <w:rPr>
          <w:lang w:val="fr-FR"/>
        </w:rPr>
        <w:tab/>
        <w:t>ECE/TRANS/WP.29/GRE/2016/16.</w:t>
      </w:r>
    </w:p>
    <w:p w:rsidR="00210CC8" w:rsidRPr="00210CC8" w:rsidRDefault="00210CC8" w:rsidP="00210CC8">
      <w:pPr>
        <w:pStyle w:val="SingleTxt"/>
        <w:spacing w:after="0" w:line="120" w:lineRule="exact"/>
        <w:rPr>
          <w:sz w:val="10"/>
          <w:lang w:val="fr-FR"/>
        </w:rPr>
      </w:pPr>
    </w:p>
    <w:p w:rsidR="00210CC8"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l)</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87 (Feux de circulation diurne)</w:t>
      </w:r>
    </w:p>
    <w:p w:rsidR="00210CC8" w:rsidRPr="00210CC8" w:rsidRDefault="00210CC8" w:rsidP="00210CC8">
      <w:pPr>
        <w:pStyle w:val="SingleTxt"/>
        <w:spacing w:after="0" w:line="120" w:lineRule="exact"/>
        <w:rPr>
          <w:sz w:val="10"/>
          <w:lang w:val="fr-FR"/>
        </w:rPr>
      </w:pPr>
    </w:p>
    <w:p w:rsidR="00CA5192" w:rsidRDefault="00210CC8" w:rsidP="00FF6E11">
      <w:pPr>
        <w:pStyle w:val="SingleTxt"/>
        <w:spacing w:after="100" w:line="232" w:lineRule="exact"/>
        <w:rPr>
          <w:lang w:val="fr-FR"/>
        </w:rPr>
      </w:pPr>
      <w:r>
        <w:rPr>
          <w:lang w:val="fr-FR"/>
        </w:rPr>
        <w:tab/>
      </w:r>
      <w:r w:rsidRPr="00210CC8">
        <w:rPr>
          <w:lang w:val="fr-FR"/>
        </w:rPr>
        <w:t>Le GRE est invité à examiner une proposition de l’expert de l’équipe spéciale des témoins de fonctionnement (ECE/TRANS/WP.29/GRE/2016/17), qui devrait être étudiée en même temps que le document ECE/TRANS/WP.29/GRE/2016/7 (point 6 a) de l</w:t>
      </w:r>
      <w:r w:rsidR="00CA5192">
        <w:rPr>
          <w:lang w:val="fr-FR"/>
        </w:rPr>
        <w:t>’</w:t>
      </w:r>
      <w:r w:rsidRPr="00210CC8">
        <w:rPr>
          <w:lang w:val="fr-FR"/>
        </w:rPr>
        <w:t>ordre du jour).</w:t>
      </w:r>
    </w:p>
    <w:p w:rsidR="00210CC8" w:rsidRPr="00210CC8" w:rsidRDefault="00880648" w:rsidP="00FF6E11">
      <w:pPr>
        <w:pStyle w:val="SingleTxt"/>
        <w:spacing w:after="100" w:line="232" w:lineRule="exact"/>
        <w:rPr>
          <w:lang w:val="fr-CH"/>
        </w:rPr>
      </w:pPr>
      <w:r w:rsidRPr="00880648">
        <w:rPr>
          <w:bCs/>
          <w:i/>
          <w:lang w:val="fr-FR"/>
        </w:rPr>
        <w:t>Document </w:t>
      </w:r>
      <w:r w:rsidRPr="00880648">
        <w:rPr>
          <w:bCs/>
          <w:lang w:val="fr-FR"/>
        </w:rPr>
        <w:t>:</w:t>
      </w:r>
      <w:r w:rsidR="00210CC8" w:rsidRPr="00210CC8">
        <w:rPr>
          <w:lang w:val="fr-FR"/>
        </w:rPr>
        <w:t xml:space="preserve"> </w:t>
      </w:r>
      <w:r w:rsidR="00210CC8" w:rsidRPr="00210CC8">
        <w:rPr>
          <w:lang w:val="fr-FR"/>
        </w:rPr>
        <w:tab/>
        <w:t>ECE/TRANS/WP.29/GRE/2016/17</w:t>
      </w:r>
      <w:r w:rsidR="00CA5192">
        <w:rPr>
          <w:lang w:val="fr-FR"/>
        </w:rPr>
        <w:t>.</w:t>
      </w:r>
    </w:p>
    <w:p w:rsidR="00CA5192" w:rsidRDefault="00210CC8" w:rsidP="002745C6">
      <w:pPr>
        <w:pStyle w:val="SingleTxt"/>
        <w:spacing w:after="100" w:line="232" w:lineRule="exact"/>
        <w:rPr>
          <w:lang w:val="fr-FR"/>
        </w:rPr>
      </w:pPr>
      <w:r>
        <w:rPr>
          <w:lang w:val="fr-FR"/>
        </w:rPr>
        <w:tab/>
      </w:r>
      <w:r w:rsidRPr="00210CC8">
        <w:rPr>
          <w:lang w:val="fr-FR"/>
        </w:rPr>
        <w:t xml:space="preserve">Le GRE examinera une proposition de l’expert de l’Allemagne visant à améliorer la sécurité routière dans les situations où un indicateur de direction est activé alors qu’un feu de circulation diurne est allumé (ECE/TRANS/WP.29/GRE/2016/8). Le document correspondant a également pour objet de proposer des amendements au Règlement </w:t>
      </w:r>
      <w:r w:rsidR="00CA5192">
        <w:rPr>
          <w:lang w:val="fr-FR"/>
        </w:rPr>
        <w:t>n</w:t>
      </w:r>
      <w:r w:rsidR="00CA5192" w:rsidRPr="00CA5192">
        <w:rPr>
          <w:vertAlign w:val="superscript"/>
          <w:lang w:val="fr-FR"/>
        </w:rPr>
        <w:t>o</w:t>
      </w:r>
      <w:r w:rsidR="00CA5192">
        <w:rPr>
          <w:lang w:val="fr-FR"/>
        </w:rPr>
        <w:t> </w:t>
      </w:r>
      <w:r w:rsidR="002745C6">
        <w:rPr>
          <w:lang w:val="fr-FR"/>
        </w:rPr>
        <w:t xml:space="preserve">48 </w:t>
      </w:r>
      <w:r w:rsidR="002745C6" w:rsidRPr="00210CC8">
        <w:rPr>
          <w:lang w:val="fr-FR"/>
        </w:rPr>
        <w:t>(point 6 a) de l</w:t>
      </w:r>
      <w:r w:rsidR="002745C6">
        <w:rPr>
          <w:lang w:val="fr-FR"/>
        </w:rPr>
        <w:t>’</w:t>
      </w:r>
      <w:r w:rsidR="002745C6" w:rsidRPr="00210CC8">
        <w:rPr>
          <w:lang w:val="fr-FR"/>
        </w:rPr>
        <w:t>ordre du jour)</w:t>
      </w:r>
      <w:r w:rsidRPr="00210CC8">
        <w:rPr>
          <w:lang w:val="fr-FR"/>
        </w:rPr>
        <w:t>.</w:t>
      </w:r>
    </w:p>
    <w:p w:rsidR="00210CC8" w:rsidRDefault="00880648" w:rsidP="00FF6E11">
      <w:pPr>
        <w:pStyle w:val="SingleTxt"/>
        <w:spacing w:after="100" w:line="232" w:lineRule="exact"/>
        <w:rPr>
          <w:lang w:val="fr-FR"/>
        </w:rPr>
      </w:pPr>
      <w:r w:rsidRPr="00880648">
        <w:rPr>
          <w:bCs/>
          <w:i/>
          <w:lang w:val="fr-FR"/>
        </w:rPr>
        <w:t>Document </w:t>
      </w:r>
      <w:r w:rsidRPr="00880648">
        <w:rPr>
          <w:bCs/>
          <w:lang w:val="fr-FR"/>
        </w:rPr>
        <w:t>:</w:t>
      </w:r>
      <w:r w:rsidR="00210CC8" w:rsidRPr="00210CC8">
        <w:rPr>
          <w:lang w:val="fr-FR"/>
        </w:rPr>
        <w:tab/>
        <w:t>ECE/TRANS/WP.29/GRE/2016/8</w:t>
      </w:r>
      <w:r w:rsidR="00CA5192">
        <w:rPr>
          <w:lang w:val="fr-FR"/>
        </w:rPr>
        <w:t>.</w:t>
      </w:r>
    </w:p>
    <w:p w:rsidR="00210CC8"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lastRenderedPageBreak/>
        <w:tab/>
        <w:t>m)</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91 (Feux de position latéraux)</w:t>
      </w:r>
    </w:p>
    <w:p w:rsidR="00210CC8" w:rsidRPr="00210CC8" w:rsidRDefault="00210CC8" w:rsidP="00210CC8">
      <w:pPr>
        <w:pStyle w:val="SingleTxt"/>
        <w:spacing w:after="0" w:line="120" w:lineRule="exact"/>
        <w:rPr>
          <w:sz w:val="10"/>
          <w:lang w:val="fr-FR"/>
        </w:rPr>
      </w:pPr>
    </w:p>
    <w:p w:rsidR="00CA5192" w:rsidRDefault="00210CC8" w:rsidP="00FF6E11">
      <w:pPr>
        <w:pStyle w:val="SingleTxt"/>
        <w:spacing w:after="100"/>
        <w:rPr>
          <w:lang w:val="fr-FR"/>
        </w:rPr>
      </w:pPr>
      <w:r>
        <w:rPr>
          <w:lang w:val="fr-FR"/>
        </w:rPr>
        <w:tab/>
      </w:r>
      <w:r w:rsidRPr="00210CC8">
        <w:rPr>
          <w:lang w:val="fr-FR"/>
        </w:rPr>
        <w:t>Le GRE souhaitera peut-être étudier une proposition de l’expert du GTB visant à mettre à jour les dispositions sur la défaillance des sources lumineuses lorsqu’un témoin indiquant un défaut de fonctionnement est installé.</w:t>
      </w:r>
    </w:p>
    <w:p w:rsidR="00210CC8" w:rsidRDefault="00880648" w:rsidP="00FF6E11">
      <w:pPr>
        <w:pStyle w:val="SingleTxt"/>
        <w:spacing w:after="100"/>
        <w:rPr>
          <w:lang w:val="fr-FR"/>
        </w:rPr>
      </w:pPr>
      <w:r w:rsidRPr="00880648">
        <w:rPr>
          <w:bCs/>
          <w:i/>
          <w:lang w:val="fr-FR"/>
        </w:rPr>
        <w:t>Document </w:t>
      </w:r>
      <w:r w:rsidRPr="00880648">
        <w:rPr>
          <w:bCs/>
          <w:lang w:val="fr-FR"/>
        </w:rPr>
        <w:t>:</w:t>
      </w:r>
      <w:r w:rsidR="00CA5192">
        <w:rPr>
          <w:lang w:val="fr-FR"/>
        </w:rPr>
        <w:t xml:space="preserve"> </w:t>
      </w:r>
      <w:r w:rsidR="00CA5192">
        <w:rPr>
          <w:lang w:val="fr-FR"/>
        </w:rPr>
        <w:tab/>
        <w:t>ECE/TRANS/WP.29/GRE/2016/13.</w:t>
      </w:r>
    </w:p>
    <w:p w:rsidR="00210CC8" w:rsidRPr="00210CC8" w:rsidRDefault="00210CC8" w:rsidP="00210CC8">
      <w:pPr>
        <w:pStyle w:val="SingleTxt"/>
        <w:spacing w:after="0" w:line="120" w:lineRule="exact"/>
        <w:rPr>
          <w:sz w:val="10"/>
          <w:lang w:val="fr-FR"/>
        </w:rPr>
      </w:pPr>
    </w:p>
    <w:p w:rsidR="00210CC8"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n)</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98 (Projecteurs munis de sources lumineuses à décharge)</w:t>
      </w:r>
    </w:p>
    <w:p w:rsidR="00210CC8" w:rsidRPr="00210CC8" w:rsidRDefault="00210CC8" w:rsidP="00210CC8">
      <w:pPr>
        <w:pStyle w:val="SingleTxt"/>
        <w:spacing w:after="0" w:line="120" w:lineRule="exact"/>
        <w:rPr>
          <w:sz w:val="10"/>
          <w:lang w:val="fr-FR"/>
        </w:rPr>
      </w:pPr>
    </w:p>
    <w:p w:rsidR="00CA5192" w:rsidRDefault="00210CC8" w:rsidP="00FF6E11">
      <w:pPr>
        <w:pStyle w:val="SingleTxt"/>
        <w:spacing w:after="100"/>
        <w:rPr>
          <w:lang w:val="fr-FR"/>
        </w:rPr>
      </w:pPr>
      <w:r>
        <w:rPr>
          <w:lang w:val="fr-FR"/>
        </w:rPr>
        <w:tab/>
      </w:r>
      <w:r w:rsidRPr="00210CC8">
        <w:rPr>
          <w:lang w:val="fr-FR"/>
        </w:rPr>
        <w:t>Le GRE souhaitera peut-être examiner une proposition de l’expert du GTB visant à corriger les prescriptions relatives à l’essai avec le mélange salissant.</w:t>
      </w:r>
    </w:p>
    <w:p w:rsidR="00210CC8" w:rsidRDefault="00880648" w:rsidP="00FF6E11">
      <w:pPr>
        <w:pStyle w:val="SingleTxt"/>
        <w:spacing w:after="100"/>
        <w:rPr>
          <w:lang w:val="fr-FR"/>
        </w:rPr>
      </w:pPr>
      <w:r w:rsidRPr="00880648">
        <w:rPr>
          <w:bCs/>
          <w:i/>
          <w:lang w:val="fr-FR"/>
        </w:rPr>
        <w:t>Document </w:t>
      </w:r>
      <w:r w:rsidRPr="00880648">
        <w:rPr>
          <w:bCs/>
          <w:lang w:val="fr-FR"/>
        </w:rPr>
        <w:t>:</w:t>
      </w:r>
      <w:r w:rsidR="00CA5192">
        <w:rPr>
          <w:lang w:val="fr-FR"/>
        </w:rPr>
        <w:t xml:space="preserve"> </w:t>
      </w:r>
      <w:r w:rsidR="00CA5192">
        <w:rPr>
          <w:lang w:val="fr-FR"/>
        </w:rPr>
        <w:tab/>
        <w:t>ECE/TRANS/WP.29/GRE/2016/14.</w:t>
      </w:r>
    </w:p>
    <w:p w:rsidR="00210CC8" w:rsidRPr="00210CC8" w:rsidRDefault="00210CC8" w:rsidP="00210CC8">
      <w:pPr>
        <w:pStyle w:val="SingleTxt"/>
        <w:spacing w:after="0" w:line="120" w:lineRule="exact"/>
        <w:rPr>
          <w:sz w:val="10"/>
          <w:lang w:val="fr-FR"/>
        </w:rPr>
      </w:pPr>
    </w:p>
    <w:p w:rsidR="00210CC8"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o)</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 xml:space="preserve">112 (Projecteurs émettant un faisceau de croisement </w:t>
      </w:r>
      <w:r>
        <w:rPr>
          <w:lang w:val="fr-FR"/>
        </w:rPr>
        <w:br/>
      </w:r>
      <w:r w:rsidRPr="00210CC8">
        <w:rPr>
          <w:lang w:val="fr-FR"/>
        </w:rPr>
        <w:t>asymétrique)</w:t>
      </w:r>
    </w:p>
    <w:p w:rsidR="00210CC8" w:rsidRPr="00210CC8" w:rsidRDefault="00210CC8" w:rsidP="00210CC8">
      <w:pPr>
        <w:pStyle w:val="SingleTxt"/>
        <w:spacing w:after="0" w:line="120" w:lineRule="exact"/>
        <w:rPr>
          <w:sz w:val="10"/>
          <w:lang w:val="fr-FR"/>
        </w:rPr>
      </w:pPr>
    </w:p>
    <w:p w:rsidR="00CA5192" w:rsidRPr="00FF6E11" w:rsidRDefault="00210CC8" w:rsidP="00FF6E11">
      <w:pPr>
        <w:pStyle w:val="SingleTxt"/>
        <w:spacing w:after="100"/>
        <w:rPr>
          <w:lang w:val="fr-FR"/>
        </w:rPr>
      </w:pPr>
      <w:r w:rsidRPr="00FF6E11">
        <w:rPr>
          <w:lang w:val="fr-FR"/>
        </w:rPr>
        <w:tab/>
        <w:t>Le GRE souhaitera peut-être examiner une proposition, soumise par l’expert de la Pologne, qui vise à introduire dans le Règlement une nouvelle classe (B1) de projecteurs facultatifs.</w:t>
      </w:r>
    </w:p>
    <w:p w:rsidR="00210CC8" w:rsidRPr="00210CC8" w:rsidRDefault="00880648" w:rsidP="00FF6E11">
      <w:pPr>
        <w:pStyle w:val="SingleTxt"/>
        <w:spacing w:after="100"/>
        <w:rPr>
          <w:lang w:val="fr-CH"/>
        </w:rPr>
      </w:pPr>
      <w:r w:rsidRPr="00880648">
        <w:rPr>
          <w:bCs/>
          <w:i/>
          <w:lang w:val="fr-FR"/>
        </w:rPr>
        <w:t>Document </w:t>
      </w:r>
      <w:r w:rsidRPr="00880648">
        <w:rPr>
          <w:bCs/>
          <w:lang w:val="fr-FR"/>
        </w:rPr>
        <w:t>:</w:t>
      </w:r>
      <w:r w:rsidR="00210CC8" w:rsidRPr="00210CC8">
        <w:rPr>
          <w:lang w:val="fr-FR"/>
        </w:rPr>
        <w:t xml:space="preserve"> </w:t>
      </w:r>
      <w:r w:rsidR="00210CC8" w:rsidRPr="00210CC8">
        <w:rPr>
          <w:lang w:val="fr-FR"/>
        </w:rPr>
        <w:tab/>
        <w:t>ECE/T</w:t>
      </w:r>
      <w:r w:rsidR="00CA5192">
        <w:rPr>
          <w:lang w:val="fr-FR"/>
        </w:rPr>
        <w:t>RANS/WP.29/GRE/2016/18.</w:t>
      </w:r>
    </w:p>
    <w:p w:rsidR="00CA5192" w:rsidRDefault="00210CC8" w:rsidP="00FF6E11">
      <w:pPr>
        <w:pStyle w:val="SingleTxt"/>
        <w:spacing w:after="100"/>
        <w:rPr>
          <w:lang w:val="fr-FR"/>
        </w:rPr>
      </w:pPr>
      <w:r>
        <w:rPr>
          <w:lang w:val="fr-FR"/>
        </w:rPr>
        <w:tab/>
      </w:r>
      <w:r w:rsidRPr="00210CC8">
        <w:rPr>
          <w:lang w:val="fr-FR"/>
        </w:rPr>
        <w:t>Le GRE souhaitera peut-être examiner une proposition de l’expert du GTB visant à corriger les prescriptions relatives à l’essai avec le mélange salissant.</w:t>
      </w:r>
    </w:p>
    <w:p w:rsidR="00210CC8" w:rsidRDefault="00880648" w:rsidP="00FF6E11">
      <w:pPr>
        <w:pStyle w:val="SingleTxt"/>
        <w:spacing w:after="100"/>
        <w:rPr>
          <w:lang w:val="fr-FR"/>
        </w:rPr>
      </w:pPr>
      <w:r w:rsidRPr="00880648">
        <w:rPr>
          <w:bCs/>
          <w:i/>
          <w:lang w:val="fr-FR"/>
        </w:rPr>
        <w:t>Document </w:t>
      </w:r>
      <w:r w:rsidRPr="00880648">
        <w:rPr>
          <w:bCs/>
          <w:lang w:val="fr-FR"/>
        </w:rPr>
        <w:t>:</w:t>
      </w:r>
      <w:r w:rsidR="00CA5192">
        <w:rPr>
          <w:lang w:val="fr-FR"/>
        </w:rPr>
        <w:t xml:space="preserve"> </w:t>
      </w:r>
      <w:r w:rsidR="00CA5192">
        <w:rPr>
          <w:lang w:val="fr-FR"/>
        </w:rPr>
        <w:tab/>
        <w:t>ECE/TRANS/WP.29/GRE/2016/14.</w:t>
      </w:r>
    </w:p>
    <w:p w:rsidR="00210CC8" w:rsidRPr="00210CC8" w:rsidRDefault="00210CC8" w:rsidP="00210CC8">
      <w:pPr>
        <w:pStyle w:val="SingleTxt"/>
        <w:spacing w:after="0" w:line="120" w:lineRule="exact"/>
        <w:rPr>
          <w:sz w:val="10"/>
          <w:lang w:val="fr-FR"/>
        </w:rPr>
      </w:pPr>
    </w:p>
    <w:p w:rsidR="00CA5192"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p)</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113 (Projecteurs émettant un faisceau de croisement symétrique)</w:t>
      </w:r>
    </w:p>
    <w:p w:rsidR="00210CC8" w:rsidRPr="00210CC8" w:rsidRDefault="00210CC8" w:rsidP="00210CC8">
      <w:pPr>
        <w:pStyle w:val="SingleTxt"/>
        <w:spacing w:after="0" w:line="120" w:lineRule="exact"/>
        <w:rPr>
          <w:sz w:val="10"/>
          <w:lang w:val="fr-FR"/>
        </w:rPr>
      </w:pPr>
    </w:p>
    <w:p w:rsidR="00CA5192" w:rsidRDefault="00210CC8" w:rsidP="00FF6E11">
      <w:pPr>
        <w:pStyle w:val="SingleTxt"/>
        <w:spacing w:after="100"/>
        <w:rPr>
          <w:lang w:val="fr-FR"/>
        </w:rPr>
      </w:pPr>
      <w:r>
        <w:rPr>
          <w:lang w:val="fr-FR"/>
        </w:rPr>
        <w:tab/>
      </w:r>
      <w:r w:rsidRPr="00210CC8">
        <w:rPr>
          <w:lang w:val="fr-FR"/>
        </w:rPr>
        <w:t>Le GRE souhaitera peut-être examiner une proposition de l’expert du GTB visant à corriger les prescriptions relatives à l’essai avec le mélange salissant.</w:t>
      </w:r>
    </w:p>
    <w:p w:rsidR="00210CC8" w:rsidRDefault="00880648" w:rsidP="00FF6E11">
      <w:pPr>
        <w:pStyle w:val="SingleTxt"/>
        <w:spacing w:after="100"/>
        <w:rPr>
          <w:lang w:val="fr-FR"/>
        </w:rPr>
      </w:pPr>
      <w:r w:rsidRPr="00880648">
        <w:rPr>
          <w:bCs/>
          <w:i/>
          <w:lang w:val="fr-FR"/>
        </w:rPr>
        <w:t>Document </w:t>
      </w:r>
      <w:r w:rsidRPr="00880648">
        <w:rPr>
          <w:bCs/>
          <w:lang w:val="fr-FR"/>
        </w:rPr>
        <w:t>:</w:t>
      </w:r>
      <w:r w:rsidR="00210CC8" w:rsidRPr="00210CC8">
        <w:rPr>
          <w:lang w:val="fr-FR"/>
        </w:rPr>
        <w:t xml:space="preserve"> </w:t>
      </w:r>
      <w:r w:rsidR="00210CC8" w:rsidRPr="00210CC8">
        <w:rPr>
          <w:lang w:val="fr-FR"/>
        </w:rPr>
        <w:tab/>
        <w:t>ECE/TRANS/W</w:t>
      </w:r>
      <w:r w:rsidR="00CA5192">
        <w:rPr>
          <w:lang w:val="fr-FR"/>
        </w:rPr>
        <w:t>P.29/GRE/2016/14.</w:t>
      </w:r>
    </w:p>
    <w:p w:rsidR="00210CC8" w:rsidRPr="00210CC8" w:rsidRDefault="00210CC8" w:rsidP="00210CC8">
      <w:pPr>
        <w:pStyle w:val="SingleTxt"/>
        <w:spacing w:after="0" w:line="120" w:lineRule="exact"/>
        <w:rPr>
          <w:sz w:val="10"/>
          <w:lang w:val="fr-FR"/>
        </w:rPr>
      </w:pPr>
    </w:p>
    <w:p w:rsidR="00210CC8"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q)</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119 (Feux d’angle)</w:t>
      </w:r>
    </w:p>
    <w:p w:rsidR="00210CC8" w:rsidRPr="00210CC8" w:rsidRDefault="00210CC8" w:rsidP="00210CC8">
      <w:pPr>
        <w:pStyle w:val="SingleTxt"/>
        <w:spacing w:after="0" w:line="120" w:lineRule="exact"/>
        <w:rPr>
          <w:sz w:val="10"/>
          <w:lang w:val="fr-FR"/>
        </w:rPr>
      </w:pPr>
    </w:p>
    <w:p w:rsidR="00CA5192" w:rsidRDefault="00210CC8" w:rsidP="00FF6E11">
      <w:pPr>
        <w:pStyle w:val="SingleTxt"/>
        <w:spacing w:after="100"/>
        <w:rPr>
          <w:lang w:val="fr-FR"/>
        </w:rPr>
      </w:pPr>
      <w:r>
        <w:rPr>
          <w:lang w:val="fr-FR"/>
        </w:rPr>
        <w:tab/>
      </w:r>
      <w:r w:rsidRPr="00210CC8">
        <w:rPr>
          <w:lang w:val="fr-FR"/>
        </w:rPr>
        <w:t>Le GRE souhaitera peut-être étudier une proposition de l’expert du GTB visant à mettre à jour les dispositions sur la défaillance des sources lumineuses lorsqu’un témoin indiquant un défaut de fonctionnement est installé.</w:t>
      </w:r>
    </w:p>
    <w:p w:rsidR="00210CC8" w:rsidRDefault="00880648" w:rsidP="00FF6E11">
      <w:pPr>
        <w:pStyle w:val="SingleTxt"/>
        <w:spacing w:after="100"/>
        <w:rPr>
          <w:lang w:val="fr-FR"/>
        </w:rPr>
      </w:pPr>
      <w:r w:rsidRPr="00880648">
        <w:rPr>
          <w:bCs/>
          <w:i/>
          <w:lang w:val="fr-FR"/>
        </w:rPr>
        <w:t>Document </w:t>
      </w:r>
      <w:r w:rsidRPr="00880648">
        <w:rPr>
          <w:bCs/>
          <w:lang w:val="fr-FR"/>
        </w:rPr>
        <w:t>:</w:t>
      </w:r>
      <w:r w:rsidR="00CA5192">
        <w:rPr>
          <w:lang w:val="fr-FR"/>
        </w:rPr>
        <w:t xml:space="preserve"> </w:t>
      </w:r>
      <w:r w:rsidR="00CA5192">
        <w:rPr>
          <w:lang w:val="fr-FR"/>
        </w:rPr>
        <w:tab/>
        <w:t>ECE/TRANS/WP.29/GRE/2016/13.</w:t>
      </w:r>
    </w:p>
    <w:p w:rsidR="00210CC8" w:rsidRPr="00210CC8" w:rsidRDefault="00210CC8" w:rsidP="00210CC8">
      <w:pPr>
        <w:pStyle w:val="SingleTxt"/>
        <w:spacing w:after="0" w:line="120" w:lineRule="exact"/>
        <w:rPr>
          <w:sz w:val="10"/>
          <w:lang w:val="fr-FR"/>
        </w:rPr>
      </w:pPr>
    </w:p>
    <w:p w:rsidR="00CA5192"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r)</w:t>
      </w:r>
      <w:r w:rsidRPr="00210CC8">
        <w:rPr>
          <w:lang w:val="fr-FR"/>
        </w:rPr>
        <w:tab/>
        <w:t xml:space="preserve">Règlement </w:t>
      </w:r>
      <w:r w:rsidR="00CA5192">
        <w:rPr>
          <w:lang w:val="fr-FR"/>
        </w:rPr>
        <w:t>n</w:t>
      </w:r>
      <w:r w:rsidR="00CA5192" w:rsidRPr="00CA5192">
        <w:rPr>
          <w:vertAlign w:val="superscript"/>
          <w:lang w:val="fr-FR"/>
        </w:rPr>
        <w:t>o</w:t>
      </w:r>
      <w:r w:rsidR="00CA5192">
        <w:rPr>
          <w:lang w:val="fr-FR"/>
        </w:rPr>
        <w:t> </w:t>
      </w:r>
      <w:r w:rsidRPr="00210CC8">
        <w:rPr>
          <w:lang w:val="fr-FR"/>
        </w:rPr>
        <w:t>123 (Systèmes d’éclairage avant actifs (AFS))</w:t>
      </w:r>
    </w:p>
    <w:p w:rsidR="00210CC8" w:rsidRPr="00210CC8" w:rsidRDefault="00210CC8" w:rsidP="00210CC8">
      <w:pPr>
        <w:pStyle w:val="SingleTxt"/>
        <w:spacing w:after="0" w:line="120" w:lineRule="exact"/>
        <w:rPr>
          <w:sz w:val="10"/>
          <w:lang w:val="fr-FR"/>
        </w:rPr>
      </w:pPr>
    </w:p>
    <w:p w:rsidR="00CA5192" w:rsidRDefault="00210CC8" w:rsidP="00FF6E11">
      <w:pPr>
        <w:pStyle w:val="SingleTxt"/>
        <w:spacing w:after="100"/>
        <w:rPr>
          <w:lang w:val="fr-FR"/>
        </w:rPr>
      </w:pPr>
      <w:r>
        <w:rPr>
          <w:lang w:val="fr-FR"/>
        </w:rPr>
        <w:tab/>
      </w:r>
      <w:r w:rsidRPr="00210CC8">
        <w:rPr>
          <w:lang w:val="fr-FR"/>
        </w:rPr>
        <w:t>Le GRE souhaitera peut-être examiner une proposition de l’expert du GTB visant à corriger les prescriptions relatives à l’essai avec le mélange salissant.</w:t>
      </w:r>
    </w:p>
    <w:p w:rsidR="00210CC8" w:rsidRDefault="00880648" w:rsidP="00FF6E11">
      <w:pPr>
        <w:pStyle w:val="SingleTxt"/>
        <w:spacing w:after="100"/>
        <w:rPr>
          <w:lang w:val="fr-FR"/>
        </w:rPr>
      </w:pPr>
      <w:r w:rsidRPr="00880648">
        <w:rPr>
          <w:bCs/>
          <w:i/>
          <w:lang w:val="fr-FR"/>
        </w:rPr>
        <w:t>Document </w:t>
      </w:r>
      <w:r w:rsidRPr="00880648">
        <w:rPr>
          <w:bCs/>
          <w:lang w:val="fr-FR"/>
        </w:rPr>
        <w:t>:</w:t>
      </w:r>
      <w:r w:rsidR="00CA5192">
        <w:rPr>
          <w:lang w:val="fr-FR"/>
        </w:rPr>
        <w:t xml:space="preserve"> </w:t>
      </w:r>
      <w:r w:rsidR="00CA5192">
        <w:rPr>
          <w:lang w:val="fr-FR"/>
        </w:rPr>
        <w:tab/>
        <w:t>ECE/TRANS/WP.29/GRE/2016/14.</w:t>
      </w:r>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b/>
          <w:sz w:val="10"/>
          <w:lang w:val="fr-CH"/>
        </w:rPr>
      </w:pPr>
    </w:p>
    <w:p w:rsidR="00210CC8" w:rsidRDefault="00210CC8" w:rsidP="00210C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8.</w:t>
      </w:r>
      <w:r w:rsidRPr="00210CC8">
        <w:rPr>
          <w:lang w:val="fr-FR"/>
        </w:rPr>
        <w:tab/>
        <w:t>Propositions d’amendements en suspens</w:t>
      </w:r>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sz w:val="10"/>
          <w:lang w:val="fr-FR"/>
        </w:rPr>
      </w:pPr>
    </w:p>
    <w:p w:rsidR="00CA5192" w:rsidRDefault="00210CC8" w:rsidP="00FF6E11">
      <w:pPr>
        <w:pStyle w:val="SingleTxt"/>
        <w:spacing w:after="100"/>
        <w:rPr>
          <w:lang w:val="fr-FR"/>
        </w:rPr>
      </w:pPr>
      <w:r w:rsidRPr="00210CC8">
        <w:rPr>
          <w:lang w:val="fr-FR"/>
        </w:rPr>
        <w:tab/>
        <w:t xml:space="preserve">À sa soixante-treizième session, le GRE a approuvé plusieurs propositions d’amendements portant sur divers Règlements, mais il a aussi décidé de renvoyer à une date ultérieure la décision de soumettre ces propositions au WP.29 pour examen, dans l’attente d’autres propositions d’amendements éventuelles à ces Règlements dans le cadre du processus de simplification (ECE/TRANS/WP.29/GRE/73, </w:t>
      </w:r>
      <w:r w:rsidR="00CA5192">
        <w:rPr>
          <w:lang w:val="fr-FR"/>
        </w:rPr>
        <w:t>par. </w:t>
      </w:r>
      <w:r w:rsidRPr="00210CC8">
        <w:rPr>
          <w:lang w:val="fr-FR"/>
        </w:rPr>
        <w:t>21, 33 et 35). Le GRE souhaitera peut-être réexaminer cette question.</w:t>
      </w:r>
    </w:p>
    <w:p w:rsidR="00210CC8" w:rsidRDefault="00880648" w:rsidP="00FF6E11">
      <w:pPr>
        <w:pStyle w:val="SingleTxt"/>
        <w:spacing w:after="100"/>
        <w:ind w:left="2693" w:hanging="1426"/>
        <w:rPr>
          <w:lang w:val="fr-FR"/>
        </w:rPr>
      </w:pPr>
      <w:r w:rsidRPr="00880648">
        <w:rPr>
          <w:bCs/>
          <w:i/>
          <w:lang w:val="fr-FR"/>
        </w:rPr>
        <w:t>Documents</w:t>
      </w:r>
      <w:r w:rsidRPr="00880648">
        <w:rPr>
          <w:bCs/>
          <w:lang w:val="fr-FR"/>
        </w:rPr>
        <w:t> :</w:t>
      </w:r>
      <w:r w:rsidR="00210CC8" w:rsidRPr="00210CC8">
        <w:rPr>
          <w:lang w:val="fr-FR"/>
        </w:rPr>
        <w:t xml:space="preserve"> </w:t>
      </w:r>
      <w:r w:rsidR="00210CC8" w:rsidRPr="00210CC8">
        <w:rPr>
          <w:lang w:val="fr-FR"/>
        </w:rPr>
        <w:tab/>
      </w:r>
      <w:r w:rsidR="00210CC8" w:rsidRPr="00CA5192">
        <w:rPr>
          <w:spacing w:val="2"/>
          <w:lang w:val="fr-FR"/>
        </w:rPr>
        <w:t>ECE/TRANS/WP.29/GRE/2016/7, ECE/TRANS/WP.29/GRE/2016/16,</w:t>
      </w:r>
      <w:r w:rsidR="00CA5192">
        <w:rPr>
          <w:lang w:val="fr-FR"/>
        </w:rPr>
        <w:t xml:space="preserve"> ECE/TRANS/WP.29/GRE/2016/23.</w:t>
      </w:r>
    </w:p>
    <w:p w:rsidR="00210CC8" w:rsidRPr="00210CC8" w:rsidRDefault="00210CC8" w:rsidP="00210CC8">
      <w:pPr>
        <w:pStyle w:val="SingleTxt"/>
        <w:spacing w:after="0" w:line="120" w:lineRule="exact"/>
        <w:rPr>
          <w:sz w:val="10"/>
          <w:lang w:val="fr-FR"/>
        </w:rPr>
      </w:pPr>
    </w:p>
    <w:p w:rsidR="00210CC8" w:rsidRDefault="00210CC8" w:rsidP="00210C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lastRenderedPageBreak/>
        <w:tab/>
        <w:t>9.</w:t>
      </w:r>
      <w:r w:rsidRPr="00210CC8">
        <w:rPr>
          <w:lang w:val="fr-FR"/>
        </w:rPr>
        <w:tab/>
        <w:t>Questions diverses</w:t>
      </w:r>
    </w:p>
    <w:p w:rsidR="00210CC8" w:rsidRPr="00210CC8" w:rsidRDefault="00210CC8" w:rsidP="00210CC8">
      <w:pPr>
        <w:pStyle w:val="SingleTxt"/>
        <w:spacing w:after="0" w:line="120" w:lineRule="exact"/>
        <w:rPr>
          <w:sz w:val="10"/>
          <w:lang w:val="fr-FR"/>
        </w:rPr>
      </w:pPr>
    </w:p>
    <w:p w:rsidR="00210CC8" w:rsidRPr="00210CC8" w:rsidRDefault="00210CC8" w:rsidP="00210CC8">
      <w:pPr>
        <w:pStyle w:val="SingleTxt"/>
        <w:spacing w:after="0" w:line="120" w:lineRule="exact"/>
        <w:rPr>
          <w:sz w:val="10"/>
          <w:lang w:val="fr-FR"/>
        </w:rPr>
      </w:pPr>
    </w:p>
    <w:p w:rsidR="00210CC8" w:rsidRDefault="00210CC8" w:rsidP="00210C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a)</w:t>
      </w:r>
      <w:r w:rsidRPr="00210CC8">
        <w:rPr>
          <w:lang w:val="fr-FR"/>
        </w:rPr>
        <w:tab/>
        <w:t>Amendements à la Convention sur la circulation routière (Vienne, 1968)</w:t>
      </w:r>
    </w:p>
    <w:p w:rsidR="00210CC8" w:rsidRPr="00210CC8" w:rsidRDefault="00210CC8" w:rsidP="00210CC8">
      <w:pPr>
        <w:pStyle w:val="SingleTxt"/>
        <w:spacing w:after="0" w:line="120" w:lineRule="exact"/>
        <w:rPr>
          <w:sz w:val="10"/>
          <w:lang w:val="fr-FR"/>
        </w:rPr>
      </w:pPr>
    </w:p>
    <w:p w:rsidR="00210CC8" w:rsidRDefault="00210CC8" w:rsidP="00210CC8">
      <w:pPr>
        <w:pStyle w:val="SingleTxt"/>
        <w:rPr>
          <w:lang w:val="fr-FR"/>
        </w:rPr>
      </w:pPr>
      <w:r w:rsidRPr="00210CC8">
        <w:rPr>
          <w:lang w:val="fr-FR"/>
        </w:rPr>
        <w:tab/>
        <w:t>Le GRE sera informé des conclusions du débat tenu par le Groupe de travail de la sécurité et de la circulation routières à sa session de mars 2016.</w:t>
      </w:r>
    </w:p>
    <w:p w:rsidR="003608AB" w:rsidRPr="003608AB" w:rsidRDefault="003608AB" w:rsidP="003608AB">
      <w:pPr>
        <w:pStyle w:val="SingleTxt"/>
        <w:spacing w:after="0" w:line="120" w:lineRule="exact"/>
        <w:rPr>
          <w:sz w:val="10"/>
          <w:lang w:val="fr-FR"/>
        </w:rPr>
      </w:pPr>
    </w:p>
    <w:p w:rsidR="00210CC8" w:rsidRDefault="00210CC8" w:rsidP="0036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b)</w:t>
      </w:r>
      <w:r w:rsidRPr="00210CC8">
        <w:rPr>
          <w:lang w:val="fr-FR"/>
        </w:rPr>
        <w:tab/>
        <w:t>Décennie d’action pour la sécurité routière 2011-2020</w:t>
      </w:r>
    </w:p>
    <w:p w:rsidR="003608AB" w:rsidRPr="003608AB" w:rsidRDefault="003608AB" w:rsidP="003608AB">
      <w:pPr>
        <w:pStyle w:val="SingleTxt"/>
        <w:spacing w:after="0" w:line="120" w:lineRule="exact"/>
        <w:rPr>
          <w:sz w:val="10"/>
          <w:lang w:val="fr-FR"/>
        </w:rPr>
      </w:pPr>
    </w:p>
    <w:p w:rsidR="00210CC8" w:rsidRDefault="00210CC8" w:rsidP="00210CC8">
      <w:pPr>
        <w:pStyle w:val="SingleTxt"/>
        <w:rPr>
          <w:lang w:val="fr-FR"/>
        </w:rPr>
      </w:pPr>
      <w:r w:rsidRPr="00210CC8">
        <w:rPr>
          <w:lang w:val="fr-FR"/>
        </w:rPr>
        <w:tab/>
        <w:t>Le GRE sera invité à présenter et à examiner les faits nouveaux, nationaux et internationaux, survenus dans le domaine de la sécurité routière, ainsi qu’en matière d’éclairage et de signalisation lumineuse.</w:t>
      </w:r>
    </w:p>
    <w:p w:rsidR="003608AB" w:rsidRPr="003608AB" w:rsidRDefault="003608AB" w:rsidP="003608AB">
      <w:pPr>
        <w:pStyle w:val="SingleTxt"/>
        <w:spacing w:after="0" w:line="120" w:lineRule="exact"/>
        <w:rPr>
          <w:sz w:val="10"/>
          <w:lang w:val="fr-FR"/>
        </w:rPr>
      </w:pPr>
    </w:p>
    <w:p w:rsidR="00210CC8" w:rsidRDefault="00210CC8" w:rsidP="0036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c)</w:t>
      </w:r>
      <w:r w:rsidRPr="00210CC8">
        <w:rPr>
          <w:lang w:val="fr-FR"/>
        </w:rPr>
        <w:tab/>
        <w:t>Mise au point d’une homologation de type internationale de l</w:t>
      </w:r>
      <w:r w:rsidR="00CA5192">
        <w:rPr>
          <w:lang w:val="fr-FR"/>
        </w:rPr>
        <w:t>’</w:t>
      </w:r>
      <w:r w:rsidRPr="00210CC8">
        <w:rPr>
          <w:lang w:val="fr-FR"/>
        </w:rPr>
        <w:t xml:space="preserve">ensemble </w:t>
      </w:r>
      <w:r w:rsidR="003608AB">
        <w:rPr>
          <w:lang w:val="fr-FR"/>
        </w:rPr>
        <w:br/>
      </w:r>
      <w:r w:rsidRPr="00210CC8">
        <w:rPr>
          <w:lang w:val="fr-FR"/>
        </w:rPr>
        <w:t>du véhicule</w:t>
      </w:r>
    </w:p>
    <w:p w:rsidR="00CA5192" w:rsidRPr="00CA5192" w:rsidRDefault="00CA5192" w:rsidP="00CA5192">
      <w:pPr>
        <w:pStyle w:val="SingleTxt"/>
        <w:spacing w:after="0" w:line="120" w:lineRule="exact"/>
        <w:rPr>
          <w:sz w:val="10"/>
          <w:lang w:val="fr-FR"/>
        </w:rPr>
      </w:pPr>
    </w:p>
    <w:p w:rsidR="00CA5192" w:rsidRDefault="00210CC8" w:rsidP="00210CC8">
      <w:pPr>
        <w:pStyle w:val="SingleTxt"/>
        <w:rPr>
          <w:lang w:val="fr-FR"/>
        </w:rPr>
      </w:pPr>
      <w:r w:rsidRPr="00210CC8">
        <w:rPr>
          <w:lang w:val="fr-FR"/>
        </w:rPr>
        <w:tab/>
        <w:t>Le GRE peut compter sur la présentation, par son représentant auprès du groupe de travail concerné, d’un rapport oral sur les activités du groupe et les mesures de suivi éventuellement nécessaires. Il sera en outre informé des progrès accomplis en vue de l’élaboration de la Révision 3 de l’Accord de 1958.</w:t>
      </w:r>
    </w:p>
    <w:p w:rsidR="003608AB" w:rsidRPr="003608AB" w:rsidRDefault="003608AB" w:rsidP="003608AB">
      <w:pPr>
        <w:pStyle w:val="SingleTxt"/>
        <w:spacing w:after="0" w:line="120" w:lineRule="exact"/>
        <w:rPr>
          <w:b/>
          <w:sz w:val="10"/>
          <w:lang w:val="fr-FR"/>
        </w:rPr>
      </w:pPr>
    </w:p>
    <w:p w:rsidR="00210CC8" w:rsidRPr="00210CC8" w:rsidRDefault="00210CC8" w:rsidP="0036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10CC8">
        <w:rPr>
          <w:lang w:val="fr-FR"/>
        </w:rPr>
        <w:tab/>
        <w:t>d)</w:t>
      </w:r>
      <w:r w:rsidRPr="00210CC8">
        <w:rPr>
          <w:lang w:val="fr-FR"/>
        </w:rPr>
        <w:tab/>
        <w:t>Phénomènes de lumière parasite et de dégradation des couleurs</w:t>
      </w:r>
    </w:p>
    <w:p w:rsidR="003608AB" w:rsidRPr="003608AB" w:rsidRDefault="003608AB" w:rsidP="003608AB">
      <w:pPr>
        <w:pStyle w:val="SingleTxt"/>
        <w:spacing w:after="0" w:line="120" w:lineRule="exact"/>
        <w:rPr>
          <w:sz w:val="10"/>
          <w:lang w:val="fr-FR"/>
        </w:rPr>
      </w:pPr>
    </w:p>
    <w:p w:rsidR="00210CC8" w:rsidRPr="00210CC8" w:rsidRDefault="00210CC8" w:rsidP="00210CC8">
      <w:pPr>
        <w:pStyle w:val="SingleTxt"/>
        <w:rPr>
          <w:lang w:val="fr-CH"/>
        </w:rPr>
      </w:pPr>
      <w:r w:rsidRPr="00210CC8">
        <w:rPr>
          <w:lang w:val="fr-FR"/>
        </w:rPr>
        <w:tab/>
        <w:t>Le GRE souhaitera sans doute être informé des résultats d</w:t>
      </w:r>
      <w:r w:rsidR="00CA5192">
        <w:rPr>
          <w:lang w:val="fr-FR"/>
        </w:rPr>
        <w:t>’</w:t>
      </w:r>
      <w:r w:rsidRPr="00210CC8">
        <w:rPr>
          <w:lang w:val="fr-FR"/>
        </w:rPr>
        <w:t>une étude sur cette question qui a été menée en Allemagne.</w:t>
      </w:r>
    </w:p>
    <w:p w:rsidR="00210CC8" w:rsidRDefault="00880648" w:rsidP="00210CC8">
      <w:pPr>
        <w:pStyle w:val="SingleTxt"/>
        <w:rPr>
          <w:lang w:val="fr-FR"/>
        </w:rPr>
      </w:pPr>
      <w:r w:rsidRPr="00880648">
        <w:rPr>
          <w:bCs/>
          <w:i/>
          <w:lang w:val="fr-FR"/>
        </w:rPr>
        <w:t>Document </w:t>
      </w:r>
      <w:r w:rsidRPr="00880648">
        <w:rPr>
          <w:bCs/>
          <w:lang w:val="fr-FR"/>
        </w:rPr>
        <w:t>:</w:t>
      </w:r>
      <w:r w:rsidR="00210CC8" w:rsidRPr="00210CC8">
        <w:rPr>
          <w:lang w:val="fr-FR"/>
        </w:rPr>
        <w:t xml:space="preserve"> </w:t>
      </w:r>
      <w:r w:rsidR="00210CC8" w:rsidRPr="00210CC8">
        <w:rPr>
          <w:lang w:val="fr-FR"/>
        </w:rPr>
        <w:tab/>
        <w:t xml:space="preserve">ECE/TRANS/WP.29/GRE/69, </w:t>
      </w:r>
      <w:r w:rsidR="00CA5192">
        <w:rPr>
          <w:lang w:val="fr-FR"/>
        </w:rPr>
        <w:t>par. </w:t>
      </w:r>
      <w:r w:rsidR="00210CC8" w:rsidRPr="00210CC8">
        <w:rPr>
          <w:lang w:val="fr-FR"/>
        </w:rPr>
        <w:t>18</w:t>
      </w:r>
      <w:r w:rsidR="00CA5192">
        <w:rPr>
          <w:lang w:val="fr-FR"/>
        </w:rPr>
        <w:t>.</w:t>
      </w:r>
    </w:p>
    <w:p w:rsidR="003608AB" w:rsidRPr="003608AB" w:rsidRDefault="003608AB" w:rsidP="003608AB">
      <w:pPr>
        <w:pStyle w:val="SingleTxt"/>
        <w:spacing w:after="0" w:line="120" w:lineRule="exact"/>
        <w:rPr>
          <w:sz w:val="10"/>
          <w:lang w:val="fr-FR"/>
        </w:rPr>
      </w:pPr>
    </w:p>
    <w:p w:rsidR="003608AB" w:rsidRPr="003608AB" w:rsidRDefault="003608AB" w:rsidP="003608AB">
      <w:pPr>
        <w:pStyle w:val="SingleTxt"/>
        <w:spacing w:after="0" w:line="120" w:lineRule="exact"/>
        <w:rPr>
          <w:sz w:val="10"/>
          <w:lang w:val="fr-CH"/>
        </w:rPr>
      </w:pPr>
    </w:p>
    <w:p w:rsidR="00210CC8" w:rsidRPr="00210CC8" w:rsidRDefault="00210CC8" w:rsidP="003608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10CC8">
        <w:rPr>
          <w:lang w:val="fr-FR"/>
        </w:rPr>
        <w:tab/>
        <w:t>10.</w:t>
      </w:r>
      <w:r w:rsidRPr="00210CC8">
        <w:rPr>
          <w:lang w:val="fr-FR"/>
        </w:rPr>
        <w:tab/>
        <w:t>Nouvelles questions et soumissions tardives</w:t>
      </w:r>
    </w:p>
    <w:p w:rsidR="003608AB" w:rsidRPr="003608AB" w:rsidRDefault="003608AB" w:rsidP="003608AB">
      <w:pPr>
        <w:pStyle w:val="SingleTxt"/>
        <w:spacing w:after="0" w:line="120" w:lineRule="exact"/>
        <w:rPr>
          <w:sz w:val="10"/>
          <w:lang w:val="fr-FR"/>
        </w:rPr>
      </w:pPr>
    </w:p>
    <w:p w:rsidR="003608AB" w:rsidRPr="003608AB" w:rsidRDefault="003608AB" w:rsidP="003608AB">
      <w:pPr>
        <w:pStyle w:val="SingleTxt"/>
        <w:spacing w:after="0" w:line="120" w:lineRule="exact"/>
        <w:rPr>
          <w:sz w:val="10"/>
          <w:lang w:val="fr-FR"/>
        </w:rPr>
      </w:pPr>
    </w:p>
    <w:p w:rsidR="00210CC8" w:rsidRDefault="00210CC8" w:rsidP="00210CC8">
      <w:pPr>
        <w:pStyle w:val="SingleTxt"/>
        <w:rPr>
          <w:lang w:val="fr-FR"/>
        </w:rPr>
      </w:pPr>
      <w:r w:rsidRPr="00210CC8">
        <w:rPr>
          <w:lang w:val="fr-FR"/>
        </w:rPr>
        <w:tab/>
        <w:t>Le GRE voudra peut-être se pencher sur de nouvelles questions ou sur des documents qui pourraient être soumis après la publication de l’ordre du jour provisoire annoté.</w:t>
      </w:r>
    </w:p>
    <w:p w:rsidR="003608AB" w:rsidRPr="003608AB" w:rsidRDefault="003608AB" w:rsidP="003608AB">
      <w:pPr>
        <w:pStyle w:val="SingleTxt"/>
        <w:spacing w:after="0" w:line="120" w:lineRule="exact"/>
        <w:rPr>
          <w:sz w:val="10"/>
          <w:lang w:val="fr-FR"/>
        </w:rPr>
      </w:pPr>
    </w:p>
    <w:p w:rsidR="003608AB" w:rsidRPr="003608AB" w:rsidRDefault="003608AB" w:rsidP="003608AB">
      <w:pPr>
        <w:pStyle w:val="SingleTxt"/>
        <w:spacing w:after="0" w:line="120" w:lineRule="exact"/>
        <w:rPr>
          <w:sz w:val="10"/>
          <w:lang w:val="fr-CH"/>
        </w:rPr>
      </w:pPr>
    </w:p>
    <w:p w:rsidR="00210CC8" w:rsidRDefault="00210CC8" w:rsidP="003608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11.</w:t>
      </w:r>
      <w:r w:rsidRPr="00210CC8">
        <w:rPr>
          <w:lang w:val="fr-FR"/>
        </w:rPr>
        <w:tab/>
        <w:t>Orientation des travaux futurs du GRE</w:t>
      </w:r>
    </w:p>
    <w:p w:rsidR="003608AB" w:rsidRPr="003608AB" w:rsidRDefault="003608AB" w:rsidP="003608AB">
      <w:pPr>
        <w:pStyle w:val="SingleTxt"/>
        <w:spacing w:after="0" w:line="120" w:lineRule="exact"/>
        <w:rPr>
          <w:sz w:val="10"/>
          <w:lang w:val="fr-FR"/>
        </w:rPr>
      </w:pPr>
    </w:p>
    <w:p w:rsidR="003608AB" w:rsidRPr="003608AB" w:rsidRDefault="003608AB" w:rsidP="003608AB">
      <w:pPr>
        <w:pStyle w:val="SingleTxt"/>
        <w:spacing w:after="0" w:line="120" w:lineRule="exact"/>
        <w:rPr>
          <w:sz w:val="10"/>
          <w:lang w:val="fr-FR"/>
        </w:rPr>
      </w:pPr>
    </w:p>
    <w:p w:rsidR="00210CC8" w:rsidRDefault="00210CC8" w:rsidP="00360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a)</w:t>
      </w:r>
      <w:r w:rsidRPr="00210CC8">
        <w:rPr>
          <w:lang w:val="fr-FR"/>
        </w:rPr>
        <w:tab/>
        <w:t>Tâches du GRE</w:t>
      </w:r>
    </w:p>
    <w:p w:rsidR="003608AB" w:rsidRPr="003608AB" w:rsidRDefault="003608AB" w:rsidP="003608AB">
      <w:pPr>
        <w:pStyle w:val="SingleTxt"/>
        <w:spacing w:after="0" w:line="120" w:lineRule="exact"/>
        <w:rPr>
          <w:sz w:val="10"/>
          <w:lang w:val="fr-FR"/>
        </w:rPr>
      </w:pPr>
    </w:p>
    <w:p w:rsidR="00CA5192" w:rsidRDefault="00210CC8" w:rsidP="00210CC8">
      <w:pPr>
        <w:pStyle w:val="SingleTxt"/>
        <w:rPr>
          <w:lang w:val="fr-FR"/>
        </w:rPr>
      </w:pPr>
      <w:r w:rsidRPr="00210CC8">
        <w:rPr>
          <w:lang w:val="fr-FR"/>
        </w:rPr>
        <w:tab/>
        <w:t>Le GRE souhaitera peut-être examiner ce point en même temps que le point 4 de l’ordre du jour ci-dessus.</w:t>
      </w:r>
    </w:p>
    <w:p w:rsidR="00210CC8" w:rsidRDefault="00880648" w:rsidP="00210CC8">
      <w:pPr>
        <w:pStyle w:val="SingleTxt"/>
        <w:rPr>
          <w:lang w:val="fr-FR"/>
        </w:rPr>
      </w:pPr>
      <w:r w:rsidRPr="00880648">
        <w:rPr>
          <w:bCs/>
          <w:i/>
          <w:lang w:val="fr-FR"/>
        </w:rPr>
        <w:t>Document </w:t>
      </w:r>
      <w:r w:rsidRPr="00880648">
        <w:rPr>
          <w:bCs/>
          <w:lang w:val="fr-FR"/>
        </w:rPr>
        <w:t>:</w:t>
      </w:r>
      <w:r w:rsidR="00210CC8" w:rsidRPr="00210CC8">
        <w:rPr>
          <w:lang w:val="fr-FR"/>
        </w:rPr>
        <w:tab/>
        <w:t>ECE/TRANS/WP.29/2012/119</w:t>
      </w:r>
      <w:r w:rsidR="00CA5192">
        <w:rPr>
          <w:lang w:val="fr-FR"/>
        </w:rPr>
        <w:t>.</w:t>
      </w:r>
    </w:p>
    <w:p w:rsidR="003608AB" w:rsidRPr="003608AB" w:rsidRDefault="003608AB" w:rsidP="003608AB">
      <w:pPr>
        <w:pStyle w:val="SingleTxt"/>
        <w:spacing w:after="0" w:line="120" w:lineRule="exact"/>
        <w:rPr>
          <w:sz w:val="10"/>
          <w:lang w:val="fr-FR"/>
        </w:rPr>
      </w:pPr>
    </w:p>
    <w:p w:rsidR="00210CC8" w:rsidRPr="00210CC8" w:rsidRDefault="00210CC8" w:rsidP="00CA5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10CC8">
        <w:rPr>
          <w:lang w:val="fr-FR"/>
        </w:rPr>
        <w:tab/>
        <w:t>b)</w:t>
      </w:r>
      <w:r w:rsidRPr="00210CC8">
        <w:rPr>
          <w:lang w:val="fr-FR"/>
        </w:rPr>
        <w:tab/>
        <w:t xml:space="preserve">État d’avancement des travaux des équipes spéciales relevant </w:t>
      </w:r>
      <w:r w:rsidR="003608AB">
        <w:rPr>
          <w:lang w:val="fr-FR"/>
        </w:rPr>
        <w:br/>
      </w:r>
      <w:r w:rsidRPr="00210CC8">
        <w:rPr>
          <w:lang w:val="fr-FR"/>
        </w:rPr>
        <w:t xml:space="preserve">du Groupe de travail </w:t>
      </w:r>
      <w:r w:rsidR="00CA5192">
        <w:rPr>
          <w:lang w:val="fr-FR"/>
        </w:rPr>
        <w:t>« </w:t>
      </w:r>
      <w:r w:rsidRPr="00210CC8">
        <w:rPr>
          <w:lang w:val="fr-FR"/>
        </w:rPr>
        <w:t>Bruxelles 1952</w:t>
      </w:r>
      <w:r w:rsidR="00CA5192">
        <w:rPr>
          <w:lang w:val="fr-FR"/>
        </w:rPr>
        <w:t> »</w:t>
      </w:r>
      <w:r w:rsidRPr="00210CC8">
        <w:rPr>
          <w:lang w:val="fr-FR"/>
        </w:rPr>
        <w:t xml:space="preserve"> (GTB)</w:t>
      </w:r>
    </w:p>
    <w:p w:rsidR="003608AB" w:rsidRPr="003608AB" w:rsidRDefault="003608AB" w:rsidP="003608AB">
      <w:pPr>
        <w:pStyle w:val="SingleTxt"/>
        <w:spacing w:after="0" w:line="120" w:lineRule="exact"/>
        <w:rPr>
          <w:sz w:val="10"/>
          <w:lang w:val="fr-FR"/>
        </w:rPr>
      </w:pPr>
    </w:p>
    <w:p w:rsidR="00CA5192" w:rsidRDefault="00210CC8" w:rsidP="00210CC8">
      <w:pPr>
        <w:pStyle w:val="SingleTxt"/>
        <w:rPr>
          <w:lang w:val="fr-FR"/>
        </w:rPr>
      </w:pPr>
      <w:r w:rsidRPr="00210CC8">
        <w:rPr>
          <w:lang w:val="fr-FR"/>
        </w:rPr>
        <w:tab/>
        <w:t>Le GRE souhaitera sans doute être informé des activités des équipes spéciales du GTB et fournir des conseils au GTB s’il y a lieu.</w:t>
      </w:r>
    </w:p>
    <w:p w:rsidR="003608AB" w:rsidRPr="003608AB" w:rsidRDefault="003608AB" w:rsidP="003608AB">
      <w:pPr>
        <w:pStyle w:val="SingleTxt"/>
        <w:spacing w:after="0" w:line="120" w:lineRule="exact"/>
        <w:rPr>
          <w:sz w:val="10"/>
          <w:lang w:val="fr-FR"/>
        </w:rPr>
      </w:pPr>
    </w:p>
    <w:p w:rsidR="003608AB" w:rsidRPr="003608AB" w:rsidRDefault="003608AB" w:rsidP="003608AB">
      <w:pPr>
        <w:pStyle w:val="SingleTxt"/>
        <w:spacing w:after="0" w:line="120" w:lineRule="exact"/>
        <w:rPr>
          <w:sz w:val="10"/>
          <w:lang w:val="fr-CH"/>
        </w:rPr>
      </w:pPr>
    </w:p>
    <w:p w:rsidR="00210CC8" w:rsidRDefault="00210CC8" w:rsidP="003608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10CC8">
        <w:rPr>
          <w:lang w:val="fr-FR"/>
        </w:rPr>
        <w:tab/>
        <w:t>12.</w:t>
      </w:r>
      <w:r w:rsidRPr="00210CC8">
        <w:rPr>
          <w:lang w:val="fr-FR"/>
        </w:rPr>
        <w:tab/>
        <w:t>Ordre du jour provisoire de la prochaine session</w:t>
      </w:r>
    </w:p>
    <w:p w:rsidR="003608AB" w:rsidRPr="003608AB" w:rsidRDefault="003608AB" w:rsidP="003608AB">
      <w:pPr>
        <w:pStyle w:val="SingleTxt"/>
        <w:spacing w:after="0" w:line="120" w:lineRule="exact"/>
        <w:rPr>
          <w:sz w:val="10"/>
          <w:lang w:val="fr-FR"/>
        </w:rPr>
      </w:pPr>
    </w:p>
    <w:p w:rsidR="003608AB" w:rsidRPr="003608AB" w:rsidRDefault="003608AB" w:rsidP="003608AB">
      <w:pPr>
        <w:pStyle w:val="SingleTxt"/>
        <w:spacing w:after="0" w:line="120" w:lineRule="exact"/>
        <w:rPr>
          <w:sz w:val="10"/>
          <w:lang w:val="fr-FR"/>
        </w:rPr>
      </w:pPr>
    </w:p>
    <w:p w:rsidR="00CA5192" w:rsidRDefault="00210CC8" w:rsidP="00210CC8">
      <w:pPr>
        <w:pStyle w:val="SingleTxt"/>
        <w:rPr>
          <w:lang w:val="fr-CH"/>
        </w:rPr>
      </w:pPr>
      <w:r w:rsidRPr="00210CC8">
        <w:rPr>
          <w:lang w:val="fr-FR"/>
        </w:rPr>
        <w:tab/>
        <w:t>Le GRE souhaitera peut-être donner des indications sur l’ordre du jour provisoire de la prochaine session.</w:t>
      </w:r>
    </w:p>
    <w:p w:rsidR="00D01786" w:rsidRPr="00CA5192" w:rsidRDefault="00CA5192" w:rsidP="00CA5192">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01786" w:rsidRPr="00CA5192" w:rsidSect="00D01786">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92" w:rsidRDefault="00CA5192" w:rsidP="00F3330B">
      <w:pPr>
        <w:spacing w:line="240" w:lineRule="auto"/>
      </w:pPr>
      <w:r>
        <w:separator/>
      </w:r>
    </w:p>
  </w:endnote>
  <w:endnote w:type="continuationSeparator" w:id="0">
    <w:p w:rsidR="00CA5192" w:rsidRDefault="00CA519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A5192" w:rsidTr="00D01786">
      <w:trPr>
        <w:jc w:val="center"/>
      </w:trPr>
      <w:tc>
        <w:tcPr>
          <w:tcW w:w="5126" w:type="dxa"/>
          <w:shd w:val="clear" w:color="auto" w:fill="auto"/>
        </w:tcPr>
        <w:p w:rsidR="00CA5192" w:rsidRPr="00D01786" w:rsidRDefault="00CA5192" w:rsidP="00D0178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14C49">
            <w:rPr>
              <w:b w:val="0"/>
              <w:w w:val="103"/>
              <w:sz w:val="14"/>
            </w:rPr>
            <w:t>GE.16-00529</w:t>
          </w:r>
          <w:r>
            <w:rPr>
              <w:b w:val="0"/>
              <w:w w:val="103"/>
              <w:sz w:val="14"/>
            </w:rPr>
            <w:fldChar w:fldCharType="end"/>
          </w:r>
        </w:p>
      </w:tc>
      <w:tc>
        <w:tcPr>
          <w:tcW w:w="5127" w:type="dxa"/>
          <w:shd w:val="clear" w:color="auto" w:fill="auto"/>
        </w:tcPr>
        <w:p w:rsidR="00CA5192" w:rsidRPr="00D01786" w:rsidRDefault="00CA5192" w:rsidP="00D01786">
          <w:pPr>
            <w:pStyle w:val="Footer"/>
            <w:rPr>
              <w:w w:val="103"/>
            </w:rPr>
          </w:pPr>
          <w:r>
            <w:rPr>
              <w:w w:val="103"/>
            </w:rPr>
            <w:fldChar w:fldCharType="begin"/>
          </w:r>
          <w:r>
            <w:rPr>
              <w:w w:val="103"/>
            </w:rPr>
            <w:instrText xml:space="preserve"> PAGE  \* Arabic  \* MERGEFORMAT </w:instrText>
          </w:r>
          <w:r>
            <w:rPr>
              <w:w w:val="103"/>
            </w:rPr>
            <w:fldChar w:fldCharType="separate"/>
          </w:r>
          <w:r w:rsidR="00472EA2">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72EA2">
            <w:rPr>
              <w:noProof/>
              <w:w w:val="103"/>
            </w:rPr>
            <w:t>8</w:t>
          </w:r>
          <w:r>
            <w:rPr>
              <w:w w:val="103"/>
            </w:rPr>
            <w:fldChar w:fldCharType="end"/>
          </w:r>
        </w:p>
      </w:tc>
    </w:tr>
  </w:tbl>
  <w:p w:rsidR="00CA5192" w:rsidRPr="00D01786" w:rsidRDefault="00CA5192" w:rsidP="00D01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A5192" w:rsidTr="00D01786">
      <w:trPr>
        <w:jc w:val="center"/>
      </w:trPr>
      <w:tc>
        <w:tcPr>
          <w:tcW w:w="5126" w:type="dxa"/>
          <w:shd w:val="clear" w:color="auto" w:fill="auto"/>
        </w:tcPr>
        <w:p w:rsidR="00CA5192" w:rsidRPr="00D01786" w:rsidRDefault="00CA5192" w:rsidP="00D0178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72EA2">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72EA2">
            <w:rPr>
              <w:noProof/>
              <w:w w:val="103"/>
            </w:rPr>
            <w:t>7</w:t>
          </w:r>
          <w:r>
            <w:rPr>
              <w:w w:val="103"/>
            </w:rPr>
            <w:fldChar w:fldCharType="end"/>
          </w:r>
        </w:p>
      </w:tc>
      <w:tc>
        <w:tcPr>
          <w:tcW w:w="5127" w:type="dxa"/>
          <w:shd w:val="clear" w:color="auto" w:fill="auto"/>
        </w:tcPr>
        <w:p w:rsidR="00CA5192" w:rsidRPr="00D01786" w:rsidRDefault="00CA5192" w:rsidP="00D0178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14C49">
            <w:rPr>
              <w:b w:val="0"/>
              <w:w w:val="103"/>
              <w:sz w:val="14"/>
            </w:rPr>
            <w:t>GE.16-00529</w:t>
          </w:r>
          <w:r>
            <w:rPr>
              <w:b w:val="0"/>
              <w:w w:val="103"/>
              <w:sz w:val="14"/>
            </w:rPr>
            <w:fldChar w:fldCharType="end"/>
          </w:r>
        </w:p>
      </w:tc>
    </w:tr>
  </w:tbl>
  <w:p w:rsidR="00CA5192" w:rsidRPr="00D01786" w:rsidRDefault="00CA5192" w:rsidP="00D01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92" w:rsidRDefault="00CA5192">
    <w:pPr>
      <w:pStyle w:val="Footer"/>
    </w:pPr>
    <w:r>
      <w:rPr>
        <w:noProof/>
        <w:lang w:val="en-GB" w:eastAsia="en-GB"/>
      </w:rPr>
      <w:drawing>
        <wp:anchor distT="0" distB="0" distL="114300" distR="114300" simplePos="0" relativeHeight="251658240" behindDoc="0" locked="0" layoutInCell="1" allowOverlap="1" wp14:anchorId="3361DDF7" wp14:editId="4C8D28B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6/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6/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A5192" w:rsidTr="00D01786">
      <w:tc>
        <w:tcPr>
          <w:tcW w:w="3859" w:type="dxa"/>
        </w:tcPr>
        <w:p w:rsidR="00CA5192" w:rsidRDefault="00CA5192" w:rsidP="00FF6E1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14C49">
            <w:rPr>
              <w:b w:val="0"/>
              <w:sz w:val="20"/>
            </w:rPr>
            <w:t>GE.16-00529 (F)</w:t>
          </w:r>
          <w:r>
            <w:rPr>
              <w:b w:val="0"/>
              <w:sz w:val="20"/>
            </w:rPr>
            <w:fldChar w:fldCharType="end"/>
          </w:r>
          <w:r>
            <w:rPr>
              <w:b w:val="0"/>
              <w:sz w:val="20"/>
            </w:rPr>
            <w:t xml:space="preserve">    </w:t>
          </w:r>
          <w:r w:rsidR="00FF6E11">
            <w:rPr>
              <w:b w:val="0"/>
              <w:sz w:val="20"/>
            </w:rPr>
            <w:t>0902</w:t>
          </w:r>
          <w:r>
            <w:rPr>
              <w:b w:val="0"/>
              <w:sz w:val="20"/>
            </w:rPr>
            <w:t>16    150216</w:t>
          </w:r>
        </w:p>
        <w:p w:rsidR="00CA5192" w:rsidRPr="00D01786" w:rsidRDefault="00CA5192" w:rsidP="00D0178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14C49">
            <w:rPr>
              <w:rFonts w:ascii="Barcode 3 of 9 by request" w:hAnsi="Barcode 3 of 9 by request"/>
              <w:b w:val="0"/>
              <w:spacing w:val="0"/>
              <w:w w:val="100"/>
              <w:sz w:val="24"/>
            </w:rPr>
            <w:t>*1600529*</w:t>
          </w:r>
          <w:r>
            <w:rPr>
              <w:rFonts w:ascii="Barcode 3 of 9 by request" w:hAnsi="Barcode 3 of 9 by request"/>
              <w:b w:val="0"/>
              <w:spacing w:val="0"/>
              <w:w w:val="100"/>
              <w:sz w:val="24"/>
            </w:rPr>
            <w:fldChar w:fldCharType="end"/>
          </w:r>
        </w:p>
      </w:tc>
      <w:tc>
        <w:tcPr>
          <w:tcW w:w="5127" w:type="dxa"/>
        </w:tcPr>
        <w:p w:rsidR="00CA5192" w:rsidRDefault="00CA5192" w:rsidP="00D01786">
          <w:pPr>
            <w:pStyle w:val="Footer"/>
            <w:spacing w:line="240" w:lineRule="atLeast"/>
            <w:jc w:val="right"/>
            <w:rPr>
              <w:b w:val="0"/>
              <w:sz w:val="20"/>
            </w:rPr>
          </w:pPr>
          <w:r>
            <w:rPr>
              <w:b w:val="0"/>
              <w:noProof/>
              <w:sz w:val="20"/>
              <w:lang w:val="en-GB" w:eastAsia="en-GB"/>
            </w:rPr>
            <w:drawing>
              <wp:inline distT="0" distB="0" distL="0" distR="0" wp14:anchorId="5E60DCF5" wp14:editId="45099E5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A5192" w:rsidRPr="00D01786" w:rsidRDefault="00CA5192" w:rsidP="00D0178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92" w:rsidRPr="00B9546D" w:rsidRDefault="00CA5192" w:rsidP="00B9546D">
      <w:pPr>
        <w:pStyle w:val="Footer"/>
        <w:spacing w:after="80"/>
        <w:ind w:left="792"/>
        <w:rPr>
          <w:sz w:val="16"/>
        </w:rPr>
      </w:pPr>
      <w:r w:rsidRPr="00B9546D">
        <w:rPr>
          <w:sz w:val="16"/>
        </w:rPr>
        <w:t>__________________</w:t>
      </w:r>
    </w:p>
  </w:footnote>
  <w:footnote w:type="continuationSeparator" w:id="0">
    <w:p w:rsidR="00CA5192" w:rsidRPr="00B9546D" w:rsidRDefault="00CA5192" w:rsidP="00B9546D">
      <w:pPr>
        <w:pStyle w:val="Footer"/>
        <w:spacing w:after="80"/>
        <w:ind w:left="792"/>
        <w:rPr>
          <w:sz w:val="16"/>
        </w:rPr>
      </w:pPr>
      <w:r w:rsidRPr="00B9546D">
        <w:rPr>
          <w:sz w:val="16"/>
        </w:rPr>
        <w:t>__________________</w:t>
      </w:r>
    </w:p>
  </w:footnote>
  <w:footnote w:id="1">
    <w:p w:rsidR="00CA5192" w:rsidRDefault="00CA5192" w:rsidP="00833EF7">
      <w:pPr>
        <w:pStyle w:val="FootnoteText"/>
        <w:tabs>
          <w:tab w:val="right" w:pos="1195"/>
          <w:tab w:val="left" w:pos="1267"/>
          <w:tab w:val="left" w:pos="1742"/>
          <w:tab w:val="left" w:pos="2218"/>
          <w:tab w:val="left" w:pos="2693"/>
        </w:tabs>
        <w:ind w:left="1267" w:right="1260" w:hanging="432"/>
      </w:pPr>
      <w:r>
        <w:rPr>
          <w:lang w:val="fr-FR"/>
        </w:rPr>
        <w:tab/>
      </w:r>
      <w:r>
        <w:rPr>
          <w:rStyle w:val="FootnoteReference"/>
          <w:lang w:val="fr-FR"/>
        </w:rPr>
        <w:footnoteRef/>
      </w:r>
      <w:r>
        <w:rPr>
          <w:lang w:val="fr-FR"/>
        </w:rPr>
        <w:t xml:space="preserve"> </w:t>
      </w:r>
      <w:r>
        <w:rPr>
          <w:lang w:val="fr-FR"/>
        </w:rPr>
        <w:tab/>
        <w:t xml:space="preserve">Par souci d’économie, les délégués sont priés de se munir de leurs exemplaires des documents nécessaires lors de la réunion. Aucun document ne sera disponible en salle. Avant la session, les documents peuvent être téléchargés à partir du site Web de la Division des transports de la CEE (www.unece.org/trans/main/wp29/wp29wgs/wp29gre/greage.html). À titre exceptionnel, ils peuvent </w:t>
      </w:r>
      <w:r w:rsidRPr="00833EF7">
        <w:rPr>
          <w:spacing w:val="2"/>
          <w:lang w:val="fr-FR"/>
        </w:rPr>
        <w:t>également être obtenus par courrier électronique (gre@unece.org) ou par télécopie (+41 22 917 00 39).</w:t>
      </w:r>
      <w:r>
        <w:rPr>
          <w:lang w:val="fr-FR"/>
        </w:rPr>
        <w:t xml:space="preserve"> Pendant la réunion, les documents seront disponibles auprès de la Section de la distribution des documents (salle C. 337, 3</w:t>
      </w:r>
      <w:r w:rsidRPr="00833EF7">
        <w:rPr>
          <w:vertAlign w:val="superscript"/>
          <w:lang w:val="fr-FR"/>
        </w:rPr>
        <w:t>e</w:t>
      </w:r>
      <w:r w:rsidR="00833EF7">
        <w:rPr>
          <w:lang w:val="fr-FR"/>
        </w:rPr>
        <w:t> </w:t>
      </w:r>
      <w:r>
        <w:rPr>
          <w:lang w:val="fr-FR"/>
        </w:rPr>
        <w:t>étage, Palais des Nations). Pour les versions traduites de ces documents officiels, les participants ont accès au système de diffusion électronique des documents (ODS), ouvert au public à l’adresse suivante: documents.un.org/</w:t>
      </w:r>
      <w:r w:rsidR="00833EF7">
        <w:rPr>
          <w:lang w:val="fr-FR"/>
        </w:rPr>
        <w:t>.</w:t>
      </w:r>
    </w:p>
  </w:footnote>
  <w:footnote w:id="2">
    <w:p w:rsidR="00CA5192" w:rsidRDefault="00CA5192" w:rsidP="00B9546D">
      <w:pPr>
        <w:pStyle w:val="FootnoteText"/>
        <w:tabs>
          <w:tab w:val="right" w:pos="1195"/>
          <w:tab w:val="left" w:pos="1267"/>
          <w:tab w:val="left" w:pos="1742"/>
          <w:tab w:val="left" w:pos="2218"/>
          <w:tab w:val="left" w:pos="2693"/>
        </w:tabs>
        <w:ind w:left="1267" w:right="1260" w:hanging="432"/>
        <w:rPr>
          <w:sz w:val="20"/>
        </w:rPr>
      </w:pPr>
      <w:r>
        <w:rPr>
          <w:lang w:val="fr-FR"/>
        </w:rPr>
        <w:tab/>
      </w:r>
      <w:r>
        <w:rPr>
          <w:rStyle w:val="FootnoteReference"/>
          <w:lang w:val="fr-FR"/>
        </w:rPr>
        <w:footnoteRef/>
      </w:r>
      <w:r>
        <w:rPr>
          <w:lang w:val="fr-FR"/>
        </w:rPr>
        <w:t xml:space="preserve"> </w:t>
      </w:r>
      <w:r>
        <w:rPr>
          <w:lang w:val="fr-FR"/>
        </w:rPr>
        <w:tab/>
        <w:t xml:space="preserve">Les représentants sont priés de s’inscrire en ligne en utilisant le nouveau système d’enregistrement accessible sur le site Web de la CEE (https://www2.unece.org/uncdb/app/ext/meeting-registration?id=CpgrFJ). À leur arrivée au Palais des Nations, les délégués pourront obtenir une plaquette d’identification auprès de la Section de la sécurité et de la sûreté située au Portail de </w:t>
      </w:r>
      <w:proofErr w:type="spellStart"/>
      <w:r>
        <w:rPr>
          <w:lang w:val="fr-FR"/>
        </w:rPr>
        <w:t>Pregny</w:t>
      </w:r>
      <w:proofErr w:type="spellEnd"/>
      <w:r>
        <w:rPr>
          <w:lang w:val="fr-FR"/>
        </w:rPr>
        <w:t xml:space="preserve"> (14, avenue de la Paix). En cas de difficulté, prière de se mettre en contact avec le secrétariat par téléphone (poste 75323). Pour obtenir le plan du Palais des Nations et d’autres renseignements utiles, voir le site: http://www.unece.org/fr/info/events/informations-pratiques-pour-les-delegues.html.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A5192" w:rsidTr="00D01786">
      <w:trPr>
        <w:trHeight w:hRule="exact" w:val="864"/>
        <w:jc w:val="center"/>
      </w:trPr>
      <w:tc>
        <w:tcPr>
          <w:tcW w:w="4882" w:type="dxa"/>
          <w:shd w:val="clear" w:color="auto" w:fill="auto"/>
          <w:vAlign w:val="bottom"/>
        </w:tcPr>
        <w:p w:rsidR="00CA5192" w:rsidRPr="00D01786" w:rsidRDefault="00CA5192" w:rsidP="00D0178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14C49">
            <w:rPr>
              <w:b/>
              <w:color w:val="000000"/>
            </w:rPr>
            <w:t>ECE/TRANS/WP.29/GRE/2016/1</w:t>
          </w:r>
          <w:r>
            <w:rPr>
              <w:b/>
              <w:color w:val="000000"/>
            </w:rPr>
            <w:fldChar w:fldCharType="end"/>
          </w:r>
        </w:p>
      </w:tc>
      <w:tc>
        <w:tcPr>
          <w:tcW w:w="5127" w:type="dxa"/>
          <w:shd w:val="clear" w:color="auto" w:fill="auto"/>
          <w:vAlign w:val="bottom"/>
        </w:tcPr>
        <w:p w:rsidR="00CA5192" w:rsidRDefault="00CA5192" w:rsidP="00D01786">
          <w:pPr>
            <w:pStyle w:val="Header"/>
          </w:pPr>
        </w:p>
      </w:tc>
    </w:tr>
  </w:tbl>
  <w:p w:rsidR="00CA5192" w:rsidRPr="00D01786" w:rsidRDefault="00CA5192" w:rsidP="00D0178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A5192" w:rsidTr="00D01786">
      <w:trPr>
        <w:trHeight w:hRule="exact" w:val="864"/>
        <w:jc w:val="center"/>
      </w:trPr>
      <w:tc>
        <w:tcPr>
          <w:tcW w:w="4882" w:type="dxa"/>
          <w:shd w:val="clear" w:color="auto" w:fill="auto"/>
          <w:vAlign w:val="bottom"/>
        </w:tcPr>
        <w:p w:rsidR="00CA5192" w:rsidRDefault="00CA5192" w:rsidP="00D01786">
          <w:pPr>
            <w:pStyle w:val="Header"/>
          </w:pPr>
        </w:p>
      </w:tc>
      <w:tc>
        <w:tcPr>
          <w:tcW w:w="5127" w:type="dxa"/>
          <w:shd w:val="clear" w:color="auto" w:fill="auto"/>
          <w:vAlign w:val="bottom"/>
        </w:tcPr>
        <w:p w:rsidR="00CA5192" w:rsidRPr="00D01786" w:rsidRDefault="00CA5192" w:rsidP="00D0178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14C49">
            <w:rPr>
              <w:b/>
              <w:color w:val="000000"/>
            </w:rPr>
            <w:t>ECE/TRANS/WP.29/GRE/2016/1</w:t>
          </w:r>
          <w:r>
            <w:rPr>
              <w:b/>
              <w:color w:val="000000"/>
            </w:rPr>
            <w:fldChar w:fldCharType="end"/>
          </w:r>
        </w:p>
      </w:tc>
    </w:tr>
  </w:tbl>
  <w:p w:rsidR="00CA5192" w:rsidRPr="00D01786" w:rsidRDefault="00CA5192" w:rsidP="00D0178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A5192" w:rsidTr="00D01786">
      <w:trPr>
        <w:trHeight w:hRule="exact" w:val="864"/>
      </w:trPr>
      <w:tc>
        <w:tcPr>
          <w:tcW w:w="1267" w:type="dxa"/>
          <w:tcBorders>
            <w:bottom w:val="single" w:sz="4" w:space="0" w:color="auto"/>
          </w:tcBorders>
          <w:shd w:val="clear" w:color="auto" w:fill="auto"/>
          <w:vAlign w:val="bottom"/>
        </w:tcPr>
        <w:p w:rsidR="00CA5192" w:rsidRDefault="00CA5192" w:rsidP="00D01786">
          <w:pPr>
            <w:pStyle w:val="Header"/>
            <w:spacing w:after="120"/>
          </w:pPr>
        </w:p>
      </w:tc>
      <w:tc>
        <w:tcPr>
          <w:tcW w:w="2059" w:type="dxa"/>
          <w:tcBorders>
            <w:bottom w:val="single" w:sz="4" w:space="0" w:color="auto"/>
          </w:tcBorders>
          <w:shd w:val="clear" w:color="auto" w:fill="auto"/>
          <w:vAlign w:val="bottom"/>
        </w:tcPr>
        <w:p w:rsidR="00CA5192" w:rsidRPr="00D01786" w:rsidRDefault="00CA5192" w:rsidP="00D0178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A5192" w:rsidRDefault="00CA5192" w:rsidP="00D01786">
          <w:pPr>
            <w:pStyle w:val="Header"/>
            <w:spacing w:after="120"/>
          </w:pPr>
        </w:p>
      </w:tc>
      <w:tc>
        <w:tcPr>
          <w:tcW w:w="6653" w:type="dxa"/>
          <w:gridSpan w:val="4"/>
          <w:tcBorders>
            <w:bottom w:val="single" w:sz="4" w:space="0" w:color="auto"/>
          </w:tcBorders>
          <w:shd w:val="clear" w:color="auto" w:fill="auto"/>
          <w:vAlign w:val="bottom"/>
        </w:tcPr>
        <w:p w:rsidR="00CA5192" w:rsidRPr="00D01786" w:rsidRDefault="00CA5192" w:rsidP="00D01786">
          <w:pPr>
            <w:spacing w:after="80" w:line="240" w:lineRule="auto"/>
            <w:jc w:val="right"/>
            <w:rPr>
              <w:position w:val="-4"/>
            </w:rPr>
          </w:pPr>
          <w:r>
            <w:rPr>
              <w:position w:val="-4"/>
              <w:sz w:val="40"/>
            </w:rPr>
            <w:t>ECE</w:t>
          </w:r>
          <w:r>
            <w:rPr>
              <w:position w:val="-4"/>
            </w:rPr>
            <w:t>/TRANS/WP.29/GRE/2016/1</w:t>
          </w:r>
        </w:p>
      </w:tc>
    </w:tr>
    <w:tr w:rsidR="00CA5192" w:rsidRPr="00D01786" w:rsidTr="00D01786">
      <w:trPr>
        <w:gridAfter w:val="1"/>
        <w:wAfter w:w="18" w:type="dxa"/>
        <w:trHeight w:hRule="exact" w:val="2880"/>
      </w:trPr>
      <w:tc>
        <w:tcPr>
          <w:tcW w:w="1267" w:type="dxa"/>
          <w:tcBorders>
            <w:top w:val="single" w:sz="4" w:space="0" w:color="auto"/>
            <w:bottom w:val="single" w:sz="12" w:space="0" w:color="auto"/>
          </w:tcBorders>
          <w:shd w:val="clear" w:color="auto" w:fill="auto"/>
        </w:tcPr>
        <w:p w:rsidR="00CA5192" w:rsidRPr="00D01786" w:rsidRDefault="00CA5192" w:rsidP="00D01786">
          <w:pPr>
            <w:pStyle w:val="Header"/>
            <w:spacing w:before="120" w:line="240" w:lineRule="auto"/>
            <w:ind w:left="-72"/>
            <w:jc w:val="center"/>
          </w:pPr>
          <w:r>
            <w:t xml:space="preserve">  </w:t>
          </w:r>
          <w:r>
            <w:rPr>
              <w:noProof/>
              <w:lang w:val="en-GB" w:eastAsia="en-GB"/>
            </w:rPr>
            <w:drawing>
              <wp:inline distT="0" distB="0" distL="0" distR="0" wp14:anchorId="237034DB" wp14:editId="22A8737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A5192" w:rsidRPr="00D01786" w:rsidRDefault="00CA5192" w:rsidP="00D01786">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CA5192" w:rsidRPr="00D01786" w:rsidRDefault="00CA5192" w:rsidP="00D01786">
          <w:pPr>
            <w:pStyle w:val="Header"/>
            <w:spacing w:before="109"/>
          </w:pPr>
        </w:p>
      </w:tc>
      <w:tc>
        <w:tcPr>
          <w:tcW w:w="3280" w:type="dxa"/>
          <w:tcBorders>
            <w:top w:val="single" w:sz="4" w:space="0" w:color="auto"/>
            <w:bottom w:val="single" w:sz="12" w:space="0" w:color="auto"/>
          </w:tcBorders>
          <w:shd w:val="clear" w:color="auto" w:fill="auto"/>
        </w:tcPr>
        <w:p w:rsidR="00CA5192" w:rsidRPr="00210CC8" w:rsidRDefault="00CA5192" w:rsidP="00D01786">
          <w:pPr>
            <w:pStyle w:val="Distribution"/>
            <w:rPr>
              <w:color w:val="000000"/>
              <w:lang w:val="fr-CH"/>
            </w:rPr>
          </w:pPr>
          <w:proofErr w:type="spellStart"/>
          <w:r w:rsidRPr="00210CC8">
            <w:rPr>
              <w:color w:val="000000"/>
              <w:lang w:val="fr-CH"/>
            </w:rPr>
            <w:t>Distr</w:t>
          </w:r>
          <w:proofErr w:type="spellEnd"/>
          <w:r w:rsidRPr="00210CC8">
            <w:rPr>
              <w:color w:val="000000"/>
              <w:lang w:val="fr-CH"/>
            </w:rPr>
            <w:t>. générale</w:t>
          </w:r>
        </w:p>
        <w:p w:rsidR="00CA5192" w:rsidRPr="00210CC8" w:rsidRDefault="00CA5192" w:rsidP="00D01786">
          <w:pPr>
            <w:pStyle w:val="Publication"/>
            <w:rPr>
              <w:color w:val="000000"/>
              <w:lang w:val="fr-CH"/>
            </w:rPr>
          </w:pPr>
          <w:r w:rsidRPr="00210CC8">
            <w:rPr>
              <w:color w:val="000000"/>
              <w:lang w:val="fr-CH"/>
            </w:rPr>
            <w:t>15 janvier 2016</w:t>
          </w:r>
        </w:p>
        <w:p w:rsidR="00CA5192" w:rsidRPr="00210CC8" w:rsidRDefault="00CA5192" w:rsidP="00D01786">
          <w:pPr>
            <w:rPr>
              <w:lang w:val="fr-CH"/>
            </w:rPr>
          </w:pPr>
          <w:r w:rsidRPr="00210CC8">
            <w:rPr>
              <w:lang w:val="fr-CH"/>
            </w:rPr>
            <w:t>Français</w:t>
          </w:r>
        </w:p>
        <w:p w:rsidR="00CA5192" w:rsidRPr="00210CC8" w:rsidRDefault="00CA5192" w:rsidP="00D01786">
          <w:pPr>
            <w:pStyle w:val="Original"/>
            <w:rPr>
              <w:color w:val="000000"/>
              <w:lang w:val="fr-CH"/>
            </w:rPr>
          </w:pPr>
          <w:r w:rsidRPr="00210CC8">
            <w:rPr>
              <w:color w:val="000000"/>
              <w:lang w:val="fr-CH"/>
            </w:rPr>
            <w:t>Original : anglais</w:t>
          </w:r>
        </w:p>
      </w:tc>
    </w:tr>
  </w:tbl>
  <w:p w:rsidR="00CA5192" w:rsidRPr="00210CC8" w:rsidRDefault="00CA5192" w:rsidP="00D01786">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3"/>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529*"/>
    <w:docVar w:name="CreationDt" w:val="2/15/2016 8:36: AM"/>
    <w:docVar w:name="DocCategory" w:val="Doc"/>
    <w:docVar w:name="DocType" w:val="Final"/>
    <w:docVar w:name="DutyStation" w:val="Geneva"/>
    <w:docVar w:name="FooterJN" w:val="GE.16-00529"/>
    <w:docVar w:name="jobn" w:val="GE.16-00529 (F)"/>
    <w:docVar w:name="jobnDT" w:val="GE.16-00529 (F)   150216"/>
    <w:docVar w:name="jobnDTDT" w:val="GE.16-00529 (F)   150216   150216"/>
    <w:docVar w:name="JobNo" w:val="GE.1600529F"/>
    <w:docVar w:name="JobNo2" w:val="GE.1600614F"/>
    <w:docVar w:name="LocalDrive" w:val="0"/>
    <w:docVar w:name="OandT" w:val="Beysard"/>
    <w:docVar w:name="PaperSize" w:val="A4"/>
    <w:docVar w:name="sss1" w:val="ECE/TRANS/WP.29/GRE/2016/1"/>
    <w:docVar w:name="sss2" w:val="-"/>
    <w:docVar w:name="Symbol1" w:val="ECE/TRANS/WP.29/GRE/2016/1"/>
    <w:docVar w:name="Symbol2" w:val="-"/>
  </w:docVars>
  <w:rsids>
    <w:rsidRoot w:val="005965B6"/>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94074"/>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0CC8"/>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45C6"/>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08AB"/>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4509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2EA2"/>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5B6"/>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3EF7"/>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0648"/>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546D"/>
    <w:rsid w:val="00B965BF"/>
    <w:rsid w:val="00BA06B1"/>
    <w:rsid w:val="00BA3125"/>
    <w:rsid w:val="00BA3654"/>
    <w:rsid w:val="00BA600B"/>
    <w:rsid w:val="00BC05C8"/>
    <w:rsid w:val="00BC0F9A"/>
    <w:rsid w:val="00BC3085"/>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5192"/>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1786"/>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14C49"/>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488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1DD6"/>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6E11"/>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D01786"/>
    <w:rPr>
      <w:sz w:val="16"/>
      <w:szCs w:val="16"/>
    </w:rPr>
  </w:style>
  <w:style w:type="paragraph" w:styleId="CommentText">
    <w:name w:val="annotation text"/>
    <w:basedOn w:val="Normal"/>
    <w:link w:val="CommentTextChar"/>
    <w:uiPriority w:val="99"/>
    <w:semiHidden/>
    <w:unhideWhenUsed/>
    <w:rsid w:val="00D01786"/>
    <w:pPr>
      <w:spacing w:line="240" w:lineRule="auto"/>
    </w:pPr>
    <w:rPr>
      <w:szCs w:val="20"/>
    </w:rPr>
  </w:style>
  <w:style w:type="character" w:customStyle="1" w:styleId="CommentTextChar">
    <w:name w:val="Comment Text Char"/>
    <w:basedOn w:val="DefaultParagraphFont"/>
    <w:link w:val="CommentText"/>
    <w:uiPriority w:val="99"/>
    <w:semiHidden/>
    <w:rsid w:val="00D0178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01786"/>
    <w:rPr>
      <w:b/>
      <w:bCs/>
    </w:rPr>
  </w:style>
  <w:style w:type="character" w:customStyle="1" w:styleId="CommentSubjectChar">
    <w:name w:val="Comment Subject Char"/>
    <w:basedOn w:val="CommentTextChar"/>
    <w:link w:val="CommentSubject"/>
    <w:uiPriority w:val="99"/>
    <w:semiHidden/>
    <w:rsid w:val="00D01786"/>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D01786"/>
    <w:rPr>
      <w:sz w:val="16"/>
      <w:szCs w:val="16"/>
    </w:rPr>
  </w:style>
  <w:style w:type="paragraph" w:styleId="CommentText">
    <w:name w:val="annotation text"/>
    <w:basedOn w:val="Normal"/>
    <w:link w:val="CommentTextChar"/>
    <w:uiPriority w:val="99"/>
    <w:semiHidden/>
    <w:unhideWhenUsed/>
    <w:rsid w:val="00D01786"/>
    <w:pPr>
      <w:spacing w:line="240" w:lineRule="auto"/>
    </w:pPr>
    <w:rPr>
      <w:szCs w:val="20"/>
    </w:rPr>
  </w:style>
  <w:style w:type="character" w:customStyle="1" w:styleId="CommentTextChar">
    <w:name w:val="Comment Text Char"/>
    <w:basedOn w:val="DefaultParagraphFont"/>
    <w:link w:val="CommentText"/>
    <w:uiPriority w:val="99"/>
    <w:semiHidden/>
    <w:rsid w:val="00D0178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01786"/>
    <w:rPr>
      <w:b/>
      <w:bCs/>
    </w:rPr>
  </w:style>
  <w:style w:type="character" w:customStyle="1" w:styleId="CommentSubjectChar">
    <w:name w:val="Comment Subject Char"/>
    <w:basedOn w:val="CommentTextChar"/>
    <w:link w:val="CommentSubject"/>
    <w:uiPriority w:val="99"/>
    <w:semiHidden/>
    <w:rsid w:val="00D01786"/>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49595">
      <w:bodyDiv w:val="1"/>
      <w:marLeft w:val="0"/>
      <w:marRight w:val="0"/>
      <w:marTop w:val="0"/>
      <w:marBottom w:val="0"/>
      <w:divBdr>
        <w:top w:val="none" w:sz="0" w:space="0" w:color="auto"/>
        <w:left w:val="none" w:sz="0" w:space="0" w:color="auto"/>
        <w:bottom w:val="none" w:sz="0" w:space="0" w:color="auto"/>
        <w:right w:val="none" w:sz="0" w:space="0" w:color="auto"/>
      </w:divBdr>
    </w:div>
    <w:div w:id="8775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A2E75-32F5-4CBE-BB58-3721CC0E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Beysard Pascale</dc:creator>
  <cp:lastModifiedBy>Caillot</cp:lastModifiedBy>
  <cp:revision>2</cp:revision>
  <cp:lastPrinted>2016-02-15T10:25:00Z</cp:lastPrinted>
  <dcterms:created xsi:type="dcterms:W3CDTF">2016-02-24T10:17:00Z</dcterms:created>
  <dcterms:modified xsi:type="dcterms:W3CDTF">2016-02-24T10:17:00Z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1600529F</vt:lpwstr>
  </property>
  <property fmtid="{D5CDD505-2E9C-101B-9397-08002B2CF9AE}" pid="3" name="ODSRefJobNo">
    <vt:lpwstr>1600614F</vt:lpwstr>
  </property>
  <property fmtid="{D5CDD505-2E9C-101B-9397-08002B2CF9AE}" pid="4" name="Symbol1">
    <vt:lpwstr>ECE/TRANS/WP.29/GRE/2016/1</vt:lpwstr>
  </property>
  <property fmtid="{D5CDD505-2E9C-101B-9397-08002B2CF9AE}" pid="5" name="Symbol2">
    <vt:lpwstr/>
  </property>
  <property fmtid="{D5CDD505-2E9C-101B-9397-08002B2CF9AE}" pid="6" name="Translator">
    <vt:lpwstr/>
  </property>
  <property fmtid="{D5CDD505-2E9C-101B-9397-08002B2CF9AE}" pid="7" name="Operator">
    <vt:lpwstr>Beysard</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janvier 2016</vt:lpwstr>
  </property>
  <property fmtid="{D5CDD505-2E9C-101B-9397-08002B2CF9AE}" pid="12" name="Original">
    <vt:lpwstr>anglais</vt:lpwstr>
  </property>
  <property fmtid="{D5CDD505-2E9C-101B-9397-08002B2CF9AE}" pid="13" name="Release Date">
    <vt:lpwstr>150216</vt:lpwstr>
  </property>
</Properties>
</file>