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1C2" w:rsidRDefault="007B025E" w:rsidP="00A90DB0">
      <w:pPr>
        <w:pStyle w:val="HCh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A13680">
        <w:tab/>
      </w:r>
      <w:r w:rsidRPr="00A13680">
        <w:tab/>
      </w:r>
      <w:r w:rsidR="009D0F05">
        <w:t>The performance of a</w:t>
      </w:r>
      <w:r w:rsidR="005C4A93">
        <w:t>utomotive systems in conditions other than those tested in the framework of type-approval or self-certification</w:t>
      </w:r>
    </w:p>
    <w:p w:rsidR="001F31C2" w:rsidRPr="00A13680" w:rsidRDefault="00911AE2" w:rsidP="00A90DB0">
      <w:pPr>
        <w:pStyle w:val="HCh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A13680">
        <w:tab/>
      </w:r>
      <w:r w:rsidR="00A13680" w:rsidRPr="00A13680">
        <w:t>1.</w:t>
      </w:r>
      <w:r w:rsidR="00A13680" w:rsidRPr="00A13680">
        <w:tab/>
      </w:r>
      <w:r w:rsidR="00F26AB0">
        <w:t>General context</w:t>
      </w:r>
    </w:p>
    <w:p w:rsidR="001F31C2" w:rsidRDefault="006D6C52" w:rsidP="00A90DB0">
      <w:pPr>
        <w:pStyle w:val="SingleTxtG"/>
      </w:pPr>
      <w:r>
        <w:t>1</w:t>
      </w:r>
      <w:r w:rsidR="00911AE2" w:rsidRPr="00A13680">
        <w:t>.</w:t>
      </w:r>
      <w:r w:rsidR="00911AE2" w:rsidRPr="00A13680">
        <w:tab/>
      </w:r>
      <w:r w:rsidR="005C4A93">
        <w:t xml:space="preserve">The </w:t>
      </w:r>
      <w:r w:rsidR="0077066C">
        <w:t>latest "</w:t>
      </w:r>
      <w:r w:rsidR="005C4A93">
        <w:t xml:space="preserve">emission </w:t>
      </w:r>
      <w:r w:rsidR="0077066C">
        <w:t>case"</w:t>
      </w:r>
      <w:r w:rsidR="0091475E">
        <w:t xml:space="preserve"> </w:t>
      </w:r>
      <w:r w:rsidR="0077066C">
        <w:t>(</w:t>
      </w:r>
      <w:r w:rsidR="005C4A93">
        <w:t>revealed in September 2015</w:t>
      </w:r>
      <w:r w:rsidR="0077066C">
        <w:t>)</w:t>
      </w:r>
      <w:r w:rsidR="005C4A93">
        <w:t xml:space="preserve"> related to the use of defeat devices</w:t>
      </w:r>
      <w:r w:rsidR="00AB6D38">
        <w:t xml:space="preserve"> through a software manipulation</w:t>
      </w:r>
      <w:r w:rsidR="00E27C23">
        <w:t>,</w:t>
      </w:r>
      <w:r w:rsidR="0091475E">
        <w:t xml:space="preserve"> </w:t>
      </w:r>
      <w:r w:rsidR="005C4A93">
        <w:t>highlighted the fact that automotive systems might not perform as expected by the general public</w:t>
      </w:r>
      <w:r w:rsidR="00253743">
        <w:t>,</w:t>
      </w:r>
      <w:r w:rsidR="005C4A93">
        <w:t xml:space="preserve"> or </w:t>
      </w:r>
      <w:r w:rsidR="00E27C23">
        <w:t>in other conditions than those described in</w:t>
      </w:r>
      <w:r w:rsidR="005C4A93">
        <w:t xml:space="preserve"> testing procedures</w:t>
      </w:r>
      <w:r w:rsidR="007B025E" w:rsidRPr="00A13680">
        <w:t xml:space="preserve">. </w:t>
      </w:r>
      <w:r w:rsidR="00AB6D38">
        <w:t xml:space="preserve">The use of defeat device is prohibited by UN Regulation </w:t>
      </w:r>
      <w:r w:rsidR="0091475E" w:rsidRPr="00E430C3">
        <w:rPr>
          <w:lang w:val="en-US"/>
        </w:rPr>
        <w:t xml:space="preserve">No. </w:t>
      </w:r>
      <w:r w:rsidR="00AB6D38">
        <w:t>83, but no test is performed at the type-approval stage.</w:t>
      </w:r>
    </w:p>
    <w:p w:rsidR="00AB6D38" w:rsidRPr="00A13680" w:rsidRDefault="00AB6D38" w:rsidP="00A90DB0">
      <w:pPr>
        <w:pStyle w:val="SingleTxtG"/>
      </w:pPr>
      <w:r>
        <w:t>2.</w:t>
      </w:r>
      <w:r>
        <w:tab/>
        <w:t>This case also showed limit</w:t>
      </w:r>
      <w:r w:rsidR="00253743">
        <w:t>s</w:t>
      </w:r>
      <w:r>
        <w:t xml:space="preserve"> of </w:t>
      </w:r>
      <w:r w:rsidR="00253743">
        <w:t xml:space="preserve">existing </w:t>
      </w:r>
      <w:r>
        <w:t xml:space="preserve">approval </w:t>
      </w:r>
      <w:r w:rsidR="002D2495">
        <w:t xml:space="preserve">tests </w:t>
      </w:r>
      <w:r>
        <w:t>with an increasing use of software in vehicles.</w:t>
      </w:r>
    </w:p>
    <w:p w:rsidR="001F31C2" w:rsidRPr="00A13680" w:rsidRDefault="007B025E" w:rsidP="00A90DB0">
      <w:pPr>
        <w:pStyle w:val="HCh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A13680">
        <w:tab/>
      </w:r>
      <w:r w:rsidR="00A13680" w:rsidRPr="00A13680">
        <w:t>2.</w:t>
      </w:r>
      <w:r w:rsidR="00A13680" w:rsidRPr="00A13680">
        <w:tab/>
      </w:r>
      <w:r w:rsidRPr="00A13680">
        <w:t>State of play</w:t>
      </w:r>
    </w:p>
    <w:p w:rsidR="00517952" w:rsidRDefault="002D2495" w:rsidP="00911AE2">
      <w:pPr>
        <w:pStyle w:val="SingleTxtG"/>
        <w:rPr>
          <w:rFonts w:hAnsi="Times New Roman" w:cs="Times New Roman"/>
        </w:rPr>
      </w:pPr>
      <w:r>
        <w:rPr>
          <w:rFonts w:hAnsi="Times New Roman" w:cs="Times New Roman"/>
        </w:rPr>
        <w:t>3</w:t>
      </w:r>
      <w:r w:rsidR="00517952">
        <w:rPr>
          <w:rFonts w:hAnsi="Times New Roman" w:cs="Times New Roman"/>
        </w:rPr>
        <w:t>.</w:t>
      </w:r>
      <w:r w:rsidR="00517952">
        <w:rPr>
          <w:rFonts w:hAnsi="Times New Roman" w:cs="Times New Roman"/>
        </w:rPr>
        <w:tab/>
      </w:r>
      <w:r w:rsidR="00253743">
        <w:rPr>
          <w:rFonts w:hAnsi="Times New Roman" w:cs="Times New Roman"/>
        </w:rPr>
        <w:t>In the</w:t>
      </w:r>
      <w:r w:rsidR="00B16AB2">
        <w:rPr>
          <w:rFonts w:hAnsi="Times New Roman" w:cs="Times New Roman"/>
        </w:rPr>
        <w:t xml:space="preserve"> general context</w:t>
      </w:r>
      <w:r w:rsidR="00253743">
        <w:rPr>
          <w:rFonts w:hAnsi="Times New Roman" w:cs="Times New Roman"/>
        </w:rPr>
        <w:t xml:space="preserve"> described above</w:t>
      </w:r>
      <w:r w:rsidR="00B16AB2">
        <w:rPr>
          <w:rFonts w:hAnsi="Times New Roman" w:cs="Times New Roman"/>
        </w:rPr>
        <w:t xml:space="preserve">, this </w:t>
      </w:r>
      <w:r w:rsidR="00AB6D38">
        <w:rPr>
          <w:rFonts w:hAnsi="Times New Roman" w:cs="Times New Roman"/>
        </w:rPr>
        <w:t xml:space="preserve">issue was discussed </w:t>
      </w:r>
      <w:r w:rsidR="00253743">
        <w:rPr>
          <w:rFonts w:hAnsi="Times New Roman" w:cs="Times New Roman"/>
        </w:rPr>
        <w:t>at the last session of</w:t>
      </w:r>
      <w:r w:rsidR="00517952">
        <w:rPr>
          <w:rFonts w:hAnsi="Times New Roman" w:cs="Times New Roman"/>
        </w:rPr>
        <w:t xml:space="preserve"> GRRF</w:t>
      </w:r>
      <w:r w:rsidR="00253743">
        <w:rPr>
          <w:rFonts w:hAnsi="Times New Roman" w:cs="Times New Roman"/>
        </w:rPr>
        <w:t>, following a discussion on</w:t>
      </w:r>
      <w:r w:rsidR="00AB6D38">
        <w:rPr>
          <w:rFonts w:hAnsi="Times New Roman" w:cs="Times New Roman"/>
        </w:rPr>
        <w:t xml:space="preserve"> </w:t>
      </w:r>
      <w:r w:rsidR="00253743">
        <w:rPr>
          <w:rFonts w:hAnsi="Times New Roman" w:cs="Times New Roman"/>
        </w:rPr>
        <w:t>T</w:t>
      </w:r>
      <w:r w:rsidR="00AB6D38">
        <w:rPr>
          <w:rFonts w:hAnsi="Times New Roman" w:cs="Times New Roman"/>
        </w:rPr>
        <w:t xml:space="preserve">yre </w:t>
      </w:r>
      <w:r w:rsidR="00253743">
        <w:rPr>
          <w:rFonts w:hAnsi="Times New Roman" w:cs="Times New Roman"/>
        </w:rPr>
        <w:t>P</w:t>
      </w:r>
      <w:r w:rsidR="00AB6D38">
        <w:rPr>
          <w:rFonts w:hAnsi="Times New Roman" w:cs="Times New Roman"/>
        </w:rPr>
        <w:t xml:space="preserve">ressure </w:t>
      </w:r>
      <w:r w:rsidR="00253743">
        <w:rPr>
          <w:rFonts w:hAnsi="Times New Roman" w:cs="Times New Roman"/>
        </w:rPr>
        <w:t>M</w:t>
      </w:r>
      <w:r w:rsidR="00AB6D38">
        <w:rPr>
          <w:rFonts w:hAnsi="Times New Roman" w:cs="Times New Roman"/>
        </w:rPr>
        <w:t xml:space="preserve">onitoring </w:t>
      </w:r>
      <w:r w:rsidR="00253743">
        <w:rPr>
          <w:rFonts w:hAnsi="Times New Roman" w:cs="Times New Roman"/>
        </w:rPr>
        <w:t>S</w:t>
      </w:r>
      <w:r w:rsidR="00AB6D38">
        <w:rPr>
          <w:rFonts w:hAnsi="Times New Roman" w:cs="Times New Roman"/>
        </w:rPr>
        <w:t>ystems</w:t>
      </w:r>
      <w:r w:rsidR="0091475E">
        <w:rPr>
          <w:rFonts w:hAnsi="Times New Roman" w:cs="Times New Roman"/>
        </w:rPr>
        <w:t xml:space="preserve"> </w:t>
      </w:r>
      <w:r w:rsidR="00AB6D38">
        <w:rPr>
          <w:rFonts w:hAnsi="Times New Roman" w:cs="Times New Roman"/>
        </w:rPr>
        <w:t>(TPMS)</w:t>
      </w:r>
      <w:r w:rsidR="00253743">
        <w:rPr>
          <w:rFonts w:hAnsi="Times New Roman" w:cs="Times New Roman"/>
        </w:rPr>
        <w:t xml:space="preserve"> and IWVTA</w:t>
      </w:r>
      <w:r>
        <w:rPr>
          <w:rFonts w:hAnsi="Times New Roman" w:cs="Times New Roman"/>
        </w:rPr>
        <w:t xml:space="preserve"> </w:t>
      </w:r>
      <w:r w:rsidR="00253743">
        <w:rPr>
          <w:rFonts w:hAnsi="Times New Roman" w:cs="Times New Roman"/>
        </w:rPr>
        <w:t>when</w:t>
      </w:r>
      <w:r w:rsidR="00517952">
        <w:rPr>
          <w:rFonts w:hAnsi="Times New Roman" w:cs="Times New Roman"/>
        </w:rPr>
        <w:t xml:space="preserve"> remov</w:t>
      </w:r>
      <w:r w:rsidR="00253743">
        <w:rPr>
          <w:rFonts w:hAnsi="Times New Roman" w:cs="Times New Roman"/>
        </w:rPr>
        <w:t>ing</w:t>
      </w:r>
      <w:r w:rsidR="00517952">
        <w:rPr>
          <w:rFonts w:hAnsi="Times New Roman" w:cs="Times New Roman"/>
        </w:rPr>
        <w:t xml:space="preserve"> the provisions related to TPMS</w:t>
      </w:r>
      <w:r w:rsidR="00AB6D38">
        <w:rPr>
          <w:rFonts w:hAnsi="Times New Roman" w:cs="Times New Roman"/>
        </w:rPr>
        <w:t xml:space="preserve"> from Regulation </w:t>
      </w:r>
      <w:r w:rsidR="00253743">
        <w:rPr>
          <w:rFonts w:hAnsi="Times New Roman" w:cs="Times New Roman"/>
        </w:rPr>
        <w:t xml:space="preserve">No. </w:t>
      </w:r>
      <w:r w:rsidR="00AB6D38">
        <w:rPr>
          <w:rFonts w:hAnsi="Times New Roman" w:cs="Times New Roman"/>
        </w:rPr>
        <w:t>64 and creat</w:t>
      </w:r>
      <w:r w:rsidR="00253743">
        <w:rPr>
          <w:rFonts w:hAnsi="Times New Roman" w:cs="Times New Roman"/>
        </w:rPr>
        <w:t>ing</w:t>
      </w:r>
      <w:r w:rsidR="00AB6D38">
        <w:rPr>
          <w:rFonts w:hAnsi="Times New Roman" w:cs="Times New Roman"/>
        </w:rPr>
        <w:t xml:space="preserve"> a </w:t>
      </w:r>
      <w:r w:rsidR="00517952">
        <w:rPr>
          <w:rFonts w:hAnsi="Times New Roman" w:cs="Times New Roman"/>
        </w:rPr>
        <w:t>separate Regulation</w:t>
      </w:r>
      <w:r>
        <w:rPr>
          <w:rFonts w:hAnsi="Times New Roman" w:cs="Times New Roman"/>
        </w:rPr>
        <w:t xml:space="preserve"> on TPMS</w:t>
      </w:r>
      <w:r w:rsidR="00517952">
        <w:rPr>
          <w:rFonts w:hAnsi="Times New Roman" w:cs="Times New Roman"/>
        </w:rPr>
        <w:t>.</w:t>
      </w:r>
    </w:p>
    <w:p w:rsidR="006A5BAA" w:rsidRDefault="002D2495" w:rsidP="006A5BAA">
      <w:pPr>
        <w:pStyle w:val="SingleTxtG"/>
      </w:pPr>
      <w:r>
        <w:rPr>
          <w:rFonts w:hAnsi="Times New Roman" w:cs="Times New Roman"/>
        </w:rPr>
        <w:t>4</w:t>
      </w:r>
      <w:r w:rsidR="00DE2858">
        <w:rPr>
          <w:rFonts w:hAnsi="Times New Roman" w:cs="Times New Roman"/>
        </w:rPr>
        <w:t>.</w:t>
      </w:r>
      <w:r w:rsidR="00DE2858">
        <w:rPr>
          <w:rFonts w:hAnsi="Times New Roman" w:cs="Times New Roman"/>
        </w:rPr>
        <w:tab/>
      </w:r>
      <w:r>
        <w:rPr>
          <w:rFonts w:hAnsi="Times New Roman" w:cs="Times New Roman"/>
        </w:rPr>
        <w:t>A proposal was adopted</w:t>
      </w:r>
      <w:r w:rsidR="0091475E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to clarify</w:t>
      </w:r>
      <w:r w:rsidR="00DE2858">
        <w:rPr>
          <w:rFonts w:hAnsi="Times New Roman" w:cs="Times New Roman"/>
        </w:rPr>
        <w:t xml:space="preserve"> more specifically that TPMS should not only work </w:t>
      </w:r>
      <w:r>
        <w:rPr>
          <w:rFonts w:hAnsi="Times New Roman" w:cs="Times New Roman"/>
        </w:rPr>
        <w:t xml:space="preserve">(i.e. detect under inflation) </w:t>
      </w:r>
      <w:r w:rsidR="00DE2858">
        <w:rPr>
          <w:rFonts w:hAnsi="Times New Roman" w:cs="Times New Roman"/>
        </w:rPr>
        <w:t xml:space="preserve">in the </w:t>
      </w:r>
      <w:r>
        <w:rPr>
          <w:rFonts w:hAnsi="Times New Roman" w:cs="Times New Roman"/>
        </w:rPr>
        <w:t xml:space="preserve">limited </w:t>
      </w:r>
      <w:r w:rsidR="00DE2858">
        <w:rPr>
          <w:rFonts w:hAnsi="Times New Roman" w:cs="Times New Roman"/>
        </w:rPr>
        <w:t>conditions corresponding to those tested</w:t>
      </w:r>
      <w:r w:rsidR="0091475E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but in all the expected driving conditions for the vehicle, which makes the Regulation more robust</w:t>
      </w:r>
      <w:r w:rsidR="00DE2858">
        <w:rPr>
          <w:rFonts w:hAnsi="Times New Roman" w:cs="Times New Roman"/>
        </w:rPr>
        <w:t xml:space="preserve">. </w:t>
      </w:r>
      <w:r w:rsidR="006A5BAA">
        <w:t xml:space="preserve">GRRF had a discussion on </w:t>
      </w:r>
      <w:r w:rsidR="005F6733">
        <w:t xml:space="preserve">these </w:t>
      </w:r>
      <w:r w:rsidR="006A5BAA">
        <w:t xml:space="preserve">general </w:t>
      </w:r>
      <w:r>
        <w:t xml:space="preserve">obligations for manufacturers </w:t>
      </w:r>
      <w:r w:rsidR="006A5BAA">
        <w:t>in UN Regulations for which no procedure or criteria are given in the Regulation</w:t>
      </w:r>
      <w:r w:rsidR="0091475E">
        <w:t xml:space="preserve"> </w:t>
      </w:r>
      <w:r w:rsidR="006A5BAA">
        <w:t>to verify the compliance with these general provisions.</w:t>
      </w:r>
      <w:r w:rsidR="0091475E">
        <w:t xml:space="preserve"> </w:t>
      </w:r>
      <w:r w:rsidR="00DE2858">
        <w:rPr>
          <w:rFonts w:hAnsi="Times New Roman" w:cs="Times New Roman"/>
        </w:rPr>
        <w:t xml:space="preserve">GRRF noted that </w:t>
      </w:r>
      <w:r w:rsidR="00E457D4">
        <w:rPr>
          <w:rFonts w:hAnsi="Times New Roman" w:cs="Times New Roman"/>
        </w:rPr>
        <w:t xml:space="preserve">some </w:t>
      </w:r>
      <w:r w:rsidR="00DE2858">
        <w:rPr>
          <w:rFonts w:hAnsi="Times New Roman" w:cs="Times New Roman"/>
        </w:rPr>
        <w:t>Type Approval Authorities</w:t>
      </w:r>
      <w:r w:rsidR="0091475E">
        <w:rPr>
          <w:rFonts w:hAnsi="Times New Roman" w:cs="Times New Roman"/>
        </w:rPr>
        <w:t>, beari</w:t>
      </w:r>
      <w:r w:rsidR="00253743">
        <w:rPr>
          <w:rFonts w:hAnsi="Times New Roman" w:cs="Times New Roman"/>
        </w:rPr>
        <w:t>ng in mind the above-mentioned "</w:t>
      </w:r>
      <w:r w:rsidR="0091475E">
        <w:rPr>
          <w:rFonts w:hAnsi="Times New Roman" w:cs="Times New Roman"/>
        </w:rPr>
        <w:t>emission case</w:t>
      </w:r>
      <w:r w:rsidR="00253743">
        <w:rPr>
          <w:rFonts w:hAnsi="Times New Roman" w:cs="Times New Roman"/>
        </w:rPr>
        <w:t>"</w:t>
      </w:r>
      <w:r w:rsidR="003C191F">
        <w:rPr>
          <w:rFonts w:hAnsi="Times New Roman" w:cs="Times New Roman"/>
        </w:rPr>
        <w:t>,</w:t>
      </w:r>
      <w:r w:rsidR="00DE2858">
        <w:rPr>
          <w:rFonts w:hAnsi="Times New Roman" w:cs="Times New Roman"/>
        </w:rPr>
        <w:t xml:space="preserve"> </w:t>
      </w:r>
      <w:r w:rsidR="00253743">
        <w:rPr>
          <w:rFonts w:hAnsi="Times New Roman" w:cs="Times New Roman"/>
        </w:rPr>
        <w:t>had thoughts about</w:t>
      </w:r>
      <w:r w:rsidR="00DE2858">
        <w:rPr>
          <w:rFonts w:hAnsi="Times New Roman" w:cs="Times New Roman"/>
        </w:rPr>
        <w:t xml:space="preserve"> w</w:t>
      </w:r>
      <w:r w:rsidR="006A5BAA">
        <w:rPr>
          <w:rFonts w:hAnsi="Times New Roman" w:cs="Times New Roman"/>
        </w:rPr>
        <w:t>ay</w:t>
      </w:r>
      <w:r w:rsidR="00253743">
        <w:rPr>
          <w:rFonts w:hAnsi="Times New Roman" w:cs="Times New Roman"/>
        </w:rPr>
        <w:t>s</w:t>
      </w:r>
      <w:r w:rsidR="006A5BAA">
        <w:rPr>
          <w:rFonts w:hAnsi="Times New Roman" w:cs="Times New Roman"/>
        </w:rPr>
        <w:t xml:space="preserve"> to deal with </w:t>
      </w:r>
      <w:r w:rsidR="006A5BAA">
        <w:t>the situation created by these general provisions</w:t>
      </w:r>
      <w:r w:rsidR="0091475E">
        <w:t xml:space="preserve"> </w:t>
      </w:r>
      <w:r>
        <w:t>with no associated test procedure</w:t>
      </w:r>
      <w:r w:rsidR="006A5BAA">
        <w:t xml:space="preserve">. </w:t>
      </w:r>
    </w:p>
    <w:p w:rsidR="00846F55" w:rsidRDefault="003C191F" w:rsidP="006A5BAA">
      <w:pPr>
        <w:pStyle w:val="SingleTxtG"/>
      </w:pPr>
      <w:r>
        <w:t>5.</w:t>
      </w:r>
      <w:r>
        <w:tab/>
        <w:t>Meanwhile</w:t>
      </w:r>
      <w:r w:rsidR="00253743">
        <w:t>,</w:t>
      </w:r>
      <w:r>
        <w:t xml:space="preserve"> the situation with the requirements related to overall vehicle performance</w:t>
      </w:r>
      <w:r w:rsidR="00B55998">
        <w:t xml:space="preserve"> </w:t>
      </w:r>
      <w:r>
        <w:t xml:space="preserve">exists for quite a long time. The reference can be made, for example, to para. 5.1.4. of UN Regulation No. 79 stating: </w:t>
      </w:r>
      <w:r w:rsidRPr="00E430C3">
        <w:rPr>
          <w:rFonts w:hAnsi="Times New Roman" w:cs="Times New Roman"/>
        </w:rPr>
        <w:t>“</w:t>
      </w:r>
      <w:r w:rsidRPr="00E430C3">
        <w:t>The steering equipment shall be designed, constructed and fitted in such a way that it is capable of withstanding the stresses arising during normal operation of the vehicle, or combination of vehicles.</w:t>
      </w:r>
      <w:r>
        <w:t xml:space="preserve"> ...</w:t>
      </w:r>
      <w:r w:rsidRPr="00E430C3">
        <w:rPr>
          <w:rFonts w:hAnsi="Times New Roman" w:cs="Times New Roman"/>
        </w:rPr>
        <w:t>”</w:t>
      </w:r>
      <w:r w:rsidR="00B55998">
        <w:t xml:space="preserve">. This provision obliges vehicle manufacturers to ensure reliability of steering systems for the entire lifecycle. Such kind </w:t>
      </w:r>
      <w:r w:rsidR="00495FD8">
        <w:t xml:space="preserve">of the </w:t>
      </w:r>
      <w:r w:rsidR="00495FD8" w:rsidRPr="00E430C3">
        <w:rPr>
          <w:rFonts w:hAnsi="Times New Roman" w:cs="Times New Roman"/>
        </w:rPr>
        <w:t>“</w:t>
      </w:r>
      <w:r>
        <w:t>general case</w:t>
      </w:r>
      <w:r w:rsidRPr="00E430C3">
        <w:rPr>
          <w:rFonts w:hAnsi="Times New Roman" w:cs="Times New Roman"/>
        </w:rPr>
        <w:t>”</w:t>
      </w:r>
      <w:r w:rsidR="00B55998">
        <w:t xml:space="preserve"> provisions cannot be verified by means of certification tests performed by the technical services.</w:t>
      </w:r>
      <w:r w:rsidR="00495FD8">
        <w:t xml:space="preserve"> </w:t>
      </w:r>
    </w:p>
    <w:p w:rsidR="003C191F" w:rsidRDefault="00846F55" w:rsidP="006A5BAA">
      <w:pPr>
        <w:pStyle w:val="SingleTxtG"/>
      </w:pPr>
      <w:r>
        <w:t>6.</w:t>
      </w:r>
      <w:r>
        <w:tab/>
      </w:r>
      <w:r w:rsidR="00495FD8">
        <w:t xml:space="preserve">The expert from the Russian Federation expressed his understanding that a failure to meet the </w:t>
      </w:r>
      <w:r w:rsidR="00495FD8" w:rsidRPr="00495FD8">
        <w:rPr>
          <w:rFonts w:hAnsi="Times New Roman" w:cs="Times New Roman"/>
        </w:rPr>
        <w:t>“</w:t>
      </w:r>
      <w:r w:rsidR="00495FD8">
        <w:t>general case</w:t>
      </w:r>
      <w:r w:rsidR="00495FD8" w:rsidRPr="00495FD8">
        <w:rPr>
          <w:rFonts w:hAnsi="Times New Roman" w:cs="Times New Roman"/>
        </w:rPr>
        <w:t>”</w:t>
      </w:r>
      <w:r w:rsidR="00495FD8">
        <w:t xml:space="preserve"> provisions leading </w:t>
      </w:r>
      <w:r w:rsidR="00020E28">
        <w:t xml:space="preserve">to </w:t>
      </w:r>
      <w:r w:rsidR="00495FD8">
        <w:t xml:space="preserve">the relevant failure of a steering system </w:t>
      </w:r>
      <w:r w:rsidR="00020E28" w:rsidRPr="00E430C3">
        <w:t>may become the subject of legal proceedings if that had resulted in damage to a vehicle user</w:t>
      </w:r>
      <w:r w:rsidR="00020E28">
        <w:t xml:space="preserve">, </w:t>
      </w:r>
      <w:r w:rsidR="00A37944">
        <w:t xml:space="preserve">so that the objective of such </w:t>
      </w:r>
      <w:r w:rsidR="00A37944" w:rsidRPr="00E430C3">
        <w:rPr>
          <w:rFonts w:hAnsi="Times New Roman" w:cs="Times New Roman"/>
        </w:rPr>
        <w:t>“</w:t>
      </w:r>
      <w:r w:rsidR="00A37944">
        <w:t>general case</w:t>
      </w:r>
      <w:r w:rsidR="00A37944" w:rsidRPr="00495FD8">
        <w:rPr>
          <w:rFonts w:hAnsi="Times New Roman" w:cs="Times New Roman"/>
        </w:rPr>
        <w:t>”</w:t>
      </w:r>
      <w:r w:rsidR="00A37944">
        <w:t xml:space="preserve"> provisions stays out the type approval process.</w:t>
      </w:r>
    </w:p>
    <w:p w:rsidR="006A5BAA" w:rsidRPr="00A13680" w:rsidRDefault="006A5BAA" w:rsidP="006A5BAA">
      <w:pPr>
        <w:pStyle w:val="HCh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ab/>
      </w:r>
      <w:r w:rsidR="00F26AB0">
        <w:t>3</w:t>
      </w:r>
      <w:r w:rsidRPr="00A13680">
        <w:t>.</w:t>
      </w:r>
      <w:r w:rsidRPr="00A13680">
        <w:tab/>
      </w:r>
      <w:r>
        <w:t>Request for guidance</w:t>
      </w:r>
    </w:p>
    <w:p w:rsidR="009D0F05" w:rsidRDefault="00A37944" w:rsidP="00311466">
      <w:pPr>
        <w:pStyle w:val="SingleTxtG"/>
      </w:pPr>
      <w:r>
        <w:t>7</w:t>
      </w:r>
      <w:r w:rsidR="006A5BAA">
        <w:t>.</w:t>
      </w:r>
      <w:r w:rsidR="006A5BAA">
        <w:tab/>
        <w:t>GRRF agreed that the discussion was not specifically related to TPMS</w:t>
      </w:r>
      <w:r w:rsidR="00E457D4">
        <w:t>.</w:t>
      </w:r>
      <w:r w:rsidR="00253743">
        <w:t xml:space="preserve"> </w:t>
      </w:r>
      <w:r w:rsidR="00E457D4">
        <w:t xml:space="preserve">It is </w:t>
      </w:r>
      <w:r w:rsidR="00253743">
        <w:t xml:space="preserve">actually </w:t>
      </w:r>
      <w:r w:rsidR="00E457D4">
        <w:t>related to</w:t>
      </w:r>
      <w:r w:rsidR="006A5BAA">
        <w:t xml:space="preserve"> all </w:t>
      </w:r>
      <w:r w:rsidR="00495FD8">
        <w:t>R</w:t>
      </w:r>
      <w:r w:rsidR="006A5BAA">
        <w:t xml:space="preserve">egulations. The Regulations on pollutant emissions prohibit defeat devices. Regulation No. 51 </w:t>
      </w:r>
      <w:r w:rsidR="009D0F05">
        <w:t xml:space="preserve">(Noise) </w:t>
      </w:r>
      <w:r w:rsidR="006A5BAA">
        <w:t>contains Additional Sound Emissions Provisions (</w:t>
      </w:r>
      <w:r w:rsidR="009D0F05">
        <w:t>"</w:t>
      </w:r>
      <w:r w:rsidR="006A5BAA">
        <w:t>off cycle</w:t>
      </w:r>
      <w:r w:rsidR="009D0F05">
        <w:t>"</w:t>
      </w:r>
      <w:r w:rsidR="006A5BAA">
        <w:t xml:space="preserve"> test outside of the test procedure </w:t>
      </w:r>
      <w:r w:rsidR="009D0F05">
        <w:t xml:space="preserve">("cycle") </w:t>
      </w:r>
      <w:r w:rsidR="006A5BAA">
        <w:t xml:space="preserve">in Annex III). </w:t>
      </w:r>
      <w:r w:rsidR="002D2495">
        <w:t xml:space="preserve">Regulations </w:t>
      </w:r>
      <w:r>
        <w:t xml:space="preserve">Nos. </w:t>
      </w:r>
      <w:r w:rsidR="002D2495">
        <w:t>13</w:t>
      </w:r>
      <w:r w:rsidR="005F6733">
        <w:t>, 13</w:t>
      </w:r>
      <w:r w:rsidR="00253743">
        <w:t>-</w:t>
      </w:r>
      <w:r w:rsidR="005F6733">
        <w:t>H</w:t>
      </w:r>
      <w:r w:rsidR="002D2495">
        <w:t xml:space="preserve"> and 79 request to assess </w:t>
      </w:r>
      <w:r w:rsidR="002F1983">
        <w:t>C</w:t>
      </w:r>
      <w:r w:rsidR="002D2495">
        <w:t xml:space="preserve">omplex </w:t>
      </w:r>
      <w:r w:rsidR="002F1983">
        <w:t>E</w:t>
      </w:r>
      <w:r w:rsidR="002D2495">
        <w:t>lectronic systems with no associated test.</w:t>
      </w:r>
      <w:r>
        <w:t xml:space="preserve"> </w:t>
      </w:r>
      <w:r w:rsidR="00E457D4">
        <w:t xml:space="preserve">Should a similar path </w:t>
      </w:r>
      <w:r w:rsidR="00E457D4">
        <w:lastRenderedPageBreak/>
        <w:t xml:space="preserve">be followed for </w:t>
      </w:r>
      <w:r w:rsidR="002D2495">
        <w:t xml:space="preserve">other </w:t>
      </w:r>
      <w:r w:rsidR="00E457D4">
        <w:t>regulations?</w:t>
      </w:r>
      <w:r w:rsidR="002D2495">
        <w:t xml:space="preserve"> This issue will be increasingly relevant with the development of automated vehicles.</w:t>
      </w:r>
    </w:p>
    <w:p w:rsidR="0018243B" w:rsidRDefault="00B16AB2" w:rsidP="00311466">
      <w:pPr>
        <w:pStyle w:val="SingleTxtG"/>
      </w:pPr>
      <w:r>
        <w:t>8</w:t>
      </w:r>
      <w:r w:rsidR="009D0F05">
        <w:t>.</w:t>
      </w:r>
      <w:r w:rsidR="009D0F05">
        <w:tab/>
      </w:r>
      <w:r w:rsidR="006A5BAA">
        <w:t>GRRF agreed with the proposal of the expert from the Russian Federation that WP.29 may wish to react on this general discussion</w:t>
      </w:r>
      <w:r w:rsidR="00A37944">
        <w:t xml:space="preserve"> and provide clarifications on the intentions for establishment of the </w:t>
      </w:r>
      <w:r w:rsidR="00A37944" w:rsidRPr="00E430C3">
        <w:rPr>
          <w:rFonts w:hAnsi="Times New Roman" w:cs="Times New Roman"/>
        </w:rPr>
        <w:t>“</w:t>
      </w:r>
      <w:r w:rsidR="00A37944">
        <w:t>general case</w:t>
      </w:r>
      <w:r w:rsidR="00A37944" w:rsidRPr="00E430C3">
        <w:rPr>
          <w:rFonts w:hAnsi="Times New Roman" w:cs="Times New Roman"/>
        </w:rPr>
        <w:t>”</w:t>
      </w:r>
      <w:r w:rsidR="00A37944">
        <w:t xml:space="preserve"> requirements in UN Regulations</w:t>
      </w:r>
      <w:r w:rsidR="00E457D4">
        <w:t>.</w:t>
      </w:r>
      <w:r w:rsidR="00A37944">
        <w:t xml:space="preserve"> </w:t>
      </w:r>
      <w:r w:rsidR="00E457D4">
        <w:t>WP.29</w:t>
      </w:r>
      <w:r w:rsidR="00F26AB0">
        <w:t xml:space="preserve"> may </w:t>
      </w:r>
      <w:r w:rsidR="00A37944">
        <w:t xml:space="preserve">also </w:t>
      </w:r>
      <w:r w:rsidR="00F26AB0">
        <w:t xml:space="preserve">wish to </w:t>
      </w:r>
      <w:r w:rsidR="006A5BAA">
        <w:t xml:space="preserve">provide </w:t>
      </w:r>
      <w:r w:rsidR="00F26AB0">
        <w:t xml:space="preserve">a general </w:t>
      </w:r>
      <w:r w:rsidR="006A5BAA">
        <w:t>guidance to the GRs</w:t>
      </w:r>
      <w:r w:rsidR="00F26AB0">
        <w:t xml:space="preserve"> in the manner </w:t>
      </w:r>
      <w:r w:rsidR="00A37944">
        <w:t xml:space="preserve">how </w:t>
      </w:r>
      <w:r w:rsidR="00F26AB0">
        <w:t>the objective</w:t>
      </w:r>
      <w:r w:rsidR="00A37944">
        <w:t>s</w:t>
      </w:r>
      <w:r w:rsidR="00F26AB0">
        <w:t xml:space="preserve"> </w:t>
      </w:r>
      <w:r w:rsidR="00A37944">
        <w:t xml:space="preserve">of the </w:t>
      </w:r>
      <w:r w:rsidR="00A37944" w:rsidRPr="00A37944">
        <w:rPr>
          <w:rFonts w:hAnsi="Times New Roman" w:cs="Times New Roman"/>
        </w:rPr>
        <w:t>“</w:t>
      </w:r>
      <w:r w:rsidR="00A37944">
        <w:t>general case</w:t>
      </w:r>
      <w:r w:rsidR="00A37944" w:rsidRPr="00A37944">
        <w:rPr>
          <w:rFonts w:hAnsi="Times New Roman" w:cs="Times New Roman"/>
        </w:rPr>
        <w:t>”</w:t>
      </w:r>
      <w:r w:rsidR="00A37944">
        <w:t xml:space="preserve"> requirements </w:t>
      </w:r>
      <w:r w:rsidR="00F26AB0">
        <w:t>shall be reached</w:t>
      </w:r>
      <w:r w:rsidR="006A5BAA">
        <w:t>.</w:t>
      </w:r>
    </w:p>
    <w:p w:rsidR="00252A60" w:rsidRPr="00252A60" w:rsidRDefault="00252A60" w:rsidP="00252A60">
      <w:pPr>
        <w:pStyle w:val="SingleTxtG"/>
        <w:spacing w:before="240" w:after="0"/>
        <w:jc w:val="center"/>
        <w:rPr>
          <w:rFonts w:hAnsi="Times New Roman" w:cs="Times New Roman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252A60" w:rsidRPr="00252A60" w:rsidSect="00BD7D15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134" w:right="1106" w:bottom="1134" w:left="1134" w:header="567" w:footer="198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224" w:rsidRDefault="00DB3224">
      <w:r>
        <w:separator/>
      </w:r>
    </w:p>
  </w:endnote>
  <w:endnote w:type="continuationSeparator" w:id="0">
    <w:p w:rsidR="00DB3224" w:rsidRDefault="00DB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52" w:rsidRDefault="00941F4B">
    <w:pPr>
      <w:pStyle w:val="Footer"/>
      <w:jc w:val="center"/>
    </w:pPr>
    <w:r>
      <w:rPr>
        <w:b/>
        <w:bCs/>
        <w:sz w:val="18"/>
        <w:szCs w:val="18"/>
      </w:rPr>
      <w:fldChar w:fldCharType="begin"/>
    </w:r>
    <w:r w:rsidR="00517952"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 w:rsidR="00252A60">
      <w:rPr>
        <w:b/>
        <w:bCs/>
        <w:noProof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52" w:rsidRDefault="00941F4B" w:rsidP="00A13680">
    <w:pPr>
      <w:pStyle w:val="Footer"/>
      <w:jc w:val="center"/>
    </w:pPr>
    <w:r>
      <w:rPr>
        <w:b/>
        <w:bCs/>
        <w:sz w:val="18"/>
        <w:szCs w:val="18"/>
      </w:rPr>
      <w:fldChar w:fldCharType="begin"/>
    </w:r>
    <w:r w:rsidR="00517952"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 w:rsidR="00517952">
      <w:rPr>
        <w:b/>
        <w:bCs/>
        <w:noProof/>
        <w:sz w:val="18"/>
        <w:szCs w:val="18"/>
      </w:rPr>
      <w:t>9</w:t>
    </w:r>
    <w:r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52" w:rsidRDefault="00941F4B">
    <w:pPr>
      <w:pStyle w:val="Footer"/>
      <w:jc w:val="center"/>
    </w:pPr>
    <w:r>
      <w:rPr>
        <w:b/>
        <w:bCs/>
        <w:sz w:val="18"/>
        <w:szCs w:val="18"/>
      </w:rPr>
      <w:fldChar w:fldCharType="begin"/>
    </w:r>
    <w:r w:rsidR="00517952"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 w:rsidR="00252A60">
      <w:rPr>
        <w:b/>
        <w:bCs/>
        <w:noProof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224" w:rsidRDefault="00DB3224">
      <w:r>
        <w:separator/>
      </w:r>
    </w:p>
  </w:footnote>
  <w:footnote w:type="continuationSeparator" w:id="0">
    <w:p w:rsidR="00DB3224" w:rsidRDefault="00DB3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Look w:val="0000" w:firstRow="0" w:lastRow="0" w:firstColumn="0" w:lastColumn="0" w:noHBand="0" w:noVBand="0"/>
    </w:tblPr>
    <w:tblGrid>
      <w:gridCol w:w="4536"/>
      <w:gridCol w:w="5103"/>
    </w:tblGrid>
    <w:tr w:rsidR="00517952" w:rsidRPr="00C37696">
      <w:tc>
        <w:tcPr>
          <w:tcW w:w="4536" w:type="dxa"/>
          <w:vAlign w:val="center"/>
        </w:tcPr>
        <w:p w:rsidR="00517952" w:rsidRPr="002F1983" w:rsidRDefault="00253743" w:rsidP="002F1983">
          <w:pPr>
            <w:tabs>
              <w:tab w:val="center" w:pos="4677"/>
              <w:tab w:val="right" w:pos="9355"/>
            </w:tabs>
            <w:ind w:left="601" w:hanging="108"/>
            <w:rPr>
              <w:sz w:val="20"/>
              <w:szCs w:val="20"/>
              <w:lang w:val="en-TT" w:eastAsia="ar-SA"/>
            </w:rPr>
          </w:pPr>
          <w:r w:rsidRPr="002F1983">
            <w:rPr>
              <w:sz w:val="20"/>
              <w:szCs w:val="20"/>
              <w:lang w:val="en-TT" w:eastAsia="ar-SA"/>
            </w:rPr>
            <w:t>Note by the secretariat</w:t>
          </w:r>
        </w:p>
      </w:tc>
      <w:tc>
        <w:tcPr>
          <w:tcW w:w="5103" w:type="dxa"/>
        </w:tcPr>
        <w:p w:rsidR="00517952" w:rsidRPr="00E430C3" w:rsidRDefault="00517952" w:rsidP="00E739E6">
          <w:pPr>
            <w:ind w:left="1735" w:right="-108"/>
            <w:rPr>
              <w:b/>
              <w:bCs/>
              <w:sz w:val="20"/>
              <w:szCs w:val="20"/>
              <w:lang w:val="en-TT" w:eastAsia="ar-SA"/>
            </w:rPr>
          </w:pPr>
          <w:r w:rsidRPr="00E430C3">
            <w:rPr>
              <w:sz w:val="20"/>
              <w:szCs w:val="20"/>
              <w:u w:val="single"/>
              <w:lang w:val="en-TT" w:eastAsia="ar-SA"/>
            </w:rPr>
            <w:t>Informal document</w:t>
          </w:r>
          <w:r w:rsidR="00253743">
            <w:rPr>
              <w:sz w:val="20"/>
              <w:szCs w:val="20"/>
              <w:u w:val="single"/>
              <w:lang w:val="en-TT" w:eastAsia="ar-SA"/>
            </w:rPr>
            <w:t xml:space="preserve"> </w:t>
          </w:r>
          <w:r w:rsidR="00253743">
            <w:rPr>
              <w:b/>
              <w:bCs/>
              <w:sz w:val="20"/>
              <w:szCs w:val="20"/>
              <w:lang w:val="en-TT" w:eastAsia="ar-SA"/>
            </w:rPr>
            <w:t>WP.29-168-</w:t>
          </w:r>
          <w:r w:rsidR="002F1983">
            <w:rPr>
              <w:b/>
              <w:bCs/>
              <w:sz w:val="20"/>
              <w:szCs w:val="20"/>
              <w:lang w:val="en-TT" w:eastAsia="ar-SA"/>
            </w:rPr>
            <w:t>15</w:t>
          </w:r>
        </w:p>
        <w:p w:rsidR="00517952" w:rsidRPr="00E430C3" w:rsidRDefault="002F1983" w:rsidP="00E739E6">
          <w:pPr>
            <w:tabs>
              <w:tab w:val="center" w:pos="4677"/>
              <w:tab w:val="right" w:pos="9355"/>
            </w:tabs>
            <w:ind w:left="1735"/>
            <w:rPr>
              <w:sz w:val="20"/>
              <w:szCs w:val="20"/>
              <w:lang w:val="en-TT" w:eastAsia="ar-SA"/>
            </w:rPr>
          </w:pPr>
          <w:r>
            <w:rPr>
              <w:sz w:val="20"/>
              <w:szCs w:val="20"/>
              <w:lang w:val="en-TT" w:eastAsia="ar-SA"/>
            </w:rPr>
            <w:t>168</w:t>
          </w:r>
          <w:r w:rsidRPr="002F1983">
            <w:rPr>
              <w:sz w:val="20"/>
              <w:szCs w:val="20"/>
              <w:vertAlign w:val="superscript"/>
              <w:lang w:val="en-TT" w:eastAsia="ar-SA"/>
            </w:rPr>
            <w:t>th</w:t>
          </w:r>
          <w:r>
            <w:rPr>
              <w:sz w:val="20"/>
              <w:szCs w:val="20"/>
              <w:lang w:val="en-TT" w:eastAsia="ar-SA"/>
            </w:rPr>
            <w:t xml:space="preserve"> </w:t>
          </w:r>
          <w:r w:rsidR="00253743" w:rsidRPr="00253743">
            <w:rPr>
              <w:sz w:val="20"/>
              <w:szCs w:val="20"/>
              <w:lang w:val="en-TT" w:eastAsia="ar-SA"/>
            </w:rPr>
            <w:t xml:space="preserve"> session, 8-11 March 2016</w:t>
          </w:r>
        </w:p>
        <w:p w:rsidR="00517952" w:rsidRPr="00C707D6" w:rsidRDefault="00E430C3" w:rsidP="00252A60">
          <w:pPr>
            <w:tabs>
              <w:tab w:val="center" w:pos="4677"/>
              <w:tab w:val="right" w:pos="9355"/>
            </w:tabs>
            <w:ind w:left="1735"/>
            <w:rPr>
              <w:lang w:val="en-TT" w:eastAsia="ar-SA"/>
            </w:rPr>
          </w:pPr>
          <w:r w:rsidRPr="00E430C3">
            <w:rPr>
              <w:sz w:val="20"/>
              <w:szCs w:val="20"/>
              <w:lang w:val="en-TT" w:eastAsia="ar-SA"/>
            </w:rPr>
            <w:t xml:space="preserve">Agenda item </w:t>
          </w:r>
          <w:r w:rsidR="00252A60">
            <w:rPr>
              <w:sz w:val="20"/>
              <w:szCs w:val="20"/>
              <w:lang w:val="en-TT" w:eastAsia="ar-SA"/>
            </w:rPr>
            <w:t>3.5.4</w:t>
          </w:r>
        </w:p>
      </w:tc>
    </w:tr>
  </w:tbl>
  <w:p w:rsidR="00517952" w:rsidRPr="00E739E6" w:rsidRDefault="00517952" w:rsidP="00E73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D71"/>
    <w:multiLevelType w:val="multilevel"/>
    <w:tmpl w:val="52889FBC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upperLetter"/>
      <w:lvlText w:val="%3."/>
      <w:lvlJc w:val="left"/>
      <w:rPr>
        <w:position w:val="0"/>
      </w:rPr>
    </w:lvl>
    <w:lvl w:ilvl="3">
      <w:start w:val="1"/>
      <w:numFmt w:val="upperLetter"/>
      <w:lvlText w:val="%4."/>
      <w:lvlJc w:val="left"/>
      <w:rPr>
        <w:position w:val="0"/>
      </w:rPr>
    </w:lvl>
    <w:lvl w:ilvl="4">
      <w:start w:val="1"/>
      <w:numFmt w:val="upperLetter"/>
      <w:lvlText w:val="%5."/>
      <w:lvlJc w:val="left"/>
      <w:rPr>
        <w:position w:val="0"/>
      </w:rPr>
    </w:lvl>
    <w:lvl w:ilvl="5">
      <w:start w:val="1"/>
      <w:numFmt w:val="upperLetter"/>
      <w:lvlText w:val="%6."/>
      <w:lvlJc w:val="left"/>
      <w:rPr>
        <w:position w:val="0"/>
      </w:rPr>
    </w:lvl>
    <w:lvl w:ilvl="6">
      <w:start w:val="1"/>
      <w:numFmt w:val="upperLetter"/>
      <w:lvlText w:val="%7."/>
      <w:lvlJc w:val="left"/>
      <w:rPr>
        <w:position w:val="0"/>
      </w:rPr>
    </w:lvl>
    <w:lvl w:ilvl="7">
      <w:start w:val="1"/>
      <w:numFmt w:val="upperLetter"/>
      <w:lvlText w:val="%8."/>
      <w:lvlJc w:val="left"/>
      <w:rPr>
        <w:position w:val="0"/>
      </w:rPr>
    </w:lvl>
    <w:lvl w:ilvl="8">
      <w:start w:val="1"/>
      <w:numFmt w:val="upperLetter"/>
      <w:lvlText w:val="%9."/>
      <w:lvlJc w:val="left"/>
      <w:rPr>
        <w:position w:val="0"/>
      </w:rPr>
    </w:lvl>
  </w:abstractNum>
  <w:abstractNum w:abstractNumId="1" w15:restartNumberingAfterBreak="0">
    <w:nsid w:val="38A00922"/>
    <w:multiLevelType w:val="multilevel"/>
    <w:tmpl w:val="FD927360"/>
    <w:styleLink w:val="List0"/>
    <w:lvl w:ilvl="0">
      <w:start w:val="1"/>
      <w:numFmt w:val="lowerLetter"/>
      <w:lvlText w:val="(%1)"/>
      <w:lvlJc w:val="left"/>
      <w:rPr>
        <w:position w:val="0"/>
        <w:rtl w:val="0"/>
        <w:lang w:val="en-US"/>
      </w:rPr>
    </w:lvl>
    <w:lvl w:ilvl="1">
      <w:start w:val="1"/>
      <w:numFmt w:val="lowerLetter"/>
      <w:lvlText w:val="(%2)"/>
      <w:lvlJc w:val="left"/>
      <w:rPr>
        <w:position w:val="0"/>
        <w:rtl w:val="0"/>
        <w:lang w:val="en-US"/>
      </w:rPr>
    </w:lvl>
    <w:lvl w:ilvl="2">
      <w:start w:val="1"/>
      <w:numFmt w:val="lowerLetter"/>
      <w:lvlText w:val="(%3)"/>
      <w:lvlJc w:val="left"/>
      <w:rPr>
        <w:position w:val="0"/>
        <w:rtl w:val="0"/>
        <w:lang w:val="en-US"/>
      </w:rPr>
    </w:lvl>
    <w:lvl w:ilvl="3">
      <w:start w:val="1"/>
      <w:numFmt w:val="lowerLetter"/>
      <w:lvlText w:val="(%4)"/>
      <w:lvlJc w:val="left"/>
      <w:rPr>
        <w:position w:val="0"/>
        <w:rtl w:val="0"/>
        <w:lang w:val="en-US"/>
      </w:rPr>
    </w:lvl>
    <w:lvl w:ilvl="4">
      <w:start w:val="1"/>
      <w:numFmt w:val="lowerLetter"/>
      <w:lvlText w:val="(%5)"/>
      <w:lvlJc w:val="left"/>
      <w:rPr>
        <w:position w:val="0"/>
        <w:rtl w:val="0"/>
        <w:lang w:val="en-US"/>
      </w:rPr>
    </w:lvl>
    <w:lvl w:ilvl="5">
      <w:start w:val="1"/>
      <w:numFmt w:val="lowerLetter"/>
      <w:lvlText w:val="(%6)"/>
      <w:lvlJc w:val="left"/>
      <w:rPr>
        <w:position w:val="0"/>
        <w:rtl w:val="0"/>
        <w:lang w:val="en-US"/>
      </w:rPr>
    </w:lvl>
    <w:lvl w:ilvl="6">
      <w:start w:val="1"/>
      <w:numFmt w:val="lowerLetter"/>
      <w:lvlText w:val="(%7)"/>
      <w:lvlJc w:val="left"/>
      <w:rPr>
        <w:position w:val="0"/>
        <w:rtl w:val="0"/>
        <w:lang w:val="en-US"/>
      </w:rPr>
    </w:lvl>
    <w:lvl w:ilvl="7">
      <w:start w:val="1"/>
      <w:numFmt w:val="lowerLetter"/>
      <w:lvlText w:val="(%8)"/>
      <w:lvlJc w:val="left"/>
      <w:rPr>
        <w:position w:val="0"/>
        <w:rtl w:val="0"/>
        <w:lang w:val="en-US"/>
      </w:rPr>
    </w:lvl>
    <w:lvl w:ilvl="8">
      <w:start w:val="1"/>
      <w:numFmt w:val="lowerLetter"/>
      <w:lvlText w:val="(%9)"/>
      <w:lvlJc w:val="left"/>
      <w:rPr>
        <w:position w:val="0"/>
        <w:rtl w:val="0"/>
        <w:lang w:val="en-US"/>
      </w:rPr>
    </w:lvl>
  </w:abstractNum>
  <w:abstractNum w:abstractNumId="2" w15:restartNumberingAfterBreak="0">
    <w:nsid w:val="536A4C4D"/>
    <w:multiLevelType w:val="multilevel"/>
    <w:tmpl w:val="E8EE808E"/>
    <w:lvl w:ilvl="0">
      <w:start w:val="1"/>
      <w:numFmt w:val="lowerLetter"/>
      <w:lvlText w:val="(%1)"/>
      <w:lvlJc w:val="left"/>
      <w:rPr>
        <w:position w:val="0"/>
        <w:rtl w:val="0"/>
        <w:lang w:val="en-US"/>
      </w:rPr>
    </w:lvl>
    <w:lvl w:ilvl="1">
      <w:start w:val="1"/>
      <w:numFmt w:val="lowerLetter"/>
      <w:lvlText w:val="(%2)"/>
      <w:lvlJc w:val="left"/>
      <w:rPr>
        <w:position w:val="0"/>
        <w:rtl w:val="0"/>
        <w:lang w:val="en-US"/>
      </w:rPr>
    </w:lvl>
    <w:lvl w:ilvl="2">
      <w:start w:val="1"/>
      <w:numFmt w:val="lowerLetter"/>
      <w:lvlText w:val="(%3)"/>
      <w:lvlJc w:val="left"/>
      <w:rPr>
        <w:position w:val="0"/>
        <w:rtl w:val="0"/>
        <w:lang w:val="en-US"/>
      </w:rPr>
    </w:lvl>
    <w:lvl w:ilvl="3">
      <w:start w:val="1"/>
      <w:numFmt w:val="lowerLetter"/>
      <w:lvlText w:val="(%4)"/>
      <w:lvlJc w:val="left"/>
      <w:rPr>
        <w:position w:val="0"/>
        <w:rtl w:val="0"/>
        <w:lang w:val="en-US"/>
      </w:rPr>
    </w:lvl>
    <w:lvl w:ilvl="4">
      <w:start w:val="1"/>
      <w:numFmt w:val="lowerLetter"/>
      <w:lvlText w:val="(%5)"/>
      <w:lvlJc w:val="left"/>
      <w:rPr>
        <w:position w:val="0"/>
        <w:rtl w:val="0"/>
        <w:lang w:val="en-US"/>
      </w:rPr>
    </w:lvl>
    <w:lvl w:ilvl="5">
      <w:start w:val="1"/>
      <w:numFmt w:val="lowerLetter"/>
      <w:lvlText w:val="(%6)"/>
      <w:lvlJc w:val="left"/>
      <w:rPr>
        <w:position w:val="0"/>
        <w:rtl w:val="0"/>
        <w:lang w:val="en-US"/>
      </w:rPr>
    </w:lvl>
    <w:lvl w:ilvl="6">
      <w:start w:val="1"/>
      <w:numFmt w:val="lowerLetter"/>
      <w:lvlText w:val="(%7)"/>
      <w:lvlJc w:val="left"/>
      <w:rPr>
        <w:position w:val="0"/>
        <w:rtl w:val="0"/>
        <w:lang w:val="en-US"/>
      </w:rPr>
    </w:lvl>
    <w:lvl w:ilvl="7">
      <w:start w:val="1"/>
      <w:numFmt w:val="lowerLetter"/>
      <w:lvlText w:val="(%8)"/>
      <w:lvlJc w:val="left"/>
      <w:rPr>
        <w:position w:val="0"/>
        <w:rtl w:val="0"/>
        <w:lang w:val="en-US"/>
      </w:rPr>
    </w:lvl>
    <w:lvl w:ilvl="8">
      <w:start w:val="1"/>
      <w:numFmt w:val="lowerLetter"/>
      <w:lvlText w:val="(%9)"/>
      <w:lvlJc w:val="left"/>
      <w:rPr>
        <w:position w:val="0"/>
        <w:rtl w:val="0"/>
        <w:lang w:val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F31C2"/>
    <w:rsid w:val="00020E28"/>
    <w:rsid w:val="00115110"/>
    <w:rsid w:val="00133137"/>
    <w:rsid w:val="00136D62"/>
    <w:rsid w:val="00145F35"/>
    <w:rsid w:val="0016141C"/>
    <w:rsid w:val="0018243B"/>
    <w:rsid w:val="001A3F9E"/>
    <w:rsid w:val="001A496C"/>
    <w:rsid w:val="001C5684"/>
    <w:rsid w:val="001D7DCE"/>
    <w:rsid w:val="001F31C2"/>
    <w:rsid w:val="00206634"/>
    <w:rsid w:val="00252A60"/>
    <w:rsid w:val="0025310D"/>
    <w:rsid w:val="00253743"/>
    <w:rsid w:val="00261BE4"/>
    <w:rsid w:val="0027237B"/>
    <w:rsid w:val="002811C2"/>
    <w:rsid w:val="002D09F6"/>
    <w:rsid w:val="002D2495"/>
    <w:rsid w:val="002F1983"/>
    <w:rsid w:val="002F27D5"/>
    <w:rsid w:val="00301432"/>
    <w:rsid w:val="00311466"/>
    <w:rsid w:val="00320D3A"/>
    <w:rsid w:val="00336BFA"/>
    <w:rsid w:val="0035316F"/>
    <w:rsid w:val="003605B4"/>
    <w:rsid w:val="00370B7C"/>
    <w:rsid w:val="003C191F"/>
    <w:rsid w:val="004704C4"/>
    <w:rsid w:val="004933FC"/>
    <w:rsid w:val="00495828"/>
    <w:rsid w:val="00495FD8"/>
    <w:rsid w:val="004A61F6"/>
    <w:rsid w:val="004D4762"/>
    <w:rsid w:val="00517952"/>
    <w:rsid w:val="00544FED"/>
    <w:rsid w:val="005B32AC"/>
    <w:rsid w:val="005C4A93"/>
    <w:rsid w:val="005F6733"/>
    <w:rsid w:val="0061053C"/>
    <w:rsid w:val="00676C58"/>
    <w:rsid w:val="006A5BAA"/>
    <w:rsid w:val="006D6C52"/>
    <w:rsid w:val="0077066C"/>
    <w:rsid w:val="007846AE"/>
    <w:rsid w:val="00791AB8"/>
    <w:rsid w:val="0079578C"/>
    <w:rsid w:val="007B025E"/>
    <w:rsid w:val="007D4915"/>
    <w:rsid w:val="00846F55"/>
    <w:rsid w:val="008B3505"/>
    <w:rsid w:val="008F11BF"/>
    <w:rsid w:val="00907D66"/>
    <w:rsid w:val="00911AE2"/>
    <w:rsid w:val="0091475E"/>
    <w:rsid w:val="0091798A"/>
    <w:rsid w:val="00924D89"/>
    <w:rsid w:val="00941F4B"/>
    <w:rsid w:val="00950638"/>
    <w:rsid w:val="009C2BA8"/>
    <w:rsid w:val="009D0F05"/>
    <w:rsid w:val="00A13680"/>
    <w:rsid w:val="00A13B0D"/>
    <w:rsid w:val="00A37944"/>
    <w:rsid w:val="00A726BB"/>
    <w:rsid w:val="00A76BB7"/>
    <w:rsid w:val="00A90DB0"/>
    <w:rsid w:val="00AB01A9"/>
    <w:rsid w:val="00AB6D38"/>
    <w:rsid w:val="00AF469B"/>
    <w:rsid w:val="00B16AB2"/>
    <w:rsid w:val="00B55998"/>
    <w:rsid w:val="00B8760B"/>
    <w:rsid w:val="00B952E4"/>
    <w:rsid w:val="00BB4392"/>
    <w:rsid w:val="00BB4465"/>
    <w:rsid w:val="00BD7D15"/>
    <w:rsid w:val="00C37696"/>
    <w:rsid w:val="00C84F02"/>
    <w:rsid w:val="00CA7BF5"/>
    <w:rsid w:val="00CF5DFA"/>
    <w:rsid w:val="00D12250"/>
    <w:rsid w:val="00D146BC"/>
    <w:rsid w:val="00D148B0"/>
    <w:rsid w:val="00D31719"/>
    <w:rsid w:val="00D409DA"/>
    <w:rsid w:val="00D86B4F"/>
    <w:rsid w:val="00D90A3E"/>
    <w:rsid w:val="00DB3224"/>
    <w:rsid w:val="00DE2858"/>
    <w:rsid w:val="00DF7461"/>
    <w:rsid w:val="00E04E34"/>
    <w:rsid w:val="00E22697"/>
    <w:rsid w:val="00E27C23"/>
    <w:rsid w:val="00E430C3"/>
    <w:rsid w:val="00E457D4"/>
    <w:rsid w:val="00E739E6"/>
    <w:rsid w:val="00EC4E21"/>
    <w:rsid w:val="00EF7B2D"/>
    <w:rsid w:val="00F00FD4"/>
    <w:rsid w:val="00F26AB0"/>
    <w:rsid w:val="00F91174"/>
    <w:rsid w:val="00FC25B1"/>
    <w:rsid w:val="00FD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CC34FC"/>
  <w15:docId w15:val="{44BD7178-0D76-4D09-83E6-392EFD15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7D15"/>
    <w:pPr>
      <w:suppressAutoHyphens/>
    </w:pPr>
    <w:rPr>
      <w:rFonts w:hAnsi="Arial Unicode MS" w:cs="Arial Unicode MS"/>
      <w:color w:val="000000"/>
      <w:sz w:val="24"/>
      <w:szCs w:val="24"/>
      <w:u w:color="00000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7D15"/>
    <w:rPr>
      <w:u w:val="single"/>
    </w:rPr>
  </w:style>
  <w:style w:type="paragraph" w:customStyle="1" w:styleId="En-tte1">
    <w:name w:val="En-tête1"/>
    <w:rsid w:val="00BD7D1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rsid w:val="00BD7D15"/>
    <w:pPr>
      <w:tabs>
        <w:tab w:val="center" w:pos="4677"/>
        <w:tab w:val="right" w:pos="9355"/>
      </w:tabs>
      <w:suppressAutoHyphens/>
    </w:pPr>
    <w:rPr>
      <w:rFonts w:hAnsi="Arial Unicode MS" w:cs="Arial Unicode MS"/>
      <w:color w:val="000000"/>
      <w:sz w:val="24"/>
      <w:szCs w:val="24"/>
      <w:u w:color="000000"/>
      <w:lang w:val="ru-RU"/>
    </w:rPr>
  </w:style>
  <w:style w:type="paragraph" w:styleId="Header">
    <w:name w:val="header"/>
    <w:rsid w:val="00BD7D15"/>
    <w:pPr>
      <w:tabs>
        <w:tab w:val="center" w:pos="4677"/>
        <w:tab w:val="right" w:pos="9355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ChG">
    <w:name w:val="_ H _Ch_G"/>
    <w:next w:val="Normal"/>
    <w:link w:val="HChGChar"/>
    <w:rsid w:val="00BD7D1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bCs/>
      <w:color w:val="000000"/>
      <w:sz w:val="28"/>
      <w:szCs w:val="28"/>
      <w:u w:color="000000"/>
    </w:rPr>
  </w:style>
  <w:style w:type="paragraph" w:customStyle="1" w:styleId="SingleTxtG">
    <w:name w:val="_ Single Txt_G"/>
    <w:link w:val="SingleTxtGChar"/>
    <w:rsid w:val="00911AE2"/>
    <w:pPr>
      <w:tabs>
        <w:tab w:val="left" w:pos="1701"/>
      </w:tabs>
      <w:suppressAutoHyphens/>
      <w:spacing w:after="120" w:line="240" w:lineRule="atLeast"/>
      <w:ind w:left="1134" w:right="1134"/>
      <w:jc w:val="both"/>
    </w:pPr>
    <w:rPr>
      <w:rFonts w:hAnsi="Arial Unicode MS" w:cs="Arial Unicode MS"/>
      <w:color w:val="000000"/>
      <w:u w:color="000000"/>
      <w:lang w:val="en-GB"/>
    </w:rPr>
  </w:style>
  <w:style w:type="character" w:customStyle="1" w:styleId="Lien">
    <w:name w:val="Lien"/>
    <w:rsid w:val="00BD7D15"/>
    <w:rPr>
      <w:color w:val="0000FF"/>
      <w:u w:val="single" w:color="0000FF"/>
    </w:rPr>
  </w:style>
  <w:style w:type="character" w:customStyle="1" w:styleId="Hyperlink0">
    <w:name w:val="Hyperlink.0"/>
    <w:basedOn w:val="Lien"/>
    <w:rsid w:val="00BD7D15"/>
    <w:rPr>
      <w:color w:val="0000FF"/>
      <w:u w:val="single" w:color="0000FF"/>
      <w:lang w:val="en-US"/>
    </w:rPr>
  </w:style>
  <w:style w:type="numbering" w:customStyle="1" w:styleId="List0">
    <w:name w:val="List 0"/>
    <w:basedOn w:val="Lettres"/>
    <w:rsid w:val="00BD7D15"/>
    <w:pPr>
      <w:numPr>
        <w:numId w:val="3"/>
      </w:numPr>
    </w:pPr>
  </w:style>
  <w:style w:type="numbering" w:customStyle="1" w:styleId="Lettres">
    <w:name w:val="Lettres"/>
    <w:rsid w:val="00BD7D15"/>
  </w:style>
  <w:style w:type="paragraph" w:styleId="BalloonText">
    <w:name w:val="Balloon Text"/>
    <w:basedOn w:val="Normal"/>
    <w:link w:val="BalloonTextChar"/>
    <w:uiPriority w:val="99"/>
    <w:semiHidden/>
    <w:unhideWhenUsed/>
    <w:rsid w:val="00911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AE2"/>
    <w:rPr>
      <w:rFonts w:ascii="Tahoma" w:hAnsi="Tahoma" w:cs="Tahoma"/>
      <w:color w:val="000000"/>
      <w:sz w:val="16"/>
      <w:szCs w:val="16"/>
      <w:u w:color="000000"/>
      <w:lang w:val="ru-RU"/>
    </w:rPr>
  </w:style>
  <w:style w:type="paragraph" w:customStyle="1" w:styleId="HMGFG">
    <w:name w:val="_H_M_G_FG"/>
    <w:basedOn w:val="HChG"/>
    <w:link w:val="HMGFGChar"/>
    <w:qFormat/>
    <w:rsid w:val="00911AE2"/>
    <w:rPr>
      <w:sz w:val="24"/>
      <w:szCs w:val="24"/>
    </w:rPr>
  </w:style>
  <w:style w:type="character" w:customStyle="1" w:styleId="HChGChar">
    <w:name w:val="_ H _Ch_G Char"/>
    <w:basedOn w:val="DefaultParagraphFont"/>
    <w:link w:val="HChG"/>
    <w:rsid w:val="00911AE2"/>
    <w:rPr>
      <w:rFonts w:eastAsia="Times New Roman"/>
      <w:b/>
      <w:bCs/>
      <w:color w:val="000000"/>
      <w:sz w:val="28"/>
      <w:szCs w:val="28"/>
      <w:u w:color="000000"/>
    </w:rPr>
  </w:style>
  <w:style w:type="character" w:customStyle="1" w:styleId="HMGFGChar">
    <w:name w:val="_H_M_G_FG Char"/>
    <w:basedOn w:val="HChGChar"/>
    <w:link w:val="HMGFG"/>
    <w:rsid w:val="00911AE2"/>
    <w:rPr>
      <w:rFonts w:eastAsia="Times New Roman"/>
      <w:b/>
      <w:bCs/>
      <w:color w:val="000000"/>
      <w:sz w:val="24"/>
      <w:szCs w:val="24"/>
      <w:u w:color="000000"/>
    </w:rPr>
  </w:style>
  <w:style w:type="character" w:customStyle="1" w:styleId="SingleTxtGChar">
    <w:name w:val="_ Single Txt_G Char"/>
    <w:link w:val="SingleTxtG"/>
    <w:rsid w:val="00495828"/>
    <w:rPr>
      <w:rFonts w:hAnsi="Arial Unicode MS" w:cs="Arial Unicode MS"/>
      <w:color w:val="000000"/>
      <w:u w:color="000000"/>
      <w:lang w:val="en-GB"/>
    </w:rPr>
  </w:style>
  <w:style w:type="paragraph" w:customStyle="1" w:styleId="H1G">
    <w:name w:val="_ H_1_G"/>
    <w:basedOn w:val="Normal"/>
    <w:next w:val="Normal"/>
    <w:link w:val="H1GChar"/>
    <w:rsid w:val="00A90DB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hAnsi="Times New Roman" w:cs="Times New Roman"/>
      <w:b/>
      <w:color w:val="auto"/>
      <w:szCs w:val="20"/>
      <w:bdr w:val="none" w:sz="0" w:space="0" w:color="auto"/>
      <w:lang w:val="en-GB"/>
    </w:rPr>
  </w:style>
  <w:style w:type="character" w:customStyle="1" w:styleId="H1GChar">
    <w:name w:val="_ H_1_G Char"/>
    <w:link w:val="H1G"/>
    <w:locked/>
    <w:rsid w:val="00A90DB0"/>
    <w:rPr>
      <w:rFonts w:eastAsia="Times New Roman"/>
      <w:b/>
      <w:sz w:val="24"/>
      <w:bdr w:val="none" w:sz="0" w:space="0" w:color="auto"/>
      <w:lang w:val="en-GB"/>
    </w:rPr>
  </w:style>
  <w:style w:type="character" w:customStyle="1" w:styleId="translation-chunk">
    <w:name w:val="translation-chunk"/>
    <w:basedOn w:val="DefaultParagraphFont"/>
    <w:rsid w:val="00020E28"/>
  </w:style>
  <w:style w:type="character" w:styleId="CommentReference">
    <w:name w:val="annotation reference"/>
    <w:basedOn w:val="DefaultParagraphFont"/>
    <w:uiPriority w:val="99"/>
    <w:semiHidden/>
    <w:unhideWhenUsed/>
    <w:rsid w:val="00B16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A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AB2"/>
    <w:rPr>
      <w:rFonts w:hAnsi="Arial Unicode MS" w:cs="Arial Unicode MS"/>
      <w:color w:val="000000"/>
      <w:u w:color="00000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AB2"/>
    <w:rPr>
      <w:rFonts w:hAnsi="Arial Unicode MS" w:cs="Arial Unicode MS"/>
      <w:b/>
      <w:bCs/>
      <w:color w:val="000000"/>
      <w:u w:color="000000"/>
      <w:lang w:val="ru-RU"/>
    </w:rPr>
  </w:style>
  <w:style w:type="paragraph" w:styleId="Revision">
    <w:name w:val="Revision"/>
    <w:hidden/>
    <w:uiPriority w:val="99"/>
    <w:semiHidden/>
    <w:rsid w:val="00B16A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hAnsi="Arial Unicode MS" w:cs="Arial Unicode MS"/>
      <w:color w:val="000000"/>
      <w:sz w:val="24"/>
      <w:szCs w:val="24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Guichard</dc:creator>
  <cp:lastModifiedBy>Lucille Caillot</cp:lastModifiedBy>
  <cp:revision>2</cp:revision>
  <cp:lastPrinted>2016-02-26T14:27:00Z</cp:lastPrinted>
  <dcterms:created xsi:type="dcterms:W3CDTF">2016-03-07T17:44:00Z</dcterms:created>
  <dcterms:modified xsi:type="dcterms:W3CDTF">2016-03-07T17:44:00Z</dcterms:modified>
</cp:coreProperties>
</file>