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D758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D7581" w:rsidP="00FD7581">
            <w:pPr>
              <w:jc w:val="right"/>
            </w:pPr>
            <w:r w:rsidRPr="00FD7581">
              <w:rPr>
                <w:sz w:val="40"/>
              </w:rPr>
              <w:t>ECE</w:t>
            </w:r>
            <w:r>
              <w:t>/TRANS/WP.29/2016/60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D7581" w:rsidP="00892A2F">
            <w:pPr>
              <w:spacing w:before="240"/>
            </w:pPr>
            <w:r>
              <w:t>Distr. générale</w:t>
            </w:r>
          </w:p>
          <w:p w:rsidR="00FD7581" w:rsidRDefault="00AE5488" w:rsidP="00FD7581">
            <w:pPr>
              <w:spacing w:line="240" w:lineRule="exact"/>
            </w:pPr>
            <w:r>
              <w:t>6 </w:t>
            </w:r>
            <w:r w:rsidR="00FD7581">
              <w:t>avril 2016</w:t>
            </w:r>
          </w:p>
          <w:p w:rsidR="00FD7581" w:rsidRDefault="00FD7581" w:rsidP="00FD7581">
            <w:pPr>
              <w:spacing w:line="240" w:lineRule="exact"/>
            </w:pPr>
            <w:r>
              <w:t>Français</w:t>
            </w:r>
          </w:p>
          <w:p w:rsidR="00FD7581" w:rsidRPr="00DB58B5" w:rsidRDefault="00FD7581" w:rsidP="00FD758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D7581" w:rsidRDefault="00FD758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D7581" w:rsidRDefault="00FD7581" w:rsidP="00AF0CB5">
      <w:pPr>
        <w:spacing w:before="120" w:line="240" w:lineRule="exact"/>
        <w:rPr>
          <w:b/>
        </w:rPr>
      </w:pPr>
      <w:r>
        <w:rPr>
          <w:b/>
        </w:rPr>
        <w:t>169</w:t>
      </w:r>
      <w:r w:rsidRPr="00FD7581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FD7581" w:rsidRPr="00FD7581" w:rsidRDefault="00FD7581" w:rsidP="00FD7581">
      <w:pPr>
        <w:spacing w:line="240" w:lineRule="exact"/>
      </w:pPr>
      <w:r w:rsidRPr="00FD7581">
        <w:t>Genève, 21-24 juin 2016</w:t>
      </w:r>
    </w:p>
    <w:p w:rsidR="00FD7581" w:rsidRPr="00FD7581" w:rsidRDefault="00FD7581" w:rsidP="00FD7581">
      <w:pPr>
        <w:spacing w:line="240" w:lineRule="exact"/>
      </w:pPr>
      <w:r>
        <w:t>Point </w:t>
      </w:r>
      <w:r w:rsidRPr="00FD7581">
        <w:t>4.9.12 de l’ordre du jour provisoire</w:t>
      </w:r>
    </w:p>
    <w:p w:rsidR="00FD7581" w:rsidRPr="008549D1" w:rsidRDefault="00FD7581" w:rsidP="00FD7581">
      <w:pPr>
        <w:spacing w:line="240" w:lineRule="exact"/>
        <w:rPr>
          <w:b/>
        </w:rPr>
      </w:pPr>
      <w:r w:rsidRPr="008549D1">
        <w:rPr>
          <w:b/>
        </w:rPr>
        <w:t xml:space="preserve">Accord de 1958 – Examen de projets d’amendements </w:t>
      </w:r>
      <w:r w:rsidRPr="008549D1">
        <w:rPr>
          <w:b/>
        </w:rPr>
        <w:br/>
        <w:t>à des Règlements existants, proposés par le GRRF</w:t>
      </w:r>
    </w:p>
    <w:p w:rsidR="00FD7581" w:rsidRPr="00FD7581" w:rsidRDefault="00FD7581" w:rsidP="00FD7581">
      <w:pPr>
        <w:pStyle w:val="HChG"/>
      </w:pPr>
      <w:r>
        <w:tab/>
      </w:r>
      <w:r>
        <w:tab/>
        <w:t>Proposition de complément 9 à la série </w:t>
      </w:r>
      <w:r w:rsidRPr="00FD7581">
        <w:t>02 d’amendements</w:t>
      </w:r>
      <w:r w:rsidRPr="00FD7581">
        <w:br/>
        <w:t>au Règlement n</w:t>
      </w:r>
      <w:r w:rsidRPr="00FD7581">
        <w:rPr>
          <w:vertAlign w:val="superscript"/>
        </w:rPr>
        <w:t>o</w:t>
      </w:r>
      <w:r>
        <w:t xml:space="preserve"> 117 (Résistance au roulement, </w:t>
      </w:r>
      <w:r w:rsidR="00AE5488">
        <w:br/>
      </w:r>
      <w:r>
        <w:t>bruit</w:t>
      </w:r>
      <w:r w:rsidR="00AE5488">
        <w:t xml:space="preserve"> </w:t>
      </w:r>
      <w:r>
        <w:t>de roulement</w:t>
      </w:r>
      <w:r w:rsidRPr="00FD7581">
        <w:t xml:space="preserve"> et adhérence sur sol mouillé</w:t>
      </w:r>
      <w:r>
        <w:t xml:space="preserve"> </w:t>
      </w:r>
      <w:r>
        <w:br/>
      </w:r>
      <w:r w:rsidRPr="00FD7581">
        <w:t>des pneumatiques)</w:t>
      </w:r>
    </w:p>
    <w:p w:rsidR="00F9573C" w:rsidRDefault="00FD7581" w:rsidP="00FD7581">
      <w:pPr>
        <w:pStyle w:val="H1G"/>
      </w:pPr>
      <w:r w:rsidRPr="00FD7581">
        <w:tab/>
      </w:r>
      <w:r w:rsidRPr="00FD7581">
        <w:tab/>
        <w:t xml:space="preserve">Communication du Groupe de travail en matière </w:t>
      </w:r>
      <w:r>
        <w:br/>
      </w:r>
      <w:r w:rsidRPr="00FD7581">
        <w:t>de roulement</w:t>
      </w:r>
      <w:r>
        <w:t xml:space="preserve"> </w:t>
      </w:r>
      <w:r w:rsidRPr="00FD7581">
        <w:t>et de freinage</w:t>
      </w:r>
      <w:r w:rsidRPr="00FD7581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FD7581" w:rsidRPr="00FD7581" w:rsidRDefault="00AE5488" w:rsidP="00FD7581">
      <w:pPr>
        <w:pStyle w:val="SingleTxtG"/>
        <w:ind w:firstLine="567"/>
      </w:pPr>
      <w:r w:rsidRPr="00FD7581">
        <w:t xml:space="preserve">Le texte reproduit ci-après, qui a été adopté par le Groupe de travail en matière de </w:t>
      </w:r>
      <w:r w:rsidRPr="00AE5488">
        <w:rPr>
          <w:spacing w:val="-4"/>
        </w:rPr>
        <w:t>roulement et de freinage (GRRF) à sa quatre-vingt-unième session (ECE/TRANS/WP.29/</w:t>
      </w:r>
      <w:r>
        <w:rPr>
          <w:spacing w:val="-4"/>
        </w:rPr>
        <w:t xml:space="preserve"> </w:t>
      </w:r>
      <w:r w:rsidRPr="00AE5488">
        <w:rPr>
          <w:spacing w:val="-4"/>
        </w:rPr>
        <w:t>GRRF/81,</w:t>
      </w:r>
      <w:r w:rsidRPr="00FD7581">
        <w:t xml:space="preserve"> par. 40) s’inspire d</w:t>
      </w:r>
      <w:r w:rsidR="00985EE4">
        <w:t>es</w:t>
      </w:r>
      <w:r w:rsidRPr="00FD7581">
        <w:t xml:space="preserve"> document</w:t>
      </w:r>
      <w:r w:rsidR="00985EE4">
        <w:t>s</w:t>
      </w:r>
      <w:r w:rsidRPr="00FD7581">
        <w:t xml:space="preserve"> ECE/TRANS/WP.29</w:t>
      </w:r>
      <w:r w:rsidR="00985EE4">
        <w:t>/GRRF/2016/12</w:t>
      </w:r>
      <w:r w:rsidRPr="00FD7581">
        <w:t xml:space="preserve"> et ECE/TRANS/WP.29/GRRF/2016/14. </w:t>
      </w:r>
      <w:r w:rsidR="00FD7581" w:rsidRPr="00FD7581">
        <w:t>Il est soumis au Forum mondial de l’harmonisation des Règlements concernant les véhicules (WP.29) et au Comité d’administration AC.1 pour examen à leurs sessions de juin 2016.</w:t>
      </w:r>
    </w:p>
    <w:p w:rsidR="00FD7581" w:rsidRDefault="00FD7581" w:rsidP="00FD7581">
      <w:pPr>
        <w:pStyle w:val="HChG"/>
      </w:pPr>
      <w:r>
        <w:br w:type="page"/>
      </w:r>
      <w:r w:rsidR="00F5133E">
        <w:lastRenderedPageBreak/>
        <w:tab/>
      </w:r>
      <w:r w:rsidR="00F5133E">
        <w:tab/>
        <w:t>Complément </w:t>
      </w:r>
      <w:r w:rsidR="001C3F63">
        <w:t>9 à la série </w:t>
      </w:r>
      <w:r>
        <w:t xml:space="preserve">02 d’amendements </w:t>
      </w:r>
      <w:r w:rsidR="001C3F63">
        <w:br/>
      </w:r>
      <w:r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117 (Ré</w:t>
      </w:r>
      <w:r w:rsidR="001C3F63">
        <w:t>sistance au roulement</w:t>
      </w:r>
      <w:r>
        <w:t xml:space="preserve">, </w:t>
      </w:r>
      <w:r w:rsidR="001C3F63">
        <w:br/>
      </w:r>
      <w:r>
        <w:t>bruit de roulements</w:t>
      </w:r>
      <w:r w:rsidR="001C3F63">
        <w:t xml:space="preserve"> </w:t>
      </w:r>
      <w:r>
        <w:t xml:space="preserve">et adhérence sur sol </w:t>
      </w:r>
      <w:r w:rsidR="001C3F63">
        <w:br/>
      </w:r>
      <w:r>
        <w:t>mouillé des pneumatiques)</w:t>
      </w:r>
    </w:p>
    <w:p w:rsidR="00FD7581" w:rsidRDefault="00FD7581" w:rsidP="00201871">
      <w:pPr>
        <w:pStyle w:val="SingleTxtG"/>
        <w:keepNext/>
        <w:keepLines/>
      </w:pPr>
      <w:r w:rsidRPr="007D7365">
        <w:rPr>
          <w:i/>
        </w:rPr>
        <w:t>Paragraphe 1</w:t>
      </w:r>
      <w:r w:rsidRPr="001D128E">
        <w:rPr>
          <w:i/>
        </w:rPr>
        <w:t>.1</w:t>
      </w:r>
      <w:r>
        <w:t xml:space="preserve">, modifier comme suit : </w:t>
      </w:r>
    </w:p>
    <w:p w:rsidR="00FD7581" w:rsidRDefault="00FD7581" w:rsidP="00FD7581">
      <w:pPr>
        <w:pStyle w:val="SingleTxtG"/>
        <w:ind w:left="2268" w:hanging="1134"/>
      </w:pPr>
      <w:r>
        <w:t>« 1.1</w:t>
      </w:r>
      <w:r>
        <w:tab/>
        <w:t>Le présent Règlement s’applique aux nouveaux pneumatiques* des classes C1, C2 et C3, en ce qui concerne leur bruit de roulement, leur résistance au roulement et leur adhérence sur sol mouillé. Il ne s’applique pas toutefois :</w:t>
      </w:r>
    </w:p>
    <w:p w:rsidR="00FD7581" w:rsidRDefault="00FD7581" w:rsidP="00FD7581">
      <w:pPr>
        <w:spacing w:after="120" w:line="240" w:lineRule="auto"/>
        <w:ind w:left="2268" w:right="1134" w:hanging="1134"/>
        <w:jc w:val="both"/>
      </w:pPr>
      <w:r w:rsidRPr="00DE5EEF">
        <w:separator/>
      </w:r>
    </w:p>
    <w:p w:rsidR="00FD7581" w:rsidRPr="001C3F63" w:rsidRDefault="001C3F63" w:rsidP="00201871">
      <w:pPr>
        <w:spacing w:after="240" w:line="240" w:lineRule="auto"/>
        <w:ind w:left="2268" w:righ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*  Sans objet en français ».</w:t>
      </w:r>
    </w:p>
    <w:p w:rsidR="00FD7581" w:rsidRDefault="00FD7581" w:rsidP="00FD7581">
      <w:pPr>
        <w:pStyle w:val="SingleTxtG"/>
      </w:pPr>
      <w:r>
        <w:rPr>
          <w:i/>
        </w:rPr>
        <w:t>Paragraphe 2.1</w:t>
      </w:r>
      <w:r>
        <w:t>, modifier comme suit :</w:t>
      </w:r>
    </w:p>
    <w:p w:rsidR="00FD7581" w:rsidRDefault="00FD7581" w:rsidP="00FD7581">
      <w:pPr>
        <w:pStyle w:val="SingleTxtG"/>
        <w:ind w:left="2268" w:hanging="1134"/>
      </w:pPr>
      <w:r>
        <w:t>« 2.1</w:t>
      </w:r>
      <w:r>
        <w:tab/>
        <w:t>“</w:t>
      </w:r>
      <w:r w:rsidRPr="004D2A38">
        <w:rPr>
          <w:i/>
        </w:rPr>
        <w:t>Type de pneumatiques</w:t>
      </w:r>
      <w:r>
        <w:t>”, un groupe de pneumatiques ne présentant pas entre eux des différences sur les points essentiels suivants :</w:t>
      </w:r>
    </w:p>
    <w:p w:rsidR="00FD7581" w:rsidRDefault="00FD7581" w:rsidP="00FD7581">
      <w:pPr>
        <w:pStyle w:val="SingleTxtG"/>
        <w:ind w:left="2268"/>
      </w:pPr>
      <w:r>
        <w:t>a)</w:t>
      </w:r>
      <w:r>
        <w:tab/>
        <w:t>Le nom du fabricant ;</w:t>
      </w:r>
    </w:p>
    <w:p w:rsidR="00FD7581" w:rsidRDefault="00FD7581" w:rsidP="00FD7581">
      <w:pPr>
        <w:pStyle w:val="SingleTxtG"/>
        <w:ind w:left="2268"/>
      </w:pPr>
      <w:r>
        <w:t>b)</w:t>
      </w:r>
      <w:r>
        <w:tab/>
        <w:t>… ».</w:t>
      </w:r>
    </w:p>
    <w:p w:rsidR="00FD7581" w:rsidRDefault="00FD7581" w:rsidP="00FD7581">
      <w:pPr>
        <w:pStyle w:val="SingleTxtG"/>
      </w:pPr>
      <w:r>
        <w:rPr>
          <w:i/>
        </w:rPr>
        <w:t>Ajouter un nouveau paragraphe</w:t>
      </w:r>
      <w:r>
        <w:t>, ainsi conçu :</w:t>
      </w:r>
    </w:p>
    <w:p w:rsidR="00FD7581" w:rsidRDefault="00FD7581" w:rsidP="00FD7581">
      <w:pPr>
        <w:pStyle w:val="SingleTxtG"/>
        <w:ind w:left="2268" w:hanging="1134"/>
      </w:pPr>
      <w:r>
        <w:t>« 2.2</w:t>
      </w:r>
      <w:r>
        <w:tab/>
        <w:t>“</w:t>
      </w:r>
      <w:r w:rsidR="00F650C7">
        <w:t> </w:t>
      </w:r>
      <w:r w:rsidRPr="004D2A38">
        <w:rPr>
          <w:i/>
        </w:rPr>
        <w:t>Fabricant</w:t>
      </w:r>
      <w:r w:rsidR="00F650C7">
        <w:rPr>
          <w:i/>
        </w:rPr>
        <w:t> </w:t>
      </w:r>
      <w:r>
        <w:t>”, la personne ou l’organisme responsable devant l’autorité d’homologation de tous les aspects du processus d’homologation de type et de</w:t>
      </w:r>
      <w:r w:rsidR="00F650C7">
        <w:t xml:space="preserve"> la conformité de la production</w:t>
      </w:r>
      <w:r>
        <w:t> ».</w:t>
      </w:r>
    </w:p>
    <w:p w:rsidR="00FD7581" w:rsidRDefault="00FD7581" w:rsidP="00FD7581">
      <w:pPr>
        <w:pStyle w:val="SingleTxtG"/>
        <w:ind w:left="2268" w:hanging="1134"/>
      </w:pPr>
      <w:r>
        <w:rPr>
          <w:i/>
        </w:rPr>
        <w:t>Paragraphe 2.3</w:t>
      </w:r>
      <w:r>
        <w:t>, modifier comme suit :</w:t>
      </w:r>
    </w:p>
    <w:p w:rsidR="00FD7581" w:rsidRDefault="00FD7581" w:rsidP="00FD7581">
      <w:pPr>
        <w:pStyle w:val="SingleTxtG"/>
        <w:ind w:left="2268" w:hanging="1134"/>
      </w:pPr>
      <w:r>
        <w:t>« 2.3</w:t>
      </w:r>
      <w:r>
        <w:tab/>
        <w:t>“</w:t>
      </w:r>
      <w:r w:rsidR="00F650C7">
        <w:t> </w:t>
      </w:r>
      <w:r w:rsidRPr="004D2A38">
        <w:rPr>
          <w:i/>
        </w:rPr>
        <w:t>Nom de marque</w:t>
      </w:r>
      <w:r w:rsidR="00F650C7">
        <w:rPr>
          <w:i/>
        </w:rPr>
        <w:t xml:space="preserve"> et/ou </w:t>
      </w:r>
      <w:r w:rsidRPr="004D2A38">
        <w:rPr>
          <w:i/>
        </w:rPr>
        <w:t xml:space="preserve">marque </w:t>
      </w:r>
      <w:r w:rsidR="00F650C7">
        <w:rPr>
          <w:i/>
        </w:rPr>
        <w:t>de fabrique </w:t>
      </w:r>
      <w:r>
        <w:t>”, l’identification du nom de marque ou de la marque de fabrique, définie par le fabricant du pneumatique et inscrite sur le</w:t>
      </w:r>
      <w:r w:rsidR="00F650C7">
        <w:t>(s)</w:t>
      </w:r>
      <w:r>
        <w:t xml:space="preserve"> flanc</w:t>
      </w:r>
      <w:r w:rsidR="008549D1">
        <w:t>(</w:t>
      </w:r>
      <w:r>
        <w:t>s</w:t>
      </w:r>
      <w:r w:rsidR="008549D1">
        <w:t>)</w:t>
      </w:r>
      <w:r>
        <w:t xml:space="preserve"> du pneumatique. Le nom de marque et/ou la marque de fabrique peuvent être le</w:t>
      </w:r>
      <w:r w:rsidR="00F650C7">
        <w:t>s mêmes que le nom du fabricant</w:t>
      </w:r>
      <w:r>
        <w:t> ».</w:t>
      </w:r>
    </w:p>
    <w:p w:rsidR="00FD7581" w:rsidRDefault="00FD7581" w:rsidP="00FD7581">
      <w:pPr>
        <w:pStyle w:val="SingleTxtG"/>
        <w:ind w:left="2268" w:hanging="1134"/>
      </w:pPr>
      <w:r>
        <w:rPr>
          <w:i/>
        </w:rPr>
        <w:t>Le paragraphe 2.3 devient le paragraphe 2.5</w:t>
      </w:r>
      <w:r w:rsidR="00F650C7">
        <w:rPr>
          <w:i/>
        </w:rPr>
        <w:t>.</w:t>
      </w:r>
    </w:p>
    <w:p w:rsidR="00FD7581" w:rsidRDefault="00FD7581" w:rsidP="00FD7581">
      <w:pPr>
        <w:pStyle w:val="SingleTxtG"/>
        <w:ind w:left="2268" w:hanging="1134"/>
      </w:pPr>
      <w:r>
        <w:rPr>
          <w:i/>
        </w:rPr>
        <w:t xml:space="preserve">Ajouter un nouveau paragraphe </w:t>
      </w:r>
      <w:r w:rsidRPr="004D2A38">
        <w:t>ainsi conçu</w:t>
      </w:r>
      <w:r>
        <w:t> :</w:t>
      </w:r>
    </w:p>
    <w:p w:rsidR="00FD7581" w:rsidRDefault="00FD7581" w:rsidP="00FD7581">
      <w:pPr>
        <w:pStyle w:val="SingleTxtG"/>
        <w:ind w:left="2268" w:hanging="1134"/>
      </w:pPr>
      <w:r>
        <w:t>« 2.4</w:t>
      </w:r>
      <w:r>
        <w:tab/>
        <w:t>“</w:t>
      </w:r>
      <w:r w:rsidR="00F650C7">
        <w:t> Désignation</w:t>
      </w:r>
      <w:r>
        <w:t xml:space="preserve"> commerciale </w:t>
      </w:r>
      <w:r w:rsidR="00F650C7">
        <w:t>et/</w:t>
      </w:r>
      <w:r>
        <w:t>ou nom commercial</w:t>
      </w:r>
      <w:r w:rsidR="00F650C7">
        <w:t>e </w:t>
      </w:r>
      <w:r>
        <w:t xml:space="preserve">”, l’identification d’une gamme de pneumatiques fournie par le fabricant de pneumatiques. Il ou elle peut coïncider avec le nom de </w:t>
      </w:r>
      <w:r w:rsidR="00F650C7">
        <w:t>marque ou la marque de fabrique</w:t>
      </w:r>
      <w:r>
        <w:t> ».</w:t>
      </w:r>
    </w:p>
    <w:p w:rsidR="00FD7581" w:rsidRDefault="00FD7581" w:rsidP="00FD7581">
      <w:pPr>
        <w:pStyle w:val="SingleTxtG"/>
        <w:ind w:left="2268" w:hanging="1134"/>
        <w:rPr>
          <w:i/>
        </w:rPr>
      </w:pPr>
      <w:r>
        <w:rPr>
          <w:i/>
        </w:rPr>
        <w:t>Les paragraphes 2.4 à 2.8 deviennent les paragraphes 2.6 à 2.10.</w:t>
      </w:r>
    </w:p>
    <w:p w:rsidR="00FD7581" w:rsidRDefault="00F650C7" w:rsidP="00FD7581">
      <w:pPr>
        <w:pStyle w:val="SingleTxtG"/>
        <w:ind w:left="2268" w:hanging="1134"/>
      </w:pPr>
      <w:r>
        <w:rPr>
          <w:i/>
        </w:rPr>
        <w:t>P</w:t>
      </w:r>
      <w:r w:rsidR="00FD7581" w:rsidRPr="004D2A38">
        <w:rPr>
          <w:i/>
        </w:rPr>
        <w:t>aragraphe 2.9</w:t>
      </w:r>
      <w:r w:rsidR="00FD7581">
        <w:t xml:space="preserve">, </w:t>
      </w:r>
      <w:r>
        <w:t>modifier</w:t>
      </w:r>
      <w:r w:rsidR="00FD7581">
        <w:t xml:space="preserve"> comme suit :</w:t>
      </w:r>
    </w:p>
    <w:p w:rsidR="00FD7581" w:rsidRDefault="00FD7581" w:rsidP="00FD7581">
      <w:pPr>
        <w:pStyle w:val="SingleTxtG"/>
        <w:ind w:left="2268" w:hanging="1134"/>
      </w:pPr>
      <w:r>
        <w:t>« 2.11</w:t>
      </w:r>
      <w:r>
        <w:tab/>
        <w:t>“</w:t>
      </w:r>
      <w:r w:rsidR="00F650C7">
        <w:t> </w:t>
      </w:r>
      <w:r w:rsidR="00F650C7">
        <w:rPr>
          <w:i/>
        </w:rPr>
        <w:t>Pneumatique</w:t>
      </w:r>
      <w:r>
        <w:rPr>
          <w:i/>
        </w:rPr>
        <w:t xml:space="preserve"> renforcé</w:t>
      </w:r>
      <w:r w:rsidR="00F650C7">
        <w:rPr>
          <w:i/>
        </w:rPr>
        <w:t> </w:t>
      </w:r>
      <w:r>
        <w:t>” ou “</w:t>
      </w:r>
      <w:r w:rsidR="00F650C7">
        <w:t> </w:t>
      </w:r>
      <w:r w:rsidR="00F650C7">
        <w:rPr>
          <w:i/>
        </w:rPr>
        <w:t>Pneumatique</w:t>
      </w:r>
      <w:r>
        <w:rPr>
          <w:i/>
        </w:rPr>
        <w:t xml:space="preserve"> pour fortes charges</w:t>
      </w:r>
      <w:r w:rsidR="00F650C7">
        <w:rPr>
          <w:i/>
        </w:rPr>
        <w:t> </w:t>
      </w:r>
      <w:r>
        <w:t>”, un</w:t>
      </w:r>
      <w:r w:rsidR="00F650C7">
        <w:t> </w:t>
      </w:r>
      <w:r>
        <w:t>pneumatique de la classe C1 ayant une structure conçue pour … ».</w:t>
      </w:r>
    </w:p>
    <w:p w:rsidR="00FD7581" w:rsidRDefault="00FD7581" w:rsidP="00FD7581">
      <w:pPr>
        <w:pStyle w:val="SingleTxtG"/>
        <w:ind w:left="2268" w:hanging="1134"/>
      </w:pPr>
      <w:r>
        <w:rPr>
          <w:i/>
        </w:rPr>
        <w:t>Les paragraphes 2.10 à 2.18 deviennent les paragraphes 2.12 à 2.20.</w:t>
      </w:r>
    </w:p>
    <w:p w:rsidR="00FD7581" w:rsidRDefault="00FD7581" w:rsidP="00FD7581">
      <w:pPr>
        <w:pStyle w:val="SingleTxtG"/>
        <w:ind w:left="2268" w:hanging="1134"/>
      </w:pPr>
      <w:r>
        <w:rPr>
          <w:i/>
        </w:rPr>
        <w:t>Paragraphe 3.1.2</w:t>
      </w:r>
      <w:r>
        <w:t>, modifier comme suit :</w:t>
      </w:r>
    </w:p>
    <w:p w:rsidR="00FD7581" w:rsidRDefault="00FD7581" w:rsidP="00FD7581">
      <w:pPr>
        <w:pStyle w:val="SingleTxtG"/>
        <w:ind w:left="2268" w:hanging="1134"/>
      </w:pPr>
      <w:r>
        <w:t>« 3.1.2</w:t>
      </w:r>
      <w:r>
        <w:tab/>
        <w:t>Le nom du fabricant ; ».</w:t>
      </w:r>
    </w:p>
    <w:p w:rsidR="00FD7581" w:rsidRDefault="00FD7581" w:rsidP="00F650C7">
      <w:pPr>
        <w:pStyle w:val="SingleTxtG"/>
        <w:keepNext/>
        <w:keepLines/>
        <w:ind w:left="2268" w:hanging="1134"/>
      </w:pPr>
      <w:r>
        <w:rPr>
          <w:i/>
        </w:rPr>
        <w:lastRenderedPageBreak/>
        <w:t>Paragraphe 3.1.5</w:t>
      </w:r>
      <w:r>
        <w:t>, modifier comme suit :</w:t>
      </w:r>
    </w:p>
    <w:p w:rsidR="00FD7581" w:rsidRDefault="00AE5488" w:rsidP="00F650C7">
      <w:pPr>
        <w:pStyle w:val="SingleTxtG"/>
        <w:ind w:left="2268" w:hanging="1134"/>
      </w:pPr>
      <w:r>
        <w:t>« 3.1.5</w:t>
      </w:r>
      <w:r>
        <w:tab/>
        <w:t>Le(s) nom(s) de marque et/ou la</w:t>
      </w:r>
      <w:r w:rsidR="008549D1">
        <w:t xml:space="preserve"> </w:t>
      </w:r>
      <w:r>
        <w:t>(les) marque(s) de fabrique et la</w:t>
      </w:r>
      <w:r w:rsidR="008549D1">
        <w:t xml:space="preserve"> </w:t>
      </w:r>
      <w:r>
        <w:t>(les) désignation(s) commerciale(s) et/ou le(s) nom(s) commercial (commerciaux) ; ».</w:t>
      </w:r>
    </w:p>
    <w:p w:rsidR="00FD7581" w:rsidRDefault="00F650C7" w:rsidP="00FD7581">
      <w:pPr>
        <w:pStyle w:val="SingleTxtG"/>
        <w:ind w:left="2268" w:hanging="1134"/>
        <w:rPr>
          <w:sz w:val="22"/>
        </w:rPr>
      </w:pPr>
      <w:r>
        <w:rPr>
          <w:i/>
        </w:rPr>
        <w:t>P</w:t>
      </w:r>
      <w:r w:rsidR="00FD7581">
        <w:rPr>
          <w:i/>
        </w:rPr>
        <w:t>aragraphe</w:t>
      </w:r>
      <w:r w:rsidR="00FD7581">
        <w:rPr>
          <w:i/>
          <w:sz w:val="22"/>
        </w:rPr>
        <w:t> 3.5</w:t>
      </w:r>
      <w:r>
        <w:rPr>
          <w:sz w:val="22"/>
        </w:rPr>
        <w:t xml:space="preserve">, </w:t>
      </w:r>
      <w:r w:rsidR="00FD7581">
        <w:rPr>
          <w:sz w:val="22"/>
        </w:rPr>
        <w:t>supprim</w:t>
      </w:r>
      <w:r>
        <w:rPr>
          <w:sz w:val="22"/>
        </w:rPr>
        <w:t>er</w:t>
      </w:r>
      <w:r w:rsidR="00FD7581">
        <w:rPr>
          <w:sz w:val="22"/>
        </w:rPr>
        <w:t>.</w:t>
      </w:r>
    </w:p>
    <w:p w:rsidR="00FD7581" w:rsidRDefault="00FD7581" w:rsidP="00FD7581">
      <w:pPr>
        <w:pStyle w:val="SingleTxtG"/>
        <w:ind w:left="2268" w:hanging="1134"/>
        <w:rPr>
          <w:sz w:val="22"/>
        </w:rPr>
      </w:pPr>
      <w:r>
        <w:rPr>
          <w:i/>
          <w:sz w:val="22"/>
        </w:rPr>
        <w:t>Paragraphe 4.2.1</w:t>
      </w:r>
      <w:r>
        <w:rPr>
          <w:sz w:val="22"/>
        </w:rPr>
        <w:t>, modifier comme suit :</w:t>
      </w:r>
    </w:p>
    <w:p w:rsidR="00FD7581" w:rsidRDefault="00FD7581" w:rsidP="00F650C7">
      <w:pPr>
        <w:pStyle w:val="SingleTxtG"/>
        <w:ind w:left="2268" w:hanging="1134"/>
        <w:rPr>
          <w:sz w:val="22"/>
        </w:rPr>
      </w:pPr>
      <w:r>
        <w:rPr>
          <w:sz w:val="22"/>
        </w:rPr>
        <w:t>« 4.2.1</w:t>
      </w:r>
      <w:r>
        <w:rPr>
          <w:sz w:val="22"/>
        </w:rPr>
        <w:tab/>
        <w:t xml:space="preserve">Le nom du fabricant ou le nom de marque </w:t>
      </w:r>
      <w:r w:rsidR="00F650C7">
        <w:rPr>
          <w:sz w:val="22"/>
        </w:rPr>
        <w:t>et/ou</w:t>
      </w:r>
      <w:r>
        <w:rPr>
          <w:sz w:val="22"/>
        </w:rPr>
        <w:t xml:space="preserve"> la marque de fabrique ; ».</w:t>
      </w:r>
    </w:p>
    <w:p w:rsidR="00F145D9" w:rsidRDefault="00F145D9" w:rsidP="00F145D9">
      <w:pPr>
        <w:pStyle w:val="SingleTxtG"/>
      </w:pPr>
      <w:r>
        <w:rPr>
          <w:i/>
          <w:iCs/>
        </w:rPr>
        <w:t>Paragraphe 4.2.2</w:t>
      </w:r>
      <w:r>
        <w:t>, modifier comme suit :</w:t>
      </w:r>
    </w:p>
    <w:p w:rsidR="00F145D9" w:rsidRDefault="00F145D9" w:rsidP="00F145D9">
      <w:pPr>
        <w:pStyle w:val="SingleTxtG"/>
        <w:ind w:left="2268" w:hanging="1134"/>
      </w:pPr>
      <w:r>
        <w:t>« 4.2.2</w:t>
      </w:r>
      <w:r>
        <w:tab/>
        <w:t xml:space="preserve">La désignation commerciale </w:t>
      </w:r>
      <w:r w:rsidR="00C17D85">
        <w:t>et/</w:t>
      </w:r>
      <w:r>
        <w:t>ou le nom commercial (voir par. 2.4 du présent Règlement). Cependant, la désignation commerciale n’est pas requise quand elle est identique au nom de marque et/ou à la marque de fabrique ; ».</w:t>
      </w:r>
    </w:p>
    <w:p w:rsidR="00F145D9" w:rsidRDefault="00C17D85" w:rsidP="00F145D9">
      <w:pPr>
        <w:pStyle w:val="SingleTxtG"/>
        <w:ind w:left="2268" w:hanging="1134"/>
      </w:pPr>
      <w:r>
        <w:rPr>
          <w:i/>
          <w:iCs/>
        </w:rPr>
        <w:t>Paragraphe </w:t>
      </w:r>
      <w:r w:rsidR="00F145D9">
        <w:rPr>
          <w:i/>
          <w:iCs/>
        </w:rPr>
        <w:t>7</w:t>
      </w:r>
      <w:r w:rsidR="00F145D9">
        <w:t>, sans objet en français.</w:t>
      </w:r>
    </w:p>
    <w:p w:rsidR="00F145D9" w:rsidRDefault="00C17D85" w:rsidP="00F145D9">
      <w:pPr>
        <w:pStyle w:val="SingleTxtG"/>
        <w:ind w:left="2268" w:hanging="1134"/>
      </w:pPr>
      <w:r>
        <w:rPr>
          <w:i/>
          <w:iCs/>
        </w:rPr>
        <w:t>Paragraphe </w:t>
      </w:r>
      <w:r w:rsidR="00F145D9">
        <w:rPr>
          <w:i/>
          <w:iCs/>
        </w:rPr>
        <w:t>10</w:t>
      </w:r>
      <w:r w:rsidR="00F145D9">
        <w:t>, sans objet en français.</w:t>
      </w:r>
    </w:p>
    <w:p w:rsidR="00F145D9" w:rsidRDefault="00C17D85" w:rsidP="00F145D9">
      <w:pPr>
        <w:pStyle w:val="SingleTxtG"/>
      </w:pPr>
      <w:r>
        <w:rPr>
          <w:i/>
          <w:iCs/>
        </w:rPr>
        <w:t>Paragraphe </w:t>
      </w:r>
      <w:r w:rsidR="00F145D9">
        <w:rPr>
          <w:i/>
          <w:iCs/>
        </w:rPr>
        <w:t>11</w:t>
      </w:r>
      <w:r w:rsidR="00F145D9">
        <w:t>, ajouter un numéro de paragraphe au premier alinéa et modifier comme suit :</w:t>
      </w:r>
    </w:p>
    <w:p w:rsidR="00F145D9" w:rsidRDefault="00F145D9" w:rsidP="00F145D9">
      <w:pPr>
        <w:pStyle w:val="SingleTxtG"/>
        <w:ind w:left="2268" w:hanging="1134"/>
      </w:pPr>
      <w:r>
        <w:t>« 11.1</w:t>
      </w:r>
      <w:r>
        <w:tab/>
        <w:t xml:space="preserve">Les Parties contractantes à l’Accord de 1958 appliquant le présent Règlement communiquent au Secrétariat de l’Organisation des </w:t>
      </w:r>
      <w:r>
        <w:rPr>
          <w:rFonts w:eastAsia="MS Mincho"/>
        </w:rPr>
        <w:t>Nations Unies</w:t>
      </w:r>
      <w:r>
        <w:t xml:space="preserve"> les noms et adresses des services techniques chargés des essais d’homologation et, le cas échéant, des laboratoires d’essai agréés et de l’autorité d’homologation de type qui délivre l’homologation et à laquelle doivent </w:t>
      </w:r>
      <w:r w:rsidR="00C17D85">
        <w:t xml:space="preserve">être </w:t>
      </w:r>
      <w:r>
        <w:t xml:space="preserve">envoyées les fiches d’homologation, ou d’extension, de refus ou de retrait d’homologation ou encore d’arrêt définitif de la production, émises dans </w:t>
      </w:r>
      <w:r w:rsidR="00C17D85">
        <w:t>d’autres pays</w:t>
      </w:r>
      <w:r>
        <w:t> ».</w:t>
      </w:r>
    </w:p>
    <w:p w:rsidR="00F145D9" w:rsidRDefault="00F145D9" w:rsidP="00C17D85">
      <w:pPr>
        <w:pStyle w:val="SingleTxtG"/>
        <w:keepNext/>
        <w:keepLines/>
      </w:pPr>
      <w:r w:rsidRPr="00785CFA">
        <w:rPr>
          <w:i/>
          <w:iCs/>
        </w:rPr>
        <w:t>Ajouter un nouveau paragraphe</w:t>
      </w:r>
      <w:r>
        <w:t>, ainsi conçu :</w:t>
      </w:r>
    </w:p>
    <w:p w:rsidR="00F145D9" w:rsidRDefault="00F145D9" w:rsidP="00F145D9">
      <w:pPr>
        <w:pStyle w:val="SingleTxtG"/>
        <w:ind w:left="2268" w:hanging="1134"/>
      </w:pPr>
      <w:r>
        <w:t>« 11.2</w:t>
      </w:r>
      <w:r>
        <w:tab/>
        <w:t>Les Parties contractantes à l’Accord de 1958 appliquant le présent Règlement peuvent choisir des laboratoires de fabricants de pneumatiques co</w:t>
      </w:r>
      <w:r w:rsidR="00C17D85">
        <w:t>mme laboratoires d’essai agréés</w:t>
      </w:r>
      <w:r>
        <w:t> ».</w:t>
      </w:r>
    </w:p>
    <w:p w:rsidR="00F145D9" w:rsidRDefault="00F145D9" w:rsidP="00C17D85">
      <w:pPr>
        <w:pStyle w:val="SingleTxtG"/>
        <w:keepNext/>
        <w:keepLines/>
      </w:pPr>
      <w:r w:rsidRPr="00785CFA">
        <w:rPr>
          <w:i/>
          <w:iCs/>
        </w:rPr>
        <w:t>Ajouter un nouveau paragraphe</w:t>
      </w:r>
      <w:r>
        <w:t>, ainsi conçu :</w:t>
      </w:r>
    </w:p>
    <w:p w:rsidR="00F145D9" w:rsidRDefault="00F145D9" w:rsidP="00F145D9">
      <w:pPr>
        <w:pStyle w:val="SingleTxtG"/>
        <w:ind w:left="2268" w:hanging="1134"/>
      </w:pPr>
      <w:r>
        <w:t>« 11.3</w:t>
      </w:r>
      <w:r>
        <w:tab/>
        <w:t>Si une Partie contractante à l’Accord de 1958 applique le paragraphe 11.2 ci-dessus</w:t>
      </w:r>
      <w:r w:rsidR="00C17D85">
        <w:t>, elle</w:t>
      </w:r>
      <w:r>
        <w:t xml:space="preserve"> peut, si elle le désire, se faire représenter aux essais par une ou p</w:t>
      </w:r>
      <w:r w:rsidR="00C17D85">
        <w:t>lusieurs personnes de son choix</w:t>
      </w:r>
      <w:r>
        <w:t> ».</w:t>
      </w:r>
    </w:p>
    <w:p w:rsidR="00F145D9" w:rsidRDefault="00C17D85" w:rsidP="00C17D85">
      <w:pPr>
        <w:pStyle w:val="SingleTxtG"/>
        <w:keepNext/>
        <w:keepLines/>
        <w:ind w:left="2268" w:hanging="1134"/>
      </w:pPr>
      <w:r>
        <w:rPr>
          <w:i/>
          <w:iCs/>
        </w:rPr>
        <w:t>Annexe </w:t>
      </w:r>
      <w:r w:rsidR="00F145D9">
        <w:rPr>
          <w:i/>
          <w:iCs/>
        </w:rPr>
        <w:t>I</w:t>
      </w:r>
      <w:r w:rsidR="00F145D9">
        <w:t xml:space="preserve">, </w:t>
      </w:r>
    </w:p>
    <w:p w:rsidR="00F145D9" w:rsidRDefault="00C17D85" w:rsidP="00C17D85">
      <w:pPr>
        <w:pStyle w:val="SingleTxtG"/>
        <w:keepNext/>
        <w:keepLines/>
        <w:ind w:left="2268" w:hanging="1134"/>
      </w:pPr>
      <w:r>
        <w:rPr>
          <w:i/>
          <w:iCs/>
        </w:rPr>
        <w:t>Point </w:t>
      </w:r>
      <w:r w:rsidR="00F145D9">
        <w:rPr>
          <w:i/>
          <w:iCs/>
        </w:rPr>
        <w:t>1</w:t>
      </w:r>
      <w:r w:rsidR="00F145D9">
        <w:t>, modifier comme suit :</w:t>
      </w:r>
    </w:p>
    <w:p w:rsidR="00F145D9" w:rsidRDefault="00F145D9" w:rsidP="00F145D9">
      <w:pPr>
        <w:pStyle w:val="SingleTxtG"/>
        <w:ind w:left="2268" w:hanging="1134"/>
      </w:pPr>
      <w:r>
        <w:t>« 1.</w:t>
      </w:r>
      <w:r>
        <w:tab/>
        <w:t>Nom et adresse du fabricant :… ».</w:t>
      </w:r>
    </w:p>
    <w:p w:rsidR="00F145D9" w:rsidRDefault="00C17D85" w:rsidP="00C17D85">
      <w:pPr>
        <w:pStyle w:val="SingleTxtG"/>
        <w:keepNext/>
        <w:keepLines/>
        <w:ind w:left="2268" w:hanging="1134"/>
      </w:pPr>
      <w:r>
        <w:rPr>
          <w:i/>
          <w:iCs/>
        </w:rPr>
        <w:t>Point </w:t>
      </w:r>
      <w:r w:rsidR="00F145D9">
        <w:rPr>
          <w:i/>
          <w:iCs/>
        </w:rPr>
        <w:t>4</w:t>
      </w:r>
      <w:r w:rsidR="00F145D9">
        <w:t>, modifier comme suit :</w:t>
      </w:r>
    </w:p>
    <w:p w:rsidR="00F145D9" w:rsidRDefault="00F145D9" w:rsidP="00F145D9">
      <w:pPr>
        <w:pStyle w:val="SingleTxtG"/>
        <w:ind w:left="2268" w:hanging="1134"/>
      </w:pPr>
      <w:r>
        <w:t>« 4.</w:t>
      </w:r>
      <w:r>
        <w:tab/>
        <w:t>Désignation du type de pneumatique :</w:t>
      </w:r>
    </w:p>
    <w:p w:rsidR="00F145D9" w:rsidRDefault="00F145D9" w:rsidP="00F145D9">
      <w:pPr>
        <w:pStyle w:val="SingleTxtG"/>
        <w:ind w:left="2268" w:hanging="1134"/>
      </w:pPr>
      <w:r>
        <w:t>4.1</w:t>
      </w:r>
      <w:r>
        <w:tab/>
        <w:t>Nom(s) de marque et/ou marque(s) de fabrique du type de pneumatique :…</w:t>
      </w:r>
    </w:p>
    <w:p w:rsidR="00F145D9" w:rsidRDefault="00F145D9" w:rsidP="00F145D9">
      <w:pPr>
        <w:pStyle w:val="SingleTxtG"/>
        <w:ind w:left="2268" w:hanging="1134"/>
      </w:pPr>
      <w:r>
        <w:t>4.2</w:t>
      </w:r>
      <w:r>
        <w:tab/>
        <w:t xml:space="preserve">Désignation(s) commerciale(s) et/ou nom(s) commercial </w:t>
      </w:r>
      <w:r w:rsidR="00C17D85">
        <w:t>(</w:t>
      </w:r>
      <w:r>
        <w:t>commerciaux</w:t>
      </w:r>
      <w:r w:rsidR="00C17D85">
        <w:t>)</w:t>
      </w:r>
      <w:r>
        <w:t xml:space="preserve"> du type de pneumatique :… ».</w:t>
      </w:r>
    </w:p>
    <w:p w:rsidR="00F145D9" w:rsidRDefault="00C17D85" w:rsidP="00F145D9">
      <w:pPr>
        <w:pStyle w:val="SingleTxtG"/>
        <w:ind w:left="2268" w:hanging="1134"/>
      </w:pPr>
      <w:r>
        <w:rPr>
          <w:i/>
          <w:iCs/>
        </w:rPr>
        <w:t>Point </w:t>
      </w:r>
      <w:r w:rsidR="00F145D9">
        <w:rPr>
          <w:i/>
          <w:iCs/>
        </w:rPr>
        <w:t>5</w:t>
      </w:r>
      <w:r w:rsidR="00F145D9">
        <w:t>, sans objet en français.</w:t>
      </w:r>
    </w:p>
    <w:p w:rsidR="00F145D9" w:rsidRDefault="00C17D85" w:rsidP="00C17D85">
      <w:pPr>
        <w:pStyle w:val="SingleTxtG"/>
        <w:keepNext/>
        <w:keepLines/>
        <w:ind w:left="2268" w:hanging="1134"/>
      </w:pPr>
      <w:r>
        <w:rPr>
          <w:i/>
          <w:iCs/>
        </w:rPr>
        <w:t>Point </w:t>
      </w:r>
      <w:r w:rsidR="00F145D9">
        <w:rPr>
          <w:i/>
          <w:iCs/>
        </w:rPr>
        <w:t>14.2</w:t>
      </w:r>
      <w:r w:rsidR="00F145D9">
        <w:t>, modifier comme suit :</w:t>
      </w:r>
    </w:p>
    <w:p w:rsidR="00F145D9" w:rsidRDefault="00F145D9" w:rsidP="00F145D9">
      <w:pPr>
        <w:pStyle w:val="SingleTxtG"/>
        <w:ind w:left="2268" w:hanging="1134"/>
      </w:pPr>
      <w:r>
        <w:t>« 14.2</w:t>
      </w:r>
      <w:r>
        <w:tab/>
        <w:t>Une liste des désignations de dimension des pneumatiques : préciser pour chaque nom de marque et/ou marque de fabrique et chaque désignation commerciale et/ou nom commercial la liste des désignations de dimension des pneumatiques avec… ».</w:t>
      </w:r>
    </w:p>
    <w:p w:rsidR="00F145D9" w:rsidRDefault="00C17D85" w:rsidP="00C17D85">
      <w:pPr>
        <w:pStyle w:val="SingleTxtG"/>
        <w:ind w:left="2268" w:hanging="1134"/>
      </w:pPr>
      <w:r>
        <w:rPr>
          <w:i/>
          <w:iCs/>
        </w:rPr>
        <w:t>Annexe 2</w:t>
      </w:r>
      <w:r w:rsidR="00F145D9">
        <w:rPr>
          <w:i/>
          <w:iCs/>
        </w:rPr>
        <w:t xml:space="preserve"> </w:t>
      </w:r>
      <w:r>
        <w:rPr>
          <w:i/>
          <w:iCs/>
        </w:rPr>
        <w:t>– appendice 1, exemple </w:t>
      </w:r>
      <w:r w:rsidR="00F145D9">
        <w:rPr>
          <w:i/>
          <w:iCs/>
        </w:rPr>
        <w:t>1</w:t>
      </w:r>
      <w:r w:rsidR="00F145D9">
        <w:t>, sans objet en français.</w:t>
      </w:r>
    </w:p>
    <w:p w:rsidR="00C17D85" w:rsidRDefault="00C17D85" w:rsidP="00C17D85">
      <w:pPr>
        <w:pStyle w:val="SingleTxtG"/>
        <w:keepNext/>
        <w:keepLines/>
        <w:ind w:left="2268" w:hanging="1134"/>
      </w:pPr>
      <w:r w:rsidRPr="00C17D85">
        <w:rPr>
          <w:i/>
        </w:rPr>
        <w:t>Annexe 3, paragraphe 2.5.3</w:t>
      </w:r>
      <w:r>
        <w:t>, modifier comme suit :</w:t>
      </w:r>
    </w:p>
    <w:p w:rsidR="00C17D85" w:rsidRPr="00966274" w:rsidRDefault="00C17D85" w:rsidP="00C17D85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966274">
        <w:rPr>
          <w:lang w:val="fr-FR"/>
        </w:rPr>
        <w:t>2.5.3</w:t>
      </w:r>
      <w:r w:rsidRPr="00966274">
        <w:rPr>
          <w:lang w:val="fr-FR"/>
        </w:rPr>
        <w:tab/>
        <w:t>Pression de gonflage des pneumatiques</w:t>
      </w:r>
    </w:p>
    <w:p w:rsidR="00C17D85" w:rsidRPr="00966274" w:rsidRDefault="00C17D85" w:rsidP="00C17D85">
      <w:pPr>
        <w:pStyle w:val="SingleTxtG"/>
        <w:ind w:left="2268"/>
        <w:rPr>
          <w:lang w:val="fr-FR"/>
        </w:rPr>
      </w:pPr>
      <w:r w:rsidRPr="00966274">
        <w:rPr>
          <w:lang w:val="fr-FR"/>
        </w:rPr>
        <w:t>Pour chaque pneumatique monté sur le véhicule d</w:t>
      </w:r>
      <w:r>
        <w:rPr>
          <w:lang w:val="fr-FR"/>
        </w:rPr>
        <w:t>’</w:t>
      </w:r>
      <w:r w:rsidRPr="00966274">
        <w:rPr>
          <w:lang w:val="fr-FR"/>
        </w:rPr>
        <w:t>essai, la pression d</w:t>
      </w:r>
      <w:r>
        <w:rPr>
          <w:lang w:val="fr-FR"/>
        </w:rPr>
        <w:t>’</w:t>
      </w:r>
      <w:r w:rsidRPr="00966274">
        <w:rPr>
          <w:lang w:val="fr-FR"/>
        </w:rPr>
        <w:t>essai</w:t>
      </w:r>
      <w:r>
        <w:rPr>
          <w:lang w:val="fr-FR"/>
        </w:rPr>
        <w:t> </w:t>
      </w:r>
      <w:r w:rsidRPr="00966274">
        <w:rPr>
          <w:lang w:val="fr-FR"/>
        </w:rPr>
        <w:t>P</w:t>
      </w:r>
      <w:r w:rsidRPr="00966274">
        <w:rPr>
          <w:vertAlign w:val="subscript"/>
          <w:lang w:val="fr-FR"/>
        </w:rPr>
        <w:t>t</w:t>
      </w:r>
      <w:r w:rsidRPr="00966274">
        <w:rPr>
          <w:lang w:val="fr-FR"/>
        </w:rPr>
        <w:t xml:space="preserve"> ne doit pas être supérieure à la pression P</w:t>
      </w:r>
      <w:r w:rsidRPr="00966274">
        <w:rPr>
          <w:vertAlign w:val="subscript"/>
          <w:lang w:val="fr-FR"/>
        </w:rPr>
        <w:t>r</w:t>
      </w:r>
      <w:r w:rsidRPr="00966274">
        <w:rPr>
          <w:lang w:val="fr-FR"/>
        </w:rPr>
        <w:t xml:space="preserve"> de référence, et comprise dans l</w:t>
      </w:r>
      <w:r>
        <w:rPr>
          <w:lang w:val="fr-FR"/>
        </w:rPr>
        <w:t>’</w:t>
      </w:r>
      <w:r w:rsidRPr="00966274">
        <w:rPr>
          <w:lang w:val="fr-FR"/>
        </w:rPr>
        <w:t>intervalle suivant:</w:t>
      </w:r>
    </w:p>
    <w:p w:rsidR="00C17D85" w:rsidRPr="00966274" w:rsidRDefault="00C17D85" w:rsidP="00C17D85">
      <w:pPr>
        <w:pStyle w:val="SingleTxtG"/>
        <w:ind w:left="2268"/>
        <w:jc w:val="left"/>
        <w:rPr>
          <w:lang w:val="fr-FR"/>
        </w:rPr>
      </w:pPr>
      <w:r w:rsidRPr="00D05AB0">
        <w:rPr>
          <w:position w:val="-32"/>
          <w:lang w:val="fr-FR"/>
        </w:rPr>
        <w:object w:dxaOrig="33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pt;height:40pt" o:ole="" fillcolor="window">
            <v:imagedata r:id="rId8" o:title=""/>
          </v:shape>
          <o:OLEObject Type="Embed" ProgID="Equation.3" ShapeID="_x0000_i1025" DrawAspect="Content" ObjectID="_1523448114" r:id="rId9"/>
        </w:object>
      </w:r>
    </w:p>
    <w:p w:rsidR="00C17D85" w:rsidRPr="00966274" w:rsidRDefault="00C17D85" w:rsidP="00C17D85">
      <w:pPr>
        <w:pStyle w:val="SingleTxtG"/>
        <w:ind w:left="2268"/>
        <w:rPr>
          <w:lang w:val="fr-FR"/>
        </w:rPr>
      </w:pPr>
      <w:r w:rsidRPr="00966274">
        <w:rPr>
          <w:lang w:val="fr-FR"/>
        </w:rPr>
        <w:t>Pour la classe</w:t>
      </w:r>
      <w:r>
        <w:rPr>
          <w:lang w:val="fr-FR"/>
        </w:rPr>
        <w:t> </w:t>
      </w:r>
      <w:r w:rsidRPr="00966274">
        <w:rPr>
          <w:lang w:val="fr-FR"/>
        </w:rPr>
        <w:t>C2 et la classe C3, la pression de référence</w:t>
      </w:r>
      <w:r>
        <w:rPr>
          <w:lang w:val="fr-FR"/>
        </w:rPr>
        <w:t> </w:t>
      </w:r>
      <w:r w:rsidRPr="00966274">
        <w:rPr>
          <w:lang w:val="fr-FR"/>
        </w:rPr>
        <w:t>P</w:t>
      </w:r>
      <w:r w:rsidRPr="00966274">
        <w:rPr>
          <w:vertAlign w:val="subscript"/>
          <w:lang w:val="fr-FR"/>
        </w:rPr>
        <w:t>r</w:t>
      </w:r>
      <w:r w:rsidRPr="00966274">
        <w:rPr>
          <w:lang w:val="fr-FR"/>
        </w:rPr>
        <w:t xml:space="preserve"> est la pression </w:t>
      </w:r>
      <w:r>
        <w:rPr>
          <w:lang w:val="fr-FR"/>
        </w:rPr>
        <w:t xml:space="preserve">de gonflage </w:t>
      </w:r>
      <w:r w:rsidRPr="00966274">
        <w:rPr>
          <w:lang w:val="fr-FR"/>
        </w:rPr>
        <w:t xml:space="preserve">correspondant </w:t>
      </w:r>
      <w:r>
        <w:rPr>
          <w:lang w:val="fr-FR"/>
        </w:rPr>
        <w:t xml:space="preserve">à la pression en kPA ou </w:t>
      </w:r>
      <w:r w:rsidRPr="00966274">
        <w:rPr>
          <w:lang w:val="fr-FR"/>
        </w:rPr>
        <w:t>à l</w:t>
      </w:r>
      <w:r>
        <w:rPr>
          <w:lang w:val="fr-FR"/>
        </w:rPr>
        <w:t>’</w:t>
      </w:r>
      <w:r w:rsidRPr="00966274">
        <w:rPr>
          <w:lang w:val="fr-FR"/>
        </w:rPr>
        <w:t xml:space="preserve">indice </w:t>
      </w:r>
      <w:r>
        <w:rPr>
          <w:lang w:val="fr-FR"/>
        </w:rPr>
        <w:t xml:space="preserve">de pression </w:t>
      </w:r>
      <w:r w:rsidRPr="00966274">
        <w:rPr>
          <w:lang w:val="fr-FR"/>
        </w:rPr>
        <w:t>figurant sur le flanc.</w:t>
      </w:r>
    </w:p>
    <w:p w:rsidR="00C17D85" w:rsidRPr="00966274" w:rsidRDefault="00C17D85" w:rsidP="00C17D85">
      <w:pPr>
        <w:pStyle w:val="SingleTxtG"/>
        <w:ind w:left="2268"/>
        <w:rPr>
          <w:lang w:val="fr-FR"/>
        </w:rPr>
      </w:pPr>
      <w:r w:rsidRPr="00966274">
        <w:rPr>
          <w:lang w:val="fr-FR"/>
        </w:rPr>
        <w:t>Pour la classe C1, la pression de référence est P</w:t>
      </w:r>
      <w:r w:rsidRPr="00966274">
        <w:rPr>
          <w:vertAlign w:val="subscript"/>
          <w:lang w:val="fr-FR"/>
        </w:rPr>
        <w:t>r</w:t>
      </w:r>
      <w:r>
        <w:rPr>
          <w:lang w:val="fr-FR"/>
        </w:rPr>
        <w:t> </w:t>
      </w:r>
      <w:r w:rsidRPr="00966274">
        <w:rPr>
          <w:lang w:val="fr-FR"/>
        </w:rPr>
        <w:t>=</w:t>
      </w:r>
      <w:r>
        <w:rPr>
          <w:lang w:val="fr-FR"/>
        </w:rPr>
        <w:t> </w:t>
      </w:r>
      <w:r w:rsidRPr="00966274">
        <w:rPr>
          <w:lang w:val="fr-FR"/>
        </w:rPr>
        <w:t>250 kPa pour les pneumatiques normaux et 290 kPa pour les pneumatiques renforcés</w:t>
      </w:r>
      <w:r>
        <w:rPr>
          <w:lang w:val="fr-FR"/>
        </w:rPr>
        <w:t xml:space="preserve"> ou pneumatiques pour fortes charges</w:t>
      </w:r>
      <w:r w:rsidRPr="00966274">
        <w:rPr>
          <w:lang w:val="fr-FR"/>
        </w:rPr>
        <w:t>. La pression d</w:t>
      </w:r>
      <w:r>
        <w:rPr>
          <w:lang w:val="fr-FR"/>
        </w:rPr>
        <w:t>’</w:t>
      </w:r>
      <w:r w:rsidRPr="00966274">
        <w:rPr>
          <w:lang w:val="fr-FR"/>
        </w:rPr>
        <w:t>essai minimale est P</w:t>
      </w:r>
      <w:r w:rsidRPr="00966274">
        <w:rPr>
          <w:vertAlign w:val="subscript"/>
          <w:lang w:val="fr-FR"/>
        </w:rPr>
        <w:t>t</w:t>
      </w:r>
      <w:r>
        <w:rPr>
          <w:lang w:val="fr-FR"/>
        </w:rPr>
        <w:t> = 150 kPa ».</w:t>
      </w:r>
    </w:p>
    <w:p w:rsidR="00C17D85" w:rsidRPr="00C17D85" w:rsidRDefault="00C17D85" w:rsidP="00C17D8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7D85" w:rsidRPr="00C17D85" w:rsidSect="00FD758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39" w:rsidRDefault="00D57839" w:rsidP="00F95C08">
      <w:pPr>
        <w:spacing w:line="240" w:lineRule="auto"/>
      </w:pPr>
    </w:p>
  </w:endnote>
  <w:endnote w:type="continuationSeparator" w:id="0">
    <w:p w:rsidR="00D57839" w:rsidRPr="00AC3823" w:rsidRDefault="00D57839" w:rsidP="00AC3823">
      <w:pPr>
        <w:pStyle w:val="Footer"/>
      </w:pPr>
    </w:p>
  </w:endnote>
  <w:endnote w:type="continuationNotice" w:id="1">
    <w:p w:rsidR="00D57839" w:rsidRDefault="00D578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81" w:rsidRPr="00FD7581" w:rsidRDefault="00FD7581" w:rsidP="00FD7581">
    <w:pPr>
      <w:pStyle w:val="Footer"/>
      <w:tabs>
        <w:tab w:val="right" w:pos="9638"/>
      </w:tabs>
    </w:pPr>
    <w:r w:rsidRPr="00FD7581">
      <w:rPr>
        <w:b/>
        <w:sz w:val="18"/>
      </w:rPr>
      <w:fldChar w:fldCharType="begin"/>
    </w:r>
    <w:r w:rsidRPr="00FD7581">
      <w:rPr>
        <w:b/>
        <w:sz w:val="18"/>
      </w:rPr>
      <w:instrText xml:space="preserve"> PAGE  \* MERGEFORMAT </w:instrText>
    </w:r>
    <w:r w:rsidRPr="00FD7581">
      <w:rPr>
        <w:b/>
        <w:sz w:val="18"/>
      </w:rPr>
      <w:fldChar w:fldCharType="separate"/>
    </w:r>
    <w:r w:rsidR="009F4150">
      <w:rPr>
        <w:b/>
        <w:noProof/>
        <w:sz w:val="18"/>
      </w:rPr>
      <w:t>2</w:t>
    </w:r>
    <w:r w:rsidRPr="00FD7581">
      <w:rPr>
        <w:b/>
        <w:sz w:val="18"/>
      </w:rPr>
      <w:fldChar w:fldCharType="end"/>
    </w:r>
    <w:r>
      <w:rPr>
        <w:b/>
        <w:sz w:val="18"/>
      </w:rPr>
      <w:tab/>
    </w:r>
    <w:r>
      <w:t>GE.16-05579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81" w:rsidRPr="00FD7581" w:rsidRDefault="00FD7581" w:rsidP="00FD7581">
    <w:pPr>
      <w:pStyle w:val="Footer"/>
      <w:tabs>
        <w:tab w:val="right" w:pos="9638"/>
      </w:tabs>
      <w:rPr>
        <w:b/>
        <w:sz w:val="18"/>
      </w:rPr>
    </w:pPr>
    <w:r>
      <w:t>GE.16-05579</w:t>
    </w:r>
    <w:r>
      <w:tab/>
    </w:r>
    <w:r w:rsidRPr="00FD7581">
      <w:rPr>
        <w:b/>
        <w:sz w:val="18"/>
      </w:rPr>
      <w:fldChar w:fldCharType="begin"/>
    </w:r>
    <w:r w:rsidRPr="00FD7581">
      <w:rPr>
        <w:b/>
        <w:sz w:val="18"/>
      </w:rPr>
      <w:instrText xml:space="preserve"> PAGE  \* MERGEFORMAT </w:instrText>
    </w:r>
    <w:r w:rsidRPr="00FD7581">
      <w:rPr>
        <w:b/>
        <w:sz w:val="18"/>
      </w:rPr>
      <w:fldChar w:fldCharType="separate"/>
    </w:r>
    <w:r w:rsidR="009F4150">
      <w:rPr>
        <w:b/>
        <w:noProof/>
        <w:sz w:val="18"/>
      </w:rPr>
      <w:t>3</w:t>
    </w:r>
    <w:r w:rsidRPr="00FD75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D7581" w:rsidRDefault="00FD7581" w:rsidP="00FD758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57A3764" wp14:editId="0CABC13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16-05579  (F)    270416    280416</w:t>
    </w:r>
    <w:r>
      <w:rPr>
        <w:sz w:val="20"/>
      </w:rPr>
      <w:br/>
    </w:r>
    <w:r w:rsidRPr="00FD7581">
      <w:rPr>
        <w:rFonts w:ascii="C39T30Lfz" w:hAnsi="C39T30Lfz"/>
        <w:sz w:val="56"/>
      </w:rPr>
      <w:t></w:t>
    </w:r>
    <w:r w:rsidRPr="00FD7581">
      <w:rPr>
        <w:rFonts w:ascii="C39T30Lfz" w:hAnsi="C39T30Lfz"/>
        <w:sz w:val="56"/>
      </w:rPr>
      <w:t></w:t>
    </w:r>
    <w:r w:rsidRPr="00FD7581">
      <w:rPr>
        <w:rFonts w:ascii="C39T30Lfz" w:hAnsi="C39T30Lfz"/>
        <w:sz w:val="56"/>
      </w:rPr>
      <w:t></w:t>
    </w:r>
    <w:r w:rsidRPr="00FD7581">
      <w:rPr>
        <w:rFonts w:ascii="C39T30Lfz" w:hAnsi="C39T30Lfz"/>
        <w:sz w:val="56"/>
      </w:rPr>
      <w:t></w:t>
    </w:r>
    <w:r w:rsidRPr="00FD7581">
      <w:rPr>
        <w:rFonts w:ascii="C39T30Lfz" w:hAnsi="C39T30Lfz"/>
        <w:sz w:val="56"/>
      </w:rPr>
      <w:t></w:t>
    </w:r>
    <w:r w:rsidRPr="00FD7581">
      <w:rPr>
        <w:rFonts w:ascii="C39T30Lfz" w:hAnsi="C39T30Lfz"/>
        <w:sz w:val="56"/>
      </w:rPr>
      <w:t></w:t>
    </w:r>
    <w:r w:rsidRPr="00FD7581">
      <w:rPr>
        <w:rFonts w:ascii="C39T30Lfz" w:hAnsi="C39T30Lfz"/>
        <w:sz w:val="56"/>
      </w:rPr>
      <w:t></w:t>
    </w:r>
    <w:r w:rsidRPr="00FD7581">
      <w:rPr>
        <w:rFonts w:ascii="C39T30Lfz" w:hAnsi="C39T30Lfz"/>
        <w:sz w:val="56"/>
      </w:rPr>
      <w:t></w:t>
    </w:r>
    <w:r w:rsidRPr="00FD7581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341FEBD7" wp14:editId="47A76BED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6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6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39" w:rsidRPr="00AC3823" w:rsidRDefault="00D578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57839" w:rsidRPr="00AC3823" w:rsidRDefault="00D578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57839" w:rsidRPr="00AC3823" w:rsidRDefault="00D57839">
      <w:pPr>
        <w:spacing w:line="240" w:lineRule="auto"/>
        <w:rPr>
          <w:sz w:val="2"/>
          <w:szCs w:val="2"/>
        </w:rPr>
      </w:pPr>
    </w:p>
  </w:footnote>
  <w:footnote w:id="2">
    <w:p w:rsidR="00FD7581" w:rsidRPr="00FD7581" w:rsidRDefault="00FD7581" w:rsidP="00FD7581">
      <w:pPr>
        <w:pStyle w:val="FootnoteText"/>
      </w:pPr>
      <w:r>
        <w:rPr>
          <w:rStyle w:val="FootnoteReference"/>
        </w:rPr>
        <w:tab/>
      </w:r>
      <w:r w:rsidRPr="00FD758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D7581">
        <w:rPr>
          <w:lang w:val="fr-CA"/>
        </w:rPr>
        <w:t>Conformément au programme de travail du Comité des transports intérieurs pour la période 201</w:t>
      </w:r>
      <w:r>
        <w:rPr>
          <w:lang w:val="fr-CA"/>
        </w:rPr>
        <w:t>6</w:t>
      </w:r>
      <w:r w:rsidRPr="00FD7581">
        <w:rPr>
          <w:lang w:val="fr-CA"/>
        </w:rPr>
        <w:t>-201</w:t>
      </w:r>
      <w:r>
        <w:rPr>
          <w:lang w:val="fr-CA"/>
        </w:rPr>
        <w:t>7</w:t>
      </w:r>
      <w:r w:rsidRPr="00FD7581">
        <w:rPr>
          <w:lang w:val="fr-CA"/>
        </w:rPr>
        <w:t xml:space="preserve"> (ECE/TRANS/2</w:t>
      </w:r>
      <w:r>
        <w:rPr>
          <w:lang w:val="fr-CA"/>
        </w:rPr>
        <w:t>54</w:t>
      </w:r>
      <w:r w:rsidRPr="00FD7581">
        <w:rPr>
          <w:lang w:val="fr-CA"/>
        </w:rPr>
        <w:t>, par. 1</w:t>
      </w:r>
      <w:r>
        <w:rPr>
          <w:lang w:val="fr-CA"/>
        </w:rPr>
        <w:t>59</w:t>
      </w:r>
      <w:r w:rsidRPr="00FD7581">
        <w:rPr>
          <w:lang w:val="fr-CA"/>
        </w:rPr>
        <w:t>, et ECE/TRANS/201</w:t>
      </w:r>
      <w:r>
        <w:rPr>
          <w:lang w:val="fr-CA"/>
        </w:rPr>
        <w:t>6</w:t>
      </w:r>
      <w:r w:rsidRPr="00FD7581">
        <w:rPr>
          <w:lang w:val="fr-CA"/>
        </w:rPr>
        <w:t>/2</w:t>
      </w:r>
      <w:r>
        <w:rPr>
          <w:lang w:val="fr-CA"/>
        </w:rPr>
        <w:t>8/Add.1</w:t>
      </w:r>
      <w:r w:rsidRPr="00FD7581">
        <w:rPr>
          <w:lang w:val="fr-CA"/>
        </w:rPr>
        <w:t xml:space="preserve">, activité </w:t>
      </w:r>
      <w:r w:rsidR="00FE5FFE">
        <w:rPr>
          <w:lang w:val="fr-CA"/>
        </w:rPr>
        <w:t>3.1</w:t>
      </w:r>
      <w:r w:rsidRPr="00FD7581">
        <w:rPr>
          <w:lang w:val="fr-CA"/>
        </w:rPr>
        <w:t>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81" w:rsidRPr="00FD7581" w:rsidRDefault="00FD7581">
    <w:pPr>
      <w:pStyle w:val="Header"/>
    </w:pPr>
    <w:r>
      <w:t>ECE/TRANS/WP.29/2016/60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81" w:rsidRPr="00FD7581" w:rsidRDefault="00FD7581" w:rsidP="00FD7581">
    <w:pPr>
      <w:pStyle w:val="Header"/>
      <w:jc w:val="right"/>
    </w:pPr>
    <w:r>
      <w:t>ECE/TRANS/WP.29/2016/60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39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B2C9B"/>
    <w:rsid w:val="001C3F63"/>
    <w:rsid w:val="001F525A"/>
    <w:rsid w:val="00201871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549D1"/>
    <w:rsid w:val="00871C75"/>
    <w:rsid w:val="008776DC"/>
    <w:rsid w:val="009705C8"/>
    <w:rsid w:val="00985EE4"/>
    <w:rsid w:val="009C1CF4"/>
    <w:rsid w:val="009F4150"/>
    <w:rsid w:val="009F6B74"/>
    <w:rsid w:val="00A30353"/>
    <w:rsid w:val="00AC3823"/>
    <w:rsid w:val="00AE323C"/>
    <w:rsid w:val="00AE5488"/>
    <w:rsid w:val="00AF0CB5"/>
    <w:rsid w:val="00B00181"/>
    <w:rsid w:val="00B00B0D"/>
    <w:rsid w:val="00B765F7"/>
    <w:rsid w:val="00BA0CA9"/>
    <w:rsid w:val="00C02897"/>
    <w:rsid w:val="00C17D85"/>
    <w:rsid w:val="00D3439C"/>
    <w:rsid w:val="00D57839"/>
    <w:rsid w:val="00DB1831"/>
    <w:rsid w:val="00DD3BFD"/>
    <w:rsid w:val="00DF6678"/>
    <w:rsid w:val="00E85C74"/>
    <w:rsid w:val="00EA6547"/>
    <w:rsid w:val="00EF2E22"/>
    <w:rsid w:val="00F145D9"/>
    <w:rsid w:val="00F35BAF"/>
    <w:rsid w:val="00F5133E"/>
    <w:rsid w:val="00F650C7"/>
    <w:rsid w:val="00F660DF"/>
    <w:rsid w:val="00F94664"/>
    <w:rsid w:val="00F9573C"/>
    <w:rsid w:val="00F95C08"/>
    <w:rsid w:val="00FD7581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11F05A-CA89-47DA-A172-63B267C4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17D85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ECE/TRANS/WP.29/2016/60</vt:lpstr>
      <vt:lpstr>ECE/TRANS/WP.29/2016/60</vt:lpstr>
    </vt:vector>
  </TitlesOfParts>
  <Company>DCM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ECE/TRANS/WP.29/2016/60</dc:title>
  <dc:subject/>
  <dc:creator>Bourion</dc:creator>
  <cp:keywords/>
  <dc:description/>
  <cp:lastModifiedBy>02</cp:lastModifiedBy>
  <cp:revision>2</cp:revision>
  <cp:lastPrinted>2016-04-28T14:59:00Z</cp:lastPrinted>
  <dcterms:created xsi:type="dcterms:W3CDTF">2016-04-29T13:15:00Z</dcterms:created>
  <dcterms:modified xsi:type="dcterms:W3CDTF">2016-04-29T13:15:00Z</dcterms:modified>
</cp:coreProperties>
</file>