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D783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D7833" w:rsidP="001D7833">
            <w:pPr>
              <w:jc w:val="right"/>
            </w:pPr>
            <w:r w:rsidRPr="001D7833">
              <w:rPr>
                <w:sz w:val="40"/>
              </w:rPr>
              <w:t>ECE</w:t>
            </w:r>
            <w:r>
              <w:t>/TRANS/WP.29/2016/33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D7833" w:rsidP="00892A2F">
            <w:pPr>
              <w:spacing w:before="240"/>
            </w:pPr>
            <w:r>
              <w:t>Distr. générale</w:t>
            </w:r>
          </w:p>
          <w:p w:rsidR="001D7833" w:rsidRDefault="001D7833" w:rsidP="001D7833">
            <w:pPr>
              <w:spacing w:line="240" w:lineRule="exact"/>
            </w:pPr>
            <w:r>
              <w:t>11 avril 2016</w:t>
            </w:r>
          </w:p>
          <w:p w:rsidR="001D7833" w:rsidRDefault="001D7833" w:rsidP="001D7833">
            <w:pPr>
              <w:spacing w:line="240" w:lineRule="exact"/>
            </w:pPr>
            <w:r>
              <w:t>Français</w:t>
            </w:r>
          </w:p>
          <w:p w:rsidR="001D7833" w:rsidRPr="00DB58B5" w:rsidRDefault="001D7833" w:rsidP="001D783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D7833" w:rsidRDefault="001D783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D7833" w:rsidRDefault="001D7833" w:rsidP="00AF0CB5">
      <w:pPr>
        <w:spacing w:before="120" w:line="240" w:lineRule="exact"/>
        <w:rPr>
          <w:b/>
        </w:rPr>
      </w:pPr>
      <w:r>
        <w:rPr>
          <w:b/>
        </w:rPr>
        <w:t>169</w:t>
      </w:r>
      <w:r w:rsidRPr="001D7833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1D7833" w:rsidRDefault="001D7833" w:rsidP="00AF0CB5">
      <w:pPr>
        <w:spacing w:line="240" w:lineRule="exact"/>
      </w:pPr>
      <w:r>
        <w:t>Genève, 21-24 juin 2016</w:t>
      </w:r>
    </w:p>
    <w:p w:rsidR="001D7833" w:rsidRDefault="001D7833" w:rsidP="00AF0CB5">
      <w:pPr>
        <w:spacing w:line="240" w:lineRule="exact"/>
      </w:pPr>
      <w:r>
        <w:t>Point 4.6.1 de l’ordre du jour provisoire</w:t>
      </w:r>
    </w:p>
    <w:p w:rsidR="001D7833" w:rsidRDefault="001D7833" w:rsidP="001D783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875C5">
        <w:rPr>
          <w:lang w:val="fr-FR"/>
        </w:rPr>
        <w:t xml:space="preserve">Accord de 1958 </w:t>
      </w:r>
      <w:r>
        <w:rPr>
          <w:lang w:val="fr-FR"/>
        </w:rPr>
        <w:t>–</w:t>
      </w:r>
      <w:r w:rsidRPr="00E875C5">
        <w:rPr>
          <w:lang w:val="fr-FR"/>
        </w:rPr>
        <w:t xml:space="preserve"> Examen de projets d’amendements </w:t>
      </w:r>
      <w:r>
        <w:rPr>
          <w:lang w:val="fr-FR"/>
        </w:rPr>
        <w:br/>
      </w:r>
      <w:r w:rsidRPr="00E875C5">
        <w:rPr>
          <w:lang w:val="fr-FR"/>
        </w:rPr>
        <w:t>à des Règlements existants, proposés par le GRS</w:t>
      </w:r>
      <w:r>
        <w:rPr>
          <w:lang w:val="fr-FR"/>
        </w:rPr>
        <w:t>P</w:t>
      </w:r>
    </w:p>
    <w:p w:rsidR="001D7833" w:rsidRDefault="001D7833" w:rsidP="00B50F7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B50F73">
        <w:rPr>
          <w:spacing w:val="-4"/>
          <w:lang w:val="fr-FR"/>
        </w:rPr>
        <w:t>Proposition de complément </w:t>
      </w:r>
      <w:r>
        <w:rPr>
          <w:spacing w:val="-4"/>
          <w:lang w:val="fr-FR"/>
        </w:rPr>
        <w:t>4</w:t>
      </w:r>
      <w:r w:rsidRPr="00E875C5">
        <w:rPr>
          <w:spacing w:val="-4"/>
          <w:lang w:val="fr-FR"/>
        </w:rPr>
        <w:t xml:space="preserve"> à la série 03 d’amendements</w:t>
      </w:r>
      <w:r w:rsidRPr="00E875C5">
        <w:rPr>
          <w:lang w:val="fr-FR"/>
        </w:rPr>
        <w:t xml:space="preserve"> </w:t>
      </w:r>
      <w:r w:rsidR="00B50F73">
        <w:rPr>
          <w:lang w:val="fr-FR"/>
        </w:rPr>
        <w:br/>
      </w:r>
      <w:r w:rsidRPr="00E875C5">
        <w:rPr>
          <w:lang w:val="fr-FR"/>
        </w:rPr>
        <w:t xml:space="preserve">au Règlement </w:t>
      </w:r>
      <w:r>
        <w:rPr>
          <w:lang w:val="fr-FR"/>
        </w:rPr>
        <w:t>n</w:t>
      </w:r>
      <w:r w:rsidRPr="00E875C5">
        <w:rPr>
          <w:vertAlign w:val="superscript"/>
          <w:lang w:val="fr-FR"/>
        </w:rPr>
        <w:t>o</w:t>
      </w:r>
      <w:r>
        <w:rPr>
          <w:lang w:val="fr-FR"/>
        </w:rPr>
        <w:t> 11</w:t>
      </w:r>
      <w:r w:rsidRPr="00E875C5">
        <w:rPr>
          <w:lang w:val="fr-FR"/>
        </w:rPr>
        <w:t xml:space="preserve"> (</w:t>
      </w:r>
      <w:r>
        <w:rPr>
          <w:lang w:val="fr-FR"/>
        </w:rPr>
        <w:t xml:space="preserve">Serrures et organes </w:t>
      </w:r>
      <w:r w:rsidR="00B50F73">
        <w:rPr>
          <w:lang w:val="fr-FR"/>
        </w:rPr>
        <w:br/>
      </w:r>
      <w:r>
        <w:rPr>
          <w:lang w:val="fr-FR"/>
        </w:rPr>
        <w:t>de fixation des portes</w:t>
      </w:r>
      <w:r w:rsidRPr="00E875C5">
        <w:rPr>
          <w:lang w:val="fr-FR"/>
        </w:rPr>
        <w:t>)</w:t>
      </w:r>
    </w:p>
    <w:p w:rsidR="001D7833" w:rsidRDefault="001D7833" w:rsidP="00B50F73">
      <w:pPr>
        <w:pStyle w:val="H1G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875C5">
        <w:rPr>
          <w:lang w:val="fr-FR"/>
        </w:rPr>
        <w:t xml:space="preserve">Communication du Groupe de travail </w:t>
      </w:r>
      <w:r>
        <w:rPr>
          <w:lang w:val="fr-FR"/>
        </w:rPr>
        <w:t>de la sécurité passive</w:t>
      </w:r>
      <w:r w:rsidRPr="001D7833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B50F73" w:rsidRDefault="001D7833" w:rsidP="00B50F73">
      <w:pPr>
        <w:pStyle w:val="SingleTxtG"/>
        <w:ind w:firstLine="567"/>
        <w:rPr>
          <w:lang w:val="fr-FR"/>
        </w:rPr>
      </w:pPr>
      <w:r w:rsidRPr="00E875C5">
        <w:rPr>
          <w:lang w:val="fr-FR"/>
        </w:rPr>
        <w:t xml:space="preserve">Le texte reproduit ci-après, adopté par le Groupe de travail </w:t>
      </w:r>
      <w:r w:rsidR="00B50F73">
        <w:rPr>
          <w:lang w:val="fr-FR"/>
        </w:rPr>
        <w:t>de la sécurité passive (GRSP)</w:t>
      </w:r>
      <w:r w:rsidRPr="00E875C5">
        <w:rPr>
          <w:lang w:val="fr-FR"/>
        </w:rPr>
        <w:t xml:space="preserve"> à sa </w:t>
      </w:r>
      <w:r w:rsidR="00B50F73">
        <w:rPr>
          <w:lang w:val="fr-FR"/>
        </w:rPr>
        <w:t>58</w:t>
      </w:r>
      <w:r w:rsidRPr="00E875C5">
        <w:rPr>
          <w:vertAlign w:val="superscript"/>
          <w:lang w:val="fr-FR"/>
        </w:rPr>
        <w:t>e</w:t>
      </w:r>
      <w:r w:rsidRPr="00E875C5">
        <w:rPr>
          <w:lang w:val="fr-FR"/>
        </w:rPr>
        <w:t> session (ECE/TRANS/WP.29/GRS</w:t>
      </w:r>
      <w:r w:rsidR="00B50F73">
        <w:rPr>
          <w:lang w:val="fr-FR"/>
        </w:rPr>
        <w:t>P</w:t>
      </w:r>
      <w:r w:rsidRPr="00E875C5">
        <w:rPr>
          <w:lang w:val="fr-FR"/>
        </w:rPr>
        <w:t>/</w:t>
      </w:r>
      <w:r w:rsidR="00B50F73">
        <w:rPr>
          <w:lang w:val="fr-FR"/>
        </w:rPr>
        <w:t>5</w:t>
      </w:r>
      <w:r w:rsidRPr="00E875C5">
        <w:rPr>
          <w:lang w:val="fr-FR"/>
        </w:rPr>
        <w:t>8, par.</w:t>
      </w:r>
      <w:r>
        <w:rPr>
          <w:lang w:val="fr-FR"/>
        </w:rPr>
        <w:t> </w:t>
      </w:r>
      <w:r w:rsidRPr="00E875C5">
        <w:rPr>
          <w:lang w:val="fr-FR"/>
        </w:rPr>
        <w:t>1</w:t>
      </w:r>
      <w:r w:rsidR="00B50F73">
        <w:rPr>
          <w:lang w:val="fr-FR"/>
        </w:rPr>
        <w:t>6</w:t>
      </w:r>
      <w:r w:rsidRPr="00E875C5">
        <w:rPr>
          <w:lang w:val="fr-FR"/>
        </w:rPr>
        <w:t>), est fondé principalement sur le document ECE/TRANS/WP.29/GRS</w:t>
      </w:r>
      <w:r w:rsidR="00B50F73">
        <w:rPr>
          <w:lang w:val="fr-FR"/>
        </w:rPr>
        <w:t>P</w:t>
      </w:r>
      <w:r w:rsidRPr="00E875C5">
        <w:rPr>
          <w:lang w:val="fr-FR"/>
        </w:rPr>
        <w:t>/2015/2</w:t>
      </w:r>
      <w:r w:rsidR="00B50F73">
        <w:rPr>
          <w:lang w:val="fr-FR"/>
        </w:rPr>
        <w:t>6, non amendé</w:t>
      </w:r>
      <w:r w:rsidRPr="00E875C5">
        <w:rPr>
          <w:lang w:val="fr-FR"/>
        </w:rPr>
        <w:t>. Il est soumis au Forum mondial de l’harmonisation des Règlements concernant les véhicules (WP.29)</w:t>
      </w:r>
      <w:r w:rsidR="00B50F73">
        <w:rPr>
          <w:lang w:val="fr-FR"/>
        </w:rPr>
        <w:t xml:space="preserve"> et au Comité d’administration </w:t>
      </w:r>
      <w:r w:rsidRPr="00E875C5">
        <w:rPr>
          <w:lang w:val="fr-FR"/>
        </w:rPr>
        <w:t>AC.1</w:t>
      </w:r>
      <w:r w:rsidR="00B50F73">
        <w:rPr>
          <w:lang w:val="fr-FR"/>
        </w:rPr>
        <w:t xml:space="preserve"> pour examen</w:t>
      </w:r>
      <w:r w:rsidRPr="00E875C5">
        <w:rPr>
          <w:lang w:val="fr-FR"/>
        </w:rPr>
        <w:t>.</w:t>
      </w:r>
    </w:p>
    <w:p w:rsidR="00F9573C" w:rsidRDefault="00B50F73" w:rsidP="00E043AD">
      <w:pPr>
        <w:pStyle w:val="HChG"/>
        <w:rPr>
          <w:lang w:val="fr-FR"/>
        </w:rPr>
      </w:pPr>
      <w:r>
        <w:rPr>
          <w:lang w:val="fr-FR"/>
        </w:rPr>
        <w:br w:type="page"/>
      </w:r>
      <w:r w:rsidR="00E043AD">
        <w:rPr>
          <w:lang w:val="fr-FR"/>
        </w:rPr>
        <w:lastRenderedPageBreak/>
        <w:tab/>
      </w:r>
      <w:r w:rsidR="00E043AD">
        <w:rPr>
          <w:lang w:val="fr-FR"/>
        </w:rPr>
        <w:tab/>
      </w:r>
      <w:r w:rsidR="009A283C">
        <w:rPr>
          <w:lang w:val="fr-FR"/>
        </w:rPr>
        <w:t>Complément 4 à la série </w:t>
      </w:r>
      <w:r w:rsidR="00E043AD">
        <w:rPr>
          <w:lang w:val="fr-FR"/>
        </w:rPr>
        <w:t xml:space="preserve">03 d’amendements </w:t>
      </w:r>
      <w:r w:rsidR="009A283C">
        <w:rPr>
          <w:lang w:val="fr-FR"/>
        </w:rPr>
        <w:br/>
      </w:r>
      <w:r w:rsidR="00E043AD">
        <w:rPr>
          <w:lang w:val="fr-FR"/>
        </w:rPr>
        <w:t xml:space="preserve">au Règlement </w:t>
      </w:r>
      <w:r w:rsidR="00E043AD" w:rsidRPr="00E043AD">
        <w:rPr>
          <w:rFonts w:eastAsia="MS Mincho"/>
          <w:lang w:val="fr-FR"/>
        </w:rPr>
        <w:t>n</w:t>
      </w:r>
      <w:r w:rsidR="00E043AD" w:rsidRPr="00E043AD">
        <w:rPr>
          <w:rFonts w:eastAsia="MS Mincho"/>
          <w:vertAlign w:val="superscript"/>
          <w:lang w:val="fr-FR"/>
        </w:rPr>
        <w:t>o</w:t>
      </w:r>
      <w:r w:rsidR="00E043AD">
        <w:rPr>
          <w:lang w:val="fr-FR"/>
        </w:rPr>
        <w:t xml:space="preserve"> 11 (Serrures et organes </w:t>
      </w:r>
      <w:r w:rsidR="009A283C">
        <w:rPr>
          <w:lang w:val="fr-FR"/>
        </w:rPr>
        <w:br/>
      </w:r>
      <w:r w:rsidR="00E043AD">
        <w:rPr>
          <w:lang w:val="fr-FR"/>
        </w:rPr>
        <w:t>de fixation des portes)</w:t>
      </w:r>
    </w:p>
    <w:p w:rsidR="00E043AD" w:rsidRPr="00B37463" w:rsidRDefault="00E043AD" w:rsidP="00E043AD">
      <w:pPr>
        <w:pStyle w:val="SingleTxtG"/>
        <w:keepNext/>
        <w:keepLines/>
      </w:pPr>
      <w:r w:rsidRPr="00E043AD">
        <w:rPr>
          <w:i/>
        </w:rPr>
        <w:t>Ajouter un nouveau paragraphe</w:t>
      </w:r>
      <w:r w:rsidRPr="00B37463">
        <w:t>, comme suit :</w:t>
      </w:r>
    </w:p>
    <w:p w:rsidR="00E043AD" w:rsidRPr="00B37463" w:rsidRDefault="00E043AD" w:rsidP="00E043AD">
      <w:pPr>
        <w:pStyle w:val="SingleTxtG"/>
        <w:rPr>
          <w:iCs/>
        </w:rPr>
      </w:pPr>
      <w:r w:rsidRPr="00B37463">
        <w:t>« </w:t>
      </w:r>
      <w:r w:rsidRPr="00B37463">
        <w:rPr>
          <w:iCs/>
        </w:rPr>
        <w:t>6.3.3</w:t>
      </w:r>
      <w:r w:rsidRPr="00B37463">
        <w:rPr>
          <w:iCs/>
        </w:rPr>
        <w:tab/>
      </w:r>
      <w:r>
        <w:rPr>
          <w:iCs/>
        </w:rPr>
        <w:tab/>
      </w:r>
      <w:r w:rsidRPr="00B37463">
        <w:t>Portes arrière</w:t>
      </w:r>
    </w:p>
    <w:p w:rsidR="00E043AD" w:rsidRPr="00B37463" w:rsidRDefault="00E043AD" w:rsidP="00E043AD">
      <w:pPr>
        <w:pStyle w:val="SingleTxtG"/>
        <w:ind w:left="2268" w:hanging="1134"/>
      </w:pPr>
      <w:r w:rsidRPr="00B37463">
        <w:tab/>
      </w:r>
      <w:r w:rsidRPr="00B37463">
        <w:tab/>
        <w:t>Chaque porte arrière équipée d</w:t>
      </w:r>
      <w:r>
        <w:t>’</w:t>
      </w:r>
      <w:r w:rsidRPr="00B37463">
        <w:t xml:space="preserve">une poignée intérieure ou </w:t>
      </w:r>
      <w:r>
        <w:t>toute</w:t>
      </w:r>
      <w:r w:rsidRPr="00B37463">
        <w:t xml:space="preserve"> autre commande intérieure d</w:t>
      </w:r>
      <w:r>
        <w:t>’</w:t>
      </w:r>
      <w:r w:rsidRPr="00B37463">
        <w:t>ouverture doit être munie d</w:t>
      </w:r>
      <w:r>
        <w:t>’</w:t>
      </w:r>
      <w:r w:rsidRPr="00B37463">
        <w:t>au moins un dispositif de verrouillage situé à l</w:t>
      </w:r>
      <w:r>
        <w:t>’</w:t>
      </w:r>
      <w:r w:rsidRPr="00B37463">
        <w:t>intérieur du véhicule qui, lorsqu</w:t>
      </w:r>
      <w:r>
        <w:t>’</w:t>
      </w:r>
      <w:r w:rsidRPr="00B37463">
        <w:t xml:space="preserve">il est en position fermée, bloque la poignée intérieure ou </w:t>
      </w:r>
      <w:r>
        <w:t xml:space="preserve">toute </w:t>
      </w:r>
      <w:r w:rsidRPr="00B37463">
        <w:t>autre commande intérieure d</w:t>
      </w:r>
      <w:r>
        <w:t>’</w:t>
      </w:r>
      <w:r w:rsidRPr="00B37463">
        <w:t xml:space="preserve">ouverture et qui nécessite des </w:t>
      </w:r>
      <w:r>
        <w:t>manœuvre</w:t>
      </w:r>
      <w:r w:rsidRPr="00B37463">
        <w:t xml:space="preserve">s distinctes pour déverrouiller la porte et actionner la poignée intérieure ou </w:t>
      </w:r>
      <w:r>
        <w:t xml:space="preserve">toute </w:t>
      </w:r>
      <w:r w:rsidRPr="00B37463">
        <w:t>autre commande intérieure d</w:t>
      </w:r>
      <w:r>
        <w:t>’</w:t>
      </w:r>
      <w:r w:rsidRPr="00B37463">
        <w:t>ouverture.</w:t>
      </w:r>
    </w:p>
    <w:p w:rsidR="00E043AD" w:rsidRPr="00D03E02" w:rsidRDefault="00E043AD" w:rsidP="00E043AD">
      <w:pPr>
        <w:pStyle w:val="SingleTxtG"/>
        <w:keepNext/>
        <w:keepLines/>
      </w:pPr>
      <w:r w:rsidRPr="00D03E02">
        <w:t>6.3.3.1</w:t>
      </w:r>
      <w:r w:rsidRPr="00D03E02">
        <w:tab/>
      </w:r>
      <w:r w:rsidRPr="00D03E02">
        <w:tab/>
        <w:t>Le dispositif de verrouillage peut être :</w:t>
      </w:r>
    </w:p>
    <w:p w:rsidR="00E043AD" w:rsidRPr="00D03E02" w:rsidRDefault="00E043AD" w:rsidP="00E043AD">
      <w:pPr>
        <w:pStyle w:val="SingleTxtG"/>
      </w:pPr>
      <w:r w:rsidRPr="00D03E02">
        <w:tab/>
      </w:r>
      <w:r w:rsidRPr="00D03E02">
        <w:tab/>
        <w:t>a)</w:t>
      </w:r>
      <w:r w:rsidRPr="00D03E02">
        <w:tab/>
        <w:t>Un système de verrouillage de sécurité pour enfants ; ou</w:t>
      </w:r>
    </w:p>
    <w:p w:rsidR="00E043AD" w:rsidRPr="00D03E02" w:rsidRDefault="00E043AD" w:rsidP="00E043AD">
      <w:pPr>
        <w:pStyle w:val="SingleTxtG"/>
        <w:ind w:left="2835" w:hanging="567"/>
      </w:pPr>
      <w:r w:rsidRPr="00D03E02">
        <w:t>b)</w:t>
      </w:r>
      <w:r w:rsidRPr="00D03E02">
        <w:tab/>
        <w:t>Un dispositif de verrouillage/déverrouillage situé à l’intérieur du véhicule et facilement accessible ; ou</w:t>
      </w:r>
    </w:p>
    <w:p w:rsidR="00E043AD" w:rsidRPr="00D03E02" w:rsidRDefault="00E043AD" w:rsidP="00E043AD">
      <w:pPr>
        <w:pStyle w:val="SingleTxtG"/>
        <w:ind w:left="2835" w:hanging="567"/>
      </w:pPr>
      <w:r w:rsidRPr="00D03E02">
        <w:t>c)</w:t>
      </w:r>
      <w:r w:rsidRPr="00D03E02">
        <w:tab/>
        <w:t>Un système qui rend la poignée intérieure ou toute autre commande intérieure d’ouverture de cette porte inopérante lorsque la vitesse du véhicule atteint ou dépasse 4 km/h ; ou</w:t>
      </w:r>
    </w:p>
    <w:p w:rsidR="00E043AD" w:rsidRPr="00D03E02" w:rsidRDefault="00E043AD" w:rsidP="00E043AD">
      <w:pPr>
        <w:pStyle w:val="SingleTxtG"/>
        <w:ind w:left="2835" w:hanging="567"/>
      </w:pPr>
      <w:r w:rsidRPr="00D03E02">
        <w:t>d)</w:t>
      </w:r>
      <w:r w:rsidRPr="00D03E02">
        <w:tab/>
        <w:t>Toute combinaison des éléments a), b) ou c) ci-dessus ».</w:t>
      </w:r>
    </w:p>
    <w:p w:rsidR="00A2398B" w:rsidRPr="00A2398B" w:rsidRDefault="00A2398B" w:rsidP="00A2398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398B" w:rsidRPr="00A2398B" w:rsidSect="001D783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08" w:rsidRDefault="00260908" w:rsidP="00F95C08">
      <w:pPr>
        <w:spacing w:line="240" w:lineRule="auto"/>
      </w:pPr>
    </w:p>
  </w:endnote>
  <w:endnote w:type="continuationSeparator" w:id="0">
    <w:p w:rsidR="00260908" w:rsidRPr="00AC3823" w:rsidRDefault="00260908" w:rsidP="00AC3823">
      <w:pPr>
        <w:pStyle w:val="Footer"/>
      </w:pPr>
    </w:p>
  </w:endnote>
  <w:endnote w:type="continuationNotice" w:id="1">
    <w:p w:rsidR="00260908" w:rsidRDefault="002609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33" w:rsidRPr="001D7833" w:rsidRDefault="001D7833" w:rsidP="001D7833">
    <w:pPr>
      <w:pStyle w:val="Footer"/>
      <w:tabs>
        <w:tab w:val="right" w:pos="9638"/>
      </w:tabs>
    </w:pPr>
    <w:r w:rsidRPr="001D7833">
      <w:rPr>
        <w:b/>
        <w:sz w:val="18"/>
      </w:rPr>
      <w:fldChar w:fldCharType="begin"/>
    </w:r>
    <w:r w:rsidRPr="001D7833">
      <w:rPr>
        <w:b/>
        <w:sz w:val="18"/>
      </w:rPr>
      <w:instrText xml:space="preserve"> PAGE  \* MERGEFORMAT </w:instrText>
    </w:r>
    <w:r w:rsidRPr="001D7833">
      <w:rPr>
        <w:b/>
        <w:sz w:val="18"/>
      </w:rPr>
      <w:fldChar w:fldCharType="separate"/>
    </w:r>
    <w:r w:rsidR="0051497F">
      <w:rPr>
        <w:b/>
        <w:noProof/>
        <w:sz w:val="18"/>
      </w:rPr>
      <w:t>2</w:t>
    </w:r>
    <w:r w:rsidRPr="001D7833">
      <w:rPr>
        <w:b/>
        <w:sz w:val="18"/>
      </w:rPr>
      <w:fldChar w:fldCharType="end"/>
    </w:r>
    <w:r>
      <w:rPr>
        <w:b/>
        <w:sz w:val="18"/>
      </w:rPr>
      <w:tab/>
    </w:r>
    <w:r>
      <w:t>GE.16-05873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33" w:rsidRPr="001D7833" w:rsidRDefault="001D7833" w:rsidP="001D7833">
    <w:pPr>
      <w:pStyle w:val="Footer"/>
      <w:tabs>
        <w:tab w:val="right" w:pos="9638"/>
      </w:tabs>
      <w:rPr>
        <w:b/>
        <w:sz w:val="18"/>
      </w:rPr>
    </w:pPr>
    <w:r>
      <w:t>GE.16-05873</w:t>
    </w:r>
    <w:r>
      <w:tab/>
    </w:r>
    <w:r w:rsidRPr="001D7833">
      <w:rPr>
        <w:b/>
        <w:sz w:val="18"/>
      </w:rPr>
      <w:fldChar w:fldCharType="begin"/>
    </w:r>
    <w:r w:rsidRPr="001D7833">
      <w:rPr>
        <w:b/>
        <w:sz w:val="18"/>
      </w:rPr>
      <w:instrText xml:space="preserve"> PAGE  \* MERGEFORMAT </w:instrText>
    </w:r>
    <w:r w:rsidRPr="001D783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78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D7833" w:rsidRDefault="001D7833" w:rsidP="001D783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7B57CBA6" wp14:editId="722C9D5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16-05873  (F)    270416    280416</w:t>
    </w:r>
    <w:r>
      <w:rPr>
        <w:sz w:val="20"/>
      </w:rPr>
      <w:br/>
    </w:r>
    <w:r w:rsidRPr="001D7833">
      <w:rPr>
        <w:rFonts w:ascii="C39T30Lfz" w:hAnsi="C39T30Lfz"/>
        <w:sz w:val="56"/>
      </w:rPr>
      <w:t></w:t>
    </w:r>
    <w:r w:rsidRPr="001D7833">
      <w:rPr>
        <w:rFonts w:ascii="C39T30Lfz" w:hAnsi="C39T30Lfz"/>
        <w:sz w:val="56"/>
      </w:rPr>
      <w:t></w:t>
    </w:r>
    <w:r w:rsidRPr="001D7833">
      <w:rPr>
        <w:rFonts w:ascii="C39T30Lfz" w:hAnsi="C39T30Lfz"/>
        <w:sz w:val="56"/>
      </w:rPr>
      <w:t></w:t>
    </w:r>
    <w:r w:rsidRPr="001D7833">
      <w:rPr>
        <w:rFonts w:ascii="C39T30Lfz" w:hAnsi="C39T30Lfz"/>
        <w:sz w:val="56"/>
      </w:rPr>
      <w:t></w:t>
    </w:r>
    <w:r w:rsidRPr="001D7833">
      <w:rPr>
        <w:rFonts w:ascii="C39T30Lfz" w:hAnsi="C39T30Lfz"/>
        <w:sz w:val="56"/>
      </w:rPr>
      <w:t></w:t>
    </w:r>
    <w:r w:rsidRPr="001D7833">
      <w:rPr>
        <w:rFonts w:ascii="C39T30Lfz" w:hAnsi="C39T30Lfz"/>
        <w:sz w:val="56"/>
      </w:rPr>
      <w:t></w:t>
    </w:r>
    <w:r w:rsidRPr="001D7833">
      <w:rPr>
        <w:rFonts w:ascii="C39T30Lfz" w:hAnsi="C39T30Lfz"/>
        <w:sz w:val="56"/>
      </w:rPr>
      <w:t></w:t>
    </w:r>
    <w:r w:rsidRPr="001D7833">
      <w:rPr>
        <w:rFonts w:ascii="C39T30Lfz" w:hAnsi="C39T30Lfz"/>
        <w:sz w:val="56"/>
      </w:rPr>
      <w:t></w:t>
    </w:r>
    <w:r w:rsidRPr="001D7833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3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3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08" w:rsidRPr="00AC3823" w:rsidRDefault="002609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60908" w:rsidRPr="00AC3823" w:rsidRDefault="002609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60908" w:rsidRPr="00AC3823" w:rsidRDefault="00260908">
      <w:pPr>
        <w:spacing w:line="240" w:lineRule="auto"/>
        <w:rPr>
          <w:sz w:val="2"/>
          <w:szCs w:val="2"/>
        </w:rPr>
      </w:pPr>
    </w:p>
  </w:footnote>
  <w:footnote w:id="2">
    <w:p w:rsidR="001D7833" w:rsidRPr="00E875C5" w:rsidRDefault="001D7833" w:rsidP="001D783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B50F73">
        <w:tab/>
      </w:r>
      <w:r w:rsidRPr="00B50F73">
        <w:t>*</w:t>
      </w:r>
      <w:r>
        <w:tab/>
      </w:r>
      <w:r w:rsidRPr="00352E86">
        <w:rPr>
          <w:spacing w:val="2"/>
        </w:rPr>
        <w:t>Conformément au programme de travail du Comité des transports intérieurs pour la période 201</w:t>
      </w:r>
      <w:r w:rsidR="00B50F73">
        <w:rPr>
          <w:spacing w:val="2"/>
        </w:rPr>
        <w:t>6</w:t>
      </w:r>
      <w:r w:rsidRPr="00352E86">
        <w:rPr>
          <w:spacing w:val="2"/>
        </w:rPr>
        <w:t>-201</w:t>
      </w:r>
      <w:r w:rsidR="00B50F73">
        <w:rPr>
          <w:spacing w:val="2"/>
        </w:rPr>
        <w:t xml:space="preserve">7 </w:t>
      </w:r>
      <w:r w:rsidRPr="00352E86">
        <w:rPr>
          <w:spacing w:val="2"/>
        </w:rPr>
        <w:t>(ECE/TRANS/2</w:t>
      </w:r>
      <w:r w:rsidR="00B50F73">
        <w:rPr>
          <w:spacing w:val="2"/>
        </w:rPr>
        <w:t>54</w:t>
      </w:r>
      <w:r w:rsidRPr="00352E86">
        <w:rPr>
          <w:spacing w:val="2"/>
        </w:rPr>
        <w:t>, par. 1</w:t>
      </w:r>
      <w:r w:rsidR="00B50F73">
        <w:rPr>
          <w:spacing w:val="2"/>
        </w:rPr>
        <w:t>59</w:t>
      </w:r>
      <w:r w:rsidRPr="00352E86">
        <w:rPr>
          <w:spacing w:val="2"/>
        </w:rPr>
        <w:t>, et ECE/TRANS/201</w:t>
      </w:r>
      <w:r w:rsidR="00B50F73">
        <w:rPr>
          <w:spacing w:val="2"/>
        </w:rPr>
        <w:t>6</w:t>
      </w:r>
      <w:r w:rsidRPr="00352E86">
        <w:rPr>
          <w:spacing w:val="2"/>
        </w:rPr>
        <w:t>/2</w:t>
      </w:r>
      <w:r w:rsidR="00B50F73">
        <w:rPr>
          <w:spacing w:val="2"/>
        </w:rPr>
        <w:t>8/Add.1</w:t>
      </w:r>
      <w:r w:rsidRPr="00352E86">
        <w:rPr>
          <w:spacing w:val="2"/>
        </w:rPr>
        <w:t xml:space="preserve">, activité </w:t>
      </w:r>
      <w:r w:rsidR="00B50F73">
        <w:rPr>
          <w:spacing w:val="2"/>
        </w:rPr>
        <w:t>3.1</w:t>
      </w:r>
      <w:r w:rsidRPr="00352E86">
        <w:rPr>
          <w:spacing w:val="2"/>
        </w:rPr>
        <w:t>), le</w:t>
      </w:r>
      <w:r w:rsidR="00B50F73">
        <w:rPr>
          <w:spacing w:val="2"/>
        </w:rPr>
        <w:t> </w:t>
      </w:r>
      <w:r w:rsidRPr="00352E86">
        <w:rPr>
          <w:spacing w:val="2"/>
        </w:rPr>
        <w:t>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33" w:rsidRPr="001D7833" w:rsidRDefault="001D7833">
    <w:pPr>
      <w:pStyle w:val="Header"/>
    </w:pPr>
    <w:r>
      <w:t>ECE/TRANS/WP.29/2016/33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33" w:rsidRPr="001D7833" w:rsidRDefault="001D7833" w:rsidP="001D7833">
    <w:pPr>
      <w:pStyle w:val="Header"/>
      <w:jc w:val="right"/>
    </w:pPr>
    <w:r>
      <w:t>ECE/TRANS/WP.29/2016/33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08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D7833"/>
    <w:rsid w:val="001F525A"/>
    <w:rsid w:val="00223272"/>
    <w:rsid w:val="0024779E"/>
    <w:rsid w:val="00257168"/>
    <w:rsid w:val="0026090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1497F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705C8"/>
    <w:rsid w:val="009A283C"/>
    <w:rsid w:val="009C1CF4"/>
    <w:rsid w:val="009F6B74"/>
    <w:rsid w:val="00A2398B"/>
    <w:rsid w:val="00A30353"/>
    <w:rsid w:val="00AC3823"/>
    <w:rsid w:val="00AE323C"/>
    <w:rsid w:val="00AF0CB5"/>
    <w:rsid w:val="00B00181"/>
    <w:rsid w:val="00B00B0D"/>
    <w:rsid w:val="00B50F73"/>
    <w:rsid w:val="00B765F7"/>
    <w:rsid w:val="00BA0CA9"/>
    <w:rsid w:val="00C02897"/>
    <w:rsid w:val="00D03E02"/>
    <w:rsid w:val="00D3439C"/>
    <w:rsid w:val="00DB1831"/>
    <w:rsid w:val="00DC632D"/>
    <w:rsid w:val="00DD3BFD"/>
    <w:rsid w:val="00DF6678"/>
    <w:rsid w:val="00E043AD"/>
    <w:rsid w:val="00E85C74"/>
    <w:rsid w:val="00EA6547"/>
    <w:rsid w:val="00EF2E22"/>
    <w:rsid w:val="00F036D7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E1AFD6-DA3A-4296-A77D-C4534D19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H1">
    <w:name w:val="_ H_1"/>
    <w:basedOn w:val="Normal"/>
    <w:next w:val="SingleTxt"/>
    <w:qFormat/>
    <w:rsid w:val="001D7833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CH">
    <w:name w:val="_ H _CH"/>
    <w:basedOn w:val="H1"/>
    <w:next w:val="SingleTxt"/>
    <w:qFormat/>
    <w:rsid w:val="001D7833"/>
    <w:pPr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1D7833"/>
    <w:pPr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qFormat/>
    <w:rsid w:val="001D783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ECE/TRANS/WP.29/2016/33</vt:lpstr>
      <vt:lpstr/>
    </vt:vector>
  </TitlesOfParts>
  <Company>DCM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ECE/TRANS/WP.29/2016/33</dc:title>
  <dc:subject/>
  <dc:creator>Bourion</dc:creator>
  <cp:keywords/>
  <dc:description/>
  <cp:lastModifiedBy>02</cp:lastModifiedBy>
  <cp:revision>2</cp:revision>
  <cp:lastPrinted>2016-04-28T14:18:00Z</cp:lastPrinted>
  <dcterms:created xsi:type="dcterms:W3CDTF">2016-04-29T13:12:00Z</dcterms:created>
  <dcterms:modified xsi:type="dcterms:W3CDTF">2016-04-29T13:12:00Z</dcterms:modified>
</cp:coreProperties>
</file>