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E7675">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2C5425">
              <w:rPr>
                <w:lang w:val="en-GB"/>
              </w:rPr>
              <w:t>2</w:t>
            </w:r>
            <w:r w:rsidR="001E7675">
              <w:rPr>
                <w:lang w:val="en-GB"/>
              </w:rPr>
              <w:t>4</w:t>
            </w:r>
          </w:p>
        </w:tc>
      </w:tr>
      <w:tr w:rsidR="00AF2205" w:rsidRPr="00850B01"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F4A2C" w:rsidP="00DB57ED">
            <w:pPr>
              <w:spacing w:line="240" w:lineRule="exact"/>
              <w:rPr>
                <w:lang w:val="en-GB"/>
              </w:rPr>
            </w:pPr>
            <w:r>
              <w:rPr>
                <w:lang w:val="en-GB"/>
              </w:rPr>
              <w:t>2</w:t>
            </w:r>
            <w:r w:rsidR="00D67025">
              <w:rPr>
                <w:lang w:val="en-GB"/>
              </w:rPr>
              <w:t>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8F06C3">
        <w:rPr>
          <w:lang w:val="en-GB"/>
        </w:rPr>
        <w:t>9</w:t>
      </w:r>
      <w:r w:rsidR="00A90EA8">
        <w:rPr>
          <w:lang w:val="en-GB"/>
        </w:rPr>
        <w:t>.</w:t>
      </w:r>
      <w:r w:rsidR="001E7675">
        <w:rPr>
          <w:lang w:val="en-GB"/>
        </w:rPr>
        <w:t>9</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R</w:t>
      </w:r>
      <w:r w:rsidR="008F06C3">
        <w:rPr>
          <w:b/>
          <w:lang w:val="en-GB"/>
        </w:rPr>
        <w:t>E</w:t>
      </w:r>
      <w:r w:rsidR="002F19E1">
        <w:rPr>
          <w:b/>
          <w:lang w:val="en-GB"/>
        </w:rPr>
        <w:t xml:space="preserve"> </w:t>
      </w:r>
    </w:p>
    <w:p w:rsidR="002873BA" w:rsidRPr="00A90EA8" w:rsidRDefault="001E7675" w:rsidP="00CA1678">
      <w:pPr>
        <w:pStyle w:val="HChG"/>
        <w:tabs>
          <w:tab w:val="clear" w:pos="851"/>
        </w:tabs>
        <w:ind w:firstLine="0"/>
        <w:jc w:val="both"/>
        <w:rPr>
          <w:lang w:val="en-GB"/>
        </w:rPr>
      </w:pPr>
      <w:r w:rsidRPr="001E7675">
        <w:rPr>
          <w:lang w:val="en-GB"/>
        </w:rPr>
        <w:t>Proposal for Supplement 6 to the 01 series of amendments to Regulation No. 113 (Headlamps emitt</w:t>
      </w:r>
      <w:r w:rsidR="005D5CA1">
        <w:rPr>
          <w:lang w:val="en-GB"/>
        </w:rPr>
        <w:t>ing a symmetrical passing-beam)</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 xml:space="preserve">seventy-fourth </w:t>
      </w:r>
      <w:r w:rsidRPr="00A90EA8">
        <w:rPr>
          <w:lang w:val="en-GB"/>
        </w:rPr>
        <w:t xml:space="preserve">session </w:t>
      </w:r>
      <w:r w:rsidR="0056156D">
        <w:rPr>
          <w:lang w:val="en-GB"/>
        </w:rPr>
        <w:t>(</w:t>
      </w:r>
      <w:r w:rsidR="002516A0" w:rsidRPr="002516A0">
        <w:rPr>
          <w:lang w:val="en-GB"/>
        </w:rPr>
        <w:t xml:space="preserve">ECE/TRANS/WP.29/GRE/74, para. </w:t>
      </w:r>
      <w:r w:rsidR="001E7675">
        <w:rPr>
          <w:lang w:val="en-GB"/>
        </w:rPr>
        <w:t>35</w:t>
      </w:r>
      <w:r w:rsidR="0056156D">
        <w:rPr>
          <w:lang w:val="en-GB"/>
        </w:rPr>
        <w:t xml:space="preserve">). It is based </w:t>
      </w:r>
      <w:r w:rsidR="001E7675" w:rsidRPr="001E7675">
        <w:rPr>
          <w:lang w:val="en-GB"/>
        </w:rPr>
        <w:t>on ECE/TRANS/WP.29/GRE/2015/17</w:t>
      </w:r>
      <w:r w:rsidR="0056156D">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1E7675" w:rsidRPr="00491358" w:rsidRDefault="001E7675" w:rsidP="001E7675">
      <w:pPr>
        <w:widowControl w:val="0"/>
        <w:suppressAutoHyphens w:val="0"/>
        <w:autoSpaceDE w:val="0"/>
        <w:autoSpaceDN w:val="0"/>
        <w:adjustRightInd w:val="0"/>
        <w:spacing w:after="120"/>
        <w:ind w:left="2268" w:right="1134" w:hanging="1134"/>
        <w:jc w:val="both"/>
        <w:rPr>
          <w:lang w:val="en-US" w:eastAsia="ja-JP"/>
        </w:rPr>
      </w:pPr>
      <w:r w:rsidRPr="00491358">
        <w:rPr>
          <w:i/>
          <w:lang w:val="en-US" w:eastAsia="ja-JP"/>
        </w:rPr>
        <w:lastRenderedPageBreak/>
        <w:t>Paragraph 6.2.6.1.</w:t>
      </w:r>
      <w:r w:rsidRPr="00491358">
        <w:rPr>
          <w:lang w:val="en-US" w:eastAsia="ja-JP"/>
        </w:rPr>
        <w:t>, to be deleted</w:t>
      </w:r>
      <w:r>
        <w:rPr>
          <w:lang w:val="en-US" w:eastAsia="ja-JP"/>
        </w:rPr>
        <w:t>.</w:t>
      </w:r>
    </w:p>
    <w:p w:rsidR="001E7675" w:rsidRPr="00833030" w:rsidRDefault="001E7675" w:rsidP="001E7675">
      <w:pPr>
        <w:widowControl w:val="0"/>
        <w:suppressAutoHyphens w:val="0"/>
        <w:autoSpaceDE w:val="0"/>
        <w:autoSpaceDN w:val="0"/>
        <w:adjustRightInd w:val="0"/>
        <w:spacing w:after="120"/>
        <w:ind w:left="2268" w:right="1134" w:hanging="1134"/>
        <w:jc w:val="both"/>
        <w:rPr>
          <w:lang w:val="en-US" w:eastAsia="ja-JP"/>
        </w:rPr>
      </w:pPr>
      <w:r w:rsidRPr="00833030">
        <w:rPr>
          <w:i/>
          <w:lang w:val="en-US" w:eastAsia="ja-JP"/>
        </w:rPr>
        <w:t>Paragraph 6.2.7.</w:t>
      </w:r>
      <w:r w:rsidRPr="00833030">
        <w:rPr>
          <w:lang w:val="en-US" w:eastAsia="ja-JP"/>
        </w:rPr>
        <w:t>, amend to read:</w:t>
      </w:r>
    </w:p>
    <w:p w:rsidR="001E7675" w:rsidRPr="0083128F" w:rsidRDefault="001E7675" w:rsidP="001E7675">
      <w:pPr>
        <w:widowControl w:val="0"/>
        <w:tabs>
          <w:tab w:val="left" w:pos="1560"/>
        </w:tabs>
        <w:suppressAutoHyphens w:val="0"/>
        <w:autoSpaceDE w:val="0"/>
        <w:autoSpaceDN w:val="0"/>
        <w:adjustRightInd w:val="0"/>
        <w:spacing w:after="120"/>
        <w:ind w:left="2268" w:right="1134" w:hanging="1134"/>
        <w:jc w:val="both"/>
        <w:rPr>
          <w:lang w:val="en-US" w:eastAsia="ja-JP"/>
        </w:rPr>
      </w:pPr>
      <w:r>
        <w:rPr>
          <w:lang w:val="en-US" w:eastAsia="ja-JP"/>
        </w:rPr>
        <w:t>"</w:t>
      </w:r>
      <w:r w:rsidRPr="00833030">
        <w:rPr>
          <w:lang w:val="en-US" w:eastAsia="ja-JP"/>
        </w:rPr>
        <w:t>6.2.7.</w:t>
      </w:r>
      <w:r w:rsidRPr="00833030">
        <w:rPr>
          <w:lang w:val="en-US" w:eastAsia="ja-JP"/>
        </w:rPr>
        <w:tab/>
      </w:r>
      <w:r w:rsidRPr="0083128F">
        <w:rPr>
          <w:lang w:val="en-US" w:eastAsia="ja-JP"/>
        </w:rPr>
        <w:t xml:space="preserve">Either one or two filament light sources (Classes A, B, C, D) or one gas discharge light source (Class E) or one or more LED module(s) (Classes A, B, C, D, E) are permitted for the </w:t>
      </w:r>
      <w:r w:rsidRPr="00A565D5">
        <w:rPr>
          <w:lang w:val="en-US" w:eastAsia="ja-JP"/>
        </w:rPr>
        <w:t>principal passing</w:t>
      </w:r>
      <w:r w:rsidR="005D5CA1" w:rsidRPr="00A565D5">
        <w:rPr>
          <w:lang w:val="en-US" w:eastAsia="ja-JP"/>
        </w:rPr>
        <w:t>-</w:t>
      </w:r>
      <w:r w:rsidRPr="00A565D5">
        <w:rPr>
          <w:lang w:val="en-US" w:eastAsia="ja-JP"/>
        </w:rPr>
        <w:t>beam."</w:t>
      </w:r>
    </w:p>
    <w:p w:rsidR="001E7675" w:rsidRPr="0083128F" w:rsidRDefault="001E7675" w:rsidP="001E7675">
      <w:pPr>
        <w:suppressAutoHyphens w:val="0"/>
        <w:spacing w:after="120"/>
        <w:ind w:left="2268" w:right="1134" w:hanging="1134"/>
        <w:jc w:val="both"/>
        <w:rPr>
          <w:lang w:val="en-US" w:eastAsia="ja-JP"/>
        </w:rPr>
      </w:pPr>
      <w:r w:rsidRPr="0083128F">
        <w:rPr>
          <w:i/>
          <w:lang w:val="en-US" w:eastAsia="ja-JP"/>
        </w:rPr>
        <w:t>Paragraph 6.3.2.,</w:t>
      </w:r>
      <w:r w:rsidRPr="0083128F">
        <w:rPr>
          <w:lang w:val="en-US" w:eastAsia="ja-JP"/>
        </w:rPr>
        <w:t xml:space="preserve"> amend to read:</w:t>
      </w:r>
    </w:p>
    <w:p w:rsidR="001E7675" w:rsidRPr="0083128F" w:rsidRDefault="001E7675" w:rsidP="001E7675">
      <w:pPr>
        <w:tabs>
          <w:tab w:val="left" w:pos="1560"/>
        </w:tabs>
        <w:suppressAutoHyphens w:val="0"/>
        <w:spacing w:after="120"/>
        <w:ind w:left="2268" w:right="1134" w:hanging="1134"/>
        <w:jc w:val="both"/>
        <w:rPr>
          <w:lang w:val="en-US" w:eastAsia="ja-JP"/>
        </w:rPr>
      </w:pPr>
      <w:r w:rsidRPr="0083128F">
        <w:rPr>
          <w:lang w:val="en-US" w:eastAsia="ja-JP"/>
        </w:rPr>
        <w:t>"6.3.2.</w:t>
      </w:r>
      <w:r w:rsidRPr="0083128F">
        <w:rPr>
          <w:lang w:val="en-US" w:eastAsia="ja-JP"/>
        </w:rPr>
        <w:tab/>
        <w:t>Irrespective of type of light source (LED module(s) or filament light source(s) or gas discharge light source) used to produce the passing</w:t>
      </w:r>
      <w:r w:rsidR="005D5CA1">
        <w:rPr>
          <w:lang w:val="en-US" w:eastAsia="ja-JP"/>
        </w:rPr>
        <w:t>-</w:t>
      </w:r>
      <w:r w:rsidRPr="0083128F">
        <w:rPr>
          <w:lang w:val="en-US" w:eastAsia="ja-JP"/>
        </w:rPr>
        <w:t>beam, several light sources either:</w:t>
      </w:r>
    </w:p>
    <w:p w:rsidR="001E7675" w:rsidRPr="0083128F" w:rsidRDefault="00850B01" w:rsidP="001E7675">
      <w:pPr>
        <w:numPr>
          <w:ilvl w:val="0"/>
          <w:numId w:val="6"/>
        </w:numPr>
        <w:tabs>
          <w:tab w:val="left" w:pos="1560"/>
        </w:tabs>
        <w:suppressAutoHyphens w:val="0"/>
        <w:spacing w:after="120"/>
        <w:ind w:left="2835" w:right="1134" w:hanging="567"/>
        <w:jc w:val="both"/>
        <w:rPr>
          <w:lang w:eastAsia="ja-JP"/>
        </w:rPr>
      </w:pPr>
      <w:r>
        <w:rPr>
          <w:lang w:eastAsia="ja-JP"/>
        </w:rPr>
        <w:t>…</w:t>
      </w:r>
    </w:p>
    <w:p w:rsidR="001E7675" w:rsidRPr="0083128F" w:rsidRDefault="00850B01" w:rsidP="001E7675">
      <w:pPr>
        <w:numPr>
          <w:ilvl w:val="0"/>
          <w:numId w:val="6"/>
        </w:numPr>
        <w:tabs>
          <w:tab w:val="left" w:pos="1560"/>
        </w:tabs>
        <w:suppressAutoHyphens w:val="0"/>
        <w:spacing w:after="120"/>
        <w:ind w:left="2835" w:right="1134" w:hanging="567"/>
        <w:jc w:val="both"/>
        <w:rPr>
          <w:lang w:eastAsia="ja-JP"/>
        </w:rPr>
      </w:pPr>
      <w:r>
        <w:rPr>
          <w:lang w:eastAsia="ja-JP"/>
        </w:rPr>
        <w:t>…</w:t>
      </w:r>
    </w:p>
    <w:p w:rsidR="001E7675" w:rsidRPr="00A565D5" w:rsidRDefault="001E7675" w:rsidP="001E7675">
      <w:pPr>
        <w:numPr>
          <w:ilvl w:val="0"/>
          <w:numId w:val="6"/>
        </w:numPr>
        <w:tabs>
          <w:tab w:val="left" w:pos="1560"/>
        </w:tabs>
        <w:suppressAutoHyphens w:val="0"/>
        <w:spacing w:after="120"/>
        <w:ind w:left="2835" w:right="1134" w:hanging="567"/>
        <w:jc w:val="both"/>
        <w:rPr>
          <w:lang w:val="en-US" w:eastAsia="ja-JP"/>
        </w:rPr>
      </w:pPr>
      <w:r w:rsidRPr="0083128F">
        <w:rPr>
          <w:lang w:val="en-US" w:eastAsia="ja-JP"/>
        </w:rPr>
        <w:t xml:space="preserve">LED module(s) (Classes B, C, D, </w:t>
      </w:r>
      <w:proofErr w:type="gramStart"/>
      <w:r w:rsidRPr="0083128F">
        <w:rPr>
          <w:lang w:val="en-US" w:eastAsia="ja-JP"/>
        </w:rPr>
        <w:t>E</w:t>
      </w:r>
      <w:proofErr w:type="gramEnd"/>
      <w:r w:rsidRPr="0083128F">
        <w:rPr>
          <w:lang w:val="en-US" w:eastAsia="ja-JP"/>
        </w:rPr>
        <w:t xml:space="preserve">) may be used for each individual </w:t>
      </w:r>
      <w:r w:rsidRPr="00A565D5">
        <w:rPr>
          <w:lang w:val="en-US" w:eastAsia="ja-JP"/>
        </w:rPr>
        <w:t>driving</w:t>
      </w:r>
      <w:r w:rsidR="00A565D5" w:rsidRPr="00A565D5">
        <w:rPr>
          <w:lang w:val="en-US" w:eastAsia="ja-JP"/>
        </w:rPr>
        <w:t>-</w:t>
      </w:r>
      <w:r w:rsidRPr="00A565D5">
        <w:rPr>
          <w:lang w:val="en-US" w:eastAsia="ja-JP"/>
        </w:rPr>
        <w:t>beam."</w:t>
      </w:r>
    </w:p>
    <w:p w:rsidR="005D5CA1" w:rsidRDefault="005D5CA1" w:rsidP="001E7675">
      <w:pPr>
        <w:suppressAutoHyphens w:val="0"/>
        <w:spacing w:after="120"/>
        <w:ind w:left="2268" w:right="1134" w:hanging="1134"/>
        <w:rPr>
          <w:i/>
          <w:lang w:val="en-US" w:eastAsia="ja-JP"/>
        </w:rPr>
      </w:pPr>
      <w:r>
        <w:rPr>
          <w:i/>
          <w:lang w:val="en-US" w:eastAsia="ja-JP"/>
        </w:rPr>
        <w:t>Annex 4</w:t>
      </w:r>
      <w:r w:rsidR="005F4A2C">
        <w:rPr>
          <w:i/>
          <w:lang w:val="en-US" w:eastAsia="ja-JP"/>
        </w:rPr>
        <w:t>,</w:t>
      </w:r>
    </w:p>
    <w:p w:rsidR="001E7675" w:rsidRPr="0083128F" w:rsidRDefault="005D5CA1" w:rsidP="001E7675">
      <w:pPr>
        <w:suppressAutoHyphens w:val="0"/>
        <w:spacing w:after="120"/>
        <w:ind w:left="2268" w:right="1134" w:hanging="1134"/>
        <w:rPr>
          <w:lang w:val="en-US" w:eastAsia="ja-JP"/>
        </w:rPr>
      </w:pPr>
      <w:r>
        <w:rPr>
          <w:i/>
          <w:lang w:val="en-US" w:eastAsia="ja-JP"/>
        </w:rPr>
        <w:t>P</w:t>
      </w:r>
      <w:r w:rsidR="001E7675" w:rsidRPr="0083128F">
        <w:rPr>
          <w:i/>
          <w:lang w:val="en-US" w:eastAsia="ja-JP"/>
        </w:rPr>
        <w:t>aragraph 2.2.1.</w:t>
      </w:r>
      <w:r w:rsidR="001E7675" w:rsidRPr="0083128F">
        <w:rPr>
          <w:lang w:val="en-US" w:eastAsia="ja-JP"/>
        </w:rPr>
        <w:t>, amend to read:</w:t>
      </w:r>
    </w:p>
    <w:p w:rsidR="001E7675" w:rsidRPr="0083128F" w:rsidRDefault="001E7675" w:rsidP="001E7675">
      <w:pPr>
        <w:widowControl w:val="0"/>
        <w:tabs>
          <w:tab w:val="left" w:pos="1560"/>
          <w:tab w:val="left" w:pos="8505"/>
        </w:tabs>
        <w:suppressAutoHyphens w:val="0"/>
        <w:autoSpaceDE w:val="0"/>
        <w:autoSpaceDN w:val="0"/>
        <w:adjustRightInd w:val="0"/>
        <w:spacing w:after="120"/>
        <w:ind w:left="2268" w:right="1134" w:hanging="1134"/>
        <w:jc w:val="both"/>
        <w:rPr>
          <w:lang w:val="en-US" w:eastAsia="ja-JP"/>
        </w:rPr>
      </w:pPr>
      <w:r w:rsidRPr="0083128F">
        <w:rPr>
          <w:lang w:val="en-US" w:eastAsia="ja-JP"/>
        </w:rPr>
        <w:t>"2.2.1.</w:t>
      </w:r>
      <w:r w:rsidRPr="0083128F">
        <w:rPr>
          <w:lang w:val="en-US" w:eastAsia="ja-JP"/>
        </w:rPr>
        <w:tab/>
        <w:t xml:space="preserve">The result in </w:t>
      </w:r>
      <w:proofErr w:type="spellStart"/>
      <w:r w:rsidRPr="0083128F">
        <w:rPr>
          <w:lang w:val="en-US" w:eastAsia="ja-JP"/>
        </w:rPr>
        <w:t>milliradians</w:t>
      </w:r>
      <w:proofErr w:type="spellEnd"/>
      <w:r w:rsidRPr="0083128F">
        <w:rPr>
          <w:lang w:val="en-US" w:eastAsia="ja-JP"/>
        </w:rPr>
        <w:t xml:space="preserve"> (</w:t>
      </w:r>
      <w:proofErr w:type="spellStart"/>
      <w:r w:rsidRPr="0083128F">
        <w:rPr>
          <w:lang w:val="en-US" w:eastAsia="ja-JP"/>
        </w:rPr>
        <w:t>mrad</w:t>
      </w:r>
      <w:proofErr w:type="spellEnd"/>
      <w:r w:rsidRPr="0083128F">
        <w:rPr>
          <w:lang w:val="en-US" w:eastAsia="ja-JP"/>
        </w:rPr>
        <w:t xml:space="preserve">) shall be considered as acceptable for a headlamp producing a passing beam, only when the absolute value </w:t>
      </w:r>
      <w:proofErr w:type="spellStart"/>
      <w:r w:rsidR="0083128F" w:rsidRPr="0083128F">
        <w:rPr>
          <w:lang w:val="en-US" w:eastAsia="ja-JP"/>
        </w:rPr>
        <w:t>Δ</w:t>
      </w:r>
      <w:r w:rsidRPr="0083128F">
        <w:rPr>
          <w:lang w:val="en-US" w:eastAsia="ja-JP"/>
        </w:rPr>
        <w:t>r</w:t>
      </w:r>
      <w:r w:rsidRPr="0083128F">
        <w:rPr>
          <w:vertAlign w:val="subscript"/>
          <w:lang w:val="en-US" w:eastAsia="ja-JP"/>
        </w:rPr>
        <w:t>I</w:t>
      </w:r>
      <w:proofErr w:type="spellEnd"/>
      <w:r w:rsidRPr="0083128F">
        <w:rPr>
          <w:lang w:val="en-US" w:eastAsia="ja-JP"/>
        </w:rPr>
        <w:t xml:space="preserve"> = | r</w:t>
      </w:r>
      <w:r w:rsidRPr="0083128F">
        <w:rPr>
          <w:vertAlign w:val="subscript"/>
          <w:lang w:val="en-US" w:eastAsia="ja-JP"/>
        </w:rPr>
        <w:t>3</w:t>
      </w:r>
      <w:r w:rsidRPr="0083128F">
        <w:rPr>
          <w:lang w:val="en-US" w:eastAsia="ja-JP"/>
        </w:rPr>
        <w:t xml:space="preserve"> - r</w:t>
      </w:r>
      <w:r w:rsidRPr="0083128F">
        <w:rPr>
          <w:vertAlign w:val="subscript"/>
          <w:lang w:val="en-US" w:eastAsia="ja-JP"/>
        </w:rPr>
        <w:t>60</w:t>
      </w:r>
      <w:r w:rsidRPr="0083128F">
        <w:rPr>
          <w:lang w:val="en-US" w:eastAsia="ja-JP"/>
        </w:rPr>
        <w:t xml:space="preserve"> | recorded on the headlamp is not more than 1.0 </w:t>
      </w:r>
      <w:proofErr w:type="spellStart"/>
      <w:r w:rsidRPr="0083128F">
        <w:rPr>
          <w:lang w:val="en-US" w:eastAsia="ja-JP"/>
        </w:rPr>
        <w:t>mrad</w:t>
      </w:r>
      <w:proofErr w:type="spellEnd"/>
      <w:r w:rsidRPr="0083128F">
        <w:rPr>
          <w:lang w:val="en-US" w:eastAsia="ja-JP"/>
        </w:rPr>
        <w:t xml:space="preserve"> (</w:t>
      </w:r>
      <w:proofErr w:type="spellStart"/>
      <w:r w:rsidR="0083128F" w:rsidRPr="0083128F">
        <w:rPr>
          <w:lang w:val="en-US" w:eastAsia="ja-JP"/>
        </w:rPr>
        <w:t>Δ</w:t>
      </w:r>
      <w:r w:rsidRPr="0083128F">
        <w:rPr>
          <w:lang w:val="en-US" w:eastAsia="ja-JP"/>
        </w:rPr>
        <w:t>r</w:t>
      </w:r>
      <w:r w:rsidRPr="0083128F">
        <w:rPr>
          <w:vertAlign w:val="subscript"/>
          <w:lang w:val="en-US" w:eastAsia="ja-JP"/>
        </w:rPr>
        <w:t>I</w:t>
      </w:r>
      <w:proofErr w:type="spellEnd"/>
      <w:r w:rsidRPr="0083128F">
        <w:rPr>
          <w:lang w:val="en-US" w:eastAsia="ja-JP"/>
        </w:rPr>
        <w:t xml:space="preserve"> &lt; 1.0 </w:t>
      </w:r>
      <w:proofErr w:type="spellStart"/>
      <w:r w:rsidRPr="0083128F">
        <w:rPr>
          <w:lang w:val="en-US" w:eastAsia="ja-JP"/>
        </w:rPr>
        <w:t>mrad</w:t>
      </w:r>
      <w:proofErr w:type="spellEnd"/>
      <w:r w:rsidRPr="0083128F">
        <w:rPr>
          <w:lang w:val="en-US" w:eastAsia="ja-JP"/>
        </w:rPr>
        <w:t xml:space="preserve">) upwards and not more than 2.0 </w:t>
      </w:r>
      <w:proofErr w:type="spellStart"/>
      <w:r w:rsidRPr="0083128F">
        <w:rPr>
          <w:lang w:val="en-US" w:eastAsia="ja-JP"/>
        </w:rPr>
        <w:t>mrad</w:t>
      </w:r>
      <w:proofErr w:type="spellEnd"/>
      <w:r w:rsidRPr="0083128F">
        <w:rPr>
          <w:lang w:val="en-US" w:eastAsia="ja-JP"/>
        </w:rPr>
        <w:t xml:space="preserve"> (</w:t>
      </w:r>
      <w:proofErr w:type="spellStart"/>
      <w:r w:rsidR="0083128F" w:rsidRPr="0083128F">
        <w:rPr>
          <w:lang w:val="en-US" w:eastAsia="ja-JP"/>
        </w:rPr>
        <w:t>Δ</w:t>
      </w:r>
      <w:r w:rsidRPr="0083128F">
        <w:rPr>
          <w:lang w:val="en-US" w:eastAsia="ja-JP"/>
        </w:rPr>
        <w:t>r</w:t>
      </w:r>
      <w:r w:rsidRPr="0083128F">
        <w:rPr>
          <w:vertAlign w:val="subscript"/>
          <w:lang w:val="en-US" w:eastAsia="ja-JP"/>
        </w:rPr>
        <w:t>I</w:t>
      </w:r>
      <w:proofErr w:type="spellEnd"/>
      <w:r w:rsidRPr="0083128F">
        <w:rPr>
          <w:lang w:val="en-US" w:eastAsia="ja-JP"/>
        </w:rPr>
        <w:t xml:space="preserve"> </w:t>
      </w:r>
      <w:r w:rsidRPr="0083128F">
        <w:rPr>
          <w:u w:val="single"/>
          <w:lang w:val="en-US" w:eastAsia="ja-JP"/>
        </w:rPr>
        <w:t>&lt;</w:t>
      </w:r>
      <w:r w:rsidRPr="0083128F">
        <w:rPr>
          <w:lang w:val="en-US" w:eastAsia="ja-JP"/>
        </w:rPr>
        <w:t xml:space="preserve"> 2.0 </w:t>
      </w:r>
      <w:proofErr w:type="spellStart"/>
      <w:r w:rsidRPr="0083128F">
        <w:rPr>
          <w:lang w:val="en-US" w:eastAsia="ja-JP"/>
        </w:rPr>
        <w:t>mrad</w:t>
      </w:r>
      <w:proofErr w:type="spellEnd"/>
      <w:r w:rsidRPr="0083128F">
        <w:rPr>
          <w:lang w:val="en-US" w:eastAsia="ja-JP"/>
        </w:rPr>
        <w:t>) downwards."</w:t>
      </w:r>
    </w:p>
    <w:p w:rsidR="001E7675" w:rsidRPr="0083128F" w:rsidRDefault="005D5CA1" w:rsidP="001E7675">
      <w:pPr>
        <w:suppressAutoHyphens w:val="0"/>
        <w:spacing w:after="120"/>
        <w:ind w:left="2268" w:right="1134" w:hanging="1134"/>
        <w:rPr>
          <w:lang w:val="en-US" w:eastAsia="ja-JP"/>
        </w:rPr>
      </w:pPr>
      <w:proofErr w:type="gramStart"/>
      <w:r>
        <w:rPr>
          <w:i/>
          <w:lang w:val="en-US" w:eastAsia="ja-JP"/>
        </w:rPr>
        <w:t>P</w:t>
      </w:r>
      <w:r w:rsidR="001E7675" w:rsidRPr="0083128F">
        <w:rPr>
          <w:i/>
          <w:lang w:val="en-US" w:eastAsia="ja-JP"/>
        </w:rPr>
        <w:t>aragraph  2.2.2</w:t>
      </w:r>
      <w:proofErr w:type="gramEnd"/>
      <w:r w:rsidR="001E7675" w:rsidRPr="0083128F">
        <w:rPr>
          <w:i/>
          <w:lang w:val="en-US" w:eastAsia="ja-JP"/>
        </w:rPr>
        <w:t>.</w:t>
      </w:r>
      <w:r w:rsidR="001E7675" w:rsidRPr="0083128F">
        <w:rPr>
          <w:lang w:val="en-US" w:eastAsia="ja-JP"/>
        </w:rPr>
        <w:t>, amend to read:</w:t>
      </w:r>
    </w:p>
    <w:p w:rsidR="001E7675" w:rsidRPr="0083128F" w:rsidRDefault="001E7675" w:rsidP="001E7675">
      <w:pPr>
        <w:widowControl w:val="0"/>
        <w:tabs>
          <w:tab w:val="left" w:pos="1560"/>
          <w:tab w:val="left" w:pos="8505"/>
        </w:tabs>
        <w:suppressAutoHyphens w:val="0"/>
        <w:autoSpaceDE w:val="0"/>
        <w:autoSpaceDN w:val="0"/>
        <w:adjustRightInd w:val="0"/>
        <w:spacing w:after="120"/>
        <w:ind w:left="2268" w:rightChars="567" w:right="1134" w:hanging="1134"/>
        <w:jc w:val="both"/>
        <w:rPr>
          <w:lang w:val="en-US" w:eastAsia="ja-JP"/>
        </w:rPr>
      </w:pPr>
      <w:r w:rsidRPr="0083128F">
        <w:rPr>
          <w:lang w:val="en-US" w:eastAsia="ja-JP"/>
        </w:rPr>
        <w:t xml:space="preserve">"2.2.2. </w:t>
      </w:r>
      <w:r w:rsidRPr="0083128F">
        <w:rPr>
          <w:lang w:val="en-US" w:eastAsia="ja-JP"/>
        </w:rPr>
        <w:tab/>
        <w:t>However, if this value is: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962"/>
      </w:tblGrid>
      <w:tr w:rsidR="001E7675" w:rsidRPr="005D5CA1" w:rsidTr="00843E48">
        <w:tc>
          <w:tcPr>
            <w:tcW w:w="1275" w:type="dxa"/>
            <w:tcBorders>
              <w:bottom w:val="single" w:sz="12" w:space="0" w:color="auto"/>
            </w:tcBorders>
          </w:tcPr>
          <w:p w:rsidR="001E7675" w:rsidRPr="005D5CA1" w:rsidRDefault="001E7675" w:rsidP="00E928ED">
            <w:pPr>
              <w:widowControl w:val="0"/>
              <w:tabs>
                <w:tab w:val="left" w:pos="1560"/>
              </w:tabs>
              <w:suppressAutoHyphens w:val="0"/>
              <w:autoSpaceDE w:val="0"/>
              <w:autoSpaceDN w:val="0"/>
              <w:adjustRightInd w:val="0"/>
              <w:spacing w:before="80" w:after="80" w:line="200" w:lineRule="exact"/>
              <w:ind w:rightChars="-72" w:right="-144"/>
              <w:rPr>
                <w:i/>
                <w:sz w:val="16"/>
                <w:szCs w:val="16"/>
                <w:lang w:val="en-US" w:eastAsia="ja-JP"/>
              </w:rPr>
            </w:pPr>
            <w:r w:rsidRPr="005D5CA1">
              <w:rPr>
                <w:i/>
                <w:sz w:val="16"/>
                <w:szCs w:val="16"/>
                <w:lang w:val="en-US" w:eastAsia="ja-JP"/>
              </w:rPr>
              <w:t>Movement</w:t>
            </w:r>
          </w:p>
        </w:tc>
        <w:tc>
          <w:tcPr>
            <w:tcW w:w="4962" w:type="dxa"/>
            <w:tcBorders>
              <w:bottom w:val="single" w:sz="12" w:space="0" w:color="auto"/>
            </w:tcBorders>
          </w:tcPr>
          <w:p w:rsidR="001E7675" w:rsidRPr="005D5CA1" w:rsidRDefault="001E7675" w:rsidP="00E928ED">
            <w:pPr>
              <w:widowControl w:val="0"/>
              <w:tabs>
                <w:tab w:val="left" w:pos="1560"/>
              </w:tabs>
              <w:suppressAutoHyphens w:val="0"/>
              <w:autoSpaceDE w:val="0"/>
              <w:autoSpaceDN w:val="0"/>
              <w:adjustRightInd w:val="0"/>
              <w:spacing w:before="80" w:after="80" w:line="200" w:lineRule="exact"/>
              <w:ind w:left="2268" w:rightChars="-72" w:right="-144" w:hanging="1134"/>
              <w:rPr>
                <w:i/>
                <w:sz w:val="16"/>
                <w:szCs w:val="16"/>
                <w:lang w:val="en-US" w:eastAsia="ja-JP"/>
              </w:rPr>
            </w:pPr>
          </w:p>
        </w:tc>
      </w:tr>
      <w:tr w:rsidR="001E7675" w:rsidRPr="0083128F" w:rsidTr="00843E48">
        <w:tc>
          <w:tcPr>
            <w:tcW w:w="1275" w:type="dxa"/>
            <w:tcBorders>
              <w:top w:val="single" w:sz="12" w:space="0" w:color="auto"/>
              <w:bottom w:val="single" w:sz="4" w:space="0" w:color="auto"/>
            </w:tcBorders>
          </w:tcPr>
          <w:p w:rsidR="001E7675" w:rsidRPr="00E928ED" w:rsidRDefault="005D5CA1"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U</w:t>
            </w:r>
            <w:r w:rsidR="001E7675" w:rsidRPr="00E928ED">
              <w:rPr>
                <w:lang w:val="en-US" w:eastAsia="ja-JP"/>
              </w:rPr>
              <w:t>pward</w:t>
            </w:r>
          </w:p>
        </w:tc>
        <w:tc>
          <w:tcPr>
            <w:tcW w:w="4962" w:type="dxa"/>
            <w:tcBorders>
              <w:top w:val="single" w:sz="12" w:space="0" w:color="auto"/>
              <w:bottom w:val="single" w:sz="4" w:space="0" w:color="auto"/>
            </w:tcBorders>
          </w:tcPr>
          <w:p w:rsidR="001E7675" w:rsidRPr="00E928ED" w:rsidRDefault="005D5CA1"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M</w:t>
            </w:r>
            <w:r w:rsidR="001E7675" w:rsidRPr="00E928ED">
              <w:rPr>
                <w:lang w:val="en-US" w:eastAsia="ja-JP"/>
              </w:rPr>
              <w:t xml:space="preserve">ore than 1.0 </w:t>
            </w:r>
            <w:proofErr w:type="spellStart"/>
            <w:r w:rsidR="001E7675" w:rsidRPr="00E928ED">
              <w:rPr>
                <w:lang w:val="en-US" w:eastAsia="ja-JP"/>
              </w:rPr>
              <w:t>mrad</w:t>
            </w:r>
            <w:proofErr w:type="spellEnd"/>
            <w:r w:rsidR="001E7675" w:rsidRPr="00E928ED">
              <w:rPr>
                <w:lang w:val="en-US" w:eastAsia="ja-JP"/>
              </w:rPr>
              <w:t xml:space="preserve"> but not more than 1.5 </w:t>
            </w:r>
            <w:proofErr w:type="spellStart"/>
            <w:r w:rsidR="001E7675" w:rsidRPr="00E928ED">
              <w:rPr>
                <w:lang w:val="en-US" w:eastAsia="ja-JP"/>
              </w:rPr>
              <w:t>mrad</w:t>
            </w:r>
            <w:proofErr w:type="spellEnd"/>
          </w:p>
          <w:p w:rsidR="001E7675" w:rsidRPr="00E928ED" w:rsidRDefault="001E7675"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 xml:space="preserve">(1.0 </w:t>
            </w:r>
            <w:proofErr w:type="spellStart"/>
            <w:r w:rsidRPr="00E928ED">
              <w:rPr>
                <w:lang w:val="en-US" w:eastAsia="ja-JP"/>
              </w:rPr>
              <w:t>mrad</w:t>
            </w:r>
            <w:proofErr w:type="spellEnd"/>
            <w:r w:rsidRPr="00E928ED">
              <w:rPr>
                <w:lang w:val="en-US" w:eastAsia="ja-JP"/>
              </w:rPr>
              <w:t xml:space="preserve"> &lt; </w:t>
            </w:r>
            <w:proofErr w:type="spellStart"/>
            <w:r w:rsidR="0083128F" w:rsidRPr="00E928ED">
              <w:rPr>
                <w:lang w:val="en-US" w:eastAsia="ja-JP"/>
              </w:rPr>
              <w:t>Δ</w:t>
            </w:r>
            <w:r w:rsidRPr="00E928ED">
              <w:rPr>
                <w:lang w:val="en-US" w:eastAsia="ja-JP"/>
              </w:rPr>
              <w:t>r</w:t>
            </w:r>
            <w:r w:rsidRPr="00E928ED">
              <w:rPr>
                <w:vertAlign w:val="subscript"/>
                <w:lang w:val="en-US" w:eastAsia="ja-JP"/>
              </w:rPr>
              <w:t>I</w:t>
            </w:r>
            <w:proofErr w:type="spellEnd"/>
            <w:r w:rsidRPr="00E928ED">
              <w:rPr>
                <w:lang w:val="en-US" w:eastAsia="ja-JP"/>
              </w:rPr>
              <w:t xml:space="preserve"> </w:t>
            </w:r>
            <w:r w:rsidRPr="00E928ED">
              <w:rPr>
                <w:u w:val="single"/>
                <w:lang w:val="en-US" w:eastAsia="ja-JP"/>
              </w:rPr>
              <w:t>&lt;</w:t>
            </w:r>
            <w:r w:rsidRPr="00E928ED">
              <w:rPr>
                <w:lang w:val="en-US" w:eastAsia="ja-JP"/>
              </w:rPr>
              <w:t xml:space="preserve"> 1.5 </w:t>
            </w:r>
            <w:proofErr w:type="spellStart"/>
            <w:r w:rsidRPr="00E928ED">
              <w:rPr>
                <w:lang w:val="en-US" w:eastAsia="ja-JP"/>
              </w:rPr>
              <w:t>mrad</w:t>
            </w:r>
            <w:proofErr w:type="spellEnd"/>
            <w:r w:rsidRPr="00E928ED">
              <w:rPr>
                <w:lang w:val="en-US" w:eastAsia="ja-JP"/>
              </w:rPr>
              <w:t>)</w:t>
            </w:r>
          </w:p>
        </w:tc>
      </w:tr>
      <w:tr w:rsidR="001E7675" w:rsidRPr="0083128F" w:rsidTr="00843E48">
        <w:tc>
          <w:tcPr>
            <w:tcW w:w="1275" w:type="dxa"/>
            <w:tcBorders>
              <w:bottom w:val="single" w:sz="12" w:space="0" w:color="auto"/>
            </w:tcBorders>
          </w:tcPr>
          <w:p w:rsidR="001E7675" w:rsidRPr="00E928ED" w:rsidRDefault="005D5CA1"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D</w:t>
            </w:r>
            <w:r w:rsidR="001E7675" w:rsidRPr="00E928ED">
              <w:rPr>
                <w:lang w:val="en-US" w:eastAsia="ja-JP"/>
              </w:rPr>
              <w:t>ownward</w:t>
            </w:r>
          </w:p>
        </w:tc>
        <w:tc>
          <w:tcPr>
            <w:tcW w:w="4962" w:type="dxa"/>
            <w:tcBorders>
              <w:bottom w:val="single" w:sz="12" w:space="0" w:color="auto"/>
            </w:tcBorders>
          </w:tcPr>
          <w:p w:rsidR="001E7675" w:rsidRPr="00E928ED" w:rsidRDefault="005D5CA1"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M</w:t>
            </w:r>
            <w:r w:rsidR="001E7675" w:rsidRPr="00E928ED">
              <w:rPr>
                <w:lang w:val="en-US" w:eastAsia="ja-JP"/>
              </w:rPr>
              <w:t xml:space="preserve">ore than 2.0 </w:t>
            </w:r>
            <w:proofErr w:type="spellStart"/>
            <w:r w:rsidR="001E7675" w:rsidRPr="00E928ED">
              <w:rPr>
                <w:lang w:val="en-US" w:eastAsia="ja-JP"/>
              </w:rPr>
              <w:t>mrad</w:t>
            </w:r>
            <w:proofErr w:type="spellEnd"/>
            <w:r w:rsidR="001E7675" w:rsidRPr="00E928ED">
              <w:rPr>
                <w:lang w:val="en-US" w:eastAsia="ja-JP"/>
              </w:rPr>
              <w:t xml:space="preserve"> but not more than 3.0 </w:t>
            </w:r>
            <w:proofErr w:type="spellStart"/>
            <w:r w:rsidR="001E7675" w:rsidRPr="00E928ED">
              <w:rPr>
                <w:lang w:val="en-US" w:eastAsia="ja-JP"/>
              </w:rPr>
              <w:t>mrad</w:t>
            </w:r>
            <w:proofErr w:type="spellEnd"/>
          </w:p>
          <w:p w:rsidR="001E7675" w:rsidRPr="00E928ED" w:rsidRDefault="001E7675" w:rsidP="00E928ED">
            <w:pPr>
              <w:widowControl w:val="0"/>
              <w:tabs>
                <w:tab w:val="left" w:pos="1560"/>
              </w:tabs>
              <w:suppressAutoHyphens w:val="0"/>
              <w:autoSpaceDE w:val="0"/>
              <w:autoSpaceDN w:val="0"/>
              <w:adjustRightInd w:val="0"/>
              <w:spacing w:before="40" w:after="120"/>
              <w:ind w:rightChars="-72" w:right="-144"/>
              <w:rPr>
                <w:lang w:val="en-US" w:eastAsia="ja-JP"/>
              </w:rPr>
            </w:pPr>
            <w:r w:rsidRPr="00E928ED">
              <w:rPr>
                <w:lang w:val="en-US" w:eastAsia="ja-JP"/>
              </w:rPr>
              <w:t xml:space="preserve">(2.0 </w:t>
            </w:r>
            <w:proofErr w:type="spellStart"/>
            <w:r w:rsidRPr="00E928ED">
              <w:rPr>
                <w:lang w:val="en-US" w:eastAsia="ja-JP"/>
              </w:rPr>
              <w:t>mrad</w:t>
            </w:r>
            <w:proofErr w:type="spellEnd"/>
            <w:r w:rsidRPr="00E928ED">
              <w:rPr>
                <w:lang w:val="en-US" w:eastAsia="ja-JP"/>
              </w:rPr>
              <w:t xml:space="preserve"> &lt; </w:t>
            </w:r>
            <w:proofErr w:type="spellStart"/>
            <w:r w:rsidR="0083128F" w:rsidRPr="00E928ED">
              <w:rPr>
                <w:lang w:val="en-US" w:eastAsia="ja-JP"/>
              </w:rPr>
              <w:t>Δ</w:t>
            </w:r>
            <w:r w:rsidRPr="00E928ED">
              <w:rPr>
                <w:lang w:val="en-US" w:eastAsia="ja-JP"/>
              </w:rPr>
              <w:t>r</w:t>
            </w:r>
            <w:r w:rsidRPr="00E928ED">
              <w:rPr>
                <w:vertAlign w:val="subscript"/>
                <w:lang w:val="en-US" w:eastAsia="ja-JP"/>
              </w:rPr>
              <w:t>I</w:t>
            </w:r>
            <w:proofErr w:type="spellEnd"/>
            <w:r w:rsidRPr="00E928ED">
              <w:rPr>
                <w:lang w:val="en-US" w:eastAsia="ja-JP"/>
              </w:rPr>
              <w:t xml:space="preserve"> </w:t>
            </w:r>
            <w:r w:rsidRPr="00E928ED">
              <w:rPr>
                <w:u w:val="single"/>
                <w:lang w:val="en-US" w:eastAsia="ja-JP"/>
              </w:rPr>
              <w:t>&lt;</w:t>
            </w:r>
            <w:r w:rsidRPr="00E928ED">
              <w:rPr>
                <w:lang w:val="en-US" w:eastAsia="ja-JP"/>
              </w:rPr>
              <w:t xml:space="preserve"> 3.0 </w:t>
            </w:r>
            <w:proofErr w:type="spellStart"/>
            <w:r w:rsidRPr="00E928ED">
              <w:rPr>
                <w:lang w:val="en-US" w:eastAsia="ja-JP"/>
              </w:rPr>
              <w:t>mrad</w:t>
            </w:r>
            <w:proofErr w:type="spellEnd"/>
            <w:r w:rsidRPr="00E928ED">
              <w:rPr>
                <w:lang w:val="en-US" w:eastAsia="ja-JP"/>
              </w:rPr>
              <w:t>)</w:t>
            </w:r>
          </w:p>
        </w:tc>
      </w:tr>
    </w:tbl>
    <w:p w:rsidR="001E7675" w:rsidRPr="0083128F" w:rsidRDefault="001E7675" w:rsidP="001E7675">
      <w:pPr>
        <w:widowControl w:val="0"/>
        <w:suppressAutoHyphens w:val="0"/>
        <w:autoSpaceDE w:val="0"/>
        <w:autoSpaceDN w:val="0"/>
        <w:adjustRightInd w:val="0"/>
        <w:spacing w:before="120" w:after="120"/>
        <w:ind w:left="2268" w:right="1134"/>
        <w:jc w:val="both"/>
        <w:rPr>
          <w:lang w:val="en-US" w:eastAsia="ja-JP"/>
        </w:rPr>
      </w:pPr>
      <w:r w:rsidRPr="0083128F">
        <w:rPr>
          <w:lang w:val="en-US" w:eastAsia="ja-JP"/>
        </w:rPr>
        <w:tab/>
      </w:r>
      <w:r w:rsidR="005D5CA1">
        <w:rPr>
          <w:lang w:val="en-US" w:eastAsia="ja-JP"/>
        </w:rPr>
        <w:t>A</w:t>
      </w:r>
      <w:r w:rsidRPr="0083128F">
        <w:rPr>
          <w:lang w:val="en-US" w:eastAsia="ja-JP"/>
        </w:rPr>
        <w:t xml:space="preserve"> further sample of a headlamp shall be tested as described in paragraph 2.1. </w:t>
      </w:r>
      <w:proofErr w:type="gramStart"/>
      <w:r w:rsidRPr="0083128F">
        <w:rPr>
          <w:lang w:val="en-US" w:eastAsia="ja-JP"/>
        </w:rPr>
        <w:t>after</w:t>
      </w:r>
      <w:proofErr w:type="gramEnd"/>
      <w:r w:rsidRPr="0083128F">
        <w:rPr>
          <w:lang w:val="en-US" w:eastAsia="ja-JP"/>
        </w:rPr>
        <w:t xml:space="preserve"> being subjected three consecutive times to the cycle as described below, in order to stabilize the position of mechanical parts of the headlamp on a base representative of the correct installation on the vehicle:</w:t>
      </w:r>
    </w:p>
    <w:p w:rsidR="001E7675" w:rsidRPr="0083128F" w:rsidRDefault="001E7675" w:rsidP="001E7675">
      <w:pPr>
        <w:widowControl w:val="0"/>
        <w:suppressAutoHyphens w:val="0"/>
        <w:autoSpaceDE w:val="0"/>
        <w:autoSpaceDN w:val="0"/>
        <w:adjustRightInd w:val="0"/>
        <w:spacing w:after="120"/>
        <w:ind w:left="2268" w:right="1134" w:hanging="1134"/>
        <w:rPr>
          <w:lang w:val="en-US" w:eastAsia="ja-JP"/>
        </w:rPr>
      </w:pPr>
      <w:r w:rsidRPr="0083128F">
        <w:rPr>
          <w:lang w:val="en-US" w:eastAsia="ja-JP"/>
        </w:rPr>
        <w:tab/>
        <w:t>Operation of the passing beam for one hour (the voltage shall be adjusted as specified in paragraph 1.1.1.2.),</w:t>
      </w:r>
    </w:p>
    <w:p w:rsidR="001E7675" w:rsidRPr="0083128F" w:rsidRDefault="001E7675" w:rsidP="001E7675">
      <w:pPr>
        <w:widowControl w:val="0"/>
        <w:suppressAutoHyphens w:val="0"/>
        <w:autoSpaceDE w:val="0"/>
        <w:autoSpaceDN w:val="0"/>
        <w:adjustRightInd w:val="0"/>
        <w:spacing w:after="120"/>
        <w:ind w:left="2268" w:rightChars="567" w:right="1134"/>
        <w:jc w:val="both"/>
        <w:rPr>
          <w:lang w:val="en-US" w:eastAsia="ja-JP"/>
        </w:rPr>
      </w:pPr>
      <w:r w:rsidRPr="0083128F">
        <w:rPr>
          <w:rFonts w:eastAsia="MS Mincho"/>
          <w:bCs/>
          <w:lang w:val="en-US" w:eastAsia="ja-JP"/>
        </w:rPr>
        <w:tab/>
      </w:r>
      <w:r w:rsidRPr="0083128F">
        <w:rPr>
          <w:rFonts w:eastAsia="MS Mincho"/>
          <w:bCs/>
          <w:lang w:val="en-US"/>
        </w:rPr>
        <w:t xml:space="preserve">After this period of one hour, the headlamp type shall be considered as acceptable if the absolute values </w:t>
      </w:r>
      <w:r w:rsidRPr="0083128F">
        <w:rPr>
          <w:rFonts w:eastAsia="MS Mincho"/>
          <w:bCs/>
        </w:rPr>
        <w:t>Δ</w:t>
      </w:r>
      <w:r w:rsidRPr="0083128F">
        <w:rPr>
          <w:rFonts w:eastAsia="MS Mincho"/>
          <w:bCs/>
          <w:lang w:val="en-US"/>
        </w:rPr>
        <w:t xml:space="preserve">r measured on the following sample meets the requirements in paragraph 2.2.1. </w:t>
      </w:r>
      <w:proofErr w:type="gramStart"/>
      <w:r w:rsidRPr="0083128F">
        <w:rPr>
          <w:rFonts w:eastAsia="MS Mincho"/>
          <w:bCs/>
          <w:lang w:val="en-US"/>
        </w:rPr>
        <w:t>above</w:t>
      </w:r>
      <w:proofErr w:type="gramEnd"/>
      <w:r w:rsidRPr="0083128F">
        <w:rPr>
          <w:rFonts w:eastAsia="MS Mincho"/>
          <w:lang w:val="en-US"/>
        </w:rPr>
        <w:t>."</w:t>
      </w:r>
    </w:p>
    <w:p w:rsidR="005F4A2C" w:rsidRDefault="001E7675" w:rsidP="001E7675">
      <w:pPr>
        <w:widowControl w:val="0"/>
        <w:tabs>
          <w:tab w:val="left" w:pos="1560"/>
        </w:tabs>
        <w:suppressAutoHyphens w:val="0"/>
        <w:autoSpaceDE w:val="0"/>
        <w:autoSpaceDN w:val="0"/>
        <w:adjustRightInd w:val="0"/>
        <w:spacing w:after="120"/>
        <w:ind w:left="2268" w:right="1134" w:hanging="1134"/>
        <w:rPr>
          <w:i/>
          <w:lang w:val="en-US" w:eastAsia="ja-JP"/>
        </w:rPr>
      </w:pPr>
      <w:r w:rsidRPr="0083128F">
        <w:rPr>
          <w:i/>
          <w:lang w:val="en-US" w:eastAsia="ja-JP"/>
        </w:rPr>
        <w:t xml:space="preserve">Annex 5, </w:t>
      </w:r>
    </w:p>
    <w:p w:rsidR="001E7675" w:rsidRPr="0083128F" w:rsidRDefault="005F4A2C" w:rsidP="001E7675">
      <w:pPr>
        <w:widowControl w:val="0"/>
        <w:tabs>
          <w:tab w:val="left" w:pos="1560"/>
        </w:tabs>
        <w:suppressAutoHyphens w:val="0"/>
        <w:autoSpaceDE w:val="0"/>
        <w:autoSpaceDN w:val="0"/>
        <w:adjustRightInd w:val="0"/>
        <w:spacing w:after="120"/>
        <w:ind w:left="2268" w:right="1134" w:hanging="1134"/>
        <w:rPr>
          <w:lang w:val="en-US" w:eastAsia="ja-JP"/>
        </w:rPr>
      </w:pPr>
      <w:r>
        <w:rPr>
          <w:i/>
          <w:lang w:val="en-US" w:eastAsia="ja-JP"/>
        </w:rPr>
        <w:t>P</w:t>
      </w:r>
      <w:r w:rsidR="001E7675" w:rsidRPr="0083128F">
        <w:rPr>
          <w:i/>
          <w:lang w:val="en-US" w:eastAsia="ja-JP"/>
        </w:rPr>
        <w:t>aragraph 1.4.</w:t>
      </w:r>
      <w:r w:rsidR="001E7675" w:rsidRPr="0083128F">
        <w:rPr>
          <w:lang w:val="en-US" w:eastAsia="ja-JP"/>
        </w:rPr>
        <w:t>, amend to read:</w:t>
      </w:r>
    </w:p>
    <w:p w:rsidR="001E7675" w:rsidRPr="0083128F" w:rsidRDefault="001E7675" w:rsidP="001E7675">
      <w:pPr>
        <w:widowControl w:val="0"/>
        <w:suppressAutoHyphens w:val="0"/>
        <w:autoSpaceDE w:val="0"/>
        <w:autoSpaceDN w:val="0"/>
        <w:adjustRightInd w:val="0"/>
        <w:spacing w:after="120"/>
        <w:ind w:left="2268" w:right="1134" w:hanging="1134"/>
        <w:jc w:val="both"/>
        <w:rPr>
          <w:lang w:val="en-US" w:eastAsia="ja-JP"/>
        </w:rPr>
      </w:pPr>
      <w:r w:rsidRPr="0083128F">
        <w:rPr>
          <w:lang w:val="en-US" w:eastAsia="ja-JP"/>
        </w:rPr>
        <w:t xml:space="preserve">"1.4. </w:t>
      </w:r>
      <w:r w:rsidRPr="0083128F">
        <w:rPr>
          <w:lang w:val="en-US" w:eastAsia="ja-JP"/>
        </w:rPr>
        <w:tab/>
        <w:t>With respect to the verification of the change in vertical position of the "cut-off" line under the influence of heat, the following procedure shall be applied (Classes B, C, D and E headlamps only):</w:t>
      </w:r>
    </w:p>
    <w:p w:rsidR="001E7675" w:rsidRPr="0083128F" w:rsidRDefault="001E7675" w:rsidP="001E7675">
      <w:pPr>
        <w:widowControl w:val="0"/>
        <w:suppressAutoHyphens w:val="0"/>
        <w:autoSpaceDE w:val="0"/>
        <w:autoSpaceDN w:val="0"/>
        <w:adjustRightInd w:val="0"/>
        <w:spacing w:after="120"/>
        <w:ind w:left="2268" w:right="1134"/>
        <w:jc w:val="both"/>
        <w:rPr>
          <w:lang w:val="en-US" w:eastAsia="ja-JP"/>
        </w:rPr>
      </w:pPr>
      <w:r w:rsidRPr="0083128F">
        <w:rPr>
          <w:lang w:val="en-US" w:eastAsia="ja-JP"/>
        </w:rPr>
        <w:lastRenderedPageBreak/>
        <w:tab/>
        <w:t xml:space="preserve">One of the sampled headlamps shall be tested according to the procedure described in paragraph 2.1. </w:t>
      </w:r>
      <w:proofErr w:type="gramStart"/>
      <w:r w:rsidRPr="0083128F">
        <w:rPr>
          <w:lang w:val="en-US" w:eastAsia="ja-JP"/>
        </w:rPr>
        <w:t>of</w:t>
      </w:r>
      <w:proofErr w:type="gramEnd"/>
      <w:r w:rsidRPr="0083128F">
        <w:rPr>
          <w:lang w:val="en-US" w:eastAsia="ja-JP"/>
        </w:rPr>
        <w:t xml:space="preserve"> Annex 4 after being subjected three  consecutive times to the cycle described in paragraph 2.2.2. </w:t>
      </w:r>
      <w:proofErr w:type="gramStart"/>
      <w:r w:rsidRPr="0083128F">
        <w:rPr>
          <w:lang w:val="en-US" w:eastAsia="ja-JP"/>
        </w:rPr>
        <w:t>of</w:t>
      </w:r>
      <w:proofErr w:type="gramEnd"/>
      <w:r w:rsidRPr="0083128F">
        <w:rPr>
          <w:lang w:val="en-US" w:eastAsia="ja-JP"/>
        </w:rPr>
        <w:t xml:space="preserve"> Annex 4.</w:t>
      </w:r>
    </w:p>
    <w:p w:rsidR="001E7675" w:rsidRPr="0083128F" w:rsidRDefault="001E7675" w:rsidP="001E7675">
      <w:pPr>
        <w:widowControl w:val="0"/>
        <w:suppressAutoHyphens w:val="0"/>
        <w:autoSpaceDE w:val="0"/>
        <w:autoSpaceDN w:val="0"/>
        <w:adjustRightInd w:val="0"/>
        <w:spacing w:after="120"/>
        <w:ind w:left="2268" w:right="1134"/>
        <w:jc w:val="both"/>
        <w:rPr>
          <w:lang w:val="en-US" w:eastAsia="ja-JP"/>
        </w:rPr>
      </w:pPr>
      <w:r w:rsidRPr="0083128F">
        <w:rPr>
          <w:lang w:val="en-US" w:eastAsia="ja-JP"/>
        </w:rPr>
        <w:tab/>
        <w:t xml:space="preserve">The headlamp shall be considered as acceptable if </w:t>
      </w:r>
      <w:proofErr w:type="spellStart"/>
      <w:r w:rsidR="0083128F" w:rsidRPr="0083128F">
        <w:rPr>
          <w:lang w:val="en-US" w:eastAsia="ja-JP"/>
        </w:rPr>
        <w:t>Δ</w:t>
      </w:r>
      <w:r w:rsidRPr="0083128F">
        <w:rPr>
          <w:lang w:val="en-US" w:eastAsia="ja-JP"/>
        </w:rPr>
        <w:t>r</w:t>
      </w:r>
      <w:proofErr w:type="spellEnd"/>
      <w:r w:rsidRPr="0083128F">
        <w:rPr>
          <w:lang w:val="en-US" w:eastAsia="ja-JP"/>
        </w:rPr>
        <w:t xml:space="preserve"> does not exceed 1.5 </w:t>
      </w:r>
      <w:proofErr w:type="spellStart"/>
      <w:r w:rsidRPr="0083128F">
        <w:rPr>
          <w:lang w:val="en-US" w:eastAsia="ja-JP"/>
        </w:rPr>
        <w:t>mrad</w:t>
      </w:r>
      <w:proofErr w:type="spellEnd"/>
      <w:r w:rsidRPr="0083128F">
        <w:rPr>
          <w:lang w:val="en-US" w:eastAsia="ja-JP"/>
        </w:rPr>
        <w:t xml:space="preserve"> upwards and does not exceed 2.5 </w:t>
      </w:r>
      <w:proofErr w:type="spellStart"/>
      <w:r w:rsidRPr="0083128F">
        <w:rPr>
          <w:lang w:val="en-US" w:eastAsia="ja-JP"/>
        </w:rPr>
        <w:t>mrad</w:t>
      </w:r>
      <w:proofErr w:type="spellEnd"/>
      <w:r w:rsidRPr="0083128F">
        <w:rPr>
          <w:lang w:val="en-US" w:eastAsia="ja-JP"/>
        </w:rPr>
        <w:t xml:space="preserve"> downwards.</w:t>
      </w:r>
    </w:p>
    <w:p w:rsidR="001E7675" w:rsidRPr="0083128F" w:rsidRDefault="001E7675" w:rsidP="001E7675">
      <w:pPr>
        <w:widowControl w:val="0"/>
        <w:suppressAutoHyphens w:val="0"/>
        <w:autoSpaceDE w:val="0"/>
        <w:autoSpaceDN w:val="0"/>
        <w:adjustRightInd w:val="0"/>
        <w:spacing w:after="120"/>
        <w:ind w:left="2268" w:right="1134"/>
        <w:jc w:val="both"/>
        <w:rPr>
          <w:lang w:val="en-US" w:eastAsia="ja-JP"/>
        </w:rPr>
      </w:pPr>
      <w:r w:rsidRPr="0083128F">
        <w:rPr>
          <w:lang w:val="en-US" w:eastAsia="ja-JP"/>
        </w:rPr>
        <w:tab/>
        <w:t xml:space="preserve">If this value exceeds 1.5 </w:t>
      </w:r>
      <w:proofErr w:type="spellStart"/>
      <w:r w:rsidRPr="0083128F">
        <w:rPr>
          <w:lang w:val="en-US" w:eastAsia="ja-JP"/>
        </w:rPr>
        <w:t>mrad</w:t>
      </w:r>
      <w:proofErr w:type="spellEnd"/>
      <w:r w:rsidRPr="0083128F">
        <w:rPr>
          <w:lang w:val="en-US" w:eastAsia="ja-JP"/>
        </w:rPr>
        <w:t xml:space="preserve"> but is not more than 2.0 </w:t>
      </w:r>
      <w:proofErr w:type="spellStart"/>
      <w:r w:rsidRPr="0083128F">
        <w:rPr>
          <w:lang w:val="en-US" w:eastAsia="ja-JP"/>
        </w:rPr>
        <w:t>mrad</w:t>
      </w:r>
      <w:proofErr w:type="spellEnd"/>
      <w:r w:rsidRPr="0083128F">
        <w:rPr>
          <w:lang w:val="en-US" w:eastAsia="ja-JP"/>
        </w:rPr>
        <w:t xml:space="preserve"> upwards or exceeds 2.5 </w:t>
      </w:r>
      <w:proofErr w:type="spellStart"/>
      <w:r w:rsidRPr="0083128F">
        <w:rPr>
          <w:lang w:val="en-US" w:eastAsia="ja-JP"/>
        </w:rPr>
        <w:t>mrad</w:t>
      </w:r>
      <w:proofErr w:type="spellEnd"/>
      <w:r w:rsidRPr="0083128F">
        <w:rPr>
          <w:lang w:val="en-US" w:eastAsia="ja-JP"/>
        </w:rPr>
        <w:t xml:space="preserve"> but is not more than 3.0 </w:t>
      </w:r>
      <w:proofErr w:type="spellStart"/>
      <w:r w:rsidRPr="0083128F">
        <w:rPr>
          <w:lang w:val="en-US" w:eastAsia="ja-JP"/>
        </w:rPr>
        <w:t>mrad</w:t>
      </w:r>
      <w:proofErr w:type="spellEnd"/>
      <w:r w:rsidRPr="0083128F">
        <w:rPr>
          <w:lang w:val="en-US" w:eastAsia="ja-JP"/>
        </w:rPr>
        <w:t xml:space="preserve"> downwards, a second sample shall be subjected to the test after which the mean of the absolute values recorded on both samples shall not exceed 1.5 </w:t>
      </w:r>
      <w:proofErr w:type="spellStart"/>
      <w:r w:rsidRPr="0083128F">
        <w:rPr>
          <w:lang w:val="en-US" w:eastAsia="ja-JP"/>
        </w:rPr>
        <w:t>mrad</w:t>
      </w:r>
      <w:proofErr w:type="spellEnd"/>
      <w:r w:rsidRPr="0083128F">
        <w:rPr>
          <w:lang w:val="en-US" w:eastAsia="ja-JP"/>
        </w:rPr>
        <w:t xml:space="preserve"> upwards and shall not exceed 2.5 </w:t>
      </w:r>
      <w:proofErr w:type="spellStart"/>
      <w:r w:rsidRPr="0083128F">
        <w:rPr>
          <w:lang w:val="en-US" w:eastAsia="ja-JP"/>
        </w:rPr>
        <w:t>mrad</w:t>
      </w:r>
      <w:proofErr w:type="spellEnd"/>
      <w:r w:rsidRPr="0083128F">
        <w:rPr>
          <w:lang w:val="en-US" w:eastAsia="ja-JP"/>
        </w:rPr>
        <w:t xml:space="preserve"> downwards."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B19F2">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68" w:rsidRDefault="008D2068"/>
  </w:endnote>
  <w:endnote w:type="continuationSeparator" w:id="0">
    <w:p w:rsidR="008D2068" w:rsidRDefault="008D2068"/>
  </w:endnote>
  <w:endnote w:type="continuationNotice" w:id="1">
    <w:p w:rsidR="008D2068" w:rsidRDefault="008D2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3C0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B3C00">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68" w:rsidRPr="00D27D5E" w:rsidRDefault="008D2068" w:rsidP="00D27D5E">
      <w:pPr>
        <w:tabs>
          <w:tab w:val="right" w:pos="2155"/>
        </w:tabs>
        <w:spacing w:after="80"/>
        <w:ind w:left="680"/>
        <w:rPr>
          <w:u w:val="single"/>
        </w:rPr>
      </w:pPr>
      <w:r>
        <w:rPr>
          <w:u w:val="single"/>
        </w:rPr>
        <w:tab/>
      </w:r>
    </w:p>
  </w:footnote>
  <w:footnote w:type="continuationSeparator" w:id="0">
    <w:p w:rsidR="008D2068" w:rsidRDefault="008D2068">
      <w:r>
        <w:rPr>
          <w:u w:val="single"/>
        </w:rPr>
        <w:tab/>
      </w:r>
      <w:r>
        <w:rPr>
          <w:u w:val="single"/>
        </w:rPr>
        <w:tab/>
      </w:r>
      <w:r>
        <w:rPr>
          <w:u w:val="single"/>
        </w:rPr>
        <w:tab/>
      </w:r>
      <w:r>
        <w:rPr>
          <w:u w:val="single"/>
        </w:rPr>
        <w:tab/>
      </w:r>
    </w:p>
  </w:footnote>
  <w:footnote w:type="continuationNotice" w:id="1">
    <w:p w:rsidR="008D2068" w:rsidRDefault="008D2068"/>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2C5425">
      <w:rPr>
        <w:lang w:val="en-US"/>
      </w:rPr>
      <w:t>2</w:t>
    </w:r>
    <w:r w:rsidR="001E7675">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w:t>
    </w:r>
    <w:r w:rsidR="00C17E88">
      <w:rPr>
        <w:lang w:val="en-US"/>
      </w:rPr>
      <w:t>6</w:t>
    </w:r>
    <w:r w:rsidR="00AF60F3">
      <w:rPr>
        <w:lang w:val="en-US"/>
      </w:rPr>
      <w:t>/</w:t>
    </w:r>
    <w:r w:rsidR="00C17E88">
      <w:rPr>
        <w:lang w:val="en-US"/>
      </w:rPr>
      <w:t>2</w:t>
    </w:r>
    <w:r w:rsidR="001E7675">
      <w:rPr>
        <w:lang w:val="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19F2"/>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675"/>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6A0"/>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1DC6"/>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C5425"/>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8E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5D"/>
    <w:rsid w:val="00484D67"/>
    <w:rsid w:val="00487482"/>
    <w:rsid w:val="00490450"/>
    <w:rsid w:val="00491A0E"/>
    <w:rsid w:val="00491CCA"/>
    <w:rsid w:val="00491EF7"/>
    <w:rsid w:val="004936E1"/>
    <w:rsid w:val="004947C3"/>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156D"/>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B47"/>
    <w:rsid w:val="005D4FDB"/>
    <w:rsid w:val="005D5CA1"/>
    <w:rsid w:val="005D7FAF"/>
    <w:rsid w:val="005E00E6"/>
    <w:rsid w:val="005E278D"/>
    <w:rsid w:val="005E2BE9"/>
    <w:rsid w:val="005E2FF0"/>
    <w:rsid w:val="005E5D1F"/>
    <w:rsid w:val="005E70B7"/>
    <w:rsid w:val="005E7A0D"/>
    <w:rsid w:val="005F0D33"/>
    <w:rsid w:val="005F131D"/>
    <w:rsid w:val="005F4443"/>
    <w:rsid w:val="005F4A2C"/>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287"/>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28F"/>
    <w:rsid w:val="008317F6"/>
    <w:rsid w:val="00831F87"/>
    <w:rsid w:val="00836DF9"/>
    <w:rsid w:val="00841310"/>
    <w:rsid w:val="00842FBE"/>
    <w:rsid w:val="00843097"/>
    <w:rsid w:val="00844750"/>
    <w:rsid w:val="0084488A"/>
    <w:rsid w:val="0084609A"/>
    <w:rsid w:val="008475EC"/>
    <w:rsid w:val="00850B01"/>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4CB5"/>
    <w:rsid w:val="008962BF"/>
    <w:rsid w:val="00896428"/>
    <w:rsid w:val="00896604"/>
    <w:rsid w:val="008A008A"/>
    <w:rsid w:val="008A0BBD"/>
    <w:rsid w:val="008A2F31"/>
    <w:rsid w:val="008A3266"/>
    <w:rsid w:val="008A51BA"/>
    <w:rsid w:val="008A6088"/>
    <w:rsid w:val="008B0FF5"/>
    <w:rsid w:val="008B2C53"/>
    <w:rsid w:val="008B3C00"/>
    <w:rsid w:val="008B44C4"/>
    <w:rsid w:val="008B623C"/>
    <w:rsid w:val="008B6473"/>
    <w:rsid w:val="008B755A"/>
    <w:rsid w:val="008B7879"/>
    <w:rsid w:val="008C2181"/>
    <w:rsid w:val="008C3758"/>
    <w:rsid w:val="008C39AC"/>
    <w:rsid w:val="008C52FB"/>
    <w:rsid w:val="008C726C"/>
    <w:rsid w:val="008C750E"/>
    <w:rsid w:val="008D1566"/>
    <w:rsid w:val="008D2068"/>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5D5"/>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656"/>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1E1"/>
    <w:rsid w:val="00BB572B"/>
    <w:rsid w:val="00BB71A7"/>
    <w:rsid w:val="00BC171F"/>
    <w:rsid w:val="00BC4943"/>
    <w:rsid w:val="00BC6718"/>
    <w:rsid w:val="00BC69AB"/>
    <w:rsid w:val="00BC6A32"/>
    <w:rsid w:val="00BC7E93"/>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17E88"/>
    <w:rsid w:val="00C200F0"/>
    <w:rsid w:val="00C21796"/>
    <w:rsid w:val="00C22A5C"/>
    <w:rsid w:val="00C23B00"/>
    <w:rsid w:val="00C23C95"/>
    <w:rsid w:val="00C24B53"/>
    <w:rsid w:val="00C24E22"/>
    <w:rsid w:val="00C250F8"/>
    <w:rsid w:val="00C261F8"/>
    <w:rsid w:val="00C26425"/>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C103C"/>
    <w:rsid w:val="00CC1082"/>
    <w:rsid w:val="00CC3D35"/>
    <w:rsid w:val="00CC4BD4"/>
    <w:rsid w:val="00CC4D91"/>
    <w:rsid w:val="00CC671B"/>
    <w:rsid w:val="00CC7BAE"/>
    <w:rsid w:val="00CD1A71"/>
    <w:rsid w:val="00CD1FBB"/>
    <w:rsid w:val="00CD29C6"/>
    <w:rsid w:val="00CD6189"/>
    <w:rsid w:val="00CD7B96"/>
    <w:rsid w:val="00CE0B21"/>
    <w:rsid w:val="00CE0EE6"/>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B8E"/>
    <w:rsid w:val="00D660EB"/>
    <w:rsid w:val="00D66103"/>
    <w:rsid w:val="00D6627D"/>
    <w:rsid w:val="00D665E8"/>
    <w:rsid w:val="00D67025"/>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858"/>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28ED"/>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6EC"/>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B1FB-D04E-4867-80C5-D6268ACB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2015-12-14T11:49:00Z</cp:lastPrinted>
  <dcterms:created xsi:type="dcterms:W3CDTF">2015-12-24T10:04:00Z</dcterms:created>
  <dcterms:modified xsi:type="dcterms:W3CDTF">2015-12-24T10:04:00Z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