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F736EC">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8F06C3">
              <w:rPr>
                <w:lang w:val="en-GB"/>
              </w:rPr>
              <w:t>1</w:t>
            </w:r>
            <w:r w:rsidR="00F736EC">
              <w:rPr>
                <w:lang w:val="en-GB"/>
              </w:rPr>
              <w:t>9</w:t>
            </w:r>
          </w:p>
        </w:tc>
      </w:tr>
      <w:tr w:rsidR="00AF2205" w:rsidRPr="005E7DB9"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GB" w:eastAsia="en-GB"/>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B34348" w:rsidP="00DB57ED">
            <w:pPr>
              <w:spacing w:line="240" w:lineRule="exact"/>
              <w:rPr>
                <w:lang w:val="en-GB"/>
              </w:rPr>
            </w:pPr>
            <w:r>
              <w:rPr>
                <w:lang w:val="en-GB"/>
              </w:rPr>
              <w:t>2</w:t>
            </w:r>
            <w:r w:rsidR="00F165FA">
              <w:rPr>
                <w:lang w:val="en-GB"/>
              </w:rPr>
              <w:t>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8F06C3">
        <w:rPr>
          <w:lang w:val="en-GB"/>
        </w:rPr>
        <w:t>9</w:t>
      </w:r>
      <w:r w:rsidR="00A90EA8">
        <w:rPr>
          <w:lang w:val="en-GB"/>
        </w:rPr>
        <w:t>.</w:t>
      </w:r>
      <w:r w:rsidR="00F736EC">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2F19E1">
        <w:rPr>
          <w:b/>
          <w:lang w:val="en-GB"/>
        </w:rPr>
        <w:t>R</w:t>
      </w:r>
      <w:r w:rsidR="008F06C3">
        <w:rPr>
          <w:b/>
          <w:lang w:val="en-GB"/>
        </w:rPr>
        <w:t>E</w:t>
      </w:r>
      <w:r w:rsidR="002F19E1">
        <w:rPr>
          <w:b/>
          <w:lang w:val="en-GB"/>
        </w:rPr>
        <w:t xml:space="preserve"> </w:t>
      </w:r>
    </w:p>
    <w:p w:rsidR="002873BA" w:rsidRPr="00A90EA8" w:rsidRDefault="00F736EC" w:rsidP="00CA1678">
      <w:pPr>
        <w:pStyle w:val="HChG"/>
        <w:tabs>
          <w:tab w:val="clear" w:pos="851"/>
        </w:tabs>
        <w:ind w:firstLine="0"/>
        <w:jc w:val="both"/>
        <w:rPr>
          <w:lang w:val="en-GB"/>
        </w:rPr>
      </w:pPr>
      <w:r w:rsidRPr="00F736EC">
        <w:rPr>
          <w:lang w:val="en-GB"/>
        </w:rPr>
        <w:t xml:space="preserve">Proposal for Supplement 9 to the 05 series </w:t>
      </w:r>
      <w:r w:rsidR="00FA6002" w:rsidRPr="00FA6002">
        <w:rPr>
          <w:lang w:val="en-GB"/>
        </w:rPr>
        <w:t>of amendments to Regulation No. 48 (Installation of lighting and light-signalling devices)</w:t>
      </w:r>
      <w:r w:rsidR="008F06C3" w:rsidRPr="008F06C3">
        <w:rPr>
          <w:lang w:val="en-GB"/>
        </w:rPr>
        <w:t xml:space="preserve"> </w:t>
      </w:r>
      <w:r w:rsidR="002F19E1" w:rsidRPr="002F19E1">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8F06C3" w:rsidRPr="008F06C3">
        <w:rPr>
          <w:b/>
          <w:sz w:val="24"/>
          <w:lang w:val="en-GB"/>
        </w:rPr>
        <w:t>Lighting and Light-Signalling</w:t>
      </w:r>
      <w:r w:rsidRPr="00A90EA8">
        <w:rPr>
          <w:vertAlign w:val="superscript"/>
          <w:lang w:val="en-GB"/>
        </w:rPr>
        <w:footnoteReference w:customMarkFollows="1" w:id="2"/>
        <w:t>*</w:t>
      </w:r>
    </w:p>
    <w:p w:rsidR="00A90EA8" w:rsidRDefault="00A90EA8" w:rsidP="008F06C3">
      <w:pPr>
        <w:pStyle w:val="SingleTxtG"/>
        <w:ind w:firstLine="567"/>
        <w:rPr>
          <w:lang w:val="en-GB"/>
        </w:rPr>
      </w:pPr>
      <w:r w:rsidRPr="00A90EA8">
        <w:rPr>
          <w:lang w:val="en-GB"/>
        </w:rPr>
        <w:t xml:space="preserve">The text reproduced below was adopted by the Working Party on </w:t>
      </w:r>
      <w:r w:rsidR="008F06C3" w:rsidRPr="008F06C3">
        <w:rPr>
          <w:lang w:val="en-GB"/>
        </w:rPr>
        <w:t xml:space="preserve">Lighting and Light-Signalling (GRE) </w:t>
      </w:r>
      <w:r w:rsidRPr="00A90EA8">
        <w:rPr>
          <w:lang w:val="en-GB"/>
        </w:rPr>
        <w:t xml:space="preserve">at its </w:t>
      </w:r>
      <w:r w:rsidR="008F06C3">
        <w:rPr>
          <w:lang w:val="en-GB"/>
        </w:rPr>
        <w:t xml:space="preserve">seventy-fourth </w:t>
      </w:r>
      <w:r w:rsidRPr="00A90EA8">
        <w:rPr>
          <w:lang w:val="en-GB"/>
        </w:rPr>
        <w:t>session (</w:t>
      </w:r>
      <w:r w:rsidR="002F19E1" w:rsidRPr="002F19E1">
        <w:rPr>
          <w:lang w:val="en-GB" w:eastAsia="it-IT"/>
        </w:rPr>
        <w:t>ECE/TRANS/WP.29/GR</w:t>
      </w:r>
      <w:r w:rsidR="008F06C3">
        <w:rPr>
          <w:lang w:val="en-GB" w:eastAsia="it-IT"/>
        </w:rPr>
        <w:t>E</w:t>
      </w:r>
      <w:r w:rsidR="002F19E1" w:rsidRPr="002F19E1">
        <w:rPr>
          <w:lang w:val="en-GB" w:eastAsia="it-IT"/>
        </w:rPr>
        <w:t>/</w:t>
      </w:r>
      <w:r w:rsidR="008F06C3">
        <w:rPr>
          <w:lang w:val="en-GB" w:eastAsia="it-IT"/>
        </w:rPr>
        <w:t>74</w:t>
      </w:r>
      <w:r w:rsidR="002F19E1" w:rsidRPr="002F19E1">
        <w:rPr>
          <w:lang w:val="en-GB" w:eastAsia="it-IT"/>
        </w:rPr>
        <w:t xml:space="preserve">, </w:t>
      </w:r>
      <w:r w:rsidR="008F06C3" w:rsidRPr="008F06C3">
        <w:rPr>
          <w:lang w:val="en-GB" w:eastAsia="it-IT"/>
        </w:rPr>
        <w:t>para</w:t>
      </w:r>
      <w:r w:rsidR="00FA6002">
        <w:rPr>
          <w:lang w:val="en-GB" w:eastAsia="it-IT"/>
        </w:rPr>
        <w:t>s</w:t>
      </w:r>
      <w:r w:rsidR="008F06C3" w:rsidRPr="008F06C3">
        <w:rPr>
          <w:lang w:val="en-GB" w:eastAsia="it-IT"/>
        </w:rPr>
        <w:t xml:space="preserve">. </w:t>
      </w:r>
      <w:r w:rsidR="00FA6002">
        <w:rPr>
          <w:lang w:val="en-GB" w:eastAsia="it-IT"/>
        </w:rPr>
        <w:t>15 and 17</w:t>
      </w:r>
      <w:r w:rsidR="008F06C3">
        <w:rPr>
          <w:lang w:val="en-GB" w:eastAsia="it-IT"/>
        </w:rPr>
        <w:t xml:space="preserve">). </w:t>
      </w:r>
      <w:r w:rsidR="00FA6002">
        <w:rPr>
          <w:lang w:val="en-GB" w:eastAsia="it-IT"/>
        </w:rPr>
        <w:t xml:space="preserve">It is based </w:t>
      </w:r>
      <w:r w:rsidR="00FA6002" w:rsidRPr="00FA6002">
        <w:rPr>
          <w:lang w:val="en-GB" w:eastAsia="it-IT"/>
        </w:rPr>
        <w:t xml:space="preserve">on ECE/TRANS/WP.29/GRE/2015/21 </w:t>
      </w:r>
      <w:r w:rsidR="00FA6002">
        <w:rPr>
          <w:lang w:val="en-GB" w:eastAsia="it-IT"/>
        </w:rPr>
        <w:t xml:space="preserve">and </w:t>
      </w:r>
      <w:r w:rsidR="00FA6002" w:rsidRPr="00FA6002">
        <w:rPr>
          <w:lang w:val="en-GB" w:eastAsia="it-IT"/>
        </w:rPr>
        <w:t>Annex II to</w:t>
      </w:r>
      <w:r w:rsidR="00FA6002">
        <w:rPr>
          <w:lang w:val="en-GB" w:eastAsia="it-IT"/>
        </w:rPr>
        <w:t xml:space="preserve"> the report.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FA6002" w:rsidRPr="00FA6002" w:rsidRDefault="00FA6002" w:rsidP="00FA6002">
      <w:pPr>
        <w:spacing w:after="120"/>
        <w:ind w:left="1134" w:right="1134"/>
        <w:jc w:val="both"/>
        <w:rPr>
          <w:rFonts w:eastAsia="SimSun"/>
          <w:lang w:val="en-GB"/>
        </w:rPr>
      </w:pPr>
      <w:r w:rsidRPr="00FA6002">
        <w:rPr>
          <w:rFonts w:eastAsia="SimSun"/>
          <w:i/>
          <w:lang w:val="en-GB"/>
        </w:rPr>
        <w:lastRenderedPageBreak/>
        <w:t>Paragraph 6.2.9.</w:t>
      </w:r>
      <w:r w:rsidRPr="00FA6002">
        <w:rPr>
          <w:rFonts w:eastAsia="SimSun"/>
          <w:lang w:val="en-GB"/>
        </w:rPr>
        <w:t>, amend to read:</w:t>
      </w:r>
    </w:p>
    <w:p w:rsidR="00FA6002" w:rsidRPr="00FA6002" w:rsidRDefault="00FA6002" w:rsidP="00FA6002">
      <w:pPr>
        <w:tabs>
          <w:tab w:val="left" w:pos="1985"/>
        </w:tabs>
        <w:autoSpaceDE w:val="0"/>
        <w:autoSpaceDN w:val="0"/>
        <w:adjustRightInd w:val="0"/>
        <w:spacing w:after="120"/>
        <w:ind w:left="1134"/>
        <w:jc w:val="both"/>
        <w:rPr>
          <w:rFonts w:eastAsia="SimSun"/>
          <w:color w:val="000000"/>
          <w:lang w:val="en-GB" w:eastAsia="fr-FR"/>
        </w:rPr>
      </w:pPr>
      <w:r w:rsidRPr="00FA6002">
        <w:rPr>
          <w:rFonts w:eastAsia="SimSun"/>
          <w:lang w:val="en-GB"/>
        </w:rPr>
        <w:t>"</w:t>
      </w:r>
      <w:r w:rsidRPr="00FA6002">
        <w:rPr>
          <w:rFonts w:eastAsia="SimSun"/>
          <w:color w:val="000000"/>
          <w:lang w:val="en-GB" w:eastAsia="fr-FR"/>
        </w:rPr>
        <w:t>6.2.9.</w:t>
      </w:r>
      <w:r w:rsidRPr="00FA6002">
        <w:rPr>
          <w:rFonts w:eastAsia="SimSun"/>
          <w:color w:val="000000"/>
          <w:lang w:val="en-GB" w:eastAsia="fr-FR"/>
        </w:rPr>
        <w:tab/>
        <w:t>Other requirements</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proofErr w:type="gramStart"/>
      <w:r w:rsidRPr="00FA6002">
        <w:rPr>
          <w:rFonts w:eastAsia="SimSun"/>
          <w:color w:val="000000"/>
          <w:lang w:val="en-GB" w:eastAsia="fr-FR"/>
        </w:rPr>
        <w:t>The requirements of paragraph 5.5.2.</w:t>
      </w:r>
      <w:proofErr w:type="gramEnd"/>
      <w:r w:rsidRPr="00FA6002">
        <w:rPr>
          <w:rFonts w:eastAsia="SimSun"/>
          <w:color w:val="000000"/>
          <w:lang w:val="en-GB" w:eastAsia="fr-FR"/>
        </w:rPr>
        <w:t xml:space="preserve"> </w:t>
      </w:r>
      <w:proofErr w:type="gramStart"/>
      <w:r w:rsidRPr="00FA6002">
        <w:rPr>
          <w:rFonts w:eastAsia="SimSun"/>
          <w:color w:val="000000"/>
          <w:lang w:val="en-GB" w:eastAsia="fr-FR"/>
        </w:rPr>
        <w:t>shall</w:t>
      </w:r>
      <w:proofErr w:type="gramEnd"/>
      <w:r w:rsidRPr="00FA6002">
        <w:rPr>
          <w:rFonts w:eastAsia="SimSun"/>
          <w:color w:val="000000"/>
          <w:lang w:val="en-GB" w:eastAsia="fr-FR"/>
        </w:rPr>
        <w:t xml:space="preserve"> not apply to dipped-beam headlamps.</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Dipped-beam headlamps with a light source or LED module( s) producing the principal dipped beam and having a total objective luminous flux which exceeds 2,000 lumens shall only be installed in conjunction with the installation of headlamp cleaning device( s) according to Regulation No. 45.</w:t>
      </w:r>
      <w:r w:rsidRPr="00FA6002">
        <w:rPr>
          <w:rFonts w:eastAsia="SimSun"/>
          <w:color w:val="000000"/>
          <w:vertAlign w:val="superscript"/>
          <w:lang w:val="en-GB" w:eastAsia="fr-FR"/>
        </w:rPr>
        <w:t>11</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 xml:space="preserve">With respect to vertical inclination the provisions of paragraph 6.2.6.2.2. </w:t>
      </w:r>
      <w:proofErr w:type="gramStart"/>
      <w:r w:rsidRPr="00FA6002">
        <w:rPr>
          <w:rFonts w:eastAsia="SimSun"/>
          <w:color w:val="000000"/>
          <w:lang w:val="en-GB" w:eastAsia="fr-FR"/>
        </w:rPr>
        <w:t>above</w:t>
      </w:r>
      <w:proofErr w:type="gramEnd"/>
      <w:r w:rsidRPr="00FA6002">
        <w:rPr>
          <w:rFonts w:eastAsia="SimSun"/>
          <w:color w:val="000000"/>
          <w:lang w:val="en-GB" w:eastAsia="fr-FR"/>
        </w:rPr>
        <w:t xml:space="preserve"> shall not be applied for dipped-beam headlamps</w:t>
      </w:r>
      <w:r w:rsidR="004F7498">
        <w:rPr>
          <w:rFonts w:eastAsia="SimSun"/>
          <w:color w:val="000000"/>
          <w:lang w:val="en-GB" w:eastAsia="fr-FR"/>
        </w:rPr>
        <w:t xml:space="preserve"> </w:t>
      </w:r>
      <w:r w:rsidRPr="00FA6002">
        <w:rPr>
          <w:rFonts w:eastAsia="SimSun"/>
          <w:color w:val="000000"/>
          <w:lang w:val="en-GB" w:eastAsia="fr-FR"/>
        </w:rPr>
        <w:t xml:space="preserve">with a light source </w:t>
      </w:r>
      <w:r w:rsidRPr="00FA6002">
        <w:rPr>
          <w:rFonts w:eastAsia="SimSun"/>
          <w:lang w:val="en-GB" w:eastAsia="fr-FR"/>
        </w:rPr>
        <w:t xml:space="preserve">or LED module(s) </w:t>
      </w:r>
      <w:r w:rsidRPr="00FA6002">
        <w:rPr>
          <w:rFonts w:eastAsia="SimSun"/>
          <w:color w:val="000000"/>
          <w:lang w:val="en-GB" w:eastAsia="fr-FR"/>
        </w:rPr>
        <w:t>producing the principal dipped beam and having an objective luminous flux which exceeds 2,000 lumens.</w:t>
      </w:r>
    </w:p>
    <w:p w:rsidR="004F7498"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In the case of filament lamps for which more than one test voltage is specified, the objective luminous flux which produces the principal dipped beam, as indicated in the communication form for the type approval of the device, is applied.</w:t>
      </w:r>
    </w:p>
    <w:p w:rsidR="00FA6002" w:rsidRPr="00FA6002" w:rsidRDefault="004F7498" w:rsidP="00FA6002">
      <w:pPr>
        <w:autoSpaceDE w:val="0"/>
        <w:autoSpaceDN w:val="0"/>
        <w:adjustRightInd w:val="0"/>
        <w:spacing w:after="120"/>
        <w:ind w:left="1985" w:right="1134"/>
        <w:jc w:val="both"/>
        <w:rPr>
          <w:rFonts w:eastAsia="SimSun"/>
          <w:color w:val="000000"/>
          <w:lang w:val="en-GB" w:eastAsia="fr-FR"/>
        </w:rPr>
      </w:pPr>
      <w:r>
        <w:rPr>
          <w:rFonts w:eastAsia="SimSun"/>
          <w:color w:val="000000"/>
          <w:lang w:val="en-GB" w:eastAsia="fr-FR"/>
        </w:rPr>
        <w:t>…</w:t>
      </w:r>
      <w:r w:rsidR="00FA6002" w:rsidRPr="00FA6002">
        <w:rPr>
          <w:rFonts w:eastAsia="SimSun"/>
          <w:color w:val="000000"/>
          <w:lang w:val="en-GB" w:eastAsia="fr-FR"/>
        </w:rPr>
        <w:t>"</w:t>
      </w:r>
    </w:p>
    <w:p w:rsidR="00FA6002" w:rsidRPr="007D5853" w:rsidRDefault="00FA6002" w:rsidP="00FA6002">
      <w:pPr>
        <w:pStyle w:val="para"/>
        <w:keepNext/>
      </w:pPr>
      <w:r w:rsidRPr="007D5853">
        <w:rPr>
          <w:i/>
        </w:rPr>
        <w:t>Paragraph 6.13.2.</w:t>
      </w:r>
      <w:r w:rsidRPr="007D5853">
        <w:t>,</w:t>
      </w:r>
      <w:r w:rsidRPr="007D5853">
        <w:rPr>
          <w:i/>
        </w:rPr>
        <w:t xml:space="preserve"> </w:t>
      </w:r>
      <w:r w:rsidRPr="007D5853">
        <w:t>amend to read:</w:t>
      </w:r>
    </w:p>
    <w:p w:rsidR="00FA6002" w:rsidRPr="007D5853" w:rsidRDefault="00FA6002" w:rsidP="00FA6002">
      <w:pPr>
        <w:pStyle w:val="para"/>
        <w:rPr>
          <w:u w:val="single"/>
        </w:rPr>
      </w:pPr>
      <w:r w:rsidRPr="007D5853">
        <w:t>"6.13.2.</w:t>
      </w:r>
      <w:r w:rsidRPr="007D5853">
        <w:tab/>
        <w:t>Number</w:t>
      </w:r>
    </w:p>
    <w:p w:rsidR="00FA6002" w:rsidRPr="007D5853" w:rsidRDefault="00FA6002" w:rsidP="00FA6002">
      <w:pPr>
        <w:pStyle w:val="para"/>
        <w:rPr>
          <w:u w:val="single"/>
        </w:rPr>
      </w:pPr>
      <w:r w:rsidRPr="007D5853">
        <w:tab/>
      </w:r>
      <w:proofErr w:type="gramStart"/>
      <w:r w:rsidRPr="007D5853">
        <w:t>Two visible from the front and two visible from the rear.</w:t>
      </w:r>
      <w:proofErr w:type="gramEnd"/>
    </w:p>
    <w:p w:rsidR="00FA6002" w:rsidRPr="007D5853" w:rsidRDefault="00FA6002" w:rsidP="00FA6002">
      <w:pPr>
        <w:pStyle w:val="para"/>
        <w:rPr>
          <w:u w:val="single"/>
        </w:rPr>
      </w:pPr>
      <w:r w:rsidRPr="007D5853">
        <w:tab/>
        <w:t>Additional lamps may be fitted as follows:</w:t>
      </w:r>
    </w:p>
    <w:p w:rsidR="00FA6002" w:rsidRPr="007D5853" w:rsidRDefault="00FA6002" w:rsidP="00FA6002">
      <w:pPr>
        <w:pStyle w:val="para"/>
        <w:tabs>
          <w:tab w:val="left" w:pos="2268"/>
        </w:tabs>
        <w:ind w:left="2694" w:hanging="1560"/>
      </w:pPr>
      <w:r w:rsidRPr="007D5853">
        <w:tab/>
        <w:t>(a)</w:t>
      </w:r>
      <w:r w:rsidRPr="007D5853">
        <w:tab/>
        <w:t>Two visible from the front;</w:t>
      </w:r>
    </w:p>
    <w:p w:rsidR="00FA6002" w:rsidRPr="007D5853" w:rsidRDefault="00FA6002" w:rsidP="00FA6002">
      <w:pPr>
        <w:pStyle w:val="para"/>
        <w:tabs>
          <w:tab w:val="left" w:pos="2268"/>
        </w:tabs>
        <w:ind w:left="2694" w:hanging="1560"/>
      </w:pPr>
      <w:r w:rsidRPr="007D5853">
        <w:tab/>
      </w:r>
      <w:proofErr w:type="gramStart"/>
      <w:r w:rsidRPr="007D5853">
        <w:t>(b)</w:t>
      </w:r>
      <w:r w:rsidRPr="007D5853">
        <w:tab/>
        <w:t>Two visible from the rear."</w:t>
      </w:r>
      <w:proofErr w:type="gramEnd"/>
    </w:p>
    <w:p w:rsidR="00FA6002" w:rsidRPr="007D5853" w:rsidRDefault="00FA6002" w:rsidP="00FA6002">
      <w:pPr>
        <w:pStyle w:val="para"/>
        <w:keepNext/>
      </w:pPr>
      <w:proofErr w:type="gramStart"/>
      <w:r w:rsidRPr="007D5853">
        <w:rPr>
          <w:i/>
        </w:rPr>
        <w:t>Paragraph 6.13.4.2., last indent</w:t>
      </w:r>
      <w:r w:rsidRPr="007D5853">
        <w:t>, amend</w:t>
      </w:r>
      <w:proofErr w:type="gramEnd"/>
      <w:r w:rsidRPr="007D5853">
        <w:t xml:space="preserve"> to read:</w:t>
      </w:r>
    </w:p>
    <w:p w:rsidR="00FA6002" w:rsidRDefault="00FA6002" w:rsidP="00FA6002">
      <w:pPr>
        <w:pStyle w:val="para"/>
      </w:pPr>
      <w:r w:rsidRPr="007D5853">
        <w:t>"6.13.4.2.</w:t>
      </w:r>
      <w:r w:rsidRPr="007D5853">
        <w:tab/>
      </w:r>
      <w:r w:rsidRPr="007D5853">
        <w:tab/>
        <w:t>…</w:t>
      </w:r>
    </w:p>
    <w:p w:rsidR="00FA6002" w:rsidRPr="007D5853" w:rsidRDefault="00FA6002" w:rsidP="00FA6002">
      <w:pPr>
        <w:pStyle w:val="para"/>
        <w:tabs>
          <w:tab w:val="left" w:pos="2268"/>
        </w:tabs>
      </w:pPr>
      <w:r w:rsidRPr="007D5853">
        <w:tab/>
      </w:r>
      <w:r w:rsidRPr="007D5853">
        <w:tab/>
        <w:t>The additional lamps, as specified in paragraph 6.13.2. (b</w:t>
      </w:r>
      <w:proofErr w:type="gramStart"/>
      <w:r w:rsidRPr="007D5853">
        <w:t>),</w:t>
      </w:r>
      <w:proofErr w:type="gramEnd"/>
      <w:r w:rsidRPr="007D5853">
        <w:t xml:space="preserve"> shall be fitted as far separated in height as practicable in respect to the mandatory ones, provided that their position is compatible with design/operational requirements of the vehicle and symmetry of the lamps."</w:t>
      </w:r>
    </w:p>
    <w:p w:rsidR="00FA6002" w:rsidRPr="007D5853" w:rsidRDefault="00FA6002" w:rsidP="00FA6002">
      <w:pPr>
        <w:pStyle w:val="para"/>
        <w:keepNext/>
      </w:pPr>
      <w:r w:rsidRPr="007D5853">
        <w:rPr>
          <w:i/>
        </w:rPr>
        <w:t>Paragraph 6.13.4.3.</w:t>
      </w:r>
      <w:r w:rsidRPr="007D5853">
        <w:t>,</w:t>
      </w:r>
      <w:r w:rsidRPr="007D5853">
        <w:rPr>
          <w:i/>
        </w:rPr>
        <w:t xml:space="preserve"> </w:t>
      </w:r>
      <w:r w:rsidRPr="007D5853">
        <w:t>amend to read:</w:t>
      </w:r>
    </w:p>
    <w:p w:rsidR="00FA6002" w:rsidRPr="007D5853" w:rsidRDefault="00FA6002" w:rsidP="00FA6002">
      <w:pPr>
        <w:pStyle w:val="para"/>
      </w:pPr>
      <w:proofErr w:type="gramStart"/>
      <w:r w:rsidRPr="007D5853">
        <w:t>"6.13.4.3.</w:t>
      </w:r>
      <w:r w:rsidRPr="007D5853">
        <w:tab/>
        <w:t>In length, no special requirement.</w:t>
      </w:r>
      <w:proofErr w:type="gramEnd"/>
    </w:p>
    <w:p w:rsidR="00FA6002" w:rsidRPr="007D5853" w:rsidRDefault="00FA6002" w:rsidP="00FA6002">
      <w:pPr>
        <w:pStyle w:val="para"/>
      </w:pPr>
      <w:r w:rsidRPr="007D5853">
        <w:tab/>
        <w:t>The additional lamps, as specified in paragraph 6.13.2. (a), shall be fitted as close as practicable to the rear; this requirement shall be deemed to be satisfied if the distance between the additional lamps and the rear of the vehicle does not exceed 400 mm."</w:t>
      </w:r>
    </w:p>
    <w:p w:rsidR="00CB7BC0" w:rsidRPr="007D5853" w:rsidRDefault="00CB7BC0" w:rsidP="00CB7BC0">
      <w:pPr>
        <w:pStyle w:val="para"/>
        <w:keepNext/>
      </w:pPr>
      <w:r w:rsidRPr="007D5853">
        <w:rPr>
          <w:i/>
        </w:rPr>
        <w:t>Paragraph 6.13.9.</w:t>
      </w:r>
      <w:r w:rsidRPr="007D5853">
        <w:t>,</w:t>
      </w:r>
      <w:r w:rsidRPr="007D5853">
        <w:rPr>
          <w:i/>
        </w:rPr>
        <w:t xml:space="preserve"> </w:t>
      </w:r>
      <w:r>
        <w:rPr>
          <w:i/>
        </w:rPr>
        <w:t xml:space="preserve">after the last </w:t>
      </w:r>
      <w:proofErr w:type="gramStart"/>
      <w:r>
        <w:rPr>
          <w:i/>
        </w:rPr>
        <w:t>indent,</w:t>
      </w:r>
      <w:proofErr w:type="gramEnd"/>
      <w:r>
        <w:rPr>
          <w:i/>
        </w:rPr>
        <w:t xml:space="preserve"> add a new indent </w:t>
      </w:r>
      <w:r w:rsidRPr="007D5853">
        <w:t>to read:</w:t>
      </w:r>
    </w:p>
    <w:p w:rsidR="00FA6002" w:rsidRPr="007D5853" w:rsidRDefault="00FA6002" w:rsidP="00FA6002">
      <w:pPr>
        <w:pStyle w:val="para"/>
        <w:rPr>
          <w:u w:val="single"/>
        </w:rPr>
      </w:pPr>
      <w:r w:rsidRPr="007D5853">
        <w:t>"6.13.9.</w:t>
      </w:r>
      <w:r w:rsidRPr="007D5853">
        <w:tab/>
        <w:t>…</w:t>
      </w:r>
    </w:p>
    <w:p w:rsidR="008F06C3" w:rsidRPr="00FA6002" w:rsidRDefault="00FA6002" w:rsidP="00FA6002">
      <w:pPr>
        <w:spacing w:after="240" w:line="240" w:lineRule="auto"/>
        <w:ind w:left="2268" w:right="1134" w:hanging="1134"/>
        <w:jc w:val="both"/>
        <w:rPr>
          <w:lang w:val="en-US" w:eastAsia="nl-NL"/>
        </w:rPr>
      </w:pPr>
      <w:r w:rsidRPr="007D5853">
        <w:tab/>
      </w:r>
      <w:r w:rsidRPr="00FA6002">
        <w:rPr>
          <w:lang w:val="en-US"/>
        </w:rPr>
        <w:t>The additional lamps, as specified in paragraph 6.13.2. (</w:t>
      </w:r>
      <w:proofErr w:type="gramStart"/>
      <w:r w:rsidRPr="00FA6002">
        <w:rPr>
          <w:lang w:val="en-US"/>
        </w:rPr>
        <w:t>a</w:t>
      </w:r>
      <w:proofErr w:type="gramEnd"/>
      <w:r w:rsidRPr="00FA6002">
        <w:rPr>
          <w:lang w:val="en-US"/>
        </w:rPr>
        <w:t>), used to mark the rear end outline of the vehicle, the trailer or the semi-trailer shall be fitted in such a way to make it visible within the fields of vision of the approved main rear-view devices for indirect vision."</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821B6B">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D3" w:rsidRDefault="00B029D3"/>
  </w:endnote>
  <w:endnote w:type="continuationSeparator" w:id="0">
    <w:p w:rsidR="00B029D3" w:rsidRDefault="00B029D3"/>
  </w:endnote>
  <w:endnote w:type="continuationNotice" w:id="1">
    <w:p w:rsidR="00B029D3" w:rsidRDefault="00B02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E411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B7BC0">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D3" w:rsidRPr="00D27D5E" w:rsidRDefault="00B029D3" w:rsidP="00D27D5E">
      <w:pPr>
        <w:tabs>
          <w:tab w:val="right" w:pos="2155"/>
        </w:tabs>
        <w:spacing w:after="80"/>
        <w:ind w:left="680"/>
        <w:rPr>
          <w:u w:val="single"/>
        </w:rPr>
      </w:pPr>
      <w:r>
        <w:rPr>
          <w:u w:val="single"/>
        </w:rPr>
        <w:tab/>
      </w:r>
    </w:p>
  </w:footnote>
  <w:footnote w:type="continuationSeparator" w:id="0">
    <w:p w:rsidR="00B029D3" w:rsidRDefault="00B029D3">
      <w:r>
        <w:rPr>
          <w:u w:val="single"/>
        </w:rPr>
        <w:tab/>
      </w:r>
      <w:r>
        <w:rPr>
          <w:u w:val="single"/>
        </w:rPr>
        <w:tab/>
      </w:r>
      <w:r>
        <w:rPr>
          <w:u w:val="single"/>
        </w:rPr>
        <w:tab/>
      </w:r>
      <w:r>
        <w:rPr>
          <w:u w:val="single"/>
        </w:rPr>
        <w:tab/>
      </w:r>
    </w:p>
  </w:footnote>
  <w:footnote w:type="continuationNotice" w:id="1">
    <w:p w:rsidR="00B029D3" w:rsidRDefault="00B029D3"/>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8F06C3">
      <w:rPr>
        <w:lang w:val="en-US"/>
      </w:rPr>
      <w:t>1</w:t>
    </w:r>
    <w:r w:rsidR="00F736EC">
      <w:rPr>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97E0E"/>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52F"/>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498"/>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DB9"/>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4F73"/>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08C4"/>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1B6B"/>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6C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29D3"/>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4348"/>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C7E93"/>
    <w:rsid w:val="00BD4063"/>
    <w:rsid w:val="00BD453D"/>
    <w:rsid w:val="00BD605A"/>
    <w:rsid w:val="00BD6524"/>
    <w:rsid w:val="00BD71C8"/>
    <w:rsid w:val="00BD7D09"/>
    <w:rsid w:val="00BE04D0"/>
    <w:rsid w:val="00BE1132"/>
    <w:rsid w:val="00BE1425"/>
    <w:rsid w:val="00BE1E8E"/>
    <w:rsid w:val="00BE258D"/>
    <w:rsid w:val="00BE4114"/>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8DD"/>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6A14"/>
    <w:rsid w:val="00CB7BC0"/>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B8E"/>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5FA"/>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6EC"/>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002"/>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07B2-4B9B-437F-8B68-D976C17C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2015-12-14T09:09:00Z</cp:lastPrinted>
  <dcterms:created xsi:type="dcterms:W3CDTF">2015-12-24T10:03:00Z</dcterms:created>
  <dcterms:modified xsi:type="dcterms:W3CDTF">2015-12-24T10:03:00Z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