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2462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24626" w:rsidP="00A24626">
            <w:pPr>
              <w:jc w:val="right"/>
            </w:pPr>
            <w:r w:rsidRPr="00A24626">
              <w:rPr>
                <w:sz w:val="40"/>
              </w:rPr>
              <w:t>ECE</w:t>
            </w:r>
            <w:r>
              <w:t>/TRANS/WP.11/234/Add.1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24626" w:rsidP="00892A2F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A24626" w:rsidRDefault="00A24626" w:rsidP="00A24626">
            <w:pPr>
              <w:spacing w:line="240" w:lineRule="exact"/>
            </w:pPr>
            <w:r>
              <w:t>21 juillet 2016</w:t>
            </w:r>
          </w:p>
          <w:p w:rsidR="00A24626" w:rsidRDefault="00A24626" w:rsidP="00A24626">
            <w:pPr>
              <w:spacing w:line="240" w:lineRule="exact"/>
            </w:pPr>
            <w:r>
              <w:t>Français</w:t>
            </w:r>
          </w:p>
          <w:p w:rsidR="00A24626" w:rsidRPr="00DB58B5" w:rsidRDefault="00A24626" w:rsidP="00A2462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24626" w:rsidRPr="00685843" w:rsidRDefault="00A24626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A24626" w:rsidRPr="00F30D47" w:rsidRDefault="00A24626" w:rsidP="00305801">
      <w:pPr>
        <w:spacing w:before="120"/>
        <w:rPr>
          <w:b/>
        </w:rPr>
      </w:pPr>
      <w:r>
        <w:rPr>
          <w:b/>
        </w:rPr>
        <w:t xml:space="preserve">Soixante-douzième </w:t>
      </w:r>
      <w:r w:rsidRPr="00F30D47">
        <w:rPr>
          <w:b/>
        </w:rPr>
        <w:t>session</w:t>
      </w:r>
    </w:p>
    <w:p w:rsidR="00A24626" w:rsidRDefault="00A24626" w:rsidP="00305801">
      <w:r>
        <w:t>Genève, 4-7 octobre 2016</w:t>
      </w:r>
    </w:p>
    <w:p w:rsidR="00A24626" w:rsidRDefault="00A24626" w:rsidP="00305801">
      <w:r>
        <w:t>Point 1 de l’ordre du jour provisoire</w:t>
      </w:r>
    </w:p>
    <w:p w:rsidR="0029409C" w:rsidRPr="00A24626" w:rsidRDefault="000643C8" w:rsidP="00A24626">
      <w:pPr>
        <w:rPr>
          <w:b/>
        </w:rPr>
      </w:pPr>
      <w:r w:rsidRPr="00A24626">
        <w:rPr>
          <w:b/>
        </w:rPr>
        <w:t>Adoption de l</w:t>
      </w:r>
      <w:r w:rsidR="00A24626" w:rsidRPr="00A24626">
        <w:rPr>
          <w:b/>
        </w:rPr>
        <w:t>’</w:t>
      </w:r>
      <w:r w:rsidRPr="00A24626">
        <w:rPr>
          <w:b/>
        </w:rPr>
        <w:t>ordre du jour</w:t>
      </w:r>
    </w:p>
    <w:p w:rsidR="0029409C" w:rsidRPr="00A24626" w:rsidRDefault="00A24626" w:rsidP="00A24626">
      <w:pPr>
        <w:pStyle w:val="HChG"/>
      </w:pPr>
      <w:r>
        <w:tab/>
      </w:r>
      <w:r>
        <w:tab/>
      </w:r>
      <w:r w:rsidR="000643C8" w:rsidRPr="00A24626">
        <w:t>Ordre du jour provisoire de la session</w:t>
      </w:r>
    </w:p>
    <w:p w:rsidR="0029409C" w:rsidRPr="00A24626" w:rsidRDefault="00A24626" w:rsidP="00A24626">
      <w:pPr>
        <w:pStyle w:val="H23G"/>
      </w:pPr>
      <w:r>
        <w:tab/>
      </w:r>
      <w:r>
        <w:tab/>
      </w:r>
      <w:r w:rsidR="000643C8" w:rsidRPr="00A24626">
        <w:t>Additif</w:t>
      </w:r>
    </w:p>
    <w:p w:rsidR="0029409C" w:rsidRPr="00A24626" w:rsidRDefault="00A24626" w:rsidP="00A24626">
      <w:pPr>
        <w:pStyle w:val="H1G"/>
      </w:pPr>
      <w:r>
        <w:tab/>
      </w:r>
      <w:r>
        <w:tab/>
      </w:r>
      <w:r w:rsidR="000643C8" w:rsidRPr="00A24626">
        <w:t>Annotations</w:t>
      </w:r>
    </w:p>
    <w:p w:rsidR="0029409C" w:rsidRPr="00A24626" w:rsidRDefault="00A24626" w:rsidP="00A24626">
      <w:pPr>
        <w:pStyle w:val="H1G"/>
      </w:pPr>
      <w:r>
        <w:tab/>
      </w:r>
      <w:r w:rsidR="000643C8" w:rsidRPr="00A24626">
        <w:t>1.</w:t>
      </w:r>
      <w:r w:rsidR="000643C8" w:rsidRPr="00A24626">
        <w:tab/>
        <w:t>Adoption de l</w:t>
      </w:r>
      <w:r w:rsidRPr="00A24626">
        <w:t>’</w:t>
      </w:r>
      <w:r>
        <w:t>ordre du jour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Conformément au Règlement intérieur du Groupe de travail du transport des denrées périssables (WP.11), le premier point de l</w:t>
      </w:r>
      <w:r w:rsidR="00A24626" w:rsidRPr="00A24626">
        <w:t>’</w:t>
      </w:r>
      <w:r w:rsidRPr="00A24626">
        <w:t>ordre du jour provisoire est l</w:t>
      </w:r>
      <w:r w:rsidR="00A24626" w:rsidRPr="00A24626">
        <w:t>’</w:t>
      </w:r>
      <w:r w:rsidRPr="00A24626">
        <w:t>adoption de l</w:t>
      </w:r>
      <w:r w:rsidR="00A24626" w:rsidRPr="00A24626">
        <w:t>’</w:t>
      </w:r>
      <w:r w:rsidRPr="00A24626">
        <w:t>ordre du jour.</w:t>
      </w:r>
    </w:p>
    <w:p w:rsidR="0029409C" w:rsidRPr="00A24626" w:rsidRDefault="00A24626" w:rsidP="00A24626">
      <w:pPr>
        <w:pStyle w:val="H1G"/>
      </w:pPr>
      <w:r>
        <w:tab/>
      </w:r>
      <w:r w:rsidR="000643C8" w:rsidRPr="00A24626">
        <w:t>2.</w:t>
      </w:r>
      <w:r w:rsidR="000643C8" w:rsidRPr="00A24626">
        <w:tab/>
        <w:t>Activités des organes de la CEE intéressant le Groupe de travail</w:t>
      </w:r>
    </w:p>
    <w:p w:rsidR="0029409C" w:rsidRPr="00A24626" w:rsidRDefault="00A24626" w:rsidP="00A24626">
      <w:pPr>
        <w:pStyle w:val="H23G"/>
      </w:pPr>
      <w:r>
        <w:tab/>
      </w:r>
      <w:r w:rsidR="000643C8" w:rsidRPr="00A24626">
        <w:t>a)</w:t>
      </w:r>
      <w:r w:rsidR="000643C8" w:rsidRPr="00A24626">
        <w:tab/>
        <w:t>Comité des transports intérieurs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sera informé des résultats de la soixante-dix-huitième session </w:t>
      </w:r>
      <w:proofErr w:type="gramStart"/>
      <w:r w:rsidRPr="00A24626">
        <w:t>du</w:t>
      </w:r>
      <w:proofErr w:type="gramEnd"/>
      <w:r w:rsidRPr="00A24626">
        <w:t xml:space="preserve"> Comité des transports intérieurs (23-26</w:t>
      </w:r>
      <w:r w:rsidR="00A24626">
        <w:t> </w:t>
      </w:r>
      <w:r w:rsidRPr="00A24626">
        <w:t>février 2016) tels qu</w:t>
      </w:r>
      <w:r w:rsidR="00A24626" w:rsidRPr="00A24626">
        <w:t>’</w:t>
      </w:r>
      <w:r w:rsidRPr="00A24626">
        <w:t>ils sont présentés dans le rapport de ce dernier (</w:t>
      </w:r>
      <w:r w:rsidRPr="00A24626">
        <w:rPr>
          <w:lang w:val="en-US"/>
        </w:rPr>
        <w:t>ECE/TRANS/254, par.</w:t>
      </w:r>
      <w:r w:rsidR="00A24626">
        <w:rPr>
          <w:lang w:val="en-US"/>
        </w:rPr>
        <w:t> </w:t>
      </w:r>
      <w:r w:rsidRPr="00A24626">
        <w:rPr>
          <w:lang w:val="en-US"/>
        </w:rPr>
        <w:t>136 à 142</w:t>
      </w:r>
      <w:r w:rsidRPr="00A24626">
        <w:t>).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Comité des transports intérieurs a adopté les rapports de ses organes subsidiaires (ECE/TRANS/254, par. 151).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Comité a exprimé sa préoccupation quant au fait qu</w:t>
      </w:r>
      <w:r w:rsidR="00A24626" w:rsidRPr="00A24626">
        <w:t>’</w:t>
      </w:r>
      <w:r w:rsidRPr="00A24626">
        <w:t>une proposition visant à modifier la règle de l</w:t>
      </w:r>
      <w:r w:rsidR="00A24626" w:rsidRPr="00A24626">
        <w:t>’</w:t>
      </w:r>
      <w:r w:rsidRPr="00A24626">
        <w:t>unanimité énoncée au paragraphe 4 de l</w:t>
      </w:r>
      <w:r w:rsidR="00A24626" w:rsidRPr="00A24626">
        <w:t>’</w:t>
      </w:r>
      <w:r w:rsidRPr="00A24626">
        <w:t>article 18 de l</w:t>
      </w:r>
      <w:r w:rsidR="00A24626" w:rsidRPr="00A24626">
        <w:t>’</w:t>
      </w:r>
      <w:r w:rsidRPr="00A24626">
        <w:t>Accord relatif aux transports internationaux de denrées périssables et aux engins spéciaux à utiliser pour ces transports (ATP), en requérant au moins trois objections pour le rejet d</w:t>
      </w:r>
      <w:r w:rsidR="00A24626" w:rsidRPr="00A24626">
        <w:t>’</w:t>
      </w:r>
      <w:r w:rsidRPr="00A24626">
        <w:t>un amendement aux annexes techniques de l</w:t>
      </w:r>
      <w:r w:rsidR="00A24626" w:rsidRPr="00A24626">
        <w:t>’</w:t>
      </w:r>
      <w:r w:rsidRPr="00A24626">
        <w:t>ATP, tout en maintenant la règle de l</w:t>
      </w:r>
      <w:r w:rsidR="00A24626" w:rsidRPr="00A24626">
        <w:t>’</w:t>
      </w:r>
      <w:r w:rsidRPr="00A24626">
        <w:t xml:space="preserve">unanimité pour les </w:t>
      </w:r>
      <w:r w:rsidRPr="00A24626">
        <w:lastRenderedPageBreak/>
        <w:t>articles du dispositif de l</w:t>
      </w:r>
      <w:r w:rsidR="00A24626" w:rsidRPr="00A24626">
        <w:t>’</w:t>
      </w:r>
      <w:r w:rsidRPr="00A24626">
        <w:t>ATP lui-même, n</w:t>
      </w:r>
      <w:r w:rsidR="00A24626" w:rsidRPr="00A24626">
        <w:t>’</w:t>
      </w:r>
      <w:r w:rsidRPr="00A24626">
        <w:t>avait pas été acceptée. De même, le WP.11 n</w:t>
      </w:r>
      <w:r w:rsidR="00A24626" w:rsidRPr="00A24626">
        <w:t>’</w:t>
      </w:r>
      <w:r w:rsidRPr="00A24626">
        <w:t>avait pas accepté une proposition de modifier sa pratique</w:t>
      </w:r>
      <w:r w:rsidR="00955030">
        <w:t xml:space="preserve"> </w:t>
      </w:r>
      <w:r>
        <w:t xml:space="preserve">de </w:t>
      </w:r>
      <w:r w:rsidRPr="00A24626">
        <w:t>soumettre au vote chaque proposition d</w:t>
      </w:r>
      <w:r w:rsidR="00A24626" w:rsidRPr="00A24626">
        <w:t>’</w:t>
      </w:r>
      <w:r w:rsidRPr="00A24626">
        <w:t>amendement. Compte tenu des complications que cette situation engendrait quant à la tâche du WP.11 de faciliter l</w:t>
      </w:r>
      <w:r w:rsidR="00A24626" w:rsidRPr="00A24626">
        <w:t>’</w:t>
      </w:r>
      <w:r w:rsidRPr="00A24626">
        <w:t>actualisation et la modernisation des instruments juridiques relevant de sa compétence, le Comité encourageait vivement toutes les parties concernées à rechercher une décision prompte à ce sujet et à faire rapport au Comité à sa prochaine session annuelle.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Comité a également noté qu</w:t>
      </w:r>
      <w:r w:rsidR="00A24626" w:rsidRPr="00A24626">
        <w:t>’</w:t>
      </w:r>
      <w:r w:rsidRPr="00A24626">
        <w:t>à la demande du WP.11, le Secrétaire exécutif de la CEE avait écrit aux ministres des affaires étrangères des Parties contractantes à l</w:t>
      </w:r>
      <w:r w:rsidR="00A24626" w:rsidRPr="00A24626">
        <w:t>’</w:t>
      </w:r>
      <w:r w:rsidRPr="00A24626">
        <w:t>ATP, en décembre 2014, afin de leur demander les coordonnées de l</w:t>
      </w:r>
      <w:r w:rsidR="00A24626" w:rsidRPr="00A24626">
        <w:t>’</w:t>
      </w:r>
      <w:r w:rsidRPr="00A24626">
        <w:t>autorité nationale habilitée à signer des accords multilatéraux établis conformément à l</w:t>
      </w:r>
      <w:r w:rsidR="00A24626" w:rsidRPr="00A24626">
        <w:t>’</w:t>
      </w:r>
      <w:r w:rsidRPr="00A24626">
        <w:t>article 7 de l</w:t>
      </w:r>
      <w:r w:rsidR="00A24626" w:rsidRPr="00A24626">
        <w:t>’</w:t>
      </w:r>
      <w:r w:rsidRPr="00A24626">
        <w:t>ATP. Le Comité encourageait vivement les Parties contractantes à l</w:t>
      </w:r>
      <w:r w:rsidR="00A24626" w:rsidRPr="00A24626">
        <w:t>’</w:t>
      </w:r>
      <w:r w:rsidRPr="00A24626">
        <w:t>ATP qui n</w:t>
      </w:r>
      <w:r w:rsidR="00A24626" w:rsidRPr="00A24626">
        <w:t>’</w:t>
      </w:r>
      <w:r w:rsidRPr="00A24626">
        <w:t>avaient pas répondu à ce courrier à le faire si elles souhaitaient pouvoir être parties à tout futur accord multilatéral dans le cadre de l</w:t>
      </w:r>
      <w:r w:rsidR="00A24626" w:rsidRPr="00A24626">
        <w:t>’</w:t>
      </w:r>
      <w:r w:rsidRPr="00A24626">
        <w:t>ATP.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Comité a pris note avec intérêt de la suggestion faite par la France d</w:t>
      </w:r>
      <w:r w:rsidR="00A24626" w:rsidRPr="00A24626">
        <w:t>’</w:t>
      </w:r>
      <w:r w:rsidRPr="00A24626">
        <w:t>adopter, à une session future, une résolution recommandant d</w:t>
      </w:r>
      <w:r w:rsidR="00A24626" w:rsidRPr="00A24626">
        <w:t>’</w:t>
      </w:r>
      <w:r w:rsidRPr="00A24626">
        <w:t>appliquer l</w:t>
      </w:r>
      <w:r w:rsidR="00A24626" w:rsidRPr="00A24626">
        <w:t>’</w:t>
      </w:r>
      <w:r w:rsidRPr="00A24626">
        <w:t>ATP à la circulation intérieure.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Un responsable du projet EuroMed «</w:t>
      </w:r>
      <w:r w:rsidR="00A24626">
        <w:t> </w:t>
      </w:r>
      <w:r w:rsidRPr="00A24626">
        <w:t>Route, rail et transport urbain</w:t>
      </w:r>
      <w:r w:rsidR="00A24626">
        <w:t> </w:t>
      </w:r>
      <w:r w:rsidRPr="00A24626">
        <w:t>» (EuroMed RRU) a fait rapport sur l</w:t>
      </w:r>
      <w:r w:rsidR="00A24626" w:rsidRPr="00A24626">
        <w:t>’</w:t>
      </w:r>
      <w:r w:rsidRPr="00A24626">
        <w:t>établissement d</w:t>
      </w:r>
      <w:r w:rsidR="00A24626" w:rsidRPr="00A24626">
        <w:t>’</w:t>
      </w:r>
      <w:r w:rsidRPr="00A24626">
        <w:t>une feuille de route concernant l</w:t>
      </w:r>
      <w:r w:rsidR="00A24626" w:rsidRPr="00A24626">
        <w:t>’</w:t>
      </w:r>
      <w:r w:rsidRPr="00A24626">
        <w:t>adhésion à l</w:t>
      </w:r>
      <w:r w:rsidR="00A24626" w:rsidRPr="00A24626">
        <w:t>’</w:t>
      </w:r>
      <w:r w:rsidRPr="00A24626">
        <w:t>ATP et la mise en œuvre de celui-ci, qui était une initiative conjointe d</w:t>
      </w:r>
      <w:r w:rsidR="00A24626" w:rsidRPr="00A24626">
        <w:t>’</w:t>
      </w:r>
      <w:r w:rsidRPr="00A24626">
        <w:t>EuroMed RRU et de la CEE.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Comité a invité le secrétariat à collaborer avec EuroMed afin que la feuille de route (ECE/TRANS/WP.11/2015/9) soit disponible sous forme de publication en anglais, français et russe.</w:t>
      </w:r>
    </w:p>
    <w:p w:rsidR="0029409C" w:rsidRPr="00A24626" w:rsidRDefault="00A24626" w:rsidP="00A24626">
      <w:pPr>
        <w:pStyle w:val="H23G"/>
      </w:pPr>
      <w:r>
        <w:tab/>
      </w:r>
      <w:r w:rsidR="000643C8" w:rsidRPr="00A24626">
        <w:t>b)</w:t>
      </w:r>
      <w:r w:rsidR="000643C8" w:rsidRPr="00A24626">
        <w:tab/>
        <w:t>Groupe de travail des normes de qualité des produits agricoles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sera informé de toutes les activités pertinentes menées par le Groupe de travail des normes de qualité des produits agricoles (WP.7).</w:t>
      </w:r>
    </w:p>
    <w:p w:rsidR="0029409C" w:rsidRPr="00A24626" w:rsidRDefault="00A24626" w:rsidP="00A24626">
      <w:pPr>
        <w:pStyle w:val="H1G"/>
      </w:pPr>
      <w:r>
        <w:tab/>
      </w:r>
      <w:r w:rsidR="000643C8" w:rsidRPr="00A24626">
        <w:t>3.</w:t>
      </w:r>
      <w:r w:rsidR="000643C8" w:rsidRPr="00A24626">
        <w:tab/>
        <w:t>Activités d</w:t>
      </w:r>
      <w:r w:rsidRPr="00A24626">
        <w:t>’</w:t>
      </w:r>
      <w:r w:rsidR="000643C8" w:rsidRPr="00A24626">
        <w:t>autres organisations internationales qui s</w:t>
      </w:r>
      <w:r w:rsidRPr="00A24626">
        <w:t>’</w:t>
      </w:r>
      <w:r w:rsidR="000643C8" w:rsidRPr="00A24626">
        <w:t xml:space="preserve">occupent </w:t>
      </w:r>
      <w:r>
        <w:br/>
      </w:r>
      <w:r w:rsidR="000643C8" w:rsidRPr="00A24626">
        <w:t xml:space="preserve">de questions intéressant le Groupe de travail </w:t>
      </w:r>
    </w:p>
    <w:p w:rsidR="0029409C" w:rsidRPr="00A24626" w:rsidRDefault="00A24626" w:rsidP="00A24626">
      <w:pPr>
        <w:pStyle w:val="H23G"/>
      </w:pPr>
      <w:r>
        <w:tab/>
      </w:r>
      <w:r w:rsidR="000643C8" w:rsidRPr="00A24626">
        <w:t>a)</w:t>
      </w:r>
      <w:r w:rsidR="000643C8" w:rsidRPr="00A24626">
        <w:tab/>
        <w:t>Institut international du froid (IIF)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sera informé des résultats de la réunion de la Sous-Commission du transport réfrigéré de l</w:t>
      </w:r>
      <w:r w:rsidR="00A24626" w:rsidRPr="00A24626">
        <w:t>’</w:t>
      </w:r>
      <w:r w:rsidRPr="00A24626">
        <w:t>IIF, qui s</w:t>
      </w:r>
      <w:r w:rsidR="00A24626" w:rsidRPr="00A24626">
        <w:t>’</w:t>
      </w:r>
      <w:r w:rsidRPr="00A24626">
        <w:t>est tenue à Prague (République tchèque) les 13 et 14</w:t>
      </w:r>
      <w:r w:rsidR="00A24626">
        <w:t> </w:t>
      </w:r>
      <w:r w:rsidRPr="00A24626">
        <w:t xml:space="preserve">avril 2016 (document informel INF.3). </w:t>
      </w:r>
    </w:p>
    <w:p w:rsidR="0029409C" w:rsidRPr="00A24626" w:rsidRDefault="00A24626" w:rsidP="00A24626">
      <w:pPr>
        <w:pStyle w:val="H23G"/>
      </w:pPr>
      <w:r>
        <w:tab/>
      </w:r>
      <w:r w:rsidR="000643C8" w:rsidRPr="00A24626">
        <w:t>b)</w:t>
      </w:r>
      <w:r w:rsidR="000643C8" w:rsidRPr="00A24626">
        <w:tab/>
        <w:t>Tranfrigoroute International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représentant de Transfrigoroute International sera invité à présenter les activités récemment menées par son organisation.</w:t>
      </w:r>
    </w:p>
    <w:p w:rsidR="0029409C" w:rsidRPr="00A24626" w:rsidRDefault="00A24626" w:rsidP="00A24626">
      <w:pPr>
        <w:pStyle w:val="H23G"/>
      </w:pPr>
      <w:r>
        <w:tab/>
      </w:r>
      <w:r w:rsidR="000643C8" w:rsidRPr="00A24626">
        <w:t>c)</w:t>
      </w:r>
      <w:r w:rsidR="000643C8" w:rsidRPr="00A24626">
        <w:tab/>
        <w:t>Comité européen de normalisation (CEN)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Les délégations participant aux travaux du CEN seront invitées à informer le Groupe de travail de l</w:t>
      </w:r>
      <w:r w:rsidR="00A24626" w:rsidRPr="00A24626">
        <w:t>’</w:t>
      </w:r>
      <w:r w:rsidRPr="00A24626">
        <w:t>état d</w:t>
      </w:r>
      <w:r w:rsidR="00A24626" w:rsidRPr="00A24626">
        <w:t>’</w:t>
      </w:r>
      <w:r w:rsidRPr="00A24626">
        <w:t>avancement des travaux d</w:t>
      </w:r>
      <w:r w:rsidR="00A24626" w:rsidRPr="00A24626">
        <w:t>’</w:t>
      </w:r>
      <w:r w:rsidRPr="00A24626">
        <w:t>élaboration de normes concernant le transport sous température dirigée, ainsi que des incidences que ces travaux pourraient avoir sur l</w:t>
      </w:r>
      <w:r w:rsidR="00A24626" w:rsidRPr="00A24626">
        <w:t>’</w:t>
      </w:r>
      <w:r w:rsidRPr="00A24626">
        <w:t>évolution de l</w:t>
      </w:r>
      <w:r w:rsidR="00A24626" w:rsidRPr="00A24626">
        <w:t>’</w:t>
      </w:r>
      <w:r w:rsidRPr="00A24626">
        <w:t>ATP.</w:t>
      </w:r>
    </w:p>
    <w:p w:rsidR="0029409C" w:rsidRPr="00A24626" w:rsidRDefault="00A24626" w:rsidP="00A24626">
      <w:pPr>
        <w:pStyle w:val="H1G"/>
      </w:pPr>
      <w:r>
        <w:lastRenderedPageBreak/>
        <w:tab/>
      </w:r>
      <w:r w:rsidR="000643C8" w:rsidRPr="00A24626">
        <w:t>4.</w:t>
      </w:r>
      <w:r w:rsidR="000643C8" w:rsidRPr="00A24626">
        <w:tab/>
        <w:t>État et mise en œuvre de l</w:t>
      </w:r>
      <w:r w:rsidRPr="00A24626">
        <w:t>’</w:t>
      </w:r>
      <w:r w:rsidR="000643C8" w:rsidRPr="00A24626">
        <w:t xml:space="preserve">Accord relatif aux transports </w:t>
      </w:r>
      <w:r>
        <w:br/>
      </w:r>
      <w:r w:rsidR="000643C8" w:rsidRPr="00A24626">
        <w:t xml:space="preserve">internationaux de denrées périssables et aux engins </w:t>
      </w:r>
      <w:r>
        <w:br/>
      </w:r>
      <w:r w:rsidR="000643C8" w:rsidRPr="00A24626">
        <w:t>spéciaux à utiliser pour ces transports (ATP)</w:t>
      </w:r>
    </w:p>
    <w:p w:rsidR="0029409C" w:rsidRPr="00A24626" w:rsidRDefault="00A24626" w:rsidP="00A24626">
      <w:pPr>
        <w:pStyle w:val="H23G"/>
      </w:pPr>
      <w:r>
        <w:tab/>
      </w:r>
      <w:r w:rsidR="000643C8" w:rsidRPr="00A24626">
        <w:t>a)</w:t>
      </w:r>
      <w:r w:rsidR="000643C8" w:rsidRPr="00A24626">
        <w:tab/>
        <w:t>État de l</w:t>
      </w:r>
      <w:r w:rsidRPr="00A24626">
        <w:t>’</w:t>
      </w:r>
      <w:r w:rsidR="000643C8" w:rsidRPr="00A24626">
        <w:t>Accord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Saint-Marin a adhéré à l</w:t>
      </w:r>
      <w:r w:rsidR="00A24626" w:rsidRPr="00A24626">
        <w:t>’</w:t>
      </w:r>
      <w:r w:rsidRPr="00A24626">
        <w:t>ATP en mai 2016, portant ainsi à 50 le nombre de Parties contractantes.</w:t>
      </w:r>
    </w:p>
    <w:p w:rsidR="0029409C" w:rsidRPr="00A24626" w:rsidRDefault="00A24626" w:rsidP="00A24626">
      <w:pPr>
        <w:pStyle w:val="H23G"/>
      </w:pPr>
      <w:r>
        <w:tab/>
      </w:r>
      <w:r w:rsidR="000643C8" w:rsidRPr="00A24626">
        <w:t>b)</w:t>
      </w:r>
      <w:r w:rsidR="000643C8" w:rsidRPr="00A24626">
        <w:tab/>
        <w:t>État des amendements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Les amendements à l</w:t>
      </w:r>
      <w:r w:rsidR="00A24626" w:rsidRPr="00A24626">
        <w:t>’</w:t>
      </w:r>
      <w:r w:rsidRPr="00A24626">
        <w:t>ATP adoptés par le Groupe de travail à sa soixante-dixième session en 2014, qui sont reproduits à l</w:t>
      </w:r>
      <w:r w:rsidR="00A24626" w:rsidRPr="00A24626">
        <w:t>’</w:t>
      </w:r>
      <w:r w:rsidRPr="00A24626">
        <w:t xml:space="preserve">annexe I au rapport de cette session (ECE/TRANS/WP.11/231), (notification dépositaire </w:t>
      </w:r>
      <w:r w:rsidRPr="00A24626">
        <w:rPr>
          <w:lang w:val="en-US"/>
        </w:rPr>
        <w:t>C.N.181.2015.TREATIES-XI.B.22)</w:t>
      </w:r>
      <w:r w:rsidRPr="00A24626">
        <w:t>, à l</w:t>
      </w:r>
      <w:r w:rsidR="00A24626" w:rsidRPr="00A24626">
        <w:t>’</w:t>
      </w:r>
      <w:r w:rsidRPr="00A24626">
        <w:t>exception de l</w:t>
      </w:r>
      <w:r w:rsidR="00A24626" w:rsidRPr="00A24626">
        <w:t>’</w:t>
      </w:r>
      <w:r w:rsidRPr="00A24626">
        <w:t>amendement au paragraphe 3.2.6 de l</w:t>
      </w:r>
      <w:r w:rsidR="00A24626" w:rsidRPr="00A24626">
        <w:t>’</w:t>
      </w:r>
      <w:r w:rsidRPr="00A24626">
        <w:t>appendice 2 de l</w:t>
      </w:r>
      <w:r w:rsidR="00A24626" w:rsidRPr="00A24626">
        <w:t>’</w:t>
      </w:r>
      <w:r w:rsidRPr="00A24626">
        <w:t>annexe 1, seront réputés acceptés à compter du 19</w:t>
      </w:r>
      <w:r w:rsidR="00A24626">
        <w:t> </w:t>
      </w:r>
      <w:r w:rsidRPr="00A24626">
        <w:t xml:space="preserve">juin 2016 (notification dépositaire </w:t>
      </w:r>
      <w:r w:rsidRPr="00A24626">
        <w:rPr>
          <w:lang w:val="en-US"/>
        </w:rPr>
        <w:t>C.N.510.2016.</w:t>
      </w:r>
      <w:r w:rsidR="00A24626">
        <w:rPr>
          <w:lang w:val="en-US"/>
        </w:rPr>
        <w:br/>
      </w:r>
      <w:r w:rsidRPr="00A24626">
        <w:rPr>
          <w:lang w:val="en-US"/>
        </w:rPr>
        <w:t xml:space="preserve">TREATIES-XI.B.22) et </w:t>
      </w:r>
      <w:r w:rsidRPr="00A24626">
        <w:t>entreront en vigueur le 19</w:t>
      </w:r>
      <w:r w:rsidR="00A24626">
        <w:t> </w:t>
      </w:r>
      <w:r w:rsidRPr="00A24626">
        <w:t>décembre 2016.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Les propositions d</w:t>
      </w:r>
      <w:r w:rsidR="00A24626" w:rsidRPr="00A24626">
        <w:t>’</w:t>
      </w:r>
      <w:r w:rsidRPr="00A24626">
        <w:t>amendements et de corrections à l</w:t>
      </w:r>
      <w:r w:rsidR="00A24626" w:rsidRPr="00A24626">
        <w:t>’</w:t>
      </w:r>
      <w:r w:rsidRPr="00A24626">
        <w:t>ATP adoptées à la soixante et onzième session du Groupe de travail en 2015 (ECE/TRANS/WP.11/233, annexes I et II) ont été notifiées aux Parties contractantes à l</w:t>
      </w:r>
      <w:r w:rsidR="00A24626" w:rsidRPr="00A24626">
        <w:t>’</w:t>
      </w:r>
      <w:r w:rsidRPr="00A24626">
        <w:t>ATP par la Section des traités de l</w:t>
      </w:r>
      <w:r w:rsidR="00A24626" w:rsidRPr="00A24626">
        <w:t>’</w:t>
      </w:r>
      <w:r w:rsidRPr="00A24626">
        <w:t>ONU le 6</w:t>
      </w:r>
      <w:r w:rsidR="00A24626">
        <w:t> </w:t>
      </w:r>
      <w:r w:rsidRPr="00A24626">
        <w:t>avril 2016 (C.N.</w:t>
      </w:r>
      <w:proofErr w:type="gramStart"/>
      <w:r w:rsidRPr="00A24626">
        <w:t>135.2016.TREATIES</w:t>
      </w:r>
      <w:proofErr w:type="gramEnd"/>
      <w:r w:rsidRPr="00A24626">
        <w:t>-XI.B.22 et C.N.128.2016.TREATIES-XI.B.22, respectivement). Les corrections ont été déclarées acceptées le 13</w:t>
      </w:r>
      <w:r w:rsidR="00A24626">
        <w:t> </w:t>
      </w:r>
      <w:r w:rsidRPr="00A24626">
        <w:t>juillet 2016 (C.N.</w:t>
      </w:r>
      <w:proofErr w:type="gramStart"/>
      <w:r w:rsidRPr="00A24626">
        <w:t>497.2016.TREATIES</w:t>
      </w:r>
      <w:proofErr w:type="gramEnd"/>
      <w:r w:rsidRPr="00A24626">
        <w:t>-XI.B.22).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28</w:t>
      </w:r>
      <w:r w:rsidR="00A24626">
        <w:t> </w:t>
      </w:r>
      <w:r w:rsidRPr="00A24626">
        <w:t>juin 2016, le Gouvernement allemand, agissant en vertu du paragraphe 2 b) de l</w:t>
      </w:r>
      <w:r w:rsidR="00A24626" w:rsidRPr="00A24626">
        <w:t>’</w:t>
      </w:r>
      <w:r w:rsidRPr="00A24626">
        <w:t>article 18 de l</w:t>
      </w:r>
      <w:r w:rsidR="00A24626" w:rsidRPr="00A24626">
        <w:t>’</w:t>
      </w:r>
      <w:r w:rsidRPr="00A24626">
        <w:t>ATP, a informé le Secrétaire général qu</w:t>
      </w:r>
      <w:r w:rsidR="00A24626" w:rsidRPr="00A24626">
        <w:t>’</w:t>
      </w:r>
      <w:r w:rsidRPr="00A24626">
        <w:t>il avait l</w:t>
      </w:r>
      <w:r w:rsidR="00A24626" w:rsidRPr="00A24626">
        <w:t>’</w:t>
      </w:r>
      <w:r w:rsidRPr="00A24626">
        <w:t>intention d</w:t>
      </w:r>
      <w:r w:rsidR="00A24626" w:rsidRPr="00A24626">
        <w:t>’</w:t>
      </w:r>
      <w:r w:rsidRPr="00A24626">
        <w:t>accepter les propositions, mais que les conditions de cette acceptation n</w:t>
      </w:r>
      <w:r w:rsidR="00A24626" w:rsidRPr="00A24626">
        <w:t>’</w:t>
      </w:r>
      <w:r w:rsidRPr="00A24626">
        <w:t>étaient pas encore remplies (C.N.</w:t>
      </w:r>
      <w:proofErr w:type="gramStart"/>
      <w:r w:rsidRPr="00A24626">
        <w:t>453.2016.TREATIES</w:t>
      </w:r>
      <w:proofErr w:type="gramEnd"/>
      <w:r w:rsidRPr="00A24626">
        <w:t>-XI.B.22). En conséquence, les amendements adoptés à la session de 2015 du Groupe de travail ne seront réputés acceptés que si, avant l</w:t>
      </w:r>
      <w:r w:rsidR="00A24626" w:rsidRPr="00A24626">
        <w:t>’</w:t>
      </w:r>
      <w:r w:rsidRPr="00A24626">
        <w:t>expiration d</w:t>
      </w:r>
      <w:r w:rsidR="00A24626" w:rsidRPr="00A24626">
        <w:t>’</w:t>
      </w:r>
      <w:r w:rsidRPr="00A24626">
        <w:t>un délai de neuf mois après la période de notification initiale de six mois, le Gouvernement allemand ne présente pas une objection aux amendements proposés.</w:t>
      </w:r>
    </w:p>
    <w:p w:rsidR="0029409C" w:rsidRPr="00A24626" w:rsidRDefault="002F7F54" w:rsidP="002F7F54">
      <w:pPr>
        <w:pStyle w:val="H23G"/>
      </w:pPr>
      <w:r>
        <w:tab/>
      </w:r>
      <w:r w:rsidR="000643C8" w:rsidRPr="00A24626">
        <w:t>c)</w:t>
      </w:r>
      <w:r w:rsidR="000643C8" w:rsidRPr="00A24626">
        <w:tab/>
        <w:t>Stations d</w:t>
      </w:r>
      <w:r w:rsidR="00A24626" w:rsidRPr="00A24626">
        <w:t>’</w:t>
      </w:r>
      <w:r w:rsidR="000643C8" w:rsidRPr="00A24626">
        <w:t>essai officiellement désignées par l</w:t>
      </w:r>
      <w:r w:rsidR="00A24626" w:rsidRPr="00A24626">
        <w:t>’</w:t>
      </w:r>
      <w:r w:rsidR="000643C8" w:rsidRPr="00A24626">
        <w:t xml:space="preserve">autorité compétente </w:t>
      </w:r>
      <w:r>
        <w:br/>
      </w:r>
      <w:r w:rsidR="000643C8" w:rsidRPr="00A24626">
        <w:t>des pays parties à l</w:t>
      </w:r>
      <w:r w:rsidR="00A24626" w:rsidRPr="00A24626">
        <w:t>’</w:t>
      </w:r>
      <w:r w:rsidR="000643C8" w:rsidRPr="00A24626">
        <w:t>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La liste actuelle des stations d</w:t>
      </w:r>
      <w:r w:rsidR="00A24626" w:rsidRPr="00A24626">
        <w:t>’</w:t>
      </w:r>
      <w:r w:rsidRPr="00A24626">
        <w:t>essai officiellement désignées peut être consultée à</w:t>
      </w:r>
      <w:r w:rsidR="002F7F54">
        <w:t> </w:t>
      </w:r>
      <w:r w:rsidRPr="00A24626">
        <w:t>l</w:t>
      </w:r>
      <w:r w:rsidR="00A24626" w:rsidRPr="00A24626">
        <w:t>’</w:t>
      </w:r>
      <w:r w:rsidRPr="00A24626">
        <w:t>adresse suivante</w:t>
      </w:r>
      <w:r w:rsidR="00955030">
        <w:t> :</w:t>
      </w:r>
      <w:r w:rsidRPr="00A24626">
        <w:t xml:space="preserve"> http://www.unece.org/trans/main/wp11/teststationsnew.html.</w:t>
      </w:r>
    </w:p>
    <w:p w:rsidR="0029409C" w:rsidRPr="00A24626" w:rsidRDefault="002F7F54" w:rsidP="002F7F54">
      <w:pPr>
        <w:pStyle w:val="H23G"/>
      </w:pPr>
      <w:r>
        <w:tab/>
      </w:r>
      <w:r w:rsidR="000643C8" w:rsidRPr="00A24626">
        <w:t>d)</w:t>
      </w:r>
      <w:r w:rsidR="000643C8" w:rsidRPr="00A24626">
        <w:tab/>
        <w:t>Échange d</w:t>
      </w:r>
      <w:r w:rsidR="00A24626" w:rsidRPr="00A24626">
        <w:t>’</w:t>
      </w:r>
      <w:r w:rsidR="000643C8" w:rsidRPr="00A24626">
        <w:t>informations entre les Parties en vertu de l</w:t>
      </w:r>
      <w:r w:rsidR="00A24626" w:rsidRPr="00A24626">
        <w:t>’</w:t>
      </w:r>
      <w:r w:rsidR="000643C8" w:rsidRPr="00A24626">
        <w:t>article 6 de l</w:t>
      </w:r>
      <w:r w:rsidR="00A24626" w:rsidRPr="00A24626">
        <w:t>’</w:t>
      </w:r>
      <w:r w:rsidR="000643C8" w:rsidRPr="00A24626">
        <w:t>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À sa dernière session, le Groupe de travail a remercié les 21 pays qui avaient fourni des données en réponse au questionnaire sur l</w:t>
      </w:r>
      <w:r w:rsidR="00A24626" w:rsidRPr="00A24626">
        <w:t>’</w:t>
      </w:r>
      <w:r w:rsidRPr="00A24626">
        <w:t>application de l</w:t>
      </w:r>
      <w:r w:rsidR="00A24626" w:rsidRPr="00A24626">
        <w:t>’</w:t>
      </w:r>
      <w:r w:rsidRPr="00A24626">
        <w:t>ATP en 2014 et a souligné qu</w:t>
      </w:r>
      <w:r w:rsidR="00A24626" w:rsidRPr="00A24626">
        <w:t>’</w:t>
      </w:r>
      <w:r w:rsidRPr="00A24626">
        <w:t>il était indispensable d</w:t>
      </w:r>
      <w:r w:rsidR="00A24626" w:rsidRPr="00A24626">
        <w:t>’</w:t>
      </w:r>
      <w:r w:rsidRPr="00A24626">
        <w:t>obtenir des informations de toutes les Parties contractantes à l</w:t>
      </w:r>
      <w:r w:rsidR="00A24626" w:rsidRPr="00A24626">
        <w:t>’</w:t>
      </w:r>
      <w:r w:rsidRPr="00A24626">
        <w:t>ATP, et que cela était un moyen d</w:t>
      </w:r>
      <w:r w:rsidR="00A24626" w:rsidRPr="00A24626">
        <w:t>’</w:t>
      </w:r>
      <w:r w:rsidRPr="00A24626">
        <w:t>harmoniser la mise en œuvre de l</w:t>
      </w:r>
      <w:r w:rsidR="00A24626" w:rsidRPr="00A24626">
        <w:t>’</w:t>
      </w:r>
      <w:r w:rsidRPr="00A24626">
        <w:t>Accord. Les données reçues pour l</w:t>
      </w:r>
      <w:r w:rsidR="00A24626" w:rsidRPr="00A24626">
        <w:t>’</w:t>
      </w:r>
      <w:r w:rsidRPr="00A24626">
        <w:t>année 2015 figurent dans le document ECE/TRANS/WP.11/2016/1. Il a également été demandé aux pays de répondre à une question supplémentaire concernant la mise en œuvre de l</w:t>
      </w:r>
      <w:r w:rsidR="00A24626" w:rsidRPr="00A24626">
        <w:t>’</w:t>
      </w:r>
      <w:r w:rsidRPr="00A24626">
        <w:t>ATP. On trouvera dans le document informel INF.2 (soumis par la Belgique) une liste des infractions et peines correspondantes inscrites dans un décret royal qui prévoira l</w:t>
      </w:r>
      <w:r w:rsidR="00A24626" w:rsidRPr="00A24626">
        <w:t>’</w:t>
      </w:r>
      <w:r w:rsidRPr="00A24626">
        <w:t>exécution de contrôles routiers visant à vérifier le respect des dispositions de l</w:t>
      </w:r>
      <w:r w:rsidR="00A24626" w:rsidRPr="00A24626">
        <w:t>’</w:t>
      </w:r>
      <w:r w:rsidRPr="00A24626">
        <w:t>ATP (disponible en français seulement).</w:t>
      </w:r>
    </w:p>
    <w:p w:rsidR="0029409C" w:rsidRPr="00A24626" w:rsidRDefault="002F7F54" w:rsidP="002F7F54">
      <w:pPr>
        <w:pStyle w:val="H23G"/>
      </w:pPr>
      <w:r>
        <w:tab/>
      </w:r>
      <w:r w:rsidR="000643C8" w:rsidRPr="00A24626">
        <w:t>e)</w:t>
      </w:r>
      <w:r w:rsidR="000643C8" w:rsidRPr="00A24626">
        <w:tab/>
        <w:t>Échange d</w:t>
      </w:r>
      <w:r w:rsidR="00A24626" w:rsidRPr="00A24626">
        <w:t>’</w:t>
      </w:r>
      <w:r w:rsidR="000643C8" w:rsidRPr="00A24626">
        <w:t>informations sur les bonnes pratiques en vue d</w:t>
      </w:r>
      <w:r w:rsidR="00A24626" w:rsidRPr="00A24626">
        <w:t>’</w:t>
      </w:r>
      <w:r w:rsidR="000643C8" w:rsidRPr="00A24626">
        <w:t xml:space="preserve">améliorer </w:t>
      </w:r>
      <w:r>
        <w:br/>
      </w:r>
      <w:r w:rsidR="000643C8" w:rsidRPr="00A24626">
        <w:t>la mise en œuvre de l</w:t>
      </w:r>
      <w:r w:rsidR="00A24626" w:rsidRPr="00A24626">
        <w:t>’</w:t>
      </w:r>
      <w:r w:rsidR="000643C8" w:rsidRPr="00A24626">
        <w:t>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toute information ou question concernant les bonnes pratiques qui relève de ce point de l</w:t>
      </w:r>
      <w:r w:rsidR="00A24626" w:rsidRPr="00A24626">
        <w:t>’</w:t>
      </w:r>
      <w:r w:rsidRPr="00A24626">
        <w:t>ordre du jour.</w:t>
      </w:r>
    </w:p>
    <w:p w:rsidR="0029409C" w:rsidRPr="00A24626" w:rsidRDefault="002F7F54" w:rsidP="002F7F54">
      <w:pPr>
        <w:pStyle w:val="H23G"/>
      </w:pPr>
      <w:r>
        <w:tab/>
      </w:r>
      <w:r w:rsidR="000643C8" w:rsidRPr="00A24626">
        <w:t>f)</w:t>
      </w:r>
      <w:r w:rsidR="000643C8" w:rsidRPr="00A24626">
        <w:tab/>
        <w:t>Interprétation de l</w:t>
      </w:r>
      <w:r w:rsidR="00A24626" w:rsidRPr="00A24626">
        <w:t>’</w:t>
      </w:r>
      <w:r w:rsidR="000643C8" w:rsidRPr="00A24626">
        <w:t>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toute question d</w:t>
      </w:r>
      <w:r w:rsidR="00A24626" w:rsidRPr="00A24626">
        <w:t>’</w:t>
      </w:r>
      <w:r w:rsidRPr="00A24626">
        <w:t>interprétation soulevée au titre de ce point de l</w:t>
      </w:r>
      <w:r w:rsidR="00A24626" w:rsidRPr="00A24626">
        <w:t>’</w:t>
      </w:r>
      <w:r w:rsidRPr="00A24626">
        <w:t xml:space="preserve">ordre du jour. </w:t>
      </w:r>
    </w:p>
    <w:p w:rsidR="0029409C" w:rsidRPr="00A24626" w:rsidRDefault="002F7F54" w:rsidP="002F7F54">
      <w:pPr>
        <w:pStyle w:val="H1G"/>
      </w:pPr>
      <w:r>
        <w:tab/>
      </w:r>
      <w:r w:rsidR="000643C8" w:rsidRPr="00A24626">
        <w:t>5.</w:t>
      </w:r>
      <w:r w:rsidR="000643C8" w:rsidRPr="00A24626">
        <w:tab/>
        <w:t>Propositions d</w:t>
      </w:r>
      <w:r w:rsidR="00A24626" w:rsidRPr="00A24626">
        <w:t>’</w:t>
      </w:r>
      <w:r w:rsidR="000643C8" w:rsidRPr="00A24626">
        <w:t>amendements à l</w:t>
      </w:r>
      <w:r w:rsidR="00A24626" w:rsidRPr="00A24626">
        <w:t>’</w:t>
      </w:r>
      <w:r w:rsidR="000643C8" w:rsidRPr="00A24626">
        <w:t>ATP</w:t>
      </w:r>
    </w:p>
    <w:p w:rsidR="0029409C" w:rsidRPr="00A24626" w:rsidRDefault="002F7F54" w:rsidP="002F7F54">
      <w:pPr>
        <w:pStyle w:val="H23G"/>
      </w:pPr>
      <w:r>
        <w:tab/>
      </w:r>
      <w:r w:rsidR="000643C8" w:rsidRPr="00A24626">
        <w:t>a)</w:t>
      </w:r>
      <w:r w:rsidR="000643C8" w:rsidRPr="00A24626">
        <w:tab/>
        <w:t>Propositions en suspens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Amendements et ajouts aux définitions proposées dans le document ECE/</w:t>
      </w:r>
      <w:r>
        <w:br/>
      </w:r>
      <w:r w:rsidR="000643C8" w:rsidRPr="00A24626">
        <w:t>TRANS/WP.11/2015/17 aux fins de leur inclusion dans l</w:t>
      </w:r>
      <w:r w:rsidR="00A24626" w:rsidRPr="00A24626">
        <w:t>’</w:t>
      </w:r>
      <w:r w:rsidR="000643C8" w:rsidRPr="00A24626">
        <w:t>annexe 1 à l</w:t>
      </w:r>
      <w:r w:rsidR="00A24626" w:rsidRPr="00A24626">
        <w:t>’</w:t>
      </w:r>
      <w:r w:rsidR="000643C8" w:rsidRPr="00A24626">
        <w:t xml:space="preserve">ATP 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de la Fédération de Russie (ECE/TRANS/WP.11/2016/9). 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Validité de l</w:t>
      </w:r>
      <w:r w:rsidR="00A24626" w:rsidRPr="00A24626">
        <w:t>’</w:t>
      </w:r>
      <w:r w:rsidR="000643C8" w:rsidRPr="00A24626">
        <w:t xml:space="preserve">attestation délivrée pour un engin en vue de son transfert </w:t>
      </w:r>
      <w:r>
        <w:br/>
      </w:r>
      <w:r w:rsidR="000643C8" w:rsidRPr="00A24626">
        <w:t>dans un autre pays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  <w:rPr>
          <w:b/>
        </w:rPr>
      </w:pPr>
      <w:r w:rsidRPr="00A24626">
        <w:t>Le Groupe de travail voudra sans doute examiner la proposition de la France (ECE/TRANS/WP.11/2016/12).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Dispositions applicables aux stations d</w:t>
      </w:r>
      <w:r w:rsidR="00A24626" w:rsidRPr="00A24626">
        <w:t>’</w:t>
      </w:r>
      <w:r w:rsidR="000643C8" w:rsidRPr="00A24626">
        <w:t xml:space="preserve">essai officielles 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de la France (ECE/TRANS/WP.11/2016/13). 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 xml:space="preserve">Dispositions applicables aux autorités compétentes dans le cadre de la délivrance </w:t>
      </w:r>
      <w:r>
        <w:br/>
      </w:r>
      <w:r w:rsidR="000643C8" w:rsidRPr="00A24626">
        <w:t>des attestations de conformité technique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de la France (ECE/TRANS/WP.11/2016/14). 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Procédure d</w:t>
      </w:r>
      <w:r w:rsidR="00A24626" w:rsidRPr="00A24626">
        <w:t>’</w:t>
      </w:r>
      <w:r w:rsidR="000643C8" w:rsidRPr="00A24626">
        <w:t>essai de l</w:t>
      </w:r>
      <w:r w:rsidR="00A24626" w:rsidRPr="00A24626">
        <w:t>’</w:t>
      </w:r>
      <w:r w:rsidR="000643C8" w:rsidRPr="00A24626">
        <w:t xml:space="preserve">efficacité des engins à températures multiples </w:t>
      </w:r>
      <w:r>
        <w:br/>
      </w:r>
      <w:r w:rsidR="000643C8" w:rsidRPr="00A24626">
        <w:t>autonomes en service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</w:t>
      </w:r>
      <w:r w:rsidR="00955030">
        <w:t xml:space="preserve"> </w:t>
      </w:r>
      <w:r w:rsidRPr="00A24626">
        <w:t>examiner la proposition de la France (ECE/TRANS/WP.11/2016/15).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Marquage des engins à températures multiples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  <w:rPr>
          <w:b/>
        </w:rPr>
      </w:pPr>
      <w:r w:rsidRPr="00A24626">
        <w:t>Le Groupe de travail voudra sans doute examiner la proposition de la France (ECE/TRANS/WP.11/2016/16).</w:t>
      </w:r>
    </w:p>
    <w:p w:rsidR="0029409C" w:rsidRPr="002F7F54" w:rsidRDefault="002F7F54" w:rsidP="002F7F54">
      <w:pPr>
        <w:pStyle w:val="H23G"/>
        <w:rPr>
          <w:spacing w:val="-2"/>
        </w:rPr>
      </w:pPr>
      <w:r>
        <w:tab/>
      </w:r>
      <w:r>
        <w:tab/>
      </w:r>
      <w:r w:rsidR="000643C8" w:rsidRPr="002F7F54">
        <w:rPr>
          <w:spacing w:val="-2"/>
        </w:rPr>
        <w:t>Référentiel d</w:t>
      </w:r>
      <w:r w:rsidR="00A24626" w:rsidRPr="002F7F54">
        <w:rPr>
          <w:spacing w:val="-2"/>
        </w:rPr>
        <w:t>’</w:t>
      </w:r>
      <w:r w:rsidR="000643C8" w:rsidRPr="002F7F54">
        <w:rPr>
          <w:spacing w:val="-2"/>
        </w:rPr>
        <w:t>audit des constructeurs d</w:t>
      </w:r>
      <w:r w:rsidR="00A24626" w:rsidRPr="002F7F54">
        <w:rPr>
          <w:spacing w:val="-2"/>
        </w:rPr>
        <w:t>’</w:t>
      </w:r>
      <w:r w:rsidR="000643C8" w:rsidRPr="002F7F54">
        <w:rPr>
          <w:spacing w:val="-2"/>
        </w:rPr>
        <w:t>engins de transport sous température dirigée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la proposition de la France (ECE/TRANS/WP.11/2016/17).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Proposition visant à autoriser l</w:t>
      </w:r>
      <w:r w:rsidR="00A24626" w:rsidRPr="00A24626">
        <w:t>’</w:t>
      </w:r>
      <w:r w:rsidR="000643C8" w:rsidRPr="00A24626">
        <w:t>essai d</w:t>
      </w:r>
      <w:r w:rsidR="00A24626" w:rsidRPr="00A24626">
        <w:t>’</w:t>
      </w:r>
      <w:r w:rsidR="000643C8" w:rsidRPr="00A24626">
        <w:t>un dispositif thermique réfrigérant à gaz liquéfié et la délivrance d</w:t>
      </w:r>
      <w:r w:rsidR="00A24626" w:rsidRPr="00A24626">
        <w:t>’</w:t>
      </w:r>
      <w:r w:rsidR="000643C8" w:rsidRPr="00A24626">
        <w:t>une attestation de conformité séparément de la caisse isotherme sur laquelle il est appelé à être monté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des Pays-Bas (ECE/TRANS/WP.11/2016/20). 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Questions en suspens concernant les engins à températures et compartiments multiples (MTMC)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des Pays-Bas (ECE/TRANS/WP.11/2016/21). </w:t>
      </w:r>
    </w:p>
    <w:p w:rsidR="0029409C" w:rsidRPr="00A24626" w:rsidRDefault="002F7F54" w:rsidP="002F7F54">
      <w:pPr>
        <w:pStyle w:val="H23G"/>
      </w:pPr>
      <w:r>
        <w:tab/>
      </w:r>
      <w:r w:rsidR="000643C8" w:rsidRPr="00A24626">
        <w:t>b)</w:t>
      </w:r>
      <w:r w:rsidR="000643C8" w:rsidRPr="00A24626">
        <w:tab/>
        <w:t>Nouvelles propositions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 xml:space="preserve">Annexe 1, appendice 2, modèle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0643C8" w:rsidRPr="00A24626">
        <w:t>10 du procès-verbal d</w:t>
      </w:r>
      <w:r w:rsidR="00A24626" w:rsidRPr="00A24626">
        <w:t>’</w:t>
      </w:r>
      <w:r w:rsidR="000643C8" w:rsidRPr="00A24626">
        <w:t>essai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du Royaume-Uni (ECE/TRANS/WP.11/2016/2). 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2F7F54">
        <w:rPr>
          <w:spacing w:val="-2"/>
        </w:rPr>
        <w:t>Introduction dans l</w:t>
      </w:r>
      <w:r w:rsidR="00A24626" w:rsidRPr="002F7F54">
        <w:rPr>
          <w:spacing w:val="-2"/>
        </w:rPr>
        <w:t>’</w:t>
      </w:r>
      <w:r w:rsidR="000643C8" w:rsidRPr="002F7F54">
        <w:rPr>
          <w:spacing w:val="-2"/>
        </w:rPr>
        <w:t>ATP de dispositions permettant d</w:t>
      </w:r>
      <w:r w:rsidR="00A24626" w:rsidRPr="002F7F54">
        <w:rPr>
          <w:spacing w:val="-2"/>
        </w:rPr>
        <w:t>’</w:t>
      </w:r>
      <w:r w:rsidR="000643C8" w:rsidRPr="002F7F54">
        <w:rPr>
          <w:spacing w:val="-2"/>
        </w:rPr>
        <w:t>utiliser les caisses des engins</w:t>
      </w:r>
      <w:r w:rsidR="000643C8" w:rsidRPr="00A24626">
        <w:t xml:space="preserve"> réfrigérants, frigorifiques, calorifiques ou frigorifiques et calorifiques comme équipements isothermes sans qu</w:t>
      </w:r>
      <w:r w:rsidR="00A24626" w:rsidRPr="00A24626">
        <w:t>’</w:t>
      </w:r>
      <w:r w:rsidR="000643C8" w:rsidRPr="00A24626">
        <w:t xml:space="preserve">elles aient subi séparément une vérification </w:t>
      </w:r>
      <w:r>
        <w:br/>
      </w:r>
      <w:r w:rsidR="000643C8" w:rsidRPr="00A24626">
        <w:t>de leur conformité avec les normes et prescriptions pertinentes de l</w:t>
      </w:r>
      <w:r w:rsidR="00A24626" w:rsidRPr="00A24626">
        <w:t>’</w:t>
      </w:r>
      <w:r w:rsidR="000643C8" w:rsidRPr="00A24626">
        <w:t>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la proposition de la Fédération de Russie (ECE/TRANS/WP.11/2016/3</w:t>
      </w:r>
      <w:r w:rsidR="002F7F54">
        <w:t>).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Introduction dans l</w:t>
      </w:r>
      <w:r w:rsidR="00A24626" w:rsidRPr="00A24626">
        <w:t>’</w:t>
      </w:r>
      <w:r w:rsidR="000643C8" w:rsidRPr="00A24626">
        <w:t>annexe 1 de l</w:t>
      </w:r>
      <w:r w:rsidR="00A24626" w:rsidRPr="00A24626">
        <w:t>’</w:t>
      </w:r>
      <w:r w:rsidR="000643C8" w:rsidRPr="00A24626">
        <w:t>ATP de précisions concernant la marge d</w:t>
      </w:r>
      <w:r w:rsidR="00A24626" w:rsidRPr="00A24626">
        <w:t>’</w:t>
      </w:r>
      <w:r w:rsidR="000643C8" w:rsidRPr="00A24626">
        <w:t xml:space="preserve">erreur admise pour le coefficient global de transmission thermique des engins spéciaux </w:t>
      </w:r>
      <w:r>
        <w:br/>
      </w:r>
      <w:r w:rsidR="000643C8" w:rsidRPr="00A24626">
        <w:t>et d</w:t>
      </w:r>
      <w:r w:rsidR="00A24626" w:rsidRPr="00A24626">
        <w:t>’</w:t>
      </w:r>
      <w:r w:rsidR="000643C8" w:rsidRPr="00A24626">
        <w:t>instructions dans le Manuel ATP sur la méthode à suivre pour la calculer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  <w:rPr>
          <w:b/>
        </w:rPr>
      </w:pPr>
      <w:r w:rsidRPr="00A24626">
        <w:t>Le Groupe de travail voudra sans doute examiner la proposition de la Fédération de Russie (ECE/TRANS/WP.11/2016/4).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Compléments à l</w:t>
      </w:r>
      <w:r w:rsidR="00A24626" w:rsidRPr="00A24626">
        <w:t>’</w:t>
      </w:r>
      <w:r w:rsidR="000643C8" w:rsidRPr="00A24626">
        <w:t>annexe 3 de l</w:t>
      </w:r>
      <w:r w:rsidR="00A24626" w:rsidRPr="00A24626">
        <w:t>’</w:t>
      </w:r>
      <w:r w:rsidR="000643C8" w:rsidRPr="00A24626">
        <w:t xml:space="preserve">ATP portant sur les conditions de température </w:t>
      </w:r>
      <w:r>
        <w:br/>
      </w:r>
      <w:r w:rsidR="000643C8" w:rsidRPr="00A24626">
        <w:t xml:space="preserve">et le contrôle de la température ambiante lors du transport de denrées </w:t>
      </w:r>
      <w:r>
        <w:br/>
      </w:r>
      <w:r w:rsidR="000643C8" w:rsidRPr="00A24626">
        <w:t>périssables surgelées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la proposition de la Fédération de Russie (ECE/TRANS/WP.11/2016/7).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2F7F54">
        <w:rPr>
          <w:spacing w:val="4"/>
        </w:rPr>
        <w:t>Introduction dans l</w:t>
      </w:r>
      <w:r w:rsidR="00A24626" w:rsidRPr="002F7F54">
        <w:rPr>
          <w:spacing w:val="4"/>
        </w:rPr>
        <w:t>’</w:t>
      </w:r>
      <w:r w:rsidR="000643C8" w:rsidRPr="002F7F54">
        <w:rPr>
          <w:spacing w:val="4"/>
        </w:rPr>
        <w:t xml:space="preserve">ATP de dispositions portant mise en place, sur le site Web </w:t>
      </w:r>
      <w:r w:rsidRPr="002F7F54">
        <w:rPr>
          <w:spacing w:val="4"/>
        </w:rPr>
        <w:br/>
      </w:r>
      <w:r w:rsidR="000643C8" w:rsidRPr="002F7F54">
        <w:rPr>
          <w:spacing w:val="4"/>
        </w:rPr>
        <w:t>de la CEE, d</w:t>
      </w:r>
      <w:r w:rsidR="00A24626" w:rsidRPr="002F7F54">
        <w:rPr>
          <w:spacing w:val="4"/>
        </w:rPr>
        <w:t>’</w:t>
      </w:r>
      <w:r w:rsidR="000643C8" w:rsidRPr="002F7F54">
        <w:rPr>
          <w:spacing w:val="4"/>
        </w:rPr>
        <w:t xml:space="preserve">une base de données recensant les attestations ATP délivrées par </w:t>
      </w:r>
      <w:r w:rsidRPr="002F7F54">
        <w:rPr>
          <w:spacing w:val="4"/>
        </w:rPr>
        <w:br/>
      </w:r>
      <w:r w:rsidR="000643C8" w:rsidRPr="002F7F54">
        <w:rPr>
          <w:spacing w:val="-4"/>
        </w:rPr>
        <w:t xml:space="preserve">les autorités compétentes des Parties contractantes et invitant ces dernières à publier </w:t>
      </w:r>
      <w:r w:rsidRPr="002F7F54">
        <w:rPr>
          <w:spacing w:val="-4"/>
        </w:rPr>
        <w:br/>
      </w:r>
      <w:r w:rsidR="000643C8" w:rsidRPr="00A24626">
        <w:t xml:space="preserve">sur leurs sites Web respectifs des listes de toutes les attestations </w:t>
      </w:r>
      <w:r w:rsidR="000643C8" w:rsidRPr="002F7F54">
        <w:rPr>
          <w:spacing w:val="-4"/>
        </w:rPr>
        <w:t>ATP</w:t>
      </w:r>
      <w:r w:rsidR="000643C8" w:rsidRPr="00A24626">
        <w:t xml:space="preserve"> délivrées 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de la Fédération de Russie (ECE/TRANS/WP.11/2016/10). 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>Correction rédactionnelle de la traduction russe de l</w:t>
      </w:r>
      <w:r w:rsidR="00A24626" w:rsidRPr="00A24626">
        <w:t>’</w:t>
      </w:r>
      <w:r w:rsidR="000643C8" w:rsidRPr="00A24626">
        <w:t>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Le Groupe de travail voudra sans doute examiner la proposition de la Fédération de Russie (ECE/TRANS/WP.11/2016/11). 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 xml:space="preserve">Essai des groupes frigorifiques ayant subi un changement de fluide frigorigène </w:t>
      </w:r>
      <w:r>
        <w:br/>
      </w:r>
      <w:r w:rsidR="000643C8" w:rsidRPr="00A24626">
        <w:t xml:space="preserve">(drop-in) 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  <w:rPr>
          <w:b/>
        </w:rPr>
      </w:pPr>
      <w:r w:rsidRPr="00A24626">
        <w:t>Le Groupe de travail voudra sans doute examiner la proposition de la France (ECE/TRANS/WP.11/2016/18).</w:t>
      </w:r>
    </w:p>
    <w:p w:rsidR="0029409C" w:rsidRPr="00A24626" w:rsidRDefault="002F7F54" w:rsidP="002F7F54">
      <w:pPr>
        <w:pStyle w:val="H23G"/>
      </w:pPr>
      <w:r>
        <w:tab/>
      </w:r>
      <w:r>
        <w:tab/>
      </w:r>
      <w:r w:rsidR="000643C8" w:rsidRPr="00A24626">
        <w:t xml:space="preserve">Essai des systèmes à gaz liquéfié mono et </w:t>
      </w:r>
      <w:proofErr w:type="spellStart"/>
      <w:r w:rsidR="000643C8" w:rsidRPr="00A24626">
        <w:t>multitempératures</w:t>
      </w:r>
      <w:proofErr w:type="spellEnd"/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  <w:rPr>
          <w:b/>
        </w:rPr>
      </w:pPr>
      <w:r w:rsidRPr="00A24626">
        <w:t>Le Groupe de travail voudra sans doute examiner la proposition de la France (ECE/TRANS/WP.11/2016/19).</w:t>
      </w:r>
    </w:p>
    <w:p w:rsidR="0029409C" w:rsidRPr="00A24626" w:rsidRDefault="00955030" w:rsidP="00955030">
      <w:pPr>
        <w:pStyle w:val="H1G"/>
      </w:pPr>
      <w:r>
        <w:tab/>
      </w:r>
      <w:r w:rsidR="000643C8" w:rsidRPr="00A24626">
        <w:t>6.</w:t>
      </w:r>
      <w:r w:rsidR="000643C8" w:rsidRPr="00A24626">
        <w:tab/>
        <w:t>Manuel 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 xml:space="preserve">La dernière version du Manuel ATP peut être consultée en anglais, en français et en </w:t>
      </w:r>
      <w:r w:rsidRPr="00955030">
        <w:rPr>
          <w:spacing w:val="-4"/>
        </w:rPr>
        <w:t>russe sur le site Web de la Division des transports, à l</w:t>
      </w:r>
      <w:r w:rsidR="00A24626" w:rsidRPr="00955030">
        <w:rPr>
          <w:spacing w:val="-4"/>
        </w:rPr>
        <w:t>’</w:t>
      </w:r>
      <w:r w:rsidRPr="00955030">
        <w:rPr>
          <w:spacing w:val="-4"/>
        </w:rPr>
        <w:t>adresse suivante</w:t>
      </w:r>
      <w:r w:rsidR="00955030" w:rsidRPr="00955030">
        <w:rPr>
          <w:spacing w:val="-4"/>
        </w:rPr>
        <w:t> </w:t>
      </w:r>
      <w:r w:rsidRPr="00955030">
        <w:rPr>
          <w:spacing w:val="-4"/>
        </w:rPr>
        <w:t>: http://www.unece.org/</w:t>
      </w:r>
      <w:r w:rsidR="00955030" w:rsidRPr="00955030">
        <w:rPr>
          <w:spacing w:val="-4"/>
        </w:rPr>
        <w:br/>
      </w:r>
      <w:r w:rsidRPr="00A24626">
        <w:t>trans/main/wp11/atp_handbook.html.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la proposition de la Fédération de Russie visant à inclure dans le Manuel ATP un commentaire à l</w:t>
      </w:r>
      <w:r w:rsidR="00A24626" w:rsidRPr="00A24626">
        <w:t>’</w:t>
      </w:r>
      <w:r w:rsidRPr="00A24626">
        <w:t>article 3 de l</w:t>
      </w:r>
      <w:r w:rsidR="00A24626" w:rsidRPr="00A24626">
        <w:t>’</w:t>
      </w:r>
      <w:r w:rsidRPr="00A24626">
        <w:t>ATP concernant la définition du terme «</w:t>
      </w:r>
      <w:r w:rsidR="00955030">
        <w:t> </w:t>
      </w:r>
      <w:r w:rsidRPr="00A24626">
        <w:t>denrées périssables</w:t>
      </w:r>
      <w:r w:rsidR="00955030">
        <w:t> </w:t>
      </w:r>
      <w:r w:rsidRPr="00A24626">
        <w:t xml:space="preserve">» (ECE/TRANS/WP.11/2016/5). 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la proposition de la Fédération de Russie visant à inclure dans le Manuel ATP une définition des surfaces intérieures et extérieures de transmission thermique des wagons ferroviaires autres que les wagons-citernes (ECE/TRANS/WP.11/2016/6).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voudra sans doute examiner la proposition de la Fédération de Russie visant à inclure dans le Manuel ATP un commentaire à l</w:t>
      </w:r>
      <w:r w:rsidR="00A24626" w:rsidRPr="00A24626">
        <w:t>’</w:t>
      </w:r>
      <w:r w:rsidRPr="00A24626">
        <w:t>article 7 de l</w:t>
      </w:r>
      <w:r w:rsidR="00A24626" w:rsidRPr="00A24626">
        <w:t>’</w:t>
      </w:r>
      <w:r w:rsidRPr="00A24626">
        <w:t>ATP concernant le transport des fruits et légumes frais (ECE/TRANS/WP.11/2016/8).</w:t>
      </w:r>
    </w:p>
    <w:p w:rsidR="0029409C" w:rsidRPr="00A24626" w:rsidRDefault="00955030" w:rsidP="00955030">
      <w:pPr>
        <w:pStyle w:val="H1G"/>
      </w:pPr>
      <w:r>
        <w:tab/>
      </w:r>
      <w:r w:rsidR="000643C8" w:rsidRPr="00A24626">
        <w:t>7.</w:t>
      </w:r>
      <w:r w:rsidR="000643C8" w:rsidRPr="00A24626">
        <w:tab/>
        <w:t>Champ d</w:t>
      </w:r>
      <w:r w:rsidR="00A24626" w:rsidRPr="00A24626">
        <w:t>’</w:t>
      </w:r>
      <w:r w:rsidR="000643C8" w:rsidRPr="00A24626">
        <w:t>application de l</w:t>
      </w:r>
      <w:r w:rsidR="00A24626" w:rsidRPr="00A24626">
        <w:t>’</w:t>
      </w:r>
      <w:r w:rsidR="000643C8" w:rsidRPr="00A24626">
        <w:t>ATP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pourra</w:t>
      </w:r>
      <w:r w:rsidR="00955030">
        <w:t xml:space="preserve"> </w:t>
      </w:r>
      <w:r w:rsidRPr="00A24626">
        <w:t>examiner tout fait nouveau relatif au champ d</w:t>
      </w:r>
      <w:r w:rsidR="00A24626" w:rsidRPr="00A24626">
        <w:t>’</w:t>
      </w:r>
      <w:r w:rsidRPr="00A24626">
        <w:t>application de l</w:t>
      </w:r>
      <w:r w:rsidR="00A24626" w:rsidRPr="00A24626">
        <w:t>’</w:t>
      </w:r>
      <w:r w:rsidRPr="00A24626">
        <w:t>ATP ayant une incidence sur ses travaux.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La feuille de route concernant l</w:t>
      </w:r>
      <w:r w:rsidR="00A24626" w:rsidRPr="00A24626">
        <w:t>’</w:t>
      </w:r>
      <w:r w:rsidRPr="00A24626">
        <w:t>adhésion à l</w:t>
      </w:r>
      <w:r w:rsidR="00A24626" w:rsidRPr="00A24626">
        <w:t>’</w:t>
      </w:r>
      <w:r w:rsidRPr="00A24626">
        <w:t>ATP et la mise en œuvre de celui-ci qui a été établie par EuroMed RRU avec des contributions du secrétariat et des présidents du Groupe de travail sera publiée sous peu par EuroMed.</w:t>
      </w:r>
    </w:p>
    <w:p w:rsidR="0029409C" w:rsidRPr="00A24626" w:rsidRDefault="00955030" w:rsidP="00955030">
      <w:pPr>
        <w:pStyle w:val="H1G"/>
      </w:pPr>
      <w:r>
        <w:tab/>
      </w:r>
      <w:r w:rsidR="000643C8" w:rsidRPr="00A24626">
        <w:t>8.</w:t>
      </w:r>
      <w:r w:rsidR="000643C8" w:rsidRPr="00A24626">
        <w:tab/>
        <w:t>Étiquetage énergétique, fluides frigorigènes et agents d</w:t>
      </w:r>
      <w:r w:rsidR="00A24626" w:rsidRPr="00A24626">
        <w:t>’</w:t>
      </w:r>
      <w:r w:rsidR="000643C8" w:rsidRPr="00A24626">
        <w:t>expansion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pourra examiner tout fait nouveau dans le domaine de l</w:t>
      </w:r>
      <w:r w:rsidR="00A24626" w:rsidRPr="00A24626">
        <w:t>’</w:t>
      </w:r>
      <w:r w:rsidRPr="00A24626">
        <w:t>étiquetage énergétique, des fluides frigorigènes et des agents d</w:t>
      </w:r>
      <w:r w:rsidR="00A24626" w:rsidRPr="00A24626">
        <w:t>’</w:t>
      </w:r>
      <w:r w:rsidRPr="00A24626">
        <w:t xml:space="preserve">expansion ayant une incidence sur ses travaux. </w:t>
      </w:r>
    </w:p>
    <w:p w:rsidR="0029409C" w:rsidRPr="00A24626" w:rsidRDefault="00955030" w:rsidP="00955030">
      <w:pPr>
        <w:pStyle w:val="H1G"/>
      </w:pPr>
      <w:r>
        <w:tab/>
      </w:r>
      <w:r w:rsidR="000643C8" w:rsidRPr="00A24626">
        <w:t>9.</w:t>
      </w:r>
      <w:r w:rsidR="000643C8" w:rsidRPr="00A24626">
        <w:tab/>
        <w:t>Programme de travail et évaluation bisannuelle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A24626">
        <w:t>Le Groupe de travail examinera cette question à sa session de 2017, mais il lui est rappelé le programme de travail qu</w:t>
      </w:r>
      <w:r w:rsidR="00A24626" w:rsidRPr="00A24626">
        <w:t>’</w:t>
      </w:r>
      <w:r w:rsidRPr="00A24626">
        <w:t>il a adopté pour 2016-2017 et l</w:t>
      </w:r>
      <w:r w:rsidR="00A24626" w:rsidRPr="00A24626">
        <w:t>’</w:t>
      </w:r>
      <w:r w:rsidRPr="00A24626">
        <w:t xml:space="preserve">évaluation bisannuelle figurent dans les annexes IV, V et VI du document </w:t>
      </w:r>
      <w:r w:rsidRPr="00A24626">
        <w:rPr>
          <w:lang w:val="en-US"/>
        </w:rPr>
        <w:t>ECE/TRANS/WP.11/233.</w:t>
      </w:r>
    </w:p>
    <w:p w:rsidR="0029409C" w:rsidRPr="00A24626" w:rsidRDefault="00955030" w:rsidP="00955030">
      <w:pPr>
        <w:pStyle w:val="H1G"/>
      </w:pPr>
      <w:r>
        <w:rPr>
          <w:lang w:val="en-US"/>
        </w:rPr>
        <w:tab/>
      </w:r>
      <w:r w:rsidR="000643C8" w:rsidRPr="00A24626">
        <w:rPr>
          <w:lang w:val="en-US"/>
        </w:rPr>
        <w:t>10.</w:t>
      </w:r>
      <w:r w:rsidR="000643C8" w:rsidRPr="00A24626">
        <w:rPr>
          <w:lang w:val="en-US"/>
        </w:rPr>
        <w:tab/>
      </w:r>
      <w:r w:rsidR="000643C8" w:rsidRPr="00955030">
        <w:t>Élection</w:t>
      </w:r>
      <w:r w:rsidR="000643C8" w:rsidRPr="00A24626">
        <w:rPr>
          <w:lang w:val="en-US"/>
        </w:rPr>
        <w:t xml:space="preserve"> du Bureau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sera appelé à élire le (la) Président(e) et le (la) Vice-Président(e) de sa soixante-treizième session prévue en 2017.</w:t>
      </w:r>
    </w:p>
    <w:p w:rsidR="0029409C" w:rsidRPr="00A24626" w:rsidRDefault="00955030" w:rsidP="00955030">
      <w:pPr>
        <w:pStyle w:val="H1G"/>
      </w:pPr>
      <w:r>
        <w:tab/>
      </w:r>
      <w:r w:rsidR="000643C8" w:rsidRPr="00A24626">
        <w:t>11.</w:t>
      </w:r>
      <w:r w:rsidR="000643C8" w:rsidRPr="00A24626">
        <w:tab/>
        <w:t>Questions diverses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pourra examiner toute autre question au titre de ce point de l</w:t>
      </w:r>
      <w:r w:rsidR="00A24626" w:rsidRPr="00A24626">
        <w:t>’</w:t>
      </w:r>
      <w:r w:rsidRPr="00A24626">
        <w:t>ordre du jour.</w:t>
      </w:r>
      <w:r w:rsidRPr="00A24626">
        <w:tab/>
      </w:r>
    </w:p>
    <w:p w:rsidR="0029409C" w:rsidRPr="00A24626" w:rsidRDefault="00955030" w:rsidP="00955030">
      <w:pPr>
        <w:pStyle w:val="H23G"/>
      </w:pPr>
      <w:r>
        <w:tab/>
      </w:r>
      <w:r>
        <w:tab/>
      </w:r>
      <w:r w:rsidR="000643C8" w:rsidRPr="00A24626">
        <w:t>Dates de la soixante-treizième session</w:t>
      </w:r>
    </w:p>
    <w:p w:rsidR="0029409C" w:rsidRPr="00A24626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Les dates du 10 au 13 octobre 2017 (mardi à vendredi) ont été retenues pour la soixante-treizième session du Groupe de travail.</w:t>
      </w:r>
    </w:p>
    <w:p w:rsidR="0029409C" w:rsidRPr="00A24626" w:rsidRDefault="00955030" w:rsidP="00955030">
      <w:pPr>
        <w:pStyle w:val="H1G"/>
      </w:pPr>
      <w:r>
        <w:tab/>
      </w:r>
      <w:r w:rsidR="000643C8" w:rsidRPr="00A24626">
        <w:t>12.</w:t>
      </w:r>
      <w:r w:rsidR="000643C8" w:rsidRPr="00A24626">
        <w:tab/>
        <w:t>Adoption du rapport</w:t>
      </w:r>
    </w:p>
    <w:p w:rsidR="00F9573C" w:rsidRDefault="000643C8" w:rsidP="00A24626">
      <w:pPr>
        <w:pStyle w:val="SingleTxtG"/>
        <w:numPr>
          <w:ilvl w:val="0"/>
          <w:numId w:val="17"/>
        </w:numPr>
        <w:ind w:left="1134" w:firstLine="0"/>
      </w:pPr>
      <w:r w:rsidRPr="00A24626">
        <w:t>Le Groupe de travail devrait adopter le rapport de sa soixante-douzième session établi sur la base d</w:t>
      </w:r>
      <w:r w:rsidR="00A24626" w:rsidRPr="00A24626">
        <w:t>’</w:t>
      </w:r>
      <w:r w:rsidRPr="00A24626">
        <w:t>un pro</w:t>
      </w:r>
      <w:r w:rsidR="00955030">
        <w:t>jet élaboré par le secrétariat.</w:t>
      </w:r>
    </w:p>
    <w:p w:rsidR="00955030" w:rsidRPr="00955030" w:rsidRDefault="00955030" w:rsidP="009550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5030" w:rsidRPr="00955030" w:rsidSect="00A246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8B" w:rsidRDefault="009A578B" w:rsidP="00F95C08">
      <w:pPr>
        <w:spacing w:line="240" w:lineRule="auto"/>
      </w:pPr>
    </w:p>
  </w:endnote>
  <w:endnote w:type="continuationSeparator" w:id="0">
    <w:p w:rsidR="009A578B" w:rsidRPr="00AC3823" w:rsidRDefault="009A578B" w:rsidP="00AC3823">
      <w:pPr>
        <w:pStyle w:val="Footer"/>
      </w:pPr>
    </w:p>
  </w:endnote>
  <w:endnote w:type="continuationNotice" w:id="1">
    <w:p w:rsidR="009A578B" w:rsidRDefault="009A57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26" w:rsidRPr="00A24626" w:rsidRDefault="00A24626" w:rsidP="00A24626">
    <w:pPr>
      <w:pStyle w:val="Footer"/>
      <w:tabs>
        <w:tab w:val="right" w:pos="9638"/>
      </w:tabs>
    </w:pPr>
    <w:r w:rsidRPr="00A24626">
      <w:rPr>
        <w:b/>
        <w:sz w:val="18"/>
      </w:rPr>
      <w:fldChar w:fldCharType="begin"/>
    </w:r>
    <w:r w:rsidRPr="00A24626">
      <w:rPr>
        <w:b/>
        <w:sz w:val="18"/>
      </w:rPr>
      <w:instrText xml:space="preserve"> PAGE  \* MERGEFORMAT </w:instrText>
    </w:r>
    <w:r w:rsidRPr="00A24626">
      <w:rPr>
        <w:b/>
        <w:sz w:val="18"/>
      </w:rPr>
      <w:fldChar w:fldCharType="separate"/>
    </w:r>
    <w:r w:rsidR="00831F2A">
      <w:rPr>
        <w:b/>
        <w:noProof/>
        <w:sz w:val="18"/>
      </w:rPr>
      <w:t>6</w:t>
    </w:r>
    <w:r w:rsidRPr="00A24626">
      <w:rPr>
        <w:b/>
        <w:sz w:val="18"/>
      </w:rPr>
      <w:fldChar w:fldCharType="end"/>
    </w:r>
    <w:r>
      <w:rPr>
        <w:b/>
        <w:sz w:val="18"/>
      </w:rPr>
      <w:tab/>
    </w:r>
    <w:r>
      <w:t>GE.16-12620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26" w:rsidRPr="00A24626" w:rsidRDefault="00A24626" w:rsidP="00A24626">
    <w:pPr>
      <w:pStyle w:val="Footer"/>
      <w:tabs>
        <w:tab w:val="right" w:pos="9638"/>
      </w:tabs>
      <w:rPr>
        <w:b/>
        <w:sz w:val="18"/>
      </w:rPr>
    </w:pPr>
    <w:r>
      <w:t>GE.16-12620</w:t>
    </w:r>
    <w:r>
      <w:tab/>
    </w:r>
    <w:r w:rsidRPr="00A24626">
      <w:rPr>
        <w:b/>
        <w:sz w:val="18"/>
      </w:rPr>
      <w:fldChar w:fldCharType="begin"/>
    </w:r>
    <w:r w:rsidRPr="00A24626">
      <w:rPr>
        <w:b/>
        <w:sz w:val="18"/>
      </w:rPr>
      <w:instrText xml:space="preserve"> PAGE  \* MERGEFORMAT </w:instrText>
    </w:r>
    <w:r w:rsidRPr="00A24626">
      <w:rPr>
        <w:b/>
        <w:sz w:val="18"/>
      </w:rPr>
      <w:fldChar w:fldCharType="separate"/>
    </w:r>
    <w:r w:rsidR="00831F2A">
      <w:rPr>
        <w:b/>
        <w:noProof/>
        <w:sz w:val="18"/>
      </w:rPr>
      <w:t>7</w:t>
    </w:r>
    <w:r w:rsidRPr="00A246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24626" w:rsidRDefault="00A24626" w:rsidP="00A2462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5BD3300" wp14:editId="265A6F7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16-12620  (F)</w:t>
    </w:r>
    <w:r w:rsidR="00955030">
      <w:rPr>
        <w:sz w:val="20"/>
      </w:rPr>
      <w:t xml:space="preserve">    280716    290716</w:t>
    </w:r>
    <w:r>
      <w:rPr>
        <w:sz w:val="20"/>
      </w:rPr>
      <w:br/>
    </w:r>
    <w:r w:rsidRPr="00A24626">
      <w:rPr>
        <w:rFonts w:ascii="C39T30Lfz" w:hAnsi="C39T30Lfz"/>
        <w:sz w:val="56"/>
      </w:rPr>
      <w:t></w:t>
    </w:r>
    <w:r w:rsidRPr="00A24626">
      <w:rPr>
        <w:rFonts w:ascii="C39T30Lfz" w:hAnsi="C39T30Lfz"/>
        <w:sz w:val="56"/>
      </w:rPr>
      <w:t></w:t>
    </w:r>
    <w:r w:rsidRPr="00A24626">
      <w:rPr>
        <w:rFonts w:ascii="C39T30Lfz" w:hAnsi="C39T30Lfz"/>
        <w:sz w:val="56"/>
      </w:rPr>
      <w:t></w:t>
    </w:r>
    <w:r w:rsidRPr="00A24626">
      <w:rPr>
        <w:rFonts w:ascii="C39T30Lfz" w:hAnsi="C39T30Lfz"/>
        <w:sz w:val="56"/>
      </w:rPr>
      <w:t></w:t>
    </w:r>
    <w:r w:rsidRPr="00A24626">
      <w:rPr>
        <w:rFonts w:ascii="C39T30Lfz" w:hAnsi="C39T30Lfz"/>
        <w:sz w:val="56"/>
      </w:rPr>
      <w:t></w:t>
    </w:r>
    <w:r w:rsidRPr="00A24626">
      <w:rPr>
        <w:rFonts w:ascii="C39T30Lfz" w:hAnsi="C39T30Lfz"/>
        <w:sz w:val="56"/>
      </w:rPr>
      <w:t></w:t>
    </w:r>
    <w:r w:rsidRPr="00A24626">
      <w:rPr>
        <w:rFonts w:ascii="C39T30Lfz" w:hAnsi="C39T30Lfz"/>
        <w:sz w:val="56"/>
      </w:rPr>
      <w:t></w:t>
    </w:r>
    <w:r w:rsidRPr="00A24626">
      <w:rPr>
        <w:rFonts w:ascii="C39T30Lfz" w:hAnsi="C39T30Lfz"/>
        <w:sz w:val="56"/>
      </w:rPr>
      <w:t></w:t>
    </w:r>
    <w:r w:rsidRPr="00A24626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1/234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34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8B" w:rsidRPr="00AC3823" w:rsidRDefault="009A57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578B" w:rsidRPr="00AC3823" w:rsidRDefault="009A57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578B" w:rsidRPr="00AC3823" w:rsidRDefault="009A578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26" w:rsidRPr="00A24626" w:rsidRDefault="00A24626">
    <w:pPr>
      <w:pStyle w:val="Header"/>
    </w:pPr>
    <w:r>
      <w:t>ECE/TRANS/WP.11/234/Add.1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26" w:rsidRPr="00A24626" w:rsidRDefault="00A24626" w:rsidP="00A24626">
    <w:pPr>
      <w:pStyle w:val="Header"/>
      <w:jc w:val="right"/>
    </w:pPr>
    <w:r>
      <w:t>ECE/TRANS/WP.11/234/Add.1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95F2D"/>
    <w:multiLevelType w:val="hybridMultilevel"/>
    <w:tmpl w:val="09A09C50"/>
    <w:lvl w:ilvl="0" w:tplc="4ECAF6D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F69283E"/>
    <w:multiLevelType w:val="hybridMultilevel"/>
    <w:tmpl w:val="3C88B54C"/>
    <w:lvl w:ilvl="0" w:tplc="4ECAF6D6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30C6EE2"/>
    <w:multiLevelType w:val="hybridMultilevel"/>
    <w:tmpl w:val="34A03082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9225022"/>
    <w:multiLevelType w:val="hybridMultilevel"/>
    <w:tmpl w:val="B76EAD32"/>
    <w:lvl w:ilvl="0" w:tplc="D9984336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3420" w:hanging="360"/>
      </w:pPr>
    </w:lvl>
    <w:lvl w:ilvl="2" w:tplc="100C001B" w:tentative="1">
      <w:start w:val="1"/>
      <w:numFmt w:val="lowerRoman"/>
      <w:lvlText w:val="%3."/>
      <w:lvlJc w:val="right"/>
      <w:pPr>
        <w:ind w:left="4140" w:hanging="180"/>
      </w:pPr>
    </w:lvl>
    <w:lvl w:ilvl="3" w:tplc="100C000F" w:tentative="1">
      <w:start w:val="1"/>
      <w:numFmt w:val="decimal"/>
      <w:lvlText w:val="%4."/>
      <w:lvlJc w:val="left"/>
      <w:pPr>
        <w:ind w:left="4860" w:hanging="360"/>
      </w:pPr>
    </w:lvl>
    <w:lvl w:ilvl="4" w:tplc="100C0019" w:tentative="1">
      <w:start w:val="1"/>
      <w:numFmt w:val="lowerLetter"/>
      <w:lvlText w:val="%5."/>
      <w:lvlJc w:val="left"/>
      <w:pPr>
        <w:ind w:left="5580" w:hanging="360"/>
      </w:pPr>
    </w:lvl>
    <w:lvl w:ilvl="5" w:tplc="100C001B" w:tentative="1">
      <w:start w:val="1"/>
      <w:numFmt w:val="lowerRoman"/>
      <w:lvlText w:val="%6."/>
      <w:lvlJc w:val="right"/>
      <w:pPr>
        <w:ind w:left="6300" w:hanging="180"/>
      </w:pPr>
    </w:lvl>
    <w:lvl w:ilvl="6" w:tplc="100C000F" w:tentative="1">
      <w:start w:val="1"/>
      <w:numFmt w:val="decimal"/>
      <w:lvlText w:val="%7."/>
      <w:lvlJc w:val="left"/>
      <w:pPr>
        <w:ind w:left="7020" w:hanging="360"/>
      </w:pPr>
    </w:lvl>
    <w:lvl w:ilvl="7" w:tplc="100C0019" w:tentative="1">
      <w:start w:val="1"/>
      <w:numFmt w:val="lowerLetter"/>
      <w:lvlText w:val="%8."/>
      <w:lvlJc w:val="left"/>
      <w:pPr>
        <w:ind w:left="7740" w:hanging="360"/>
      </w:pPr>
    </w:lvl>
    <w:lvl w:ilvl="8" w:tplc="100C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8B"/>
    <w:rsid w:val="00017F94"/>
    <w:rsid w:val="00023842"/>
    <w:rsid w:val="000334F9"/>
    <w:rsid w:val="000643C8"/>
    <w:rsid w:val="0007796D"/>
    <w:rsid w:val="000B7790"/>
    <w:rsid w:val="00111F2F"/>
    <w:rsid w:val="00125725"/>
    <w:rsid w:val="0014365E"/>
    <w:rsid w:val="00143C66"/>
    <w:rsid w:val="00176178"/>
    <w:rsid w:val="001F02EE"/>
    <w:rsid w:val="001F525A"/>
    <w:rsid w:val="00223272"/>
    <w:rsid w:val="0024779E"/>
    <w:rsid w:val="00257168"/>
    <w:rsid w:val="002744B8"/>
    <w:rsid w:val="002832AC"/>
    <w:rsid w:val="002D7C93"/>
    <w:rsid w:val="002F7F54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96894"/>
    <w:rsid w:val="0071601D"/>
    <w:rsid w:val="007A62E6"/>
    <w:rsid w:val="007F20FA"/>
    <w:rsid w:val="0080684C"/>
    <w:rsid w:val="00831F2A"/>
    <w:rsid w:val="00871C75"/>
    <w:rsid w:val="008776DC"/>
    <w:rsid w:val="00955030"/>
    <w:rsid w:val="009705C8"/>
    <w:rsid w:val="009A578B"/>
    <w:rsid w:val="009C1CF4"/>
    <w:rsid w:val="009F6B74"/>
    <w:rsid w:val="00A24626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733B1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299930-D8D9-40BE-9C73-190F11D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ECE/TRANS/WP.11/234/Add.1</vt:lpstr>
      <vt:lpstr>ECE/TRANS/WP.11/234/Add.1</vt:lpstr>
    </vt:vector>
  </TitlesOfParts>
  <Company>DCM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ECE/TRANS/WP.11/234/Add.1</dc:title>
  <dc:subject>Final</dc:subject>
  <dc:creator>Fabienne Crelier</dc:creator>
  <cp:lastModifiedBy>ECE/ADN/36</cp:lastModifiedBy>
  <cp:revision>2</cp:revision>
  <cp:lastPrinted>2016-07-29T07:52:00Z</cp:lastPrinted>
  <dcterms:created xsi:type="dcterms:W3CDTF">2016-08-08T15:44:00Z</dcterms:created>
  <dcterms:modified xsi:type="dcterms:W3CDTF">2016-08-08T15:44:00Z</dcterms:modified>
</cp:coreProperties>
</file>