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1045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10452" w:rsidP="00A10452">
            <w:pPr>
              <w:jc w:val="right"/>
            </w:pPr>
            <w:r w:rsidRPr="00A10452">
              <w:rPr>
                <w:sz w:val="40"/>
              </w:rPr>
              <w:t>ECE</w:t>
            </w:r>
            <w:r>
              <w:t>/TRANS/SC.1/405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10452" w:rsidP="00892A2F">
            <w:pPr>
              <w:spacing w:before="240"/>
            </w:pPr>
            <w:r>
              <w:t>Distr. générale</w:t>
            </w:r>
          </w:p>
          <w:p w:rsidR="00A10452" w:rsidRDefault="00A10452" w:rsidP="00A10452">
            <w:pPr>
              <w:spacing w:line="240" w:lineRule="exact"/>
            </w:pPr>
            <w:r>
              <w:t>5 août 2016</w:t>
            </w:r>
          </w:p>
          <w:p w:rsidR="00A10452" w:rsidRDefault="00A10452" w:rsidP="00A10452">
            <w:pPr>
              <w:spacing w:line="240" w:lineRule="exact"/>
            </w:pPr>
            <w:r>
              <w:t>Français</w:t>
            </w:r>
          </w:p>
          <w:p w:rsidR="00A10452" w:rsidRPr="00DB58B5" w:rsidRDefault="00A10452" w:rsidP="00A1045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60D8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10452" w:rsidRPr="00685843" w:rsidRDefault="00A10452" w:rsidP="003916D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des transports routiers</w:t>
      </w:r>
    </w:p>
    <w:p w:rsidR="00A10452" w:rsidRPr="00F30D47" w:rsidRDefault="00A10452" w:rsidP="003916DE">
      <w:pPr>
        <w:spacing w:before="120"/>
        <w:rPr>
          <w:b/>
        </w:rPr>
      </w:pPr>
      <w:r w:rsidRPr="00A10452">
        <w:rPr>
          <w:b/>
        </w:rPr>
        <w:t>111</w:t>
      </w:r>
      <w:r w:rsidRPr="00A10452">
        <w:rPr>
          <w:b/>
          <w:vertAlign w:val="superscript"/>
        </w:rPr>
        <w:t>e</w:t>
      </w:r>
      <w:r>
        <w:rPr>
          <w:b/>
        </w:rPr>
        <w:t> </w:t>
      </w:r>
      <w:r w:rsidRPr="00F30D47">
        <w:rPr>
          <w:b/>
        </w:rPr>
        <w:t>session</w:t>
      </w:r>
    </w:p>
    <w:p w:rsidR="00A10452" w:rsidRDefault="00A10452" w:rsidP="003916DE">
      <w:r>
        <w:t>Genève, 25-26 octobre 2016</w:t>
      </w:r>
    </w:p>
    <w:p w:rsidR="00A10452" w:rsidRPr="00653735" w:rsidRDefault="00A10452" w:rsidP="003916DE">
      <w:r>
        <w:t xml:space="preserve">Point 1 </w:t>
      </w:r>
      <w:r w:rsidRPr="00653735">
        <w:t>de l</w:t>
      </w:r>
      <w:r w:rsidR="00460D81">
        <w:t>’</w:t>
      </w:r>
      <w:r w:rsidRPr="00653735">
        <w:t>ordre du jour provisoire</w:t>
      </w:r>
    </w:p>
    <w:p w:rsidR="00A10452" w:rsidRPr="00E5601A" w:rsidRDefault="00A10452" w:rsidP="00A10452">
      <w:pPr>
        <w:rPr>
          <w:b/>
        </w:rPr>
      </w:pPr>
      <w:r w:rsidRPr="00E5601A">
        <w:rPr>
          <w:b/>
        </w:rPr>
        <w:t>Adoption de l</w:t>
      </w:r>
      <w:r w:rsidR="00460D81">
        <w:rPr>
          <w:b/>
        </w:rPr>
        <w:t>’</w:t>
      </w:r>
      <w:r w:rsidRPr="00E5601A">
        <w:rPr>
          <w:b/>
        </w:rPr>
        <w:t>ordre du jour</w:t>
      </w:r>
    </w:p>
    <w:p w:rsidR="00A10452" w:rsidRPr="008270F0" w:rsidRDefault="00A10452" w:rsidP="008270F0">
      <w:pPr>
        <w:pStyle w:val="HChG"/>
        <w:rPr>
          <w:bCs/>
        </w:rPr>
      </w:pPr>
      <w:r>
        <w:tab/>
      </w:r>
      <w:r>
        <w:tab/>
        <w:t>Ordre du jour provisoire annoté de la 111</w:t>
      </w:r>
      <w:r>
        <w:rPr>
          <w:vertAlign w:val="superscript"/>
        </w:rPr>
        <w:t>e</w:t>
      </w:r>
      <w:r w:rsidR="007D64C1">
        <w:t> </w:t>
      </w:r>
      <w:r>
        <w:t>session</w:t>
      </w:r>
      <w:r w:rsidR="007D64C1" w:rsidRPr="00B92DB0">
        <w:rPr>
          <w:rStyle w:val="FootnoteReference"/>
          <w:b w:val="0"/>
        </w:rPr>
        <w:footnoteReference w:id="2"/>
      </w:r>
      <w:r w:rsidRPr="00B92DB0">
        <w:rPr>
          <w:b w:val="0"/>
          <w:sz w:val="18"/>
          <w:szCs w:val="18"/>
          <w:vertAlign w:val="superscript"/>
        </w:rPr>
        <w:t>,</w:t>
      </w:r>
      <w:r w:rsidRPr="00B92DB0">
        <w:rPr>
          <w:b w:val="0"/>
          <w:sz w:val="18"/>
          <w:szCs w:val="18"/>
        </w:rPr>
        <w:t xml:space="preserve"> </w:t>
      </w:r>
      <w:r w:rsidR="007D64C1" w:rsidRPr="00B92DB0">
        <w:rPr>
          <w:rStyle w:val="FootnoteReference"/>
          <w:b w:val="0"/>
          <w:szCs w:val="18"/>
        </w:rPr>
        <w:footnoteReference w:id="3"/>
      </w:r>
    </w:p>
    <w:p w:rsidR="00A10452" w:rsidRDefault="00A10452" w:rsidP="008270F0">
      <w:pPr>
        <w:pStyle w:val="SingleTxtG"/>
        <w:jc w:val="left"/>
      </w:pPr>
      <w:r>
        <w:t>Qui s</w:t>
      </w:r>
      <w:r w:rsidR="00460D81">
        <w:t>’</w:t>
      </w:r>
      <w:r>
        <w:t xml:space="preserve">ouvrira au Palais des Nations, à Genève, le mardi 25 octobre 2016, </w:t>
      </w:r>
      <w:r>
        <w:rPr>
          <w:rFonts w:eastAsia="Arial Unicode MS"/>
        </w:rPr>
        <w:br/>
      </w:r>
      <w:r>
        <w:t>à 9 h 30</w:t>
      </w:r>
    </w:p>
    <w:p w:rsidR="00A10452" w:rsidRDefault="007D64C1" w:rsidP="007D64C1">
      <w:pPr>
        <w:pStyle w:val="HChG"/>
      </w:pPr>
      <w:r>
        <w:tab/>
        <w:t>I.</w:t>
      </w:r>
      <w:r>
        <w:tab/>
        <w:t>Ordre du jour provisoire</w:t>
      </w:r>
    </w:p>
    <w:p w:rsidR="00A10452" w:rsidRDefault="00A10452" w:rsidP="007D64C1">
      <w:pPr>
        <w:pStyle w:val="SingleTxtG"/>
        <w:ind w:left="1701" w:hanging="567"/>
        <w:jc w:val="left"/>
      </w:pPr>
      <w:r>
        <w:t>1.</w:t>
      </w:r>
      <w:r>
        <w:tab/>
        <w:t>Adoption de l</w:t>
      </w:r>
      <w:r w:rsidR="00460D81">
        <w:t>’</w:t>
      </w:r>
      <w:r>
        <w:t>ordre du jour.</w:t>
      </w:r>
    </w:p>
    <w:p w:rsidR="00A10452" w:rsidRDefault="00A10452" w:rsidP="007D64C1">
      <w:pPr>
        <w:pStyle w:val="SingleTxtG"/>
        <w:keepNext/>
        <w:ind w:left="1701" w:hanging="567"/>
        <w:jc w:val="left"/>
      </w:pPr>
      <w:r>
        <w:t>2.</w:t>
      </w:r>
      <w:r>
        <w:tab/>
        <w:t>Activités présentant un intérêt pour le Groupe de travail :</w:t>
      </w:r>
    </w:p>
    <w:p w:rsidR="00A10452" w:rsidRDefault="007D64C1" w:rsidP="00B92DB0">
      <w:pPr>
        <w:pStyle w:val="SingleTxtG"/>
        <w:ind w:left="2268" w:hanging="567"/>
        <w:jc w:val="left"/>
      </w:pPr>
      <w:r>
        <w:t>a)</w:t>
      </w:r>
      <w:r>
        <w:tab/>
        <w:t>Délégations nationales ;</w:t>
      </w:r>
    </w:p>
    <w:p w:rsidR="00A10452" w:rsidRDefault="00A10452" w:rsidP="00B92DB0">
      <w:pPr>
        <w:pStyle w:val="SingleTxtG"/>
        <w:ind w:left="2268" w:hanging="567"/>
        <w:jc w:val="left"/>
      </w:pPr>
      <w:r>
        <w:t>b</w:t>
      </w:r>
      <w:r w:rsidR="007D64C1">
        <w:t>)</w:t>
      </w:r>
      <w:r w:rsidR="007D64C1">
        <w:tab/>
        <w:t>Organisations internationales ;</w:t>
      </w:r>
    </w:p>
    <w:p w:rsidR="00A10452" w:rsidRDefault="00A10452" w:rsidP="00B92DB0">
      <w:pPr>
        <w:pStyle w:val="SingleTxtG"/>
        <w:ind w:left="2268" w:hanging="567"/>
        <w:jc w:val="left"/>
      </w:pPr>
      <w:r>
        <w:lastRenderedPageBreak/>
        <w:t>c)</w:t>
      </w:r>
      <w:r>
        <w:tab/>
        <w:t>Activités d</w:t>
      </w:r>
      <w:r w:rsidR="00460D81">
        <w:t>’</w:t>
      </w:r>
      <w:r>
        <w:t>organes de la CEE e</w:t>
      </w:r>
      <w:r w:rsidR="007D64C1">
        <w:t>t d</w:t>
      </w:r>
      <w:r w:rsidR="00460D81">
        <w:t>’</w:t>
      </w:r>
      <w:r w:rsidR="007D64C1">
        <w:t>autres organismes de l</w:t>
      </w:r>
      <w:r w:rsidR="00460D81">
        <w:t>’</w:t>
      </w:r>
      <w:r w:rsidR="007D64C1">
        <w:t>ONU.</w:t>
      </w:r>
    </w:p>
    <w:p w:rsidR="00A10452" w:rsidRDefault="00A10452" w:rsidP="007D64C1">
      <w:pPr>
        <w:pStyle w:val="SingleTxtG"/>
        <w:keepNext/>
        <w:ind w:left="1701" w:hanging="567"/>
        <w:jc w:val="left"/>
      </w:pPr>
      <w:r>
        <w:t>3.</w:t>
      </w:r>
      <w:r>
        <w:tab/>
        <w:t>Accord européen relatif au travail des équipages des véhicules effectuant des transports in</w:t>
      </w:r>
      <w:r w:rsidR="007D64C1">
        <w:t>ternationaux par route (AETR) :</w:t>
      </w:r>
    </w:p>
    <w:p w:rsidR="00A10452" w:rsidRDefault="007D64C1" w:rsidP="00B92DB0">
      <w:pPr>
        <w:pStyle w:val="SingleTxtG"/>
        <w:ind w:left="2268" w:hanging="567"/>
        <w:jc w:val="left"/>
      </w:pPr>
      <w:r>
        <w:t>a)</w:t>
      </w:r>
      <w:r>
        <w:tab/>
        <w:t>État de l</w:t>
      </w:r>
      <w:r w:rsidR="00460D81">
        <w:t>’</w:t>
      </w:r>
      <w:r>
        <w:t>Accord ;</w:t>
      </w:r>
    </w:p>
    <w:p w:rsidR="00A10452" w:rsidRDefault="00A10452" w:rsidP="00B92DB0">
      <w:pPr>
        <w:pStyle w:val="SingleTxtG"/>
        <w:ind w:left="2268" w:hanging="567"/>
        <w:jc w:val="left"/>
      </w:pPr>
      <w:r>
        <w:t>b)</w:t>
      </w:r>
      <w:r>
        <w:tab/>
        <w:t>Groupe d</w:t>
      </w:r>
      <w:r w:rsidR="00460D81">
        <w:t>’</w:t>
      </w:r>
      <w:r>
        <w:t>experts de l</w:t>
      </w:r>
      <w:r w:rsidR="00460D81">
        <w:t>’</w:t>
      </w:r>
      <w:r>
        <w:t>AETR.</w:t>
      </w:r>
    </w:p>
    <w:p w:rsidR="00A10452" w:rsidRDefault="00A10452" w:rsidP="007D64C1">
      <w:pPr>
        <w:pStyle w:val="SingleTxtG"/>
        <w:keepNext/>
        <w:ind w:left="1701" w:hanging="567"/>
      </w:pPr>
      <w:r>
        <w:t>4.</w:t>
      </w:r>
      <w:r>
        <w:tab/>
        <w:t>Accord européen sur les grandes route</w:t>
      </w:r>
      <w:r w:rsidR="007D64C1">
        <w:t>s de trafic international (AGR) :</w:t>
      </w:r>
    </w:p>
    <w:p w:rsidR="00A10452" w:rsidRDefault="007D64C1" w:rsidP="00B92DB0">
      <w:pPr>
        <w:pStyle w:val="SingleTxtG"/>
        <w:ind w:left="2268" w:hanging="567"/>
        <w:jc w:val="left"/>
      </w:pPr>
      <w:r>
        <w:t>a)</w:t>
      </w:r>
      <w:r>
        <w:tab/>
        <w:t>État de l</w:t>
      </w:r>
      <w:r w:rsidR="00460D81">
        <w:t>’</w:t>
      </w:r>
      <w:r>
        <w:t>Accord ;</w:t>
      </w:r>
    </w:p>
    <w:p w:rsidR="00A10452" w:rsidRDefault="007D64C1" w:rsidP="00B92DB0">
      <w:pPr>
        <w:pStyle w:val="SingleTxtG"/>
        <w:ind w:left="2268" w:hanging="567"/>
        <w:jc w:val="left"/>
      </w:pPr>
      <w:r>
        <w:t>b)</w:t>
      </w:r>
      <w:r>
        <w:tab/>
        <w:t>Amendements à l</w:t>
      </w:r>
      <w:r w:rsidR="00460D81">
        <w:t>’</w:t>
      </w:r>
      <w:r>
        <w:t>Accord ;</w:t>
      </w:r>
    </w:p>
    <w:p w:rsidR="00A10452" w:rsidRDefault="00A10452" w:rsidP="00B92DB0">
      <w:pPr>
        <w:pStyle w:val="SingleTxtG"/>
        <w:ind w:left="2268" w:hanging="567"/>
        <w:jc w:val="left"/>
      </w:pPr>
      <w:r>
        <w:t>c)</w:t>
      </w:r>
      <w:r>
        <w:tab/>
        <w:t>Version r</w:t>
      </w:r>
      <w:r w:rsidR="007D64C1">
        <w:t>écapitulative de l</w:t>
      </w:r>
      <w:r w:rsidR="00460D81">
        <w:t>’</w:t>
      </w:r>
      <w:r w:rsidR="007D64C1">
        <w:t>Accord.</w:t>
      </w:r>
    </w:p>
    <w:p w:rsidR="00A10452" w:rsidRDefault="00A10452" w:rsidP="007D64C1">
      <w:pPr>
        <w:pStyle w:val="SingleTxtG"/>
        <w:ind w:left="1701" w:hanging="567"/>
      </w:pPr>
      <w:r>
        <w:t>5.</w:t>
      </w:r>
      <w:r>
        <w:tab/>
        <w:t>Projet d</w:t>
      </w:r>
      <w:r w:rsidR="00460D81">
        <w:t>’</w:t>
      </w:r>
      <w:r>
        <w:t xml:space="preserve">autoroute transeuropéenne Nord-Sud (TEM). </w:t>
      </w:r>
    </w:p>
    <w:p w:rsidR="00A10452" w:rsidRDefault="00A10452" w:rsidP="007D64C1">
      <w:pPr>
        <w:pStyle w:val="SingleTxtG"/>
        <w:keepNext/>
        <w:ind w:left="1701" w:hanging="567"/>
        <w:jc w:val="left"/>
      </w:pPr>
      <w:r>
        <w:t>6.</w:t>
      </w:r>
      <w:r>
        <w:tab/>
        <w:t xml:space="preserve">Convention relative au contrat de transport international </w:t>
      </w:r>
      <w:r w:rsidR="007D64C1">
        <w:t>de marchandises par route (CMR) :</w:t>
      </w:r>
    </w:p>
    <w:p w:rsidR="00A10452" w:rsidRDefault="007D64C1" w:rsidP="00B92DB0">
      <w:pPr>
        <w:pStyle w:val="SingleTxtG"/>
        <w:ind w:left="2268" w:hanging="567"/>
        <w:jc w:val="left"/>
      </w:pPr>
      <w:r>
        <w:t>a)</w:t>
      </w:r>
      <w:r>
        <w:tab/>
        <w:t>État de la Convention ;</w:t>
      </w:r>
    </w:p>
    <w:p w:rsidR="00A10452" w:rsidRDefault="00A10452" w:rsidP="00B92DB0">
      <w:pPr>
        <w:pStyle w:val="SingleTxtG"/>
        <w:ind w:left="2268" w:hanging="567"/>
        <w:jc w:val="left"/>
      </w:pPr>
      <w:r>
        <w:t>b)</w:t>
      </w:r>
      <w:r>
        <w:tab/>
        <w:t xml:space="preserve">Protocole à la Convention relative au contrat de transport international </w:t>
      </w:r>
      <w:r w:rsidR="007D64C1">
        <w:t>de marchandises par route (CMR) ;</w:t>
      </w:r>
    </w:p>
    <w:p w:rsidR="00A10452" w:rsidRDefault="00A10452" w:rsidP="00B92DB0">
      <w:pPr>
        <w:pStyle w:val="SingleTxtG"/>
        <w:ind w:left="2268" w:hanging="567"/>
        <w:jc w:val="left"/>
      </w:pPr>
      <w:r>
        <w:t>c)</w:t>
      </w:r>
      <w:r>
        <w:tab/>
        <w:t xml:space="preserve">Protocole additionnel à la CMR concernant la lettre de voiture électronique. </w:t>
      </w:r>
    </w:p>
    <w:p w:rsidR="00A10452" w:rsidRDefault="00A10452" w:rsidP="007D64C1">
      <w:pPr>
        <w:pStyle w:val="SingleTxtG"/>
        <w:keepNext/>
        <w:ind w:left="1701" w:hanging="567"/>
        <w:jc w:val="left"/>
      </w:pPr>
      <w:r>
        <w:t>7.</w:t>
      </w:r>
      <w:r>
        <w:tab/>
        <w:t xml:space="preserve">Facilitation du </w:t>
      </w:r>
      <w:r w:rsidR="007D64C1">
        <w:t>transport routier international :</w:t>
      </w:r>
    </w:p>
    <w:p w:rsidR="00A10452" w:rsidRDefault="00A10452" w:rsidP="00B92DB0">
      <w:pPr>
        <w:pStyle w:val="SingleTxtG"/>
        <w:ind w:left="2268" w:hanging="567"/>
        <w:jc w:val="left"/>
      </w:pPr>
      <w:r>
        <w:t>a)</w:t>
      </w:r>
      <w:r>
        <w:tab/>
        <w:t>Carte internationale d</w:t>
      </w:r>
      <w:r w:rsidR="00460D81">
        <w:t>’</w:t>
      </w:r>
      <w:r>
        <w:t>assu</w:t>
      </w:r>
      <w:r w:rsidR="007D64C1">
        <w:t>rance automobile (Carte verte) ;</w:t>
      </w:r>
    </w:p>
    <w:p w:rsidR="00A10452" w:rsidRDefault="00A10452" w:rsidP="00B92DB0">
      <w:pPr>
        <w:pStyle w:val="SingleTxtG"/>
        <w:ind w:left="2268" w:hanging="567"/>
        <w:jc w:val="left"/>
      </w:pPr>
      <w:r>
        <w:t>b)</w:t>
      </w:r>
      <w:r>
        <w:tab/>
        <w:t>Proposition d</w:t>
      </w:r>
      <w:r w:rsidR="00460D81">
        <w:t>’</w:t>
      </w:r>
      <w:r>
        <w:t>accord multilatéral mondial sur le transport régulier international de voyageurs p</w:t>
      </w:r>
      <w:r w:rsidR="009F7212">
        <w:t>ar autobus et autocar (OmniBUS) ;</w:t>
      </w:r>
    </w:p>
    <w:p w:rsidR="00A10452" w:rsidRDefault="00A10452" w:rsidP="00B92DB0">
      <w:pPr>
        <w:pStyle w:val="SingleTxtG"/>
        <w:ind w:left="2268" w:hanging="567"/>
        <w:jc w:val="left"/>
      </w:pPr>
      <w:r>
        <w:t>c)</w:t>
      </w:r>
      <w:r>
        <w:tab/>
        <w:t>Restrictions quantitatives imposées au transport intern</w:t>
      </w:r>
      <w:r w:rsidR="009F7212">
        <w:t>ational routier de marchandises ;</w:t>
      </w:r>
    </w:p>
    <w:p w:rsidR="00A10452" w:rsidRDefault="00A10452" w:rsidP="00B92DB0">
      <w:pPr>
        <w:pStyle w:val="SingleTxtG"/>
        <w:ind w:left="2268" w:hanging="567"/>
        <w:jc w:val="left"/>
      </w:pPr>
      <w:r>
        <w:t>d)</w:t>
      </w:r>
      <w:r>
        <w:tab/>
        <w:t>Relations entre l</w:t>
      </w:r>
      <w:r w:rsidR="00460D81">
        <w:t>’</w:t>
      </w:r>
      <w:r>
        <w:t>origine des marchandises et les opérations de transport.</w:t>
      </w:r>
    </w:p>
    <w:p w:rsidR="00A10452" w:rsidRDefault="00A10452" w:rsidP="009F7212">
      <w:pPr>
        <w:pStyle w:val="SingleTxtG"/>
        <w:ind w:left="1701" w:hanging="567"/>
        <w:jc w:val="left"/>
      </w:pPr>
      <w:r>
        <w:t>8.</w:t>
      </w:r>
      <w:r>
        <w:tab/>
        <w:t>Groupe d</w:t>
      </w:r>
      <w:r w:rsidR="00460D81">
        <w:t>’</w:t>
      </w:r>
      <w:r>
        <w:t xml:space="preserve">experts de la sécurité aux passages à niveau. </w:t>
      </w:r>
    </w:p>
    <w:p w:rsidR="00A10452" w:rsidRDefault="00A10452" w:rsidP="009F7212">
      <w:pPr>
        <w:pStyle w:val="SingleTxtG"/>
        <w:ind w:left="1701" w:hanging="567"/>
        <w:jc w:val="left"/>
      </w:pPr>
      <w:r>
        <w:t>9.</w:t>
      </w:r>
      <w:r>
        <w:tab/>
        <w:t xml:space="preserve">Révision du mandat et </w:t>
      </w:r>
      <w:r w:rsidR="009F7212">
        <w:t>du règlement intérieur du SC.1.</w:t>
      </w:r>
    </w:p>
    <w:p w:rsidR="00A10452" w:rsidRDefault="00A10452" w:rsidP="009F7212">
      <w:pPr>
        <w:pStyle w:val="SingleTxtG"/>
        <w:ind w:left="1701" w:hanging="567"/>
        <w:jc w:val="left"/>
      </w:pPr>
      <w:r>
        <w:t>10.</w:t>
      </w:r>
      <w:r>
        <w:tab/>
        <w:t>Programme de travail et évaluation biennale.</w:t>
      </w:r>
    </w:p>
    <w:p w:rsidR="00A10452" w:rsidRDefault="00A10452" w:rsidP="009F7212">
      <w:pPr>
        <w:pStyle w:val="SingleTxtG"/>
        <w:ind w:left="1701" w:hanging="567"/>
        <w:jc w:val="left"/>
      </w:pPr>
      <w:r>
        <w:t>11.</w:t>
      </w:r>
      <w:r>
        <w:tab/>
        <w:t>Questions diverses.</w:t>
      </w:r>
    </w:p>
    <w:p w:rsidR="00A10452" w:rsidRDefault="00A10452" w:rsidP="009F7212">
      <w:pPr>
        <w:pStyle w:val="SingleTxtG"/>
        <w:ind w:left="1701" w:hanging="567"/>
        <w:jc w:val="left"/>
      </w:pPr>
      <w:r>
        <w:t>12.</w:t>
      </w:r>
      <w:r>
        <w:tab/>
        <w:t>Date de la prochaine session.</w:t>
      </w:r>
    </w:p>
    <w:p w:rsidR="00A10452" w:rsidRDefault="00A10452" w:rsidP="009F7212">
      <w:pPr>
        <w:pStyle w:val="SingleTxtG"/>
        <w:ind w:left="1701" w:hanging="567"/>
        <w:jc w:val="left"/>
      </w:pPr>
      <w:r>
        <w:t>13.</w:t>
      </w:r>
      <w:r>
        <w:tab/>
        <w:t>Élection des membres du Bureau</w:t>
      </w:r>
      <w:r w:rsidR="004C6CDB">
        <w:t>.</w:t>
      </w:r>
    </w:p>
    <w:p w:rsidR="004C6CDB" w:rsidRDefault="004C6CDB" w:rsidP="009F7212">
      <w:pPr>
        <w:pStyle w:val="SingleTxtG"/>
        <w:ind w:left="1701" w:hanging="567"/>
        <w:jc w:val="left"/>
      </w:pPr>
      <w:r>
        <w:t>14.</w:t>
      </w:r>
      <w:r>
        <w:tab/>
        <w:t>Adoption du rapport.</w:t>
      </w:r>
    </w:p>
    <w:p w:rsidR="00A10452" w:rsidRDefault="00A10452" w:rsidP="003C09A9">
      <w:pPr>
        <w:pStyle w:val="HChG"/>
      </w:pPr>
      <w:r>
        <w:br w:type="page"/>
      </w:r>
      <w:r>
        <w:lastRenderedPageBreak/>
        <w:tab/>
        <w:t>II.</w:t>
      </w:r>
      <w:r>
        <w:tab/>
        <w:t>Annotations</w:t>
      </w:r>
    </w:p>
    <w:p w:rsidR="00A10452" w:rsidRDefault="003C09A9" w:rsidP="003C09A9">
      <w:pPr>
        <w:pStyle w:val="H1G"/>
      </w:pPr>
      <w:r>
        <w:tab/>
      </w:r>
      <w:r w:rsidR="00A10452">
        <w:t>1.</w:t>
      </w:r>
      <w:r w:rsidR="00A10452">
        <w:tab/>
        <w:t>Adoption de l</w:t>
      </w:r>
      <w:r w:rsidR="00460D81">
        <w:t>’</w:t>
      </w:r>
      <w:r w:rsidR="00A10452">
        <w:t>ordre du jour</w:t>
      </w:r>
    </w:p>
    <w:p w:rsidR="00A10452" w:rsidRDefault="00A10452" w:rsidP="003C09A9">
      <w:pPr>
        <w:pStyle w:val="SingleTxtG"/>
        <w:ind w:firstLine="567"/>
      </w:pPr>
      <w:r>
        <w:t>Le Groupe de travail des transports routiers (SC.1) sera invité à adopter l</w:t>
      </w:r>
      <w:r w:rsidR="00460D81">
        <w:t>’</w:t>
      </w:r>
      <w:r>
        <w:t xml:space="preserve">ordre du jour de la session. </w:t>
      </w:r>
    </w:p>
    <w:p w:rsidR="00A10452" w:rsidRPr="003C09A9" w:rsidRDefault="003C09A9" w:rsidP="003C09A9">
      <w:pPr>
        <w:pStyle w:val="SingleTxtG"/>
        <w:rPr>
          <w:b/>
        </w:rPr>
      </w:pPr>
      <w:r w:rsidRPr="003C09A9">
        <w:rPr>
          <w:b/>
        </w:rPr>
        <w:t>Document</w:t>
      </w:r>
    </w:p>
    <w:p w:rsidR="00A10452" w:rsidRDefault="003C09A9" w:rsidP="003C09A9">
      <w:pPr>
        <w:pStyle w:val="SingleTxtG"/>
      </w:pPr>
      <w:r>
        <w:t>ECE/TRANS/SC.1/405</w:t>
      </w:r>
    </w:p>
    <w:p w:rsidR="00A10452" w:rsidRDefault="00A10452" w:rsidP="003C09A9">
      <w:pPr>
        <w:pStyle w:val="H1G"/>
      </w:pPr>
      <w:r>
        <w:tab/>
        <w:t>2.</w:t>
      </w:r>
      <w:r>
        <w:tab/>
        <w:t xml:space="preserve">Activités présentant un intérêt pour le Groupe de travail </w:t>
      </w:r>
    </w:p>
    <w:p w:rsidR="00A10452" w:rsidRPr="003C09A9" w:rsidRDefault="00A10452" w:rsidP="003C09A9">
      <w:pPr>
        <w:pStyle w:val="H23G"/>
      </w:pPr>
      <w:r>
        <w:tab/>
        <w:t>a)</w:t>
      </w:r>
      <w:r>
        <w:tab/>
        <w:t>Délégations nationales</w:t>
      </w:r>
    </w:p>
    <w:p w:rsidR="00A10452" w:rsidRDefault="00A10452" w:rsidP="003C09A9">
      <w:pPr>
        <w:pStyle w:val="SingleTxtG"/>
        <w:ind w:firstLine="567"/>
      </w:pPr>
      <w:r>
        <w:t>Les délégations nationales souhaiteront sans doute informer le Groupe de travail des faits nouveaux concernant le transport routier interve</w:t>
      </w:r>
      <w:r w:rsidR="003C09A9">
        <w:t>nus dans leurs pays respectifs.</w:t>
      </w:r>
    </w:p>
    <w:p w:rsidR="00A10452" w:rsidRDefault="00A10452" w:rsidP="003C09A9">
      <w:pPr>
        <w:pStyle w:val="H23G"/>
      </w:pPr>
      <w:r>
        <w:tab/>
        <w:t>b)</w:t>
      </w:r>
      <w:r>
        <w:tab/>
        <w:t>Organisations internationales</w:t>
      </w:r>
    </w:p>
    <w:p w:rsidR="00A10452" w:rsidRDefault="00A10452" w:rsidP="003C09A9">
      <w:pPr>
        <w:pStyle w:val="SingleTxtG"/>
        <w:ind w:firstLine="567"/>
      </w:pPr>
      <w:r>
        <w:t xml:space="preserve">Les représentants des organisations internationales souhaiteront sans doute informer le Groupe de travail des faits nouveaux concernant le transport routier intervenus dans leurs </w:t>
      </w:r>
      <w:r w:rsidR="003C09A9">
        <w:t>domaines d</w:t>
      </w:r>
      <w:r w:rsidR="00460D81">
        <w:t>’</w:t>
      </w:r>
      <w:r w:rsidR="003C09A9">
        <w:t>activité respectifs.</w:t>
      </w:r>
    </w:p>
    <w:p w:rsidR="00A10452" w:rsidRPr="003C09A9" w:rsidRDefault="00A10452" w:rsidP="003C09A9">
      <w:pPr>
        <w:pStyle w:val="H23G"/>
        <w:rPr>
          <w:b w:val="0"/>
        </w:rPr>
      </w:pPr>
      <w:r>
        <w:tab/>
        <w:t>c)</w:t>
      </w:r>
      <w:r>
        <w:tab/>
        <w:t>Activités d</w:t>
      </w:r>
      <w:r w:rsidR="00460D81">
        <w:t>’</w:t>
      </w:r>
      <w:r>
        <w:t>organes de la CEE et d</w:t>
      </w:r>
      <w:r w:rsidR="00460D81">
        <w:t>’</w:t>
      </w:r>
      <w:r>
        <w:t>autres organismes de l</w:t>
      </w:r>
      <w:r w:rsidR="00460D81">
        <w:t>’</w:t>
      </w:r>
      <w:r>
        <w:t>ONU</w:t>
      </w:r>
    </w:p>
    <w:p w:rsidR="00A10452" w:rsidRDefault="00A10452" w:rsidP="003C09A9">
      <w:pPr>
        <w:pStyle w:val="SingleTxtG"/>
        <w:ind w:firstLine="567"/>
      </w:pPr>
      <w:r>
        <w:t>Le Groupe de travail sera informé des résultats des sessions pertinentes du Comité des transports intérieurs, de ses organes subsidiaires et d</w:t>
      </w:r>
      <w:r w:rsidR="00460D81">
        <w:t>’</w:t>
      </w:r>
      <w:r>
        <w:t>autres entités des Nations Unies susceptibles de présenter un intérêt pour lui. En particulier, le secrétariat fera le point des décisions importantes prises par le Comité des transports intérieurs à sa soixante</w:t>
      </w:r>
      <w:r w:rsidR="003C09A9">
        <w:noBreakHyphen/>
      </w:r>
      <w:r>
        <w:t>dix</w:t>
      </w:r>
      <w:r w:rsidR="003C09A9">
        <w:noBreakHyphen/>
      </w:r>
      <w:r>
        <w:t>huitième sessio</w:t>
      </w:r>
      <w:r w:rsidR="003C09A9">
        <w:t>n (Genève, 23-26 février 2016).</w:t>
      </w:r>
    </w:p>
    <w:p w:rsidR="00A10452" w:rsidRPr="003C09A9" w:rsidRDefault="00A10452" w:rsidP="003C09A9">
      <w:pPr>
        <w:pStyle w:val="SingleTxtG"/>
        <w:rPr>
          <w:b/>
        </w:rPr>
      </w:pPr>
      <w:r w:rsidRPr="003C09A9">
        <w:rPr>
          <w:b/>
        </w:rPr>
        <w:t>Document</w:t>
      </w:r>
    </w:p>
    <w:p w:rsidR="00A10452" w:rsidRDefault="003C09A9" w:rsidP="003C09A9">
      <w:pPr>
        <w:pStyle w:val="SingleTxtG"/>
      </w:pPr>
      <w:r>
        <w:t>ECE/TRANS/254</w:t>
      </w:r>
    </w:p>
    <w:p w:rsidR="00A10452" w:rsidRDefault="00A10452" w:rsidP="003C09A9">
      <w:pPr>
        <w:pStyle w:val="H1G"/>
      </w:pPr>
      <w:r>
        <w:tab/>
        <w:t>3.</w:t>
      </w:r>
      <w:r>
        <w:tab/>
        <w:t xml:space="preserve">Accord européen relatif au travail des équipages des véhicules </w:t>
      </w:r>
      <w:r>
        <w:br/>
        <w:t xml:space="preserve">effectuant des transports internationaux par route (AETR) </w:t>
      </w:r>
    </w:p>
    <w:p w:rsidR="00A10452" w:rsidRPr="003C09A9" w:rsidRDefault="003C09A9" w:rsidP="003C09A9">
      <w:pPr>
        <w:pStyle w:val="H23G"/>
      </w:pPr>
      <w:r>
        <w:tab/>
        <w:t>a)</w:t>
      </w:r>
      <w:r>
        <w:tab/>
        <w:t>État de l</w:t>
      </w:r>
      <w:r w:rsidR="00460D81">
        <w:t>’</w:t>
      </w:r>
      <w:r>
        <w:t>Accord</w:t>
      </w:r>
    </w:p>
    <w:p w:rsidR="00A10452" w:rsidRDefault="00A10452" w:rsidP="003C09A9">
      <w:pPr>
        <w:pStyle w:val="SingleTxtG"/>
        <w:ind w:firstLine="567"/>
      </w:pPr>
      <w:r>
        <w:t>Le secrétariat donnera au Groupe de travail des informations sur l</w:t>
      </w:r>
      <w:r w:rsidR="00460D81">
        <w:t>’</w:t>
      </w:r>
      <w:r>
        <w:t>état de l</w:t>
      </w:r>
      <w:r w:rsidR="00460D81">
        <w:t>’</w:t>
      </w:r>
      <w:r>
        <w:t>AETR, notamment sur l</w:t>
      </w:r>
      <w:r w:rsidR="00460D81">
        <w:t>’</w:t>
      </w:r>
      <w:r>
        <w:t>état de la propo</w:t>
      </w:r>
      <w:r w:rsidR="003C09A9">
        <w:t>sition d</w:t>
      </w:r>
      <w:r w:rsidR="00460D81">
        <w:t>’</w:t>
      </w:r>
      <w:r w:rsidR="003C09A9">
        <w:t>amendement à l</w:t>
      </w:r>
      <w:r w:rsidR="00460D81">
        <w:t>’</w:t>
      </w:r>
      <w:r w:rsidR="003C09A9">
        <w:t>article </w:t>
      </w:r>
      <w:r>
        <w:t>14 visant à permettre à quatre États non membres de la CEE (Algérie, Jordanie, Maroc et Tunisie) d</w:t>
      </w:r>
      <w:r w:rsidR="00460D81">
        <w:t>’</w:t>
      </w:r>
      <w:r>
        <w:t xml:space="preserve">adhérer à </w:t>
      </w:r>
      <w:r w:rsidR="003C09A9">
        <w:t>l</w:t>
      </w:r>
      <w:r w:rsidR="00460D81">
        <w:t>’</w:t>
      </w:r>
      <w:r w:rsidR="003C09A9">
        <w:t>AETR.</w:t>
      </w:r>
    </w:p>
    <w:p w:rsidR="00A10452" w:rsidRPr="003C09A9" w:rsidRDefault="003C09A9" w:rsidP="003C09A9">
      <w:pPr>
        <w:pStyle w:val="H23G"/>
      </w:pPr>
      <w:r>
        <w:tab/>
        <w:t>b)</w:t>
      </w:r>
      <w:r>
        <w:tab/>
        <w:t>Groupe d</w:t>
      </w:r>
      <w:r w:rsidR="00460D81">
        <w:t>’</w:t>
      </w:r>
      <w:r>
        <w:t>experts de l</w:t>
      </w:r>
      <w:r w:rsidR="00460D81">
        <w:t>’</w:t>
      </w:r>
      <w:r>
        <w:t>AETR</w:t>
      </w:r>
    </w:p>
    <w:p w:rsidR="00A10452" w:rsidRDefault="00A10452" w:rsidP="003C09A9">
      <w:pPr>
        <w:pStyle w:val="SingleTxtG"/>
        <w:ind w:firstLine="567"/>
      </w:pPr>
      <w:r>
        <w:t>Le Président du Groupe d</w:t>
      </w:r>
      <w:r w:rsidR="00460D81">
        <w:t>’</w:t>
      </w:r>
      <w:r>
        <w:t>experts de l</w:t>
      </w:r>
      <w:r w:rsidR="00460D81">
        <w:t>’</w:t>
      </w:r>
      <w:r>
        <w:t>AETR (ou le secrétariat) fera le point sur les travaux effectués par le Groupe d</w:t>
      </w:r>
      <w:r w:rsidR="00460D81">
        <w:t>’</w:t>
      </w:r>
      <w:r>
        <w:t>experts de l</w:t>
      </w:r>
      <w:r w:rsidR="00460D81">
        <w:t>’</w:t>
      </w:r>
      <w:r>
        <w:t>AETR depuis</w:t>
      </w:r>
      <w:r w:rsidR="003C09A9">
        <w:t xml:space="preserve"> la dernière session du SC.1, y </w:t>
      </w:r>
      <w:r>
        <w:t xml:space="preserve">compris sur la question de savoir si </w:t>
      </w:r>
      <w:r w:rsidR="003C09A9">
        <w:t>les règlements </w:t>
      </w:r>
      <w:r>
        <w:t>165/2014 et 2016/799 peuvent être intégrés à l</w:t>
      </w:r>
      <w:r w:rsidR="00460D81">
        <w:t>’</w:t>
      </w:r>
      <w:r>
        <w:t>AETR via la procédur</w:t>
      </w:r>
      <w:r w:rsidR="003C09A9">
        <w:t>e établie par l</w:t>
      </w:r>
      <w:r w:rsidR="00460D81">
        <w:t>’</w:t>
      </w:r>
      <w:r w:rsidR="003C09A9">
        <w:t>article 22 </w:t>
      </w:r>
      <w:r w:rsidR="003C09A9" w:rsidRPr="003C09A9">
        <w:rPr>
          <w:i/>
        </w:rPr>
        <w:t>bis</w:t>
      </w:r>
      <w:r w:rsidR="003C09A9">
        <w:t>.</w:t>
      </w:r>
    </w:p>
    <w:p w:rsidR="00A10452" w:rsidRDefault="00A10452" w:rsidP="000B289D">
      <w:pPr>
        <w:pStyle w:val="H1G"/>
      </w:pPr>
      <w:r>
        <w:lastRenderedPageBreak/>
        <w:tab/>
        <w:t>4.</w:t>
      </w:r>
      <w:r>
        <w:tab/>
        <w:t xml:space="preserve">Accord européen sur les grandes routes de trafic </w:t>
      </w:r>
      <w:r>
        <w:br/>
        <w:t>international (AGR)</w:t>
      </w:r>
    </w:p>
    <w:p w:rsidR="00A10452" w:rsidRDefault="000B289D" w:rsidP="000B289D">
      <w:pPr>
        <w:pStyle w:val="H23G"/>
      </w:pPr>
      <w:r>
        <w:tab/>
        <w:t>a)</w:t>
      </w:r>
      <w:r>
        <w:tab/>
        <w:t>État de l</w:t>
      </w:r>
      <w:r w:rsidR="00460D81">
        <w:t>’</w:t>
      </w:r>
      <w:r>
        <w:t>Accord</w:t>
      </w:r>
    </w:p>
    <w:p w:rsidR="00A10452" w:rsidRDefault="00A10452" w:rsidP="000B289D">
      <w:pPr>
        <w:pStyle w:val="SingleTxtG"/>
        <w:ind w:firstLine="567"/>
      </w:pPr>
      <w:r>
        <w:t>Le secrétariat donnera au Groupe de travail des in</w:t>
      </w:r>
      <w:r w:rsidR="000B289D">
        <w:t>formations sur l</w:t>
      </w:r>
      <w:r w:rsidR="00460D81">
        <w:t>’</w:t>
      </w:r>
      <w:r w:rsidR="000B289D">
        <w:t>état de l</w:t>
      </w:r>
      <w:r w:rsidR="00460D81">
        <w:t>’</w:t>
      </w:r>
      <w:r w:rsidR="000B289D">
        <w:t>AGR.</w:t>
      </w:r>
    </w:p>
    <w:p w:rsidR="00A10452" w:rsidRPr="000B289D" w:rsidRDefault="000B289D" w:rsidP="000B289D">
      <w:pPr>
        <w:pStyle w:val="H23G"/>
      </w:pPr>
      <w:r>
        <w:tab/>
        <w:t>b)</w:t>
      </w:r>
      <w:r>
        <w:tab/>
        <w:t>Amendements à l</w:t>
      </w:r>
      <w:r w:rsidR="00460D81">
        <w:t>’</w:t>
      </w:r>
      <w:r>
        <w:t>Accord</w:t>
      </w:r>
    </w:p>
    <w:p w:rsidR="00A10452" w:rsidRDefault="00A10452" w:rsidP="000B289D">
      <w:pPr>
        <w:pStyle w:val="SingleTxtG"/>
        <w:ind w:firstLine="567"/>
      </w:pPr>
      <w:r>
        <w:t>Le Groupe de travail sera invité à examiner les propos</w:t>
      </w:r>
      <w:r w:rsidR="000B289D">
        <w:t>itions d</w:t>
      </w:r>
      <w:r w:rsidR="00460D81">
        <w:t>’</w:t>
      </w:r>
      <w:r w:rsidR="000B289D">
        <w:t>amendements à l</w:t>
      </w:r>
      <w:r w:rsidR="00460D81">
        <w:t>’</w:t>
      </w:r>
      <w:r w:rsidR="000B289D">
        <w:t>annexe </w:t>
      </w:r>
      <w:r>
        <w:t>I à l</w:t>
      </w:r>
      <w:r w:rsidR="00460D81">
        <w:t>’</w:t>
      </w:r>
      <w:r>
        <w:t>Accord soumises par la Norvège (ECE/TRANS/SC.1/2016/1) et par la Finlande et la Norvège (ECE/TRANS/SC.1/2016/2).</w:t>
      </w:r>
    </w:p>
    <w:p w:rsidR="00A10452" w:rsidRDefault="00A10452" w:rsidP="004A351F">
      <w:pPr>
        <w:pStyle w:val="H23G"/>
      </w:pPr>
      <w:r>
        <w:tab/>
        <w:t>c)</w:t>
      </w:r>
      <w:r>
        <w:tab/>
        <w:t>Version récapitulative de l</w:t>
      </w:r>
      <w:r w:rsidR="00460D81">
        <w:t>’</w:t>
      </w:r>
      <w:r>
        <w:t>Accord</w:t>
      </w:r>
    </w:p>
    <w:p w:rsidR="00A10452" w:rsidRDefault="00A10452" w:rsidP="004A351F">
      <w:pPr>
        <w:pStyle w:val="SingleTxtG"/>
        <w:ind w:firstLine="567"/>
      </w:pPr>
      <w:r>
        <w:t>À la dernière session, l</w:t>
      </w:r>
      <w:r w:rsidR="00460D81">
        <w:t>’</w:t>
      </w:r>
      <w:r>
        <w:t>Allemagne a demandé au secrétariat d</w:t>
      </w:r>
      <w:r w:rsidR="00460D81">
        <w:t>’</w:t>
      </w:r>
      <w:r>
        <w:t>établir une version récapitulative de l</w:t>
      </w:r>
      <w:r w:rsidR="00460D81">
        <w:t>’</w:t>
      </w:r>
      <w:r>
        <w:t>AGR, incorporant tous les amendements adoptés à ce jour. Le secrétariat soumettra le document ECE/TRANS/SC.1/2006/3 (ai</w:t>
      </w:r>
      <w:r w:rsidR="004A351F">
        <w:t>nsi que le document informel n</w:t>
      </w:r>
      <w:r w:rsidR="004A351F" w:rsidRPr="004A351F">
        <w:rPr>
          <w:vertAlign w:val="superscript"/>
        </w:rPr>
        <w:t>o</w:t>
      </w:r>
      <w:r w:rsidR="004A351F">
        <w:t> </w:t>
      </w:r>
      <w:r>
        <w:t>1</w:t>
      </w:r>
      <w:r w:rsidR="004A351F">
        <w:t>)</w:t>
      </w:r>
      <w:r>
        <w:t xml:space="preserve"> s</w:t>
      </w:r>
      <w:r w:rsidR="00460D81">
        <w:t>’</w:t>
      </w:r>
      <w:r>
        <w:t>y rapportant, qui contient une version récapitulative de l</w:t>
      </w:r>
      <w:r w:rsidR="00460D81">
        <w:t>’</w:t>
      </w:r>
      <w:r>
        <w:t>AGR.</w:t>
      </w:r>
    </w:p>
    <w:p w:rsidR="00A10452" w:rsidRPr="004A351F" w:rsidRDefault="00A10452" w:rsidP="004A351F">
      <w:pPr>
        <w:pStyle w:val="SingleTxtG"/>
        <w:rPr>
          <w:b/>
        </w:rPr>
      </w:pPr>
      <w:r w:rsidRPr="004A351F">
        <w:rPr>
          <w:b/>
        </w:rPr>
        <w:t>Documents</w:t>
      </w:r>
    </w:p>
    <w:p w:rsidR="00A10452" w:rsidRDefault="00A10452" w:rsidP="004A351F">
      <w:pPr>
        <w:pStyle w:val="SingleTxtG"/>
        <w:jc w:val="left"/>
      </w:pPr>
      <w:r>
        <w:t>ECE/TRANS/SC.1/2016/1, ECE/TRANS/SC.1/2016/2, ECE/TRANS/SC</w:t>
      </w:r>
      <w:r w:rsidR="004A351F">
        <w:t>.1/2016/3, Document informel n</w:t>
      </w:r>
      <w:r w:rsidR="004A351F" w:rsidRPr="004A351F">
        <w:rPr>
          <w:vertAlign w:val="superscript"/>
        </w:rPr>
        <w:t>o</w:t>
      </w:r>
      <w:r w:rsidR="004A351F">
        <w:t> </w:t>
      </w:r>
      <w:r>
        <w:t>1</w:t>
      </w:r>
    </w:p>
    <w:p w:rsidR="00A10452" w:rsidRDefault="00A10452" w:rsidP="004A351F">
      <w:pPr>
        <w:pStyle w:val="H1G"/>
      </w:pPr>
      <w:r>
        <w:tab/>
        <w:t>5.</w:t>
      </w:r>
      <w:r>
        <w:tab/>
        <w:t>Projet d</w:t>
      </w:r>
      <w:r w:rsidR="00460D81">
        <w:t>’</w:t>
      </w:r>
      <w:r>
        <w:t>autoroute transeuropéenne Nord-Sud (TEM)</w:t>
      </w:r>
    </w:p>
    <w:p w:rsidR="00A10452" w:rsidRDefault="00A10452" w:rsidP="004A351F">
      <w:pPr>
        <w:pStyle w:val="SingleTxtG"/>
        <w:ind w:firstLine="567"/>
      </w:pPr>
      <w:r>
        <w:t>Le Groupe de travail sera i</w:t>
      </w:r>
      <w:r w:rsidR="004A351F">
        <w:t>nformé de l</w:t>
      </w:r>
      <w:r w:rsidR="00460D81">
        <w:t>’</w:t>
      </w:r>
      <w:r w:rsidR="004A351F">
        <w:t>état du projet TEM.</w:t>
      </w:r>
    </w:p>
    <w:p w:rsidR="00A10452" w:rsidRPr="004A351F" w:rsidRDefault="00A10452" w:rsidP="004A351F">
      <w:pPr>
        <w:pStyle w:val="H1G"/>
      </w:pPr>
      <w:r>
        <w:tab/>
        <w:t>6.</w:t>
      </w:r>
      <w:r>
        <w:tab/>
        <w:t xml:space="preserve">Convention relative au contrat de transport international </w:t>
      </w:r>
      <w:r>
        <w:br/>
        <w:t>de marchandises par route (CMR)</w:t>
      </w:r>
    </w:p>
    <w:p w:rsidR="00A10452" w:rsidRPr="004A351F" w:rsidRDefault="00A10452" w:rsidP="004A351F">
      <w:pPr>
        <w:pStyle w:val="H23G"/>
      </w:pPr>
      <w:r>
        <w:tab/>
        <w:t>a)</w:t>
      </w:r>
      <w:r>
        <w:tab/>
        <w:t>État de la Convention</w:t>
      </w:r>
    </w:p>
    <w:p w:rsidR="00A10452" w:rsidRDefault="00A10452" w:rsidP="004A351F">
      <w:pPr>
        <w:pStyle w:val="SingleTxtG"/>
        <w:ind w:firstLine="567"/>
      </w:pPr>
      <w:r>
        <w:t>Le secrétariat donnera au Groupe de travail des informations sur l</w:t>
      </w:r>
      <w:r w:rsidR="00460D81">
        <w:t>’</w:t>
      </w:r>
      <w:r>
        <w:t>état de la Convention.</w:t>
      </w:r>
    </w:p>
    <w:p w:rsidR="00A10452" w:rsidRPr="004A351F" w:rsidRDefault="00A10452" w:rsidP="004A351F">
      <w:pPr>
        <w:pStyle w:val="H23G"/>
      </w:pPr>
      <w:r>
        <w:tab/>
        <w:t>b)</w:t>
      </w:r>
      <w:r>
        <w:tab/>
        <w:t xml:space="preserve">Protocole à la Convention relative au contrat de transport international </w:t>
      </w:r>
      <w:r>
        <w:br/>
        <w:t>de marchandises par route (CMR)</w:t>
      </w:r>
    </w:p>
    <w:p w:rsidR="00A10452" w:rsidRDefault="00A10452" w:rsidP="004A351F">
      <w:pPr>
        <w:pStyle w:val="SingleTxtG"/>
        <w:ind w:firstLine="567"/>
      </w:pPr>
      <w:r>
        <w:t>Le secrétariat donnera au Groupe de travail des informations sur l</w:t>
      </w:r>
      <w:r w:rsidR="00460D81">
        <w:t>’</w:t>
      </w:r>
      <w:r>
        <w:t>état du Protocole à la Convention.</w:t>
      </w:r>
    </w:p>
    <w:p w:rsidR="00A10452" w:rsidRPr="004A351F" w:rsidRDefault="00A10452" w:rsidP="004A351F">
      <w:pPr>
        <w:pStyle w:val="H23G"/>
      </w:pPr>
      <w:r>
        <w:tab/>
        <w:t>c)</w:t>
      </w:r>
      <w:r>
        <w:tab/>
        <w:t xml:space="preserve">Protocole additionnel à la CMR concernant la lettre </w:t>
      </w:r>
      <w:r>
        <w:br/>
        <w:t>de voiture électronique</w:t>
      </w:r>
    </w:p>
    <w:p w:rsidR="00A10452" w:rsidRDefault="00A10452" w:rsidP="004A351F">
      <w:pPr>
        <w:pStyle w:val="SingleTxtG"/>
        <w:ind w:firstLine="567"/>
      </w:pPr>
      <w:r>
        <w:t>Le secrétariat donnera au Groupe de travail des informations sur l</w:t>
      </w:r>
      <w:r w:rsidR="00460D81">
        <w:t>’</w:t>
      </w:r>
      <w:r>
        <w:t>état du Protoco</w:t>
      </w:r>
      <w:r w:rsidR="004A351F">
        <w:t>le additionnel à la Convention.</w:t>
      </w:r>
    </w:p>
    <w:p w:rsidR="00A10452" w:rsidRDefault="00A10452" w:rsidP="004A351F">
      <w:pPr>
        <w:pStyle w:val="H1G"/>
      </w:pPr>
      <w:r>
        <w:tab/>
        <w:t>7.</w:t>
      </w:r>
      <w:r>
        <w:tab/>
        <w:t>Facilitation du transport routier international</w:t>
      </w:r>
    </w:p>
    <w:p w:rsidR="00A10452" w:rsidRPr="004A351F" w:rsidRDefault="00A10452" w:rsidP="004A351F">
      <w:pPr>
        <w:pStyle w:val="H23G"/>
      </w:pPr>
      <w:r>
        <w:tab/>
        <w:t>a)</w:t>
      </w:r>
      <w:r>
        <w:tab/>
        <w:t>Carte internationale d</w:t>
      </w:r>
      <w:r w:rsidR="00460D81">
        <w:t>’</w:t>
      </w:r>
      <w:r>
        <w:t>assurance automobile (Carte verte)</w:t>
      </w:r>
    </w:p>
    <w:p w:rsidR="00A10452" w:rsidRDefault="00A10452" w:rsidP="004A351F">
      <w:pPr>
        <w:pStyle w:val="SingleTxtG"/>
        <w:ind w:firstLine="567"/>
      </w:pPr>
      <w:r>
        <w:t xml:space="preserve">Le Groupe de travail sera informé par les représentants du Conseil des Bureaux des faits nouveaux intervenus en </w:t>
      </w:r>
      <w:r w:rsidR="004A351F">
        <w:t>ce qui concerne la Carte verte.</w:t>
      </w:r>
    </w:p>
    <w:p w:rsidR="00A10452" w:rsidRDefault="00A10452" w:rsidP="004A351F">
      <w:pPr>
        <w:pStyle w:val="SingleTxtG"/>
        <w:rPr>
          <w:b/>
          <w:bCs/>
        </w:rPr>
      </w:pPr>
      <w:r w:rsidRPr="004A351F">
        <w:rPr>
          <w:b/>
        </w:rPr>
        <w:t>Document</w:t>
      </w:r>
    </w:p>
    <w:p w:rsidR="00A10452" w:rsidRDefault="00AC22FA" w:rsidP="004A351F">
      <w:pPr>
        <w:pStyle w:val="SingleTxtG"/>
        <w:jc w:val="left"/>
      </w:pPr>
      <w:r>
        <w:t>ECE/TRANS/SC.1/2016/4</w:t>
      </w:r>
    </w:p>
    <w:p w:rsidR="00A10452" w:rsidRDefault="00A10452" w:rsidP="004A351F">
      <w:pPr>
        <w:pStyle w:val="H23G"/>
      </w:pPr>
      <w:r>
        <w:tab/>
        <w:t>b)</w:t>
      </w:r>
      <w:r>
        <w:tab/>
        <w:t>Proposition d</w:t>
      </w:r>
      <w:r w:rsidR="00460D81">
        <w:t>’</w:t>
      </w:r>
      <w:r>
        <w:t xml:space="preserve">accord multilatéral mondial sur le transport régulier </w:t>
      </w:r>
      <w:r>
        <w:br/>
        <w:t>international de voyageurs par autobus et autocar (OmniBUS)</w:t>
      </w:r>
    </w:p>
    <w:p w:rsidR="00A10452" w:rsidRDefault="00A10452" w:rsidP="004A351F">
      <w:pPr>
        <w:pStyle w:val="SingleTxtG"/>
        <w:ind w:firstLine="567"/>
      </w:pPr>
      <w:r>
        <w:t>Répondant à l</w:t>
      </w:r>
      <w:r w:rsidR="00460D81">
        <w:t>’</w:t>
      </w:r>
      <w:r>
        <w:t>invitation qui lui a été adressée par le Comité des transports intérieurs à sa soixante-dix-huitième session, le Groupe de travail devra prendre position en ce qui concerne l</w:t>
      </w:r>
      <w:r w:rsidR="00460D81">
        <w:t>’</w:t>
      </w:r>
      <w:r>
        <w:t>établissement de la version définitive de l</w:t>
      </w:r>
      <w:r w:rsidR="00460D81">
        <w:t>’</w:t>
      </w:r>
      <w:r>
        <w:t>accord multilatéral mondial sur le transport régulier international de voyageurs par autobus et autocar (OmniBUS), en se fondant sur l</w:t>
      </w:r>
      <w:r w:rsidR="00460D81">
        <w:t>’</w:t>
      </w:r>
      <w:r>
        <w:t>évolution de l</w:t>
      </w:r>
      <w:r w:rsidR="00460D81">
        <w:t>’</w:t>
      </w:r>
      <w:r>
        <w:t>Accord InterBus et sur le résultat des négociations sur l</w:t>
      </w:r>
      <w:r w:rsidR="00460D81">
        <w:t>’</w:t>
      </w:r>
      <w:r>
        <w:t>Accord InterBus entre l</w:t>
      </w:r>
      <w:r w:rsidR="00460D81">
        <w:t>’</w:t>
      </w:r>
      <w:r>
        <w:t xml:space="preserve">Union européenne et les pays voisins </w:t>
      </w:r>
      <w:r w:rsidRPr="00EB143B">
        <w:t>(ECE/TRANS/254, par</w:t>
      </w:r>
      <w:r w:rsidR="004A351F">
        <w:t>. 88-</w:t>
      </w:r>
      <w:r w:rsidRPr="00EB143B">
        <w:t>90). Les représentants des Pays-Bas, de la Suisse et de la Commission européenne seront invités à communiquer tout renseignement pertinent au Groupe de travail.</w:t>
      </w:r>
    </w:p>
    <w:p w:rsidR="00A10452" w:rsidRDefault="00AC22FA" w:rsidP="004A351F">
      <w:pPr>
        <w:pStyle w:val="SingleTxtG"/>
        <w:rPr>
          <w:b/>
          <w:bCs/>
        </w:rPr>
      </w:pPr>
      <w:r>
        <w:rPr>
          <w:b/>
        </w:rPr>
        <w:t>Document</w:t>
      </w:r>
    </w:p>
    <w:p w:rsidR="00A10452" w:rsidRDefault="00AC22FA" w:rsidP="004A351F">
      <w:pPr>
        <w:pStyle w:val="SingleTxtG"/>
        <w:jc w:val="left"/>
      </w:pPr>
      <w:r>
        <w:t>ECE/TRANS/254</w:t>
      </w:r>
    </w:p>
    <w:p w:rsidR="00A10452" w:rsidRDefault="00A10452" w:rsidP="004A351F">
      <w:pPr>
        <w:pStyle w:val="H23G"/>
      </w:pPr>
      <w:r>
        <w:tab/>
        <w:t>c)</w:t>
      </w:r>
      <w:r>
        <w:tab/>
        <w:t xml:space="preserve">Restrictions quantitatives imposées au transport international </w:t>
      </w:r>
      <w:r>
        <w:br/>
        <w:t xml:space="preserve">routier de marchandises </w:t>
      </w:r>
    </w:p>
    <w:p w:rsidR="00A10452" w:rsidRDefault="00A10452" w:rsidP="004A351F">
      <w:pPr>
        <w:pStyle w:val="SingleTxtG"/>
        <w:ind w:firstLine="567"/>
      </w:pPr>
      <w:r>
        <w:t>Lors de sa dernière session, le groupe de travail a poursuivi ses débats sur l</w:t>
      </w:r>
      <w:r w:rsidR="00460D81">
        <w:t>’</w:t>
      </w:r>
      <w:r>
        <w:t>étude de modélisation réalisée par une université d</w:t>
      </w:r>
      <w:r w:rsidR="00460D81">
        <w:t>’</w:t>
      </w:r>
      <w:r>
        <w:t>Istanbul, selon laquelle la Turquie avait subi de lourdes pertes financières à cause des quotas. Il a invité tous ceux qui le désirent à poursuivre leurs travaux visant à estimer les effets des quotas sur le transport routier ainsi qu</w:t>
      </w:r>
      <w:r w:rsidR="00460D81">
        <w:t>’</w:t>
      </w:r>
      <w:r>
        <w:t>à signaler les effets néfastes des quotas sur le commerce international. Le SC.1 invitera à nouveau la Commission européenne à rendre compte des résultats de l</w:t>
      </w:r>
      <w:r w:rsidR="00460D81">
        <w:t>’</w:t>
      </w:r>
      <w:r>
        <w:t>évaluation de l</w:t>
      </w:r>
      <w:r w:rsidR="00460D81">
        <w:t>’</w:t>
      </w:r>
      <w:r>
        <w:t>impact d</w:t>
      </w:r>
      <w:r w:rsidR="00460D81">
        <w:t>’</w:t>
      </w:r>
      <w:r>
        <w:t>un accord sur le transport routier entre la</w:t>
      </w:r>
      <w:r w:rsidR="004A351F">
        <w:t xml:space="preserve"> Turquie et l</w:t>
      </w:r>
      <w:r w:rsidR="00460D81">
        <w:t>’</w:t>
      </w:r>
      <w:r w:rsidR="004A351F">
        <w:t>Union européenne.</w:t>
      </w:r>
    </w:p>
    <w:p w:rsidR="00A10452" w:rsidRPr="004A351F" w:rsidRDefault="00A10452" w:rsidP="004A351F">
      <w:pPr>
        <w:pStyle w:val="H23G"/>
      </w:pPr>
      <w:r>
        <w:tab/>
        <w:t>d)</w:t>
      </w:r>
      <w:r>
        <w:tab/>
        <w:t>Relations entre l</w:t>
      </w:r>
      <w:r w:rsidR="00460D81">
        <w:t>’</w:t>
      </w:r>
      <w:r>
        <w:t xml:space="preserve">origine des marchandises </w:t>
      </w:r>
      <w:r w:rsidR="004A351F">
        <w:br/>
      </w:r>
      <w:r>
        <w:t xml:space="preserve">et les opérations </w:t>
      </w:r>
      <w:r w:rsidR="004A351F">
        <w:t>de transport</w:t>
      </w:r>
    </w:p>
    <w:p w:rsidR="00A10452" w:rsidRDefault="00A10452" w:rsidP="004A351F">
      <w:pPr>
        <w:pStyle w:val="SingleTxtG"/>
        <w:ind w:firstLine="567"/>
      </w:pPr>
      <w:r>
        <w:t>À sa dernière session, le Groupe de travail a décidé de créer un groupe informel d</w:t>
      </w:r>
      <w:r w:rsidR="00460D81">
        <w:t>’</w:t>
      </w:r>
      <w:r>
        <w:t>experts chargé de réfléchir sur la Résolution d</w:t>
      </w:r>
      <w:r w:rsidR="00460D81">
        <w:t>’</w:t>
      </w:r>
      <w:r>
        <w:t>ensemble révisée sur la facilitation des transports routiers internationaux (RE.4). Les membres du groupe informel d</w:t>
      </w:r>
      <w:r w:rsidR="00460D81">
        <w:t>’</w:t>
      </w:r>
      <w:r>
        <w:t>experts seront invités à rendre compte des dernières avancées. L</w:t>
      </w:r>
      <w:r w:rsidR="00460D81">
        <w:t>’</w:t>
      </w:r>
      <w:r>
        <w:t>Allemagne souhaitera sans doute informer le Groupe de travail des progrès accomplis dans l</w:t>
      </w:r>
      <w:r w:rsidR="00460D81">
        <w:t>’</w:t>
      </w:r>
      <w:r>
        <w:t>élaboration d</w:t>
      </w:r>
      <w:r w:rsidR="00460D81">
        <w:t>’</w:t>
      </w:r>
      <w:r>
        <w:t>un instrument juridique qui permettrait d</w:t>
      </w:r>
      <w:r w:rsidR="00460D81">
        <w:t>’</w:t>
      </w:r>
      <w:r>
        <w:t>adopter une définition des opérations bilatérales de transport dans le contexte de la CMR.</w:t>
      </w:r>
    </w:p>
    <w:p w:rsidR="00A10452" w:rsidRDefault="00A10452" w:rsidP="004A351F">
      <w:pPr>
        <w:pStyle w:val="H1G"/>
      </w:pPr>
      <w:r>
        <w:tab/>
        <w:t>8.</w:t>
      </w:r>
      <w:r>
        <w:tab/>
        <w:t>Groupe d</w:t>
      </w:r>
      <w:r w:rsidR="00460D81">
        <w:t>’</w:t>
      </w:r>
      <w:r>
        <w:t>experts de la sécurité aux passages à niveau</w:t>
      </w:r>
    </w:p>
    <w:p w:rsidR="00A10452" w:rsidRDefault="00A10452" w:rsidP="004A351F">
      <w:pPr>
        <w:pStyle w:val="SingleTxtG"/>
        <w:ind w:firstLine="567"/>
      </w:pPr>
      <w:r>
        <w:t>Le Groupe de travail sera informé des travaux du Groupe d</w:t>
      </w:r>
      <w:r w:rsidR="00460D81">
        <w:t>’</w:t>
      </w:r>
      <w:r>
        <w:t>experts de la sécurité aux passages à niveau.</w:t>
      </w:r>
    </w:p>
    <w:p w:rsidR="00A10452" w:rsidRDefault="00A10452" w:rsidP="004A351F">
      <w:pPr>
        <w:pStyle w:val="H1G"/>
      </w:pPr>
      <w:r>
        <w:tab/>
        <w:t>9.</w:t>
      </w:r>
      <w:r>
        <w:tab/>
        <w:t>Révision du mandat et du règlement intérieur du SC.1</w:t>
      </w:r>
    </w:p>
    <w:p w:rsidR="00A10452" w:rsidRPr="004A351F" w:rsidRDefault="00A10452" w:rsidP="004A351F">
      <w:pPr>
        <w:pStyle w:val="SingleTxtG"/>
        <w:ind w:firstLine="567"/>
      </w:pPr>
      <w:r w:rsidRPr="004A351F">
        <w:t>À sa dernière session, le Groupe de travail a créé un groupe informel constitué de la Belgique et de l</w:t>
      </w:r>
      <w:r w:rsidR="00460D81">
        <w:t>’</w:t>
      </w:r>
      <w:r w:rsidRPr="004A351F">
        <w:t>Allemagne et chargé d</w:t>
      </w:r>
      <w:r w:rsidR="00460D81">
        <w:t>’</w:t>
      </w:r>
      <w:r w:rsidRPr="004A351F">
        <w:t>élaborer une proposition d</w:t>
      </w:r>
      <w:r w:rsidR="00460D81">
        <w:t>’</w:t>
      </w:r>
      <w:r w:rsidRPr="004A351F">
        <w:t>amendement au mandat et au règlement intérieur du SC.1. La proposition devait être établie en apportant les mises à jour voulues à la version existante du mandat et du règlement intérieur. Le Groupe de travail sera invité à examiner les propositions du groupe informel.</w:t>
      </w:r>
    </w:p>
    <w:p w:rsidR="00A10452" w:rsidRDefault="00A10452" w:rsidP="004A351F">
      <w:pPr>
        <w:pStyle w:val="H1G"/>
      </w:pPr>
      <w:r>
        <w:tab/>
        <w:t>10.</w:t>
      </w:r>
      <w:r>
        <w:tab/>
        <w:t>Programme de travail et évaluation biennale</w:t>
      </w:r>
    </w:p>
    <w:p w:rsidR="00A10452" w:rsidRDefault="00A10452" w:rsidP="004A351F">
      <w:pPr>
        <w:pStyle w:val="SingleTxtG"/>
        <w:ind w:firstLine="567"/>
      </w:pPr>
      <w:r>
        <w:t>À sa dernière session, le SC.1 a passé en revue et adopté avec une modification mineure son programme de travail pour 2016-2017</w:t>
      </w:r>
      <w:r w:rsidR="004A351F">
        <w:t xml:space="preserve"> </w:t>
      </w:r>
      <w:r>
        <w:t>(ECE/TRANS/SC.1/2015/4). Il a prié le secrétariat de soumettre la version révisée du ECE/TRANS/SC.1/2015/4 au Comité des transports intérieurs et à soumettre au Groupe de travail le document révisé ECE/TRANS/SC.1/2015/4/Rev.1 pour « approbation officie</w:t>
      </w:r>
      <w:r w:rsidR="00C02BDA">
        <w:t xml:space="preserve">lle » à sa prochaine session. </w:t>
      </w:r>
      <w:r>
        <w:t>Le Groupe de travail sera invité à « approuver officiellement » le document ECE/TRANS/SC.1/2015/4/Rev.1.</w:t>
      </w:r>
    </w:p>
    <w:p w:rsidR="00A10452" w:rsidRDefault="00A10452" w:rsidP="004A351F">
      <w:pPr>
        <w:pStyle w:val="SingleTxtG"/>
        <w:rPr>
          <w:b/>
          <w:bCs/>
        </w:rPr>
      </w:pPr>
      <w:r w:rsidRPr="004A351F">
        <w:rPr>
          <w:b/>
        </w:rPr>
        <w:t>Documents</w:t>
      </w:r>
    </w:p>
    <w:p w:rsidR="00A10452" w:rsidRDefault="00A10452" w:rsidP="004A351F">
      <w:pPr>
        <w:pStyle w:val="SingleTxtG"/>
        <w:jc w:val="left"/>
      </w:pPr>
      <w:r>
        <w:t>ECE/TRANS/SC.1/2015</w:t>
      </w:r>
      <w:r w:rsidR="004F1FCC">
        <w:t>/4, ECE/TRANS/SC.1/2015/4/Rev.1</w:t>
      </w:r>
    </w:p>
    <w:p w:rsidR="00A10452" w:rsidRDefault="00A10452" w:rsidP="004A351F">
      <w:pPr>
        <w:pStyle w:val="H1G"/>
      </w:pPr>
      <w:r>
        <w:tab/>
        <w:t>11.</w:t>
      </w:r>
      <w:r>
        <w:tab/>
        <w:t>Questions diverses</w:t>
      </w:r>
    </w:p>
    <w:p w:rsidR="00A10452" w:rsidRDefault="00A10452" w:rsidP="004A351F">
      <w:pPr>
        <w:pStyle w:val="SingleTxtG"/>
        <w:ind w:firstLine="567"/>
      </w:pPr>
      <w:r>
        <w:t>Le Groupe de travail voudra peut-être examiner d</w:t>
      </w:r>
      <w:r w:rsidR="00460D81">
        <w:t>’</w:t>
      </w:r>
      <w:r>
        <w:t>autres questions au titre de ce point de l</w:t>
      </w:r>
      <w:r w:rsidR="00460D81">
        <w:t>’</w:t>
      </w:r>
      <w:r>
        <w:t>ordre du jour.</w:t>
      </w:r>
    </w:p>
    <w:p w:rsidR="00A10452" w:rsidRPr="004A351F" w:rsidRDefault="00A10452" w:rsidP="004A351F">
      <w:pPr>
        <w:pStyle w:val="H1G"/>
      </w:pPr>
      <w:r>
        <w:tab/>
        <w:t>12.</w:t>
      </w:r>
      <w:r>
        <w:tab/>
        <w:t>Date de la prochaine session</w:t>
      </w:r>
    </w:p>
    <w:p w:rsidR="00A10452" w:rsidRDefault="00A10452" w:rsidP="004A351F">
      <w:pPr>
        <w:pStyle w:val="SingleTxtG"/>
        <w:ind w:firstLine="567"/>
      </w:pPr>
      <w:r>
        <w:t>Le Groupe de travail sera informé par le secrétariat que sa prochain</w:t>
      </w:r>
      <w:r w:rsidRPr="004A351F">
        <w:t>e</w:t>
      </w:r>
      <w:r w:rsidR="004A351F">
        <w:t xml:space="preserve"> </w:t>
      </w:r>
      <w:r>
        <w:t xml:space="preserve">session se tiendra du 16 au 18 octobre 2017. </w:t>
      </w:r>
    </w:p>
    <w:p w:rsidR="00A10452" w:rsidRDefault="00A10452" w:rsidP="004A351F">
      <w:pPr>
        <w:pStyle w:val="H1G"/>
      </w:pPr>
      <w:r>
        <w:tab/>
        <w:t>13.</w:t>
      </w:r>
      <w:r>
        <w:tab/>
        <w:t>Élection des membres du bureau</w:t>
      </w:r>
    </w:p>
    <w:p w:rsidR="00A10452" w:rsidRDefault="00A10452" w:rsidP="004A351F">
      <w:pPr>
        <w:pStyle w:val="SingleTxtG"/>
        <w:ind w:firstLine="567"/>
      </w:pPr>
      <w:r>
        <w:t>Le Groupe de travail sera invité à élire son bureau pour la période allant de novembre 2016 à octobre 2018. Le mandat et règlement intéri</w:t>
      </w:r>
      <w:r w:rsidR="004A351F">
        <w:t>eur du Groupe de travail (chap. V, art. </w:t>
      </w:r>
      <w:r>
        <w:t>12, ECE/TRAN</w:t>
      </w:r>
      <w:r w:rsidR="004A351F">
        <w:t>S/SC.1/396/Add.1) prévoit que « </w:t>
      </w:r>
      <w:r>
        <w:t>le SC.1 élit, tous les deux ans, à la fin de la dernière réunion de la deuxième année, un président et deux vice</w:t>
      </w:r>
      <w:r w:rsidR="004A351F">
        <w:noBreakHyphen/>
      </w:r>
      <w:r>
        <w:t>présidents, choisis parmi les représentants des membres de la CEE. Ils entrent en fonctions au début de la première réunion de l</w:t>
      </w:r>
      <w:r w:rsidR="00460D81">
        <w:t>’</w:t>
      </w:r>
      <w:r>
        <w:t>année suivant l</w:t>
      </w:r>
      <w:r w:rsidR="00460D81">
        <w:t>’</w:t>
      </w:r>
      <w:r>
        <w:t>élection. Les membr</w:t>
      </w:r>
      <w:r w:rsidR="004A351F">
        <w:t>es du Bureau sont rééligibles ».</w:t>
      </w:r>
      <w:r>
        <w:t xml:space="preserve"> Le Bureau </w:t>
      </w:r>
      <w:r w:rsidR="004A351F">
        <w:t>actuel du SC.1 se compose de M. R. </w:t>
      </w:r>
      <w:r>
        <w:t>Symonenko (Uk</w:t>
      </w:r>
      <w:r w:rsidR="004A351F">
        <w:t>raine) (Président) et de M</w:t>
      </w:r>
      <w:r w:rsidR="004A351F" w:rsidRPr="004A351F">
        <w:rPr>
          <w:vertAlign w:val="superscript"/>
        </w:rPr>
        <w:t>me</w:t>
      </w:r>
      <w:r w:rsidR="004A351F">
        <w:t> N. </w:t>
      </w:r>
      <w:r>
        <w:t>Tufekciog</w:t>
      </w:r>
      <w:r w:rsidR="004A351F">
        <w:t>lu (Turquie) (Vice-Présidente).</w:t>
      </w:r>
    </w:p>
    <w:p w:rsidR="00A10452" w:rsidRDefault="00A10452" w:rsidP="004A351F">
      <w:pPr>
        <w:pStyle w:val="SingleTxtG"/>
      </w:pPr>
      <w:r w:rsidRPr="004A351F">
        <w:rPr>
          <w:b/>
        </w:rPr>
        <w:t>Document</w:t>
      </w:r>
    </w:p>
    <w:p w:rsidR="00A10452" w:rsidRDefault="00A10452" w:rsidP="004A351F">
      <w:pPr>
        <w:pStyle w:val="SingleTxtG"/>
        <w:jc w:val="left"/>
        <w:rPr>
          <w:b/>
          <w:bCs/>
        </w:rPr>
      </w:pPr>
      <w:r>
        <w:t>ECE/TRANS/SC.1/396/Add.1</w:t>
      </w:r>
    </w:p>
    <w:p w:rsidR="00A10452" w:rsidRDefault="004A351F" w:rsidP="004A351F">
      <w:pPr>
        <w:pStyle w:val="H1G"/>
        <w:rPr>
          <w:b w:val="0"/>
          <w:bCs/>
        </w:rPr>
      </w:pPr>
      <w:r>
        <w:tab/>
      </w:r>
      <w:r w:rsidR="00A10452">
        <w:t>14.</w:t>
      </w:r>
      <w:r w:rsidR="00A10452">
        <w:tab/>
        <w:t>Adoption du rapport</w:t>
      </w:r>
    </w:p>
    <w:p w:rsidR="00A10452" w:rsidRDefault="00A10452" w:rsidP="004A351F">
      <w:pPr>
        <w:pStyle w:val="SingleTxtG"/>
        <w:ind w:firstLine="567"/>
      </w:pPr>
      <w:bookmarkStart w:id="1" w:name="insstart"/>
      <w:r>
        <w:t>Le Groupe de travail adoptera le rapport de sa 111</w:t>
      </w:r>
      <w:r>
        <w:rPr>
          <w:vertAlign w:val="superscript"/>
        </w:rPr>
        <w:t>e</w:t>
      </w:r>
      <w:r>
        <w:t> session.</w:t>
      </w:r>
      <w:bookmarkEnd w:id="1"/>
    </w:p>
    <w:p w:rsidR="004A351F" w:rsidRPr="004A351F" w:rsidRDefault="004A351F" w:rsidP="004A351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351F" w:rsidRPr="004A351F" w:rsidSect="00A1045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FD" w:rsidRDefault="00F742FD" w:rsidP="00F95C08">
      <w:pPr>
        <w:spacing w:line="240" w:lineRule="auto"/>
      </w:pPr>
    </w:p>
  </w:endnote>
  <w:endnote w:type="continuationSeparator" w:id="0">
    <w:p w:rsidR="00F742FD" w:rsidRPr="00AC3823" w:rsidRDefault="00F742FD" w:rsidP="00AC3823">
      <w:pPr>
        <w:pStyle w:val="Footer"/>
      </w:pPr>
    </w:p>
  </w:endnote>
  <w:endnote w:type="continuationNotice" w:id="1">
    <w:p w:rsidR="00F742FD" w:rsidRDefault="00F742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52" w:rsidRPr="00A10452" w:rsidRDefault="00A10452" w:rsidP="00A10452">
    <w:pPr>
      <w:pStyle w:val="Footer"/>
      <w:tabs>
        <w:tab w:val="right" w:pos="9638"/>
      </w:tabs>
    </w:pPr>
    <w:r w:rsidRPr="00A10452">
      <w:rPr>
        <w:b/>
        <w:sz w:val="18"/>
      </w:rPr>
      <w:fldChar w:fldCharType="begin"/>
    </w:r>
    <w:r w:rsidRPr="00A10452">
      <w:rPr>
        <w:b/>
        <w:sz w:val="18"/>
      </w:rPr>
      <w:instrText xml:space="preserve"> PAGE  \* MERGEFORMAT </w:instrText>
    </w:r>
    <w:r w:rsidRPr="00A10452">
      <w:rPr>
        <w:b/>
        <w:sz w:val="18"/>
      </w:rPr>
      <w:fldChar w:fldCharType="separate"/>
    </w:r>
    <w:r w:rsidR="00F35B24">
      <w:rPr>
        <w:b/>
        <w:noProof/>
        <w:sz w:val="18"/>
      </w:rPr>
      <w:t>2</w:t>
    </w:r>
    <w:r w:rsidRPr="00A10452">
      <w:rPr>
        <w:b/>
        <w:sz w:val="18"/>
      </w:rPr>
      <w:fldChar w:fldCharType="end"/>
    </w:r>
    <w:r>
      <w:rPr>
        <w:b/>
        <w:sz w:val="18"/>
      </w:rPr>
      <w:tab/>
    </w:r>
    <w:r>
      <w:t>GE.16-13594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52" w:rsidRPr="00A10452" w:rsidRDefault="00A10452" w:rsidP="00A10452">
    <w:pPr>
      <w:pStyle w:val="Footer"/>
      <w:tabs>
        <w:tab w:val="right" w:pos="9638"/>
      </w:tabs>
      <w:rPr>
        <w:b/>
        <w:sz w:val="18"/>
      </w:rPr>
    </w:pPr>
    <w:r>
      <w:t>GE.16-13594</w:t>
    </w:r>
    <w:r>
      <w:tab/>
    </w:r>
    <w:r w:rsidRPr="00A10452">
      <w:rPr>
        <w:b/>
        <w:sz w:val="18"/>
      </w:rPr>
      <w:fldChar w:fldCharType="begin"/>
    </w:r>
    <w:r w:rsidRPr="00A10452">
      <w:rPr>
        <w:b/>
        <w:sz w:val="18"/>
      </w:rPr>
      <w:instrText xml:space="preserve"> PAGE  \* MERGEFORMAT </w:instrText>
    </w:r>
    <w:r w:rsidRPr="00A10452">
      <w:rPr>
        <w:b/>
        <w:sz w:val="18"/>
      </w:rPr>
      <w:fldChar w:fldCharType="separate"/>
    </w:r>
    <w:r w:rsidR="00F35B24">
      <w:rPr>
        <w:b/>
        <w:noProof/>
        <w:sz w:val="18"/>
      </w:rPr>
      <w:t>5</w:t>
    </w:r>
    <w:r w:rsidRPr="00A104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A10452" w:rsidRDefault="00A10452" w:rsidP="00A1045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1E8704C" wp14:editId="1D28C27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16-13594  (F)</w:t>
    </w:r>
    <w:r w:rsidR="000A6F15">
      <w:rPr>
        <w:sz w:val="20"/>
      </w:rPr>
      <w:t xml:space="preserve">    180816    190816</w:t>
    </w:r>
    <w:r>
      <w:rPr>
        <w:sz w:val="20"/>
      </w:rPr>
      <w:br/>
    </w:r>
    <w:r w:rsidRPr="00A10452">
      <w:rPr>
        <w:rFonts w:ascii="C39T30Lfz" w:hAnsi="C39T30Lfz"/>
        <w:sz w:val="56"/>
      </w:rPr>
      <w:t></w:t>
    </w:r>
    <w:r w:rsidRPr="00A10452">
      <w:rPr>
        <w:rFonts w:ascii="C39T30Lfz" w:hAnsi="C39T30Lfz"/>
        <w:sz w:val="56"/>
      </w:rPr>
      <w:t></w:t>
    </w:r>
    <w:r w:rsidRPr="00A10452">
      <w:rPr>
        <w:rFonts w:ascii="C39T30Lfz" w:hAnsi="C39T30Lfz"/>
        <w:sz w:val="56"/>
      </w:rPr>
      <w:t></w:t>
    </w:r>
    <w:r w:rsidRPr="00A10452">
      <w:rPr>
        <w:rFonts w:ascii="C39T30Lfz" w:hAnsi="C39T30Lfz"/>
        <w:sz w:val="56"/>
      </w:rPr>
      <w:t></w:t>
    </w:r>
    <w:r w:rsidRPr="00A10452">
      <w:rPr>
        <w:rFonts w:ascii="C39T30Lfz" w:hAnsi="C39T30Lfz"/>
        <w:sz w:val="56"/>
      </w:rPr>
      <w:t></w:t>
    </w:r>
    <w:r w:rsidRPr="00A10452">
      <w:rPr>
        <w:rFonts w:ascii="C39T30Lfz" w:hAnsi="C39T30Lfz"/>
        <w:sz w:val="56"/>
      </w:rPr>
      <w:t></w:t>
    </w:r>
    <w:r w:rsidRPr="00A10452">
      <w:rPr>
        <w:rFonts w:ascii="C39T30Lfz" w:hAnsi="C39T30Lfz"/>
        <w:sz w:val="56"/>
      </w:rPr>
      <w:t></w:t>
    </w:r>
    <w:r w:rsidRPr="00A10452">
      <w:rPr>
        <w:rFonts w:ascii="C39T30Lfz" w:hAnsi="C39T30Lfz"/>
        <w:sz w:val="56"/>
      </w:rPr>
      <w:t></w:t>
    </w:r>
    <w:r w:rsidRPr="00A1045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SC.1/40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SC.1/40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FD" w:rsidRPr="00AC3823" w:rsidRDefault="00F742F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42FD" w:rsidRPr="00AC3823" w:rsidRDefault="00F742F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742FD" w:rsidRPr="00AC3823" w:rsidRDefault="00F742FD">
      <w:pPr>
        <w:spacing w:line="240" w:lineRule="auto"/>
        <w:rPr>
          <w:sz w:val="2"/>
          <w:szCs w:val="2"/>
        </w:rPr>
      </w:pPr>
    </w:p>
  </w:footnote>
  <w:footnote w:id="2">
    <w:p w:rsidR="007D64C1" w:rsidRDefault="007D64C1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Dans un souci d’économie, il est demandé aux délégations de bien vouloir venir à la réunion munies de leurs exemplaires des documents, ceux-ci n’étant plus distribués en salle. Avant la session, les documents peuvent être téléchargés à partir du site Web de la Division des transports de la CEE (www.unece.org/trans/main/welcwp1.html). À titre exceptionnel, des documents peuvent également être obtenus par courrier électronique (roadtransport@unece.org) ou par télécopie (+41 22 917 0039). Pendant la session, les documents officiels peuvent être obtenus auprès de la Section de la distribution des documents de l’ONUG (salle C.337, 3</w:t>
      </w:r>
      <w:r>
        <w:rPr>
          <w:vertAlign w:val="superscript"/>
        </w:rPr>
        <w:t>e</w:t>
      </w:r>
      <w:r w:rsidR="00B92DB0">
        <w:t> </w:t>
      </w:r>
      <w:r>
        <w:t>étage, Palais des Nations).</w:t>
      </w:r>
    </w:p>
  </w:footnote>
  <w:footnote w:id="3">
    <w:p w:rsidR="007D64C1" w:rsidRDefault="007D64C1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Les représentants sont priés de remplir le formulaire d’inscription disponible sur le site Web de la Division des transports de la CEE (www.unece.org/trans/registfr.html) et de le renvoyer au secrétariat de la CEE par courrier électronique (roadtransport@unece.org) ou par télécopie (+41 22 917 0039), une semaine au plus tard avant la session. À leur arrivée au Palais des Nations, ils doivent demander un badge auprès de la Section de la sécurité et de la sûreté, située à l’entrée Portail de Prégny (14, avenue de la Paix). En cas de difficulté, ils sont invités à contacter le secrétariat par téléphone (poste 75716 ou 72401). Pour obtenir le plan du Palais des Nations et d’autres renseignements utiles, co</w:t>
      </w:r>
      <w:r w:rsidR="00B92DB0">
        <w:t xml:space="preserve">nsulter la page Web suivante : </w:t>
      </w:r>
      <w:r>
        <w:t>www.u</w:t>
      </w:r>
      <w:r w:rsidR="00B92DB0">
        <w:t>nece.org/meetings/practical.htm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52" w:rsidRPr="00A10452" w:rsidRDefault="00A10452">
    <w:pPr>
      <w:pStyle w:val="Header"/>
    </w:pPr>
    <w:r>
      <w:t>ECE/TRANS/SC.1/405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52" w:rsidRPr="00A10452" w:rsidRDefault="00A10452" w:rsidP="00A10452">
    <w:pPr>
      <w:pStyle w:val="Header"/>
      <w:jc w:val="right"/>
    </w:pPr>
    <w:r>
      <w:t>ECE/TRANS/SC.1/405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FD"/>
    <w:rsid w:val="00017F94"/>
    <w:rsid w:val="00023842"/>
    <w:rsid w:val="000334F9"/>
    <w:rsid w:val="0007796D"/>
    <w:rsid w:val="000A6F15"/>
    <w:rsid w:val="000B289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C09A9"/>
    <w:rsid w:val="00441C3B"/>
    <w:rsid w:val="00446FE5"/>
    <w:rsid w:val="00452396"/>
    <w:rsid w:val="00460D81"/>
    <w:rsid w:val="004837D8"/>
    <w:rsid w:val="004A351F"/>
    <w:rsid w:val="004C6CDB"/>
    <w:rsid w:val="004E468C"/>
    <w:rsid w:val="004F1FCC"/>
    <w:rsid w:val="005505B7"/>
    <w:rsid w:val="00573BE5"/>
    <w:rsid w:val="00586ED3"/>
    <w:rsid w:val="00596AA9"/>
    <w:rsid w:val="0071601D"/>
    <w:rsid w:val="007A62E6"/>
    <w:rsid w:val="007D64C1"/>
    <w:rsid w:val="007F20FA"/>
    <w:rsid w:val="0080684C"/>
    <w:rsid w:val="008270F0"/>
    <w:rsid w:val="00871C75"/>
    <w:rsid w:val="008776DC"/>
    <w:rsid w:val="008D72AB"/>
    <w:rsid w:val="009705C8"/>
    <w:rsid w:val="009C1CF4"/>
    <w:rsid w:val="009F6B74"/>
    <w:rsid w:val="009F7212"/>
    <w:rsid w:val="00A10452"/>
    <w:rsid w:val="00A30353"/>
    <w:rsid w:val="00AC22FA"/>
    <w:rsid w:val="00AC3823"/>
    <w:rsid w:val="00AE323C"/>
    <w:rsid w:val="00AF0CB5"/>
    <w:rsid w:val="00B00181"/>
    <w:rsid w:val="00B00B0D"/>
    <w:rsid w:val="00B765F7"/>
    <w:rsid w:val="00B92DB0"/>
    <w:rsid w:val="00BA0CA9"/>
    <w:rsid w:val="00C02897"/>
    <w:rsid w:val="00C02BDA"/>
    <w:rsid w:val="00D3439C"/>
    <w:rsid w:val="00DB1831"/>
    <w:rsid w:val="00DD3BFD"/>
    <w:rsid w:val="00DF6678"/>
    <w:rsid w:val="00E5601A"/>
    <w:rsid w:val="00E85C74"/>
    <w:rsid w:val="00EA6547"/>
    <w:rsid w:val="00EF2E22"/>
    <w:rsid w:val="00F35B24"/>
    <w:rsid w:val="00F35BAF"/>
    <w:rsid w:val="00F660DF"/>
    <w:rsid w:val="00F742FD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ECE/TRANS/SC.1/405</vt:lpstr>
      <vt:lpstr>ECE/TRANS/SC.1/405</vt:lpstr>
    </vt:vector>
  </TitlesOfParts>
  <Company>DCM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ECE/TRANS/SC.1/405</dc:title>
  <dc:subject>Final</dc:subject>
  <dc:creator>Julien Okrzesik</dc:creator>
  <cp:lastModifiedBy>Josephine Ayiku</cp:lastModifiedBy>
  <cp:revision>2</cp:revision>
  <cp:lastPrinted>2014-05-14T10:59:00Z</cp:lastPrinted>
  <dcterms:created xsi:type="dcterms:W3CDTF">2016-10-05T16:32:00Z</dcterms:created>
  <dcterms:modified xsi:type="dcterms:W3CDTF">2016-10-05T16:32:00Z</dcterms:modified>
</cp:coreProperties>
</file>