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1C35E3" w:rsidTr="009E6CB7">
        <w:trPr>
          <w:cantSplit/>
          <w:trHeight w:hRule="exact" w:val="851"/>
        </w:trPr>
        <w:tc>
          <w:tcPr>
            <w:tcW w:w="1276" w:type="dxa"/>
            <w:tcBorders>
              <w:bottom w:val="single" w:sz="4" w:space="0" w:color="auto"/>
            </w:tcBorders>
            <w:vAlign w:val="bottom"/>
          </w:tcPr>
          <w:p w:rsidR="009E6CB7" w:rsidRPr="001C35E3" w:rsidRDefault="009E6CB7" w:rsidP="009E6CB7">
            <w:pPr>
              <w:spacing w:after="80"/>
            </w:pPr>
          </w:p>
        </w:tc>
        <w:tc>
          <w:tcPr>
            <w:tcW w:w="2268" w:type="dxa"/>
            <w:tcBorders>
              <w:bottom w:val="single" w:sz="4" w:space="0" w:color="auto"/>
            </w:tcBorders>
            <w:vAlign w:val="bottom"/>
          </w:tcPr>
          <w:p w:rsidR="009E6CB7" w:rsidRPr="001C35E3" w:rsidRDefault="009E6CB7" w:rsidP="009E6CB7">
            <w:pPr>
              <w:spacing w:after="80" w:line="300" w:lineRule="exact"/>
              <w:rPr>
                <w:b/>
                <w:sz w:val="24"/>
                <w:szCs w:val="24"/>
              </w:rPr>
            </w:pPr>
            <w:r w:rsidRPr="001C35E3">
              <w:rPr>
                <w:sz w:val="28"/>
                <w:szCs w:val="28"/>
              </w:rPr>
              <w:t>United Nations</w:t>
            </w:r>
          </w:p>
        </w:tc>
        <w:tc>
          <w:tcPr>
            <w:tcW w:w="6095" w:type="dxa"/>
            <w:gridSpan w:val="2"/>
            <w:tcBorders>
              <w:bottom w:val="single" w:sz="4" w:space="0" w:color="auto"/>
            </w:tcBorders>
            <w:vAlign w:val="bottom"/>
          </w:tcPr>
          <w:p w:rsidR="009E6CB7" w:rsidRPr="001C35E3" w:rsidRDefault="003A5F98" w:rsidP="009A431C">
            <w:pPr>
              <w:jc w:val="right"/>
            </w:pPr>
            <w:r w:rsidRPr="001C35E3">
              <w:rPr>
                <w:sz w:val="40"/>
              </w:rPr>
              <w:t>ECE</w:t>
            </w:r>
            <w:r w:rsidRPr="001C35E3">
              <w:t>/TRANS/2016/</w:t>
            </w:r>
            <w:r w:rsidR="007255BE" w:rsidRPr="001C35E3">
              <w:t>6</w:t>
            </w:r>
          </w:p>
        </w:tc>
      </w:tr>
      <w:tr w:rsidR="009E6CB7" w:rsidRPr="001C35E3" w:rsidTr="009E6CB7">
        <w:trPr>
          <w:cantSplit/>
          <w:trHeight w:hRule="exact" w:val="2835"/>
        </w:trPr>
        <w:tc>
          <w:tcPr>
            <w:tcW w:w="1276" w:type="dxa"/>
            <w:tcBorders>
              <w:top w:val="single" w:sz="4" w:space="0" w:color="auto"/>
              <w:bottom w:val="single" w:sz="12" w:space="0" w:color="auto"/>
            </w:tcBorders>
          </w:tcPr>
          <w:p w:rsidR="009E6CB7" w:rsidRPr="001C35E3" w:rsidRDefault="00BC7F91" w:rsidP="009E6CB7">
            <w:pPr>
              <w:spacing w:before="120"/>
            </w:pPr>
            <w:r w:rsidRPr="001C35E3">
              <w:rPr>
                <w:noProof/>
                <w:lang w:val="en-US"/>
              </w:rPr>
              <w:drawing>
                <wp:inline distT="0" distB="0" distL="0" distR="0" wp14:anchorId="19DDA69F" wp14:editId="674DD17D">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9E6CB7" w:rsidRPr="001C35E3" w:rsidRDefault="009E6CB7" w:rsidP="009E6CB7">
            <w:pPr>
              <w:spacing w:before="120" w:line="420" w:lineRule="exact"/>
              <w:rPr>
                <w:sz w:val="40"/>
                <w:szCs w:val="40"/>
              </w:rPr>
            </w:pPr>
            <w:r w:rsidRPr="001C35E3">
              <w:rPr>
                <w:b/>
                <w:sz w:val="40"/>
                <w:szCs w:val="40"/>
              </w:rPr>
              <w:t>Economic and Social Council</w:t>
            </w:r>
          </w:p>
        </w:tc>
        <w:tc>
          <w:tcPr>
            <w:tcW w:w="2835" w:type="dxa"/>
            <w:tcBorders>
              <w:top w:val="single" w:sz="4" w:space="0" w:color="auto"/>
              <w:bottom w:val="single" w:sz="12" w:space="0" w:color="auto"/>
            </w:tcBorders>
          </w:tcPr>
          <w:p w:rsidR="009E6CB7" w:rsidRPr="001C35E3" w:rsidRDefault="003A5F98" w:rsidP="003A5F98">
            <w:pPr>
              <w:spacing w:before="240" w:line="240" w:lineRule="exact"/>
            </w:pPr>
            <w:r w:rsidRPr="001C35E3">
              <w:t>Distr.: General</w:t>
            </w:r>
          </w:p>
          <w:p w:rsidR="003A5F98" w:rsidRPr="001C35E3" w:rsidRDefault="008936BA" w:rsidP="003A5F98">
            <w:pPr>
              <w:spacing w:line="240" w:lineRule="exact"/>
            </w:pPr>
            <w:r>
              <w:t>14</w:t>
            </w:r>
            <w:bookmarkStart w:id="0" w:name="_GoBack"/>
            <w:bookmarkEnd w:id="0"/>
            <w:r w:rsidR="003A5F98" w:rsidRPr="001C35E3">
              <w:t xml:space="preserve"> December 2015</w:t>
            </w:r>
          </w:p>
          <w:p w:rsidR="003A5F98" w:rsidRPr="001C35E3" w:rsidRDefault="003A5F98" w:rsidP="003A5F98">
            <w:pPr>
              <w:spacing w:line="240" w:lineRule="exact"/>
            </w:pPr>
          </w:p>
          <w:p w:rsidR="003A5F98" w:rsidRPr="001C35E3" w:rsidRDefault="003A5F98" w:rsidP="003A5F98">
            <w:pPr>
              <w:spacing w:line="240" w:lineRule="exact"/>
            </w:pPr>
            <w:r w:rsidRPr="001C35E3">
              <w:t>Original: English</w:t>
            </w:r>
          </w:p>
        </w:tc>
      </w:tr>
    </w:tbl>
    <w:p w:rsidR="003A5F98" w:rsidRPr="001C35E3" w:rsidRDefault="003A5F98" w:rsidP="003A5F98">
      <w:pPr>
        <w:spacing w:before="120"/>
        <w:rPr>
          <w:b/>
          <w:bCs/>
          <w:sz w:val="28"/>
          <w:szCs w:val="28"/>
        </w:rPr>
      </w:pPr>
      <w:r w:rsidRPr="001C35E3">
        <w:rPr>
          <w:b/>
          <w:bCs/>
          <w:sz w:val="28"/>
          <w:szCs w:val="28"/>
        </w:rPr>
        <w:t>Economic Commission for Europe</w:t>
      </w:r>
    </w:p>
    <w:p w:rsidR="003A5F98" w:rsidRPr="001C35E3" w:rsidRDefault="003A5F98" w:rsidP="003A5F98">
      <w:pPr>
        <w:spacing w:before="120"/>
        <w:rPr>
          <w:sz w:val="28"/>
          <w:szCs w:val="28"/>
        </w:rPr>
      </w:pPr>
      <w:r w:rsidRPr="001C35E3">
        <w:rPr>
          <w:sz w:val="28"/>
          <w:szCs w:val="28"/>
        </w:rPr>
        <w:t>Inland Transport Committee</w:t>
      </w:r>
    </w:p>
    <w:p w:rsidR="003A5F98" w:rsidRPr="001C35E3" w:rsidRDefault="003A5F98" w:rsidP="003A5F98">
      <w:pPr>
        <w:spacing w:before="120"/>
        <w:rPr>
          <w:b/>
          <w:bCs/>
        </w:rPr>
      </w:pPr>
      <w:r w:rsidRPr="001C35E3">
        <w:rPr>
          <w:b/>
          <w:bCs/>
        </w:rPr>
        <w:t>Seventy-eighth session</w:t>
      </w:r>
    </w:p>
    <w:p w:rsidR="003A5F98" w:rsidRPr="001C35E3" w:rsidRDefault="003A5F98" w:rsidP="003A5F98">
      <w:pPr>
        <w:rPr>
          <w:b/>
          <w:bCs/>
        </w:rPr>
      </w:pPr>
      <w:r w:rsidRPr="001C35E3">
        <w:t>Geneva</w:t>
      </w:r>
      <w:r w:rsidR="00CD49C5" w:rsidRPr="001C35E3">
        <w:t>, 23–26 February 2016</w:t>
      </w:r>
      <w:r w:rsidR="00CD49C5" w:rsidRPr="001C35E3">
        <w:br/>
        <w:t xml:space="preserve">Item 4 (d) (i) </w:t>
      </w:r>
      <w:r w:rsidRPr="001C35E3">
        <w:t>of the provisional agenda</w:t>
      </w:r>
      <w:r w:rsidRPr="001C35E3">
        <w:br/>
      </w:r>
      <w:r w:rsidR="00CD49C5" w:rsidRPr="001C35E3">
        <w:rPr>
          <w:b/>
          <w:bCs/>
        </w:rPr>
        <w:t xml:space="preserve">Strategic questions of a horizontal policy nature: </w:t>
      </w:r>
      <w:r w:rsidR="00CD49C5" w:rsidRPr="001C35E3">
        <w:rPr>
          <w:b/>
          <w:bCs/>
        </w:rPr>
        <w:br/>
        <w:t xml:space="preserve">Environment, climate change and transport – </w:t>
      </w:r>
      <w:r w:rsidR="00CD49C5" w:rsidRPr="001C35E3">
        <w:rPr>
          <w:b/>
          <w:bCs/>
        </w:rPr>
        <w:br/>
        <w:t>ITC follow-up to Rio+20 and the 2030 Development Agenda</w:t>
      </w:r>
    </w:p>
    <w:p w:rsidR="00CD49C5" w:rsidRPr="001C35E3" w:rsidRDefault="00CD49C5" w:rsidP="00CD49C5">
      <w:pPr>
        <w:pStyle w:val="HChG"/>
      </w:pPr>
      <w:r w:rsidRPr="001C35E3">
        <w:tab/>
      </w:r>
      <w:r w:rsidRPr="001C35E3">
        <w:tab/>
        <w:t>Sustainable Transport in the 2030 Agenda and the Sustainable Development Goals</w:t>
      </w:r>
    </w:p>
    <w:p w:rsidR="00CD49C5" w:rsidRPr="001C35E3" w:rsidRDefault="00CD49C5" w:rsidP="00CD49C5">
      <w:pPr>
        <w:pStyle w:val="H1G"/>
      </w:pPr>
      <w:r w:rsidRPr="001C35E3">
        <w:tab/>
      </w:r>
      <w:r w:rsidRPr="001C35E3">
        <w:tab/>
        <w:t>Note by the secretariat</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5E0" w:firstRow="1" w:lastRow="1" w:firstColumn="1" w:lastColumn="1" w:noHBand="0" w:noVBand="1"/>
      </w:tblPr>
      <w:tblGrid>
        <w:gridCol w:w="9637"/>
      </w:tblGrid>
      <w:tr w:rsidR="00CD49C5" w:rsidRPr="001C35E3" w:rsidTr="002F4EE0">
        <w:trPr>
          <w:jc w:val="center"/>
        </w:trPr>
        <w:tc>
          <w:tcPr>
            <w:tcW w:w="9637" w:type="dxa"/>
            <w:shd w:val="clear" w:color="auto" w:fill="auto"/>
          </w:tcPr>
          <w:p w:rsidR="00CD49C5" w:rsidRPr="001C35E3" w:rsidRDefault="00CD49C5" w:rsidP="002F4EE0">
            <w:pPr>
              <w:spacing w:before="240" w:after="120"/>
              <w:ind w:left="255"/>
              <w:rPr>
                <w:i/>
                <w:sz w:val="24"/>
              </w:rPr>
            </w:pPr>
            <w:r w:rsidRPr="001C35E3">
              <w:rPr>
                <w:i/>
                <w:sz w:val="24"/>
              </w:rPr>
              <w:t>Summary</w:t>
            </w:r>
          </w:p>
        </w:tc>
      </w:tr>
      <w:tr w:rsidR="002B68B2" w:rsidRPr="001C35E3" w:rsidTr="002F4EE0">
        <w:trPr>
          <w:jc w:val="center"/>
        </w:trPr>
        <w:tc>
          <w:tcPr>
            <w:tcW w:w="9637" w:type="dxa"/>
            <w:shd w:val="clear" w:color="auto" w:fill="auto"/>
          </w:tcPr>
          <w:p w:rsidR="002B68B2" w:rsidRPr="001C35E3" w:rsidRDefault="002B68B2" w:rsidP="002B68B2">
            <w:pPr>
              <w:pStyle w:val="SingleTxtG"/>
            </w:pPr>
            <w:r w:rsidRPr="001C35E3">
              <w:tab/>
              <w:t xml:space="preserve">This document provides information about the main developments on the position of sustainable transport in the recently adopted 2030 Agenda for Sustainable Development and the Sustainable Development Goals. </w:t>
            </w:r>
          </w:p>
        </w:tc>
      </w:tr>
      <w:tr w:rsidR="00CD49C5" w:rsidRPr="001C35E3" w:rsidTr="002F4EE0">
        <w:trPr>
          <w:jc w:val="center"/>
        </w:trPr>
        <w:tc>
          <w:tcPr>
            <w:tcW w:w="9637" w:type="dxa"/>
            <w:shd w:val="clear" w:color="auto" w:fill="auto"/>
          </w:tcPr>
          <w:p w:rsidR="00CD49C5" w:rsidRPr="001C35E3" w:rsidRDefault="00CE0B34" w:rsidP="007C7B94">
            <w:pPr>
              <w:pStyle w:val="SingleTxtG"/>
            </w:pPr>
            <w:r w:rsidRPr="001C35E3">
              <w:tab/>
            </w:r>
            <w:proofErr w:type="gramStart"/>
            <w:r w:rsidR="00436585" w:rsidRPr="001C35E3">
              <w:rPr>
                <w:szCs w:val="24"/>
              </w:rPr>
              <w:t>Due to the role of ITC in addressing global transport issues</w:t>
            </w:r>
            <w:r w:rsidR="007C7B94">
              <w:rPr>
                <w:szCs w:val="24"/>
              </w:rPr>
              <w:t>, among others through</w:t>
            </w:r>
            <w:r w:rsidR="001C35E3">
              <w:rPr>
                <w:szCs w:val="24"/>
              </w:rPr>
              <w:t xml:space="preserve"> </w:t>
            </w:r>
            <w:r w:rsidR="00436585" w:rsidRPr="001C35E3">
              <w:rPr>
                <w:szCs w:val="24"/>
              </w:rPr>
              <w:t>the U</w:t>
            </w:r>
            <w:r w:rsidR="001C35E3">
              <w:rPr>
                <w:szCs w:val="24"/>
              </w:rPr>
              <w:t xml:space="preserve">nited </w:t>
            </w:r>
            <w:r w:rsidR="00436585" w:rsidRPr="001C35E3">
              <w:rPr>
                <w:szCs w:val="24"/>
              </w:rPr>
              <w:t>N</w:t>
            </w:r>
            <w:r w:rsidR="001C35E3">
              <w:rPr>
                <w:szCs w:val="24"/>
              </w:rPr>
              <w:t>ations</w:t>
            </w:r>
            <w:r w:rsidR="00436585" w:rsidRPr="001C35E3">
              <w:rPr>
                <w:szCs w:val="24"/>
              </w:rPr>
              <w:t xml:space="preserve"> legal instruments and regulations under its purview </w:t>
            </w:r>
            <w:r w:rsidR="001C35E3">
              <w:rPr>
                <w:szCs w:val="24"/>
              </w:rPr>
              <w:t xml:space="preserve">of </w:t>
            </w:r>
            <w:r w:rsidR="00436585" w:rsidRPr="001C35E3">
              <w:rPr>
                <w:szCs w:val="24"/>
              </w:rPr>
              <w:t xml:space="preserve">global and regional geographical coverage, </w:t>
            </w:r>
            <w:r w:rsidR="007C7B94">
              <w:rPr>
                <w:szCs w:val="24"/>
              </w:rPr>
              <w:t xml:space="preserve">and in light of the relevant analytical and capacity-building activities, as well as its policy dialogue, </w:t>
            </w:r>
            <w:r w:rsidR="00436585" w:rsidRPr="001C35E3">
              <w:rPr>
                <w:szCs w:val="24"/>
              </w:rPr>
              <w:t xml:space="preserve">the Committee </w:t>
            </w:r>
            <w:r w:rsidR="00CD49C5" w:rsidRPr="001C35E3">
              <w:t xml:space="preserve">may wish to </w:t>
            </w:r>
            <w:r w:rsidR="00CD49C5" w:rsidRPr="001C35E3">
              <w:rPr>
                <w:b/>
              </w:rPr>
              <w:t xml:space="preserve">reflect on ways </w:t>
            </w:r>
            <w:r w:rsidR="00436585" w:rsidRPr="001C35E3">
              <w:rPr>
                <w:b/>
              </w:rPr>
              <w:t>to strengthen</w:t>
            </w:r>
            <w:r w:rsidR="00436585" w:rsidRPr="001C35E3">
              <w:t xml:space="preserve"> </w:t>
            </w:r>
            <w:r w:rsidR="00CD49C5" w:rsidRPr="001C35E3">
              <w:t>its role and contribution in</w:t>
            </w:r>
            <w:r w:rsidR="001C35E3">
              <w:t xml:space="preserve"> </w:t>
            </w:r>
            <w:r w:rsidR="001C35E3" w:rsidRPr="001C35E3">
              <w:t>implement</w:t>
            </w:r>
            <w:r w:rsidR="001C35E3">
              <w:t>ing</w:t>
            </w:r>
            <w:r w:rsidR="001C35E3" w:rsidRPr="001C35E3">
              <w:t xml:space="preserve"> </w:t>
            </w:r>
            <w:r w:rsidR="00CD49C5" w:rsidRPr="001C35E3">
              <w:t>of the transport-related targets of the 2030 Agenda</w:t>
            </w:r>
            <w:r w:rsidR="00955583" w:rsidRPr="001C35E3">
              <w:t>.</w:t>
            </w:r>
            <w:proofErr w:type="gramEnd"/>
          </w:p>
        </w:tc>
      </w:tr>
      <w:tr w:rsidR="00CD49C5" w:rsidRPr="001C35E3" w:rsidTr="002F4EE0">
        <w:trPr>
          <w:jc w:val="center"/>
        </w:trPr>
        <w:tc>
          <w:tcPr>
            <w:tcW w:w="9637" w:type="dxa"/>
            <w:shd w:val="clear" w:color="auto" w:fill="auto"/>
          </w:tcPr>
          <w:p w:rsidR="00CD49C5" w:rsidRPr="001C35E3" w:rsidRDefault="00CD49C5" w:rsidP="002F4EE0"/>
        </w:tc>
      </w:tr>
    </w:tbl>
    <w:p w:rsidR="00CD49C5" w:rsidRPr="001C35E3" w:rsidRDefault="00CD49C5" w:rsidP="00CD49C5">
      <w:pPr>
        <w:pStyle w:val="HChG"/>
      </w:pPr>
      <w:r w:rsidRPr="001C35E3">
        <w:tab/>
        <w:t>I.</w:t>
      </w:r>
      <w:r w:rsidRPr="001C35E3">
        <w:tab/>
        <w:t>Policy context: the 2030 agenda</w:t>
      </w:r>
    </w:p>
    <w:p w:rsidR="00CD49C5" w:rsidRPr="001C35E3" w:rsidRDefault="00CD49C5" w:rsidP="00CD49C5">
      <w:pPr>
        <w:pStyle w:val="SingleTxtG"/>
        <w:rPr>
          <w:szCs w:val="24"/>
        </w:rPr>
      </w:pPr>
      <w:r w:rsidRPr="001C35E3">
        <w:rPr>
          <w:szCs w:val="24"/>
        </w:rPr>
        <w:t>1.</w:t>
      </w:r>
      <w:r w:rsidRPr="001C35E3">
        <w:rPr>
          <w:szCs w:val="24"/>
        </w:rPr>
        <w:tab/>
        <w:t xml:space="preserve">On 27 September 2015 world leaders united at the United Nations Sustainable Development Summit and expressed their determination to take the bold and transformative steps which are urgently needed to shift the world onto a sustainable and resilient path. </w:t>
      </w:r>
    </w:p>
    <w:p w:rsidR="00CD49C5" w:rsidRPr="001C35E3" w:rsidRDefault="00CD49C5" w:rsidP="00CD49C5">
      <w:pPr>
        <w:pStyle w:val="SingleTxtG"/>
        <w:rPr>
          <w:szCs w:val="24"/>
        </w:rPr>
      </w:pPr>
      <w:r w:rsidRPr="001C35E3">
        <w:rPr>
          <w:szCs w:val="24"/>
        </w:rPr>
        <w:t>2.</w:t>
      </w:r>
      <w:r w:rsidRPr="001C35E3">
        <w:rPr>
          <w:szCs w:val="24"/>
        </w:rPr>
        <w:tab/>
        <w:t xml:space="preserve">To achieve this objective, they adopted a set of 17 Sustainable Development Goals and 169 targets </w:t>
      </w:r>
      <w:r w:rsidR="00F4763F">
        <w:rPr>
          <w:szCs w:val="24"/>
        </w:rPr>
        <w:t>for</w:t>
      </w:r>
      <w:r w:rsidR="001C35E3" w:rsidRPr="001C35E3">
        <w:rPr>
          <w:szCs w:val="24"/>
        </w:rPr>
        <w:t xml:space="preserve"> </w:t>
      </w:r>
      <w:r w:rsidRPr="001C35E3">
        <w:rPr>
          <w:szCs w:val="24"/>
        </w:rPr>
        <w:t xml:space="preserve">2030 that aspire to help humanity revert to a virtuous path of sustainability. </w:t>
      </w:r>
    </w:p>
    <w:p w:rsidR="00CD49C5" w:rsidRPr="001C35E3" w:rsidRDefault="00CD49C5" w:rsidP="00CD49C5">
      <w:pPr>
        <w:pStyle w:val="HChG"/>
      </w:pPr>
      <w:r w:rsidRPr="001C35E3">
        <w:lastRenderedPageBreak/>
        <w:tab/>
        <w:t>II.</w:t>
      </w:r>
      <w:r w:rsidRPr="001C35E3">
        <w:tab/>
        <w:t>Operationalizing the 2030 agenda</w:t>
      </w:r>
    </w:p>
    <w:p w:rsidR="00CD49C5" w:rsidRPr="001C35E3" w:rsidRDefault="00CD49C5" w:rsidP="00CD49C5">
      <w:pPr>
        <w:pStyle w:val="SingleTxtG"/>
        <w:rPr>
          <w:szCs w:val="24"/>
        </w:rPr>
      </w:pPr>
      <w:r w:rsidRPr="001C35E3">
        <w:rPr>
          <w:szCs w:val="24"/>
        </w:rPr>
        <w:t>3.</w:t>
      </w:r>
      <w:r w:rsidRPr="001C35E3">
        <w:rPr>
          <w:szCs w:val="24"/>
        </w:rPr>
        <w:tab/>
        <w:t xml:space="preserve">The scale and ambition of this new universal </w:t>
      </w:r>
      <w:r w:rsidR="001C35E3">
        <w:rPr>
          <w:szCs w:val="24"/>
        </w:rPr>
        <w:t>a</w:t>
      </w:r>
      <w:r w:rsidRPr="001C35E3">
        <w:rPr>
          <w:szCs w:val="24"/>
        </w:rPr>
        <w:t xml:space="preserve">genda is such that its success </w:t>
      </w:r>
      <w:proofErr w:type="gramStart"/>
      <w:r w:rsidRPr="001C35E3">
        <w:rPr>
          <w:szCs w:val="24"/>
        </w:rPr>
        <w:t>will largely be determined</w:t>
      </w:r>
      <w:proofErr w:type="gramEnd"/>
      <w:r w:rsidRPr="001C35E3">
        <w:rPr>
          <w:szCs w:val="24"/>
        </w:rPr>
        <w:t xml:space="preserve"> by its operationalization, which involves inevitably the finalization of the indicators for measuring the SDGs.</w:t>
      </w:r>
    </w:p>
    <w:p w:rsidR="00CD49C5" w:rsidRPr="001C35E3" w:rsidRDefault="00CD49C5" w:rsidP="00CD49C5">
      <w:pPr>
        <w:pStyle w:val="SingleTxtG"/>
        <w:rPr>
          <w:szCs w:val="24"/>
        </w:rPr>
      </w:pPr>
      <w:r w:rsidRPr="001C35E3">
        <w:rPr>
          <w:szCs w:val="24"/>
        </w:rPr>
        <w:t>4.</w:t>
      </w:r>
      <w:r w:rsidRPr="001C35E3">
        <w:rPr>
          <w:szCs w:val="24"/>
        </w:rPr>
        <w:tab/>
        <w:t>This effort is led by the U</w:t>
      </w:r>
      <w:r w:rsidR="00955583" w:rsidRPr="001C35E3">
        <w:rPr>
          <w:szCs w:val="24"/>
        </w:rPr>
        <w:t xml:space="preserve">nited Nations </w:t>
      </w:r>
      <w:r w:rsidRPr="001C35E3">
        <w:rPr>
          <w:szCs w:val="24"/>
        </w:rPr>
        <w:t xml:space="preserve">Statistical Commission (UNSC), which aims at endorsing an indicator framework at its next session in March 2016. There is a broad view that the follow-up to the post-2015 development agenda will need to be based on a strong data framework. This is one of the lessons from the implementation of the Millennium Development Goals (MDGs). </w:t>
      </w:r>
    </w:p>
    <w:p w:rsidR="00CD49C5" w:rsidRPr="001C35E3" w:rsidRDefault="00CD49C5" w:rsidP="00CD49C5">
      <w:pPr>
        <w:pStyle w:val="SingleTxtG"/>
        <w:rPr>
          <w:szCs w:val="24"/>
        </w:rPr>
      </w:pPr>
      <w:r w:rsidRPr="001C35E3">
        <w:rPr>
          <w:szCs w:val="24"/>
        </w:rPr>
        <w:t>5.</w:t>
      </w:r>
      <w:r w:rsidRPr="001C35E3">
        <w:rPr>
          <w:szCs w:val="24"/>
        </w:rPr>
        <w:tab/>
        <w:t xml:space="preserve">The next phase in operationalizing the 2030 agenda consists of developing the list of indicators to measure the SDGs and targets, a task undertaken by the Interagency and Expert Group on SDG indicators (IAEG-SDG). The current list now includes more than 220 indicators: 165 </w:t>
      </w:r>
      <w:proofErr w:type="gramStart"/>
      <w:r w:rsidRPr="001C35E3">
        <w:rPr>
          <w:szCs w:val="24"/>
        </w:rPr>
        <w:t>have been agreed</w:t>
      </w:r>
      <w:proofErr w:type="gramEnd"/>
      <w:r w:rsidRPr="001C35E3">
        <w:rPr>
          <w:szCs w:val="24"/>
        </w:rPr>
        <w:t xml:space="preserve"> upon</w:t>
      </w:r>
      <w:r w:rsidR="00402319">
        <w:rPr>
          <w:szCs w:val="24"/>
        </w:rPr>
        <w:t xml:space="preserve"> at this time</w:t>
      </w:r>
      <w:r w:rsidRPr="001C35E3">
        <w:rPr>
          <w:szCs w:val="24"/>
        </w:rPr>
        <w:t>, the rest are being negotiated.</w:t>
      </w:r>
    </w:p>
    <w:p w:rsidR="00CD49C5" w:rsidRPr="001C35E3" w:rsidRDefault="00CD49C5" w:rsidP="00CD49C5">
      <w:pPr>
        <w:pStyle w:val="SingleTxtG"/>
        <w:rPr>
          <w:szCs w:val="24"/>
        </w:rPr>
      </w:pPr>
      <w:r w:rsidRPr="001C35E3">
        <w:rPr>
          <w:szCs w:val="24"/>
        </w:rPr>
        <w:t>6.</w:t>
      </w:r>
      <w:r w:rsidRPr="001C35E3">
        <w:rPr>
          <w:szCs w:val="24"/>
        </w:rPr>
        <w:tab/>
        <w:t xml:space="preserve">The complex requirements of the new development agenda also pose significant challenges to statistical systems and capacities. </w:t>
      </w:r>
      <w:r w:rsidR="00402319">
        <w:rPr>
          <w:szCs w:val="24"/>
        </w:rPr>
        <w:t>C</w:t>
      </w:r>
      <w:r w:rsidRPr="001C35E3">
        <w:rPr>
          <w:szCs w:val="24"/>
        </w:rPr>
        <w:t xml:space="preserve">onsiderable efforts </w:t>
      </w:r>
      <w:proofErr w:type="gramStart"/>
      <w:r w:rsidRPr="001C35E3">
        <w:rPr>
          <w:szCs w:val="24"/>
        </w:rPr>
        <w:t>are</w:t>
      </w:r>
      <w:r w:rsidR="00402319">
        <w:rPr>
          <w:szCs w:val="24"/>
        </w:rPr>
        <w:t xml:space="preserve"> thus</w:t>
      </w:r>
      <w:r w:rsidRPr="001C35E3">
        <w:rPr>
          <w:szCs w:val="24"/>
        </w:rPr>
        <w:t xml:space="preserve"> needed</w:t>
      </w:r>
      <w:proofErr w:type="gramEnd"/>
      <w:r w:rsidRPr="001C35E3">
        <w:rPr>
          <w:szCs w:val="24"/>
        </w:rPr>
        <w:t xml:space="preserve"> to develop and build statistical capacities in order to follow up on the post-2015 framework.</w:t>
      </w:r>
    </w:p>
    <w:p w:rsidR="00CD49C5" w:rsidRPr="001C35E3" w:rsidRDefault="00CD49C5" w:rsidP="00CD49C5">
      <w:pPr>
        <w:pStyle w:val="SingleTxtG"/>
        <w:rPr>
          <w:szCs w:val="24"/>
        </w:rPr>
      </w:pPr>
      <w:r w:rsidRPr="001C35E3">
        <w:rPr>
          <w:szCs w:val="24"/>
        </w:rPr>
        <w:t>7.</w:t>
      </w:r>
      <w:r w:rsidRPr="001C35E3">
        <w:rPr>
          <w:szCs w:val="24"/>
        </w:rPr>
        <w:tab/>
        <w:t xml:space="preserve">From a statistics angle, UNECE </w:t>
      </w:r>
      <w:r w:rsidR="007C7B94">
        <w:rPr>
          <w:szCs w:val="24"/>
        </w:rPr>
        <w:t xml:space="preserve">through its statistics subprogramme </w:t>
      </w:r>
      <w:r w:rsidRPr="001C35E3">
        <w:rPr>
          <w:szCs w:val="24"/>
        </w:rPr>
        <w:t xml:space="preserve">continues to be actively involved in the process of developing the statistical monitoring framework for SDGs as a member of the </w:t>
      </w:r>
      <w:r w:rsidR="007C7B94">
        <w:rPr>
          <w:szCs w:val="24"/>
        </w:rPr>
        <w:t>I</w:t>
      </w:r>
      <w:r w:rsidRPr="001C35E3">
        <w:rPr>
          <w:szCs w:val="24"/>
        </w:rPr>
        <w:t>nter-</w:t>
      </w:r>
      <w:r w:rsidR="007C7B94">
        <w:rPr>
          <w:szCs w:val="24"/>
        </w:rPr>
        <w:t>A</w:t>
      </w:r>
      <w:r w:rsidRPr="001C35E3">
        <w:rPr>
          <w:szCs w:val="24"/>
        </w:rPr>
        <w:t xml:space="preserve">gency </w:t>
      </w:r>
      <w:r w:rsidR="007C7B94">
        <w:rPr>
          <w:szCs w:val="24"/>
        </w:rPr>
        <w:t>E</w:t>
      </w:r>
      <w:r w:rsidRPr="001C35E3">
        <w:rPr>
          <w:szCs w:val="24"/>
        </w:rPr>
        <w:t xml:space="preserve">xpert </w:t>
      </w:r>
      <w:r w:rsidR="007C7B94">
        <w:rPr>
          <w:szCs w:val="24"/>
        </w:rPr>
        <w:t>G</w:t>
      </w:r>
      <w:r w:rsidRPr="001C35E3">
        <w:rPr>
          <w:szCs w:val="24"/>
        </w:rPr>
        <w:t xml:space="preserve">roup on SDG indicators (IAEG-SDG) and the UNSC Friends of the Chair group on broader measures of progress.  </w:t>
      </w:r>
    </w:p>
    <w:p w:rsidR="00CD49C5" w:rsidRDefault="00CD49C5" w:rsidP="00CD49C5">
      <w:pPr>
        <w:pStyle w:val="SingleTxtG"/>
        <w:rPr>
          <w:szCs w:val="24"/>
        </w:rPr>
      </w:pPr>
      <w:r w:rsidRPr="001C35E3">
        <w:rPr>
          <w:szCs w:val="24"/>
        </w:rPr>
        <w:t>8.</w:t>
      </w:r>
      <w:r w:rsidRPr="001C35E3">
        <w:rPr>
          <w:szCs w:val="24"/>
        </w:rPr>
        <w:tab/>
        <w:t xml:space="preserve">Additionally, the ITC Working Party on Transport Statistics (WP.6) is an intergovernmental body dealing with the development of appropriate methodologies and terminology for the harmonization of </w:t>
      </w:r>
      <w:r w:rsidR="007C7B94">
        <w:rPr>
          <w:szCs w:val="24"/>
        </w:rPr>
        <w:t xml:space="preserve">transport </w:t>
      </w:r>
      <w:r w:rsidRPr="001C35E3">
        <w:rPr>
          <w:szCs w:val="24"/>
        </w:rPr>
        <w:t xml:space="preserve">statistics as well as the collection of </w:t>
      </w:r>
      <w:r w:rsidR="007C7B94">
        <w:rPr>
          <w:szCs w:val="24"/>
        </w:rPr>
        <w:t xml:space="preserve">transport, including road safety, </w:t>
      </w:r>
      <w:r w:rsidRPr="001C35E3">
        <w:rPr>
          <w:szCs w:val="24"/>
        </w:rPr>
        <w:t xml:space="preserve">data from member States and the dissemination of these data. </w:t>
      </w:r>
      <w:r w:rsidR="007C7B94">
        <w:rPr>
          <w:szCs w:val="24"/>
        </w:rPr>
        <w:t xml:space="preserve">For example, in 2015 the UNECE Transport Statistics and the UNECE Road Safety Statistics papers </w:t>
      </w:r>
      <w:proofErr w:type="gramStart"/>
      <w:r w:rsidR="007C7B94">
        <w:rPr>
          <w:szCs w:val="24"/>
        </w:rPr>
        <w:t>were published</w:t>
      </w:r>
      <w:proofErr w:type="gramEnd"/>
      <w:r w:rsidR="007C7B94">
        <w:rPr>
          <w:szCs w:val="24"/>
        </w:rPr>
        <w:t xml:space="preserve"> electronically in the three UNECE languages. </w:t>
      </w:r>
      <w:r w:rsidRPr="001C35E3">
        <w:rPr>
          <w:szCs w:val="24"/>
        </w:rPr>
        <w:t xml:space="preserve">This work could well become part of and contribute to the monitoring of the transport-related SDGs and targets.  </w:t>
      </w:r>
    </w:p>
    <w:p w:rsidR="00B57971" w:rsidRPr="001C35E3" w:rsidRDefault="00B57971" w:rsidP="00CD49C5">
      <w:pPr>
        <w:pStyle w:val="SingleTxtG"/>
        <w:rPr>
          <w:szCs w:val="24"/>
        </w:rPr>
      </w:pPr>
      <w:r>
        <w:rPr>
          <w:szCs w:val="24"/>
        </w:rPr>
        <w:t>9.</w:t>
      </w:r>
      <w:r>
        <w:rPr>
          <w:szCs w:val="24"/>
        </w:rPr>
        <w:tab/>
        <w:t>Furthermore, UNECE through its transport subprogramme participates in the UN Technical Working Group that supports the United Nations Secretary General’s High Level Advisory Group on Sustainable Transport that is also involved in the discussions.</w:t>
      </w:r>
    </w:p>
    <w:p w:rsidR="00CD49C5" w:rsidRPr="001C35E3" w:rsidRDefault="00B57971" w:rsidP="00CD49C5">
      <w:pPr>
        <w:pStyle w:val="SingleTxtG"/>
      </w:pPr>
      <w:r>
        <w:t>10</w:t>
      </w:r>
      <w:r w:rsidR="00CD49C5" w:rsidRPr="001C35E3">
        <w:t>.</w:t>
      </w:r>
      <w:r w:rsidR="00CD49C5" w:rsidRPr="001C35E3">
        <w:tab/>
        <w:t xml:space="preserve">What will happen next? All 220 or so indicators will be included in the list that </w:t>
      </w:r>
      <w:proofErr w:type="gramStart"/>
      <w:r w:rsidR="00CD49C5" w:rsidRPr="001C35E3">
        <w:t>will be submitted</w:t>
      </w:r>
      <w:proofErr w:type="gramEnd"/>
      <w:r w:rsidR="00CD49C5" w:rsidRPr="001C35E3">
        <w:t xml:space="preserve"> to UNSC for adoption. Negotiations on the open items continue from December 2015 to February 2016. The final decisions on the indicators that have </w:t>
      </w:r>
      <w:r w:rsidR="00402319">
        <w:t xml:space="preserve">yet to </w:t>
      </w:r>
      <w:proofErr w:type="gramStart"/>
      <w:r w:rsidR="00402319">
        <w:t xml:space="preserve">be </w:t>
      </w:r>
      <w:r w:rsidR="00CD49C5" w:rsidRPr="001C35E3">
        <w:t>agreed upon will be reflected</w:t>
      </w:r>
      <w:proofErr w:type="gramEnd"/>
      <w:r w:rsidR="00CD49C5" w:rsidRPr="001C35E3">
        <w:t xml:space="preserve"> in a background paper to UNSC. The UNSC </w:t>
      </w:r>
      <w:proofErr w:type="gramStart"/>
      <w:r w:rsidR="00CD49C5" w:rsidRPr="001C35E3">
        <w:t>is expected</w:t>
      </w:r>
      <w:proofErr w:type="gramEnd"/>
      <w:r w:rsidR="00CD49C5" w:rsidRPr="001C35E3">
        <w:t xml:space="preserve"> to adopt the full list of indicators in March 2016. The</w:t>
      </w:r>
      <w:r w:rsidR="00402319">
        <w:t xml:space="preserve">se </w:t>
      </w:r>
      <w:r w:rsidR="00CD49C5" w:rsidRPr="001C35E3">
        <w:t xml:space="preserve">will </w:t>
      </w:r>
      <w:r w:rsidR="00402319">
        <w:t xml:space="preserve">then </w:t>
      </w:r>
      <w:r w:rsidR="00CD49C5" w:rsidRPr="001C35E3">
        <w:t xml:space="preserve">go to ECOSOC </w:t>
      </w:r>
      <w:r w:rsidR="00402319" w:rsidRPr="001C35E3">
        <w:t xml:space="preserve">for adoption </w:t>
      </w:r>
      <w:r w:rsidR="00CD49C5" w:rsidRPr="001C35E3">
        <w:t>in April and to the General Assembly in September 2016.</w:t>
      </w:r>
    </w:p>
    <w:p w:rsidR="00CD49C5" w:rsidRPr="001C35E3" w:rsidRDefault="00CD49C5" w:rsidP="00CD49C5">
      <w:pPr>
        <w:pStyle w:val="HChG"/>
      </w:pPr>
      <w:r w:rsidRPr="001C35E3">
        <w:tab/>
        <w:t>III.</w:t>
      </w:r>
      <w:r w:rsidRPr="001C35E3">
        <w:tab/>
        <w:t xml:space="preserve">Implementation of SDGs and the role of ITC and its subsidiary bodies </w:t>
      </w:r>
    </w:p>
    <w:p w:rsidR="00CD49C5" w:rsidRPr="001C35E3" w:rsidRDefault="00B57971" w:rsidP="00CD49C5">
      <w:pPr>
        <w:pStyle w:val="SingleTxtG"/>
        <w:rPr>
          <w:szCs w:val="24"/>
        </w:rPr>
      </w:pPr>
      <w:r>
        <w:rPr>
          <w:szCs w:val="24"/>
        </w:rPr>
        <w:t>11</w:t>
      </w:r>
      <w:r w:rsidR="00CD49C5" w:rsidRPr="001C35E3">
        <w:rPr>
          <w:szCs w:val="24"/>
        </w:rPr>
        <w:t>.</w:t>
      </w:r>
      <w:r w:rsidR="00CD49C5" w:rsidRPr="001C35E3">
        <w:rPr>
          <w:szCs w:val="24"/>
        </w:rPr>
        <w:tab/>
      </w:r>
      <w:r w:rsidR="007C7B94">
        <w:rPr>
          <w:szCs w:val="24"/>
        </w:rPr>
        <w:t xml:space="preserve">What gets </w:t>
      </w:r>
      <w:proofErr w:type="gramStart"/>
      <w:r w:rsidR="007C7B94">
        <w:rPr>
          <w:szCs w:val="24"/>
        </w:rPr>
        <w:t>measured,</w:t>
      </w:r>
      <w:proofErr w:type="gramEnd"/>
      <w:r w:rsidR="007C7B94">
        <w:rPr>
          <w:szCs w:val="24"/>
        </w:rPr>
        <w:t xml:space="preserve"> gets done. Thus, the monitoring mechanism </w:t>
      </w:r>
      <w:proofErr w:type="spellStart"/>
      <w:proofErr w:type="gramStart"/>
      <w:r w:rsidR="007C7B94">
        <w:rPr>
          <w:szCs w:val="24"/>
        </w:rPr>
        <w:t>fo</w:t>
      </w:r>
      <w:proofErr w:type="spellEnd"/>
      <w:proofErr w:type="gramEnd"/>
      <w:r w:rsidR="007C7B94">
        <w:rPr>
          <w:szCs w:val="24"/>
        </w:rPr>
        <w:t xml:space="preserve"> the implementation of the SDGs is important. </w:t>
      </w:r>
      <w:r w:rsidR="00CD49C5" w:rsidRPr="001C35E3">
        <w:rPr>
          <w:szCs w:val="24"/>
        </w:rPr>
        <w:t xml:space="preserve">Discussions have started on the follow-up and review architecture for the post-2015 development agenda. A key question in this regard </w:t>
      </w:r>
      <w:proofErr w:type="gramStart"/>
      <w:r w:rsidR="00CD49C5" w:rsidRPr="001C35E3">
        <w:rPr>
          <w:szCs w:val="24"/>
        </w:rPr>
        <w:t>is</w:t>
      </w:r>
      <w:r w:rsidR="00402319">
        <w:rPr>
          <w:szCs w:val="24"/>
        </w:rPr>
        <w:t>:</w:t>
      </w:r>
      <w:proofErr w:type="gramEnd"/>
      <w:r w:rsidR="00CD49C5" w:rsidRPr="001C35E3">
        <w:rPr>
          <w:szCs w:val="24"/>
        </w:rPr>
        <w:t xml:space="preserve"> what </w:t>
      </w:r>
      <w:r w:rsidR="00402319" w:rsidRPr="001C35E3">
        <w:rPr>
          <w:szCs w:val="24"/>
        </w:rPr>
        <w:t xml:space="preserve">could </w:t>
      </w:r>
      <w:r w:rsidR="00CD49C5" w:rsidRPr="001C35E3">
        <w:rPr>
          <w:szCs w:val="24"/>
        </w:rPr>
        <w:t xml:space="preserve">the national, regional and global levels contribute to the monitoring and review mechanism, and how </w:t>
      </w:r>
      <w:r w:rsidR="00402319" w:rsidRPr="001C35E3">
        <w:rPr>
          <w:szCs w:val="24"/>
        </w:rPr>
        <w:t xml:space="preserve">can </w:t>
      </w:r>
      <w:r w:rsidR="00CD49C5" w:rsidRPr="001C35E3">
        <w:rPr>
          <w:szCs w:val="24"/>
        </w:rPr>
        <w:t>these different levels be linked</w:t>
      </w:r>
      <w:r w:rsidR="00402319">
        <w:rPr>
          <w:szCs w:val="24"/>
        </w:rPr>
        <w:t>?</w:t>
      </w:r>
      <w:r w:rsidR="00CD49C5" w:rsidRPr="001C35E3">
        <w:rPr>
          <w:szCs w:val="24"/>
        </w:rPr>
        <w:t xml:space="preserve"> The monitoring component of the mechanism </w:t>
      </w:r>
      <w:proofErr w:type="gramStart"/>
      <w:r w:rsidR="00CD49C5" w:rsidRPr="001C35E3">
        <w:rPr>
          <w:szCs w:val="24"/>
        </w:rPr>
        <w:t>is understood</w:t>
      </w:r>
      <w:proofErr w:type="gramEnd"/>
      <w:r w:rsidR="00CD49C5" w:rsidRPr="001C35E3">
        <w:rPr>
          <w:szCs w:val="24"/>
        </w:rPr>
        <w:t xml:space="preserve"> as the process of tracking progress against goals and targets based </w:t>
      </w:r>
      <w:r w:rsidR="00CD49C5" w:rsidRPr="001C35E3">
        <w:rPr>
          <w:szCs w:val="24"/>
        </w:rPr>
        <w:lastRenderedPageBreak/>
        <w:t xml:space="preserve">on data and indicators. The review component of the mechanism </w:t>
      </w:r>
      <w:proofErr w:type="gramStart"/>
      <w:r w:rsidR="00CD49C5" w:rsidRPr="001C35E3">
        <w:rPr>
          <w:szCs w:val="24"/>
        </w:rPr>
        <w:t>is understood</w:t>
      </w:r>
      <w:proofErr w:type="gramEnd"/>
      <w:r w:rsidR="00CD49C5" w:rsidRPr="001C35E3">
        <w:rPr>
          <w:szCs w:val="24"/>
        </w:rPr>
        <w:t xml:space="preserve"> as the process of analysing trends and their underlying causes, identifying policy shortcomings, and deriving recommendations to improve SDG achievement, which is based on a sound monitoring and data framework.</w:t>
      </w:r>
    </w:p>
    <w:p w:rsidR="00CD49C5" w:rsidRPr="001C35E3" w:rsidRDefault="00B57971" w:rsidP="00CD49C5">
      <w:pPr>
        <w:pStyle w:val="SingleTxtG"/>
        <w:rPr>
          <w:szCs w:val="24"/>
        </w:rPr>
      </w:pPr>
      <w:r>
        <w:rPr>
          <w:szCs w:val="24"/>
        </w:rPr>
        <w:t>12</w:t>
      </w:r>
      <w:r w:rsidR="00CD49C5" w:rsidRPr="001C35E3">
        <w:rPr>
          <w:szCs w:val="24"/>
        </w:rPr>
        <w:t>.</w:t>
      </w:r>
      <w:r w:rsidR="00CD49C5" w:rsidRPr="001C35E3">
        <w:rPr>
          <w:szCs w:val="24"/>
        </w:rPr>
        <w:tab/>
      </w:r>
      <w:r w:rsidR="007C7B94">
        <w:rPr>
          <w:szCs w:val="24"/>
        </w:rPr>
        <w:t xml:space="preserve">Monitoring is only one component of bringing about change. </w:t>
      </w:r>
      <w:r>
        <w:rPr>
          <w:szCs w:val="24"/>
        </w:rPr>
        <w:t>However, i</w:t>
      </w:r>
      <w:r w:rsidR="007C7B94">
        <w:rPr>
          <w:szCs w:val="24"/>
        </w:rPr>
        <w:t>t does not replace implementation measure</w:t>
      </w:r>
      <w:r w:rsidR="00733C01">
        <w:rPr>
          <w:szCs w:val="24"/>
        </w:rPr>
        <w:t>s.</w:t>
      </w:r>
      <w:r w:rsidR="007C7B94">
        <w:rPr>
          <w:szCs w:val="24"/>
        </w:rPr>
        <w:t xml:space="preserve"> </w:t>
      </w:r>
      <w:r w:rsidR="00CD49C5" w:rsidRPr="001C35E3">
        <w:rPr>
          <w:szCs w:val="24"/>
        </w:rPr>
        <w:t xml:space="preserve">In the future, the need to help countries implement SDGs will intensify. It </w:t>
      </w:r>
      <w:proofErr w:type="gramStart"/>
      <w:r w:rsidR="00CD49C5" w:rsidRPr="001C35E3">
        <w:rPr>
          <w:szCs w:val="24"/>
        </w:rPr>
        <w:t>will</w:t>
      </w:r>
      <w:r w:rsidR="00402319">
        <w:rPr>
          <w:szCs w:val="24"/>
        </w:rPr>
        <w:t>,</w:t>
      </w:r>
      <w:r w:rsidR="00CD49C5" w:rsidRPr="001C35E3">
        <w:rPr>
          <w:szCs w:val="24"/>
        </w:rPr>
        <w:t xml:space="preserve"> therefore</w:t>
      </w:r>
      <w:r w:rsidR="00402319">
        <w:rPr>
          <w:szCs w:val="24"/>
        </w:rPr>
        <w:t>,</w:t>
      </w:r>
      <w:r w:rsidR="00CD49C5" w:rsidRPr="001C35E3">
        <w:rPr>
          <w:szCs w:val="24"/>
        </w:rPr>
        <w:t xml:space="preserve"> be</w:t>
      </w:r>
      <w:proofErr w:type="gramEnd"/>
      <w:r w:rsidR="00CD49C5" w:rsidRPr="001C35E3">
        <w:rPr>
          <w:szCs w:val="24"/>
        </w:rPr>
        <w:t xml:space="preserve"> important to translate the global SDGs into concrete measures that have a positive impact on people’s lives. This operationalization can be done by developing policy recommendations, regulations, guidelines and legal instruments that lead to concrete action</w:t>
      </w:r>
      <w:r w:rsidR="00B115D1">
        <w:rPr>
          <w:szCs w:val="24"/>
        </w:rPr>
        <w:t>s</w:t>
      </w:r>
      <w:r w:rsidR="00CD49C5" w:rsidRPr="001C35E3">
        <w:rPr>
          <w:szCs w:val="24"/>
        </w:rPr>
        <w:t xml:space="preserve"> and that advance the transition towards sustainable development</w:t>
      </w:r>
      <w:proofErr w:type="gramStart"/>
      <w:r w:rsidR="00733C01">
        <w:rPr>
          <w:szCs w:val="24"/>
        </w:rPr>
        <w:t xml:space="preserve">, </w:t>
      </w:r>
      <w:r w:rsidR="00733C01" w:rsidRPr="001C35E3">
        <w:rPr>
          <w:szCs w:val="24"/>
        </w:rPr>
        <w:t xml:space="preserve"> </w:t>
      </w:r>
      <w:r w:rsidR="00733C01">
        <w:rPr>
          <w:szCs w:val="24"/>
        </w:rPr>
        <w:t>including</w:t>
      </w:r>
      <w:proofErr w:type="gramEnd"/>
      <w:r w:rsidR="00733C01">
        <w:rPr>
          <w:szCs w:val="24"/>
        </w:rPr>
        <w:t xml:space="preserve"> </w:t>
      </w:r>
      <w:r w:rsidR="00CD49C5" w:rsidRPr="001C35E3">
        <w:rPr>
          <w:szCs w:val="24"/>
        </w:rPr>
        <w:t>sustainable transport</w:t>
      </w:r>
      <w:r w:rsidR="00733C01">
        <w:rPr>
          <w:szCs w:val="24"/>
        </w:rPr>
        <w:t xml:space="preserve"> and mobility</w:t>
      </w:r>
      <w:r w:rsidR="00CD49C5" w:rsidRPr="001C35E3">
        <w:rPr>
          <w:szCs w:val="24"/>
        </w:rPr>
        <w:t xml:space="preserve">. </w:t>
      </w:r>
    </w:p>
    <w:p w:rsidR="00733C01" w:rsidRDefault="00B57971" w:rsidP="00CD49C5">
      <w:pPr>
        <w:pStyle w:val="SingleTxtG"/>
        <w:rPr>
          <w:szCs w:val="24"/>
        </w:rPr>
      </w:pPr>
      <w:r>
        <w:rPr>
          <w:szCs w:val="24"/>
        </w:rPr>
        <w:t>13</w:t>
      </w:r>
      <w:r w:rsidR="00CD49C5" w:rsidRPr="001C35E3">
        <w:rPr>
          <w:szCs w:val="24"/>
        </w:rPr>
        <w:t>.</w:t>
      </w:r>
      <w:r w:rsidR="00CD49C5" w:rsidRPr="001C35E3">
        <w:rPr>
          <w:szCs w:val="24"/>
        </w:rPr>
        <w:tab/>
      </w:r>
      <w:r w:rsidR="00733C01">
        <w:rPr>
          <w:szCs w:val="24"/>
        </w:rPr>
        <w:t>What role can ITC play in supporting the development of sustainable transport and mobility</w:t>
      </w:r>
      <w:r>
        <w:rPr>
          <w:szCs w:val="24"/>
        </w:rPr>
        <w:t>?</w:t>
      </w:r>
    </w:p>
    <w:p w:rsidR="00CD49C5" w:rsidRPr="001C35E3" w:rsidRDefault="00733C01" w:rsidP="007C3110">
      <w:pPr>
        <w:pStyle w:val="SingleTxtG"/>
        <w:ind w:firstLine="567"/>
        <w:rPr>
          <w:szCs w:val="24"/>
        </w:rPr>
      </w:pPr>
      <w:r>
        <w:rPr>
          <w:szCs w:val="24"/>
        </w:rPr>
        <w:t>(a)</w:t>
      </w:r>
      <w:r>
        <w:rPr>
          <w:szCs w:val="24"/>
        </w:rPr>
        <w:tab/>
        <w:t xml:space="preserve">Is there a role for ITC in </w:t>
      </w:r>
      <w:r w:rsidR="00B57971">
        <w:rPr>
          <w:szCs w:val="24"/>
        </w:rPr>
        <w:t>monitoring</w:t>
      </w:r>
      <w:r>
        <w:rPr>
          <w:szCs w:val="24"/>
        </w:rPr>
        <w:t xml:space="preserve"> achievements on the road towards </w:t>
      </w:r>
      <w:r w:rsidR="00B57971">
        <w:rPr>
          <w:szCs w:val="24"/>
        </w:rPr>
        <w:t xml:space="preserve">the </w:t>
      </w:r>
      <w:r>
        <w:rPr>
          <w:szCs w:val="24"/>
        </w:rPr>
        <w:t xml:space="preserve">SDGs? </w:t>
      </w:r>
      <w:r w:rsidRPr="001C35E3">
        <w:rPr>
          <w:szCs w:val="24"/>
        </w:rPr>
        <w:t xml:space="preserve">The review of implementation </w:t>
      </w:r>
      <w:proofErr w:type="gramStart"/>
      <w:r w:rsidRPr="001C35E3">
        <w:rPr>
          <w:szCs w:val="24"/>
        </w:rPr>
        <w:t>may be conducted</w:t>
      </w:r>
      <w:proofErr w:type="gramEnd"/>
      <w:r w:rsidRPr="001C35E3">
        <w:rPr>
          <w:szCs w:val="24"/>
        </w:rPr>
        <w:t xml:space="preserve"> by different platforms, e.g. ITC as a UNECE Sectoral Committee, or treaty bodies of legally binding instruments.</w:t>
      </w:r>
      <w:r w:rsidR="00B57971">
        <w:rPr>
          <w:szCs w:val="24"/>
        </w:rPr>
        <w:t xml:space="preserve"> </w:t>
      </w:r>
      <w:proofErr w:type="gramStart"/>
      <w:r w:rsidR="00B115D1">
        <w:rPr>
          <w:szCs w:val="24"/>
        </w:rPr>
        <w:t xml:space="preserve">ITC </w:t>
      </w:r>
      <w:r w:rsidR="00CD49C5" w:rsidRPr="001C35E3">
        <w:rPr>
          <w:szCs w:val="24"/>
        </w:rPr>
        <w:t>as the only U</w:t>
      </w:r>
      <w:r w:rsidR="00B115D1">
        <w:rPr>
          <w:szCs w:val="24"/>
        </w:rPr>
        <w:t xml:space="preserve">nited </w:t>
      </w:r>
      <w:r w:rsidR="00CD49C5" w:rsidRPr="001C35E3">
        <w:rPr>
          <w:szCs w:val="24"/>
        </w:rPr>
        <w:t>N</w:t>
      </w:r>
      <w:r w:rsidR="00B115D1">
        <w:rPr>
          <w:szCs w:val="24"/>
        </w:rPr>
        <w:t>ations</w:t>
      </w:r>
      <w:r w:rsidR="00CD49C5" w:rsidRPr="001C35E3">
        <w:rPr>
          <w:szCs w:val="24"/>
        </w:rPr>
        <w:t xml:space="preserve"> body dealing with the full scope of inland transport activities and </w:t>
      </w:r>
      <w:r w:rsidR="00B115D1">
        <w:rPr>
          <w:szCs w:val="24"/>
        </w:rPr>
        <w:t xml:space="preserve">as </w:t>
      </w:r>
      <w:r w:rsidR="00CD49C5" w:rsidRPr="001C35E3">
        <w:rPr>
          <w:szCs w:val="24"/>
        </w:rPr>
        <w:t>a centre of U</w:t>
      </w:r>
      <w:r w:rsidR="00B115D1">
        <w:rPr>
          <w:szCs w:val="24"/>
        </w:rPr>
        <w:t xml:space="preserve">nited </w:t>
      </w:r>
      <w:r w:rsidR="00CD49C5" w:rsidRPr="001C35E3">
        <w:rPr>
          <w:szCs w:val="24"/>
        </w:rPr>
        <w:t>N</w:t>
      </w:r>
      <w:r w:rsidR="00B115D1">
        <w:rPr>
          <w:szCs w:val="24"/>
        </w:rPr>
        <w:t>ations</w:t>
      </w:r>
      <w:r w:rsidR="00CD49C5" w:rsidRPr="001C35E3">
        <w:rPr>
          <w:szCs w:val="24"/>
        </w:rPr>
        <w:t xml:space="preserve"> transport conventions</w:t>
      </w:r>
      <w:r w:rsidR="00B115D1">
        <w:rPr>
          <w:szCs w:val="24"/>
        </w:rPr>
        <w:t xml:space="preserve"> </w:t>
      </w:r>
      <w:r w:rsidR="00CD49C5" w:rsidRPr="001C35E3">
        <w:rPr>
          <w:szCs w:val="24"/>
        </w:rPr>
        <w:t xml:space="preserve">for inland transport, vehicle regulations and dangerous goods transport would be a natural hub for reviewing transport-related targets that are included in several of the proposed SDGs. </w:t>
      </w:r>
      <w:r w:rsidR="00B57971">
        <w:rPr>
          <w:szCs w:val="24"/>
        </w:rPr>
        <w:t>Should this be the decision, it will mean substantial additional workload for the secretariat, which would need to be matched with additional posts in the Division.</w:t>
      </w:r>
      <w:proofErr w:type="gramEnd"/>
      <w:r w:rsidR="00B57971">
        <w:rPr>
          <w:szCs w:val="24"/>
        </w:rPr>
        <w:t xml:space="preserve"> At the same time, it </w:t>
      </w:r>
      <w:proofErr w:type="gramStart"/>
      <w:r w:rsidR="00B57971">
        <w:rPr>
          <w:szCs w:val="24"/>
        </w:rPr>
        <w:t>may well be decided</w:t>
      </w:r>
      <w:proofErr w:type="gramEnd"/>
      <w:r w:rsidR="00B57971">
        <w:rPr>
          <w:szCs w:val="24"/>
        </w:rPr>
        <w:t xml:space="preserve"> not to involve ITC and the Sustainable Transport Division in the monitoring exercise.</w:t>
      </w:r>
    </w:p>
    <w:p w:rsidR="00B57971" w:rsidRDefault="00B57971" w:rsidP="007C3110">
      <w:pPr>
        <w:pStyle w:val="SingleTxtG"/>
        <w:ind w:firstLine="567"/>
        <w:rPr>
          <w:szCs w:val="24"/>
        </w:rPr>
      </w:pPr>
      <w:r>
        <w:rPr>
          <w:szCs w:val="24"/>
        </w:rPr>
        <w:t>(b)</w:t>
      </w:r>
      <w:r>
        <w:rPr>
          <w:szCs w:val="24"/>
        </w:rPr>
        <w:tab/>
        <w:t xml:space="preserve">Should the emphasis be more on supporting implementation through analytical and capacity-building activities as well as policy dialogue? Through its analytical work of global relevance, wide-ranging capacity building activities, strategic analytical tools and the policy segment of its annual session, the ITC provides outputs, tools and platforms that can catalyse </w:t>
      </w:r>
      <w:r w:rsidRPr="00EF6955">
        <w:rPr>
          <w:szCs w:val="24"/>
        </w:rPr>
        <w:t>a more detailed and substantive policy dialogue among senior policy leaders from governments, businesses and the academia.</w:t>
      </w:r>
    </w:p>
    <w:p w:rsidR="00CD49C5" w:rsidRPr="001C35E3" w:rsidRDefault="00B57971" w:rsidP="00CD49C5">
      <w:pPr>
        <w:pStyle w:val="SingleTxtG"/>
        <w:rPr>
          <w:szCs w:val="24"/>
        </w:rPr>
      </w:pPr>
      <w:r>
        <w:rPr>
          <w:szCs w:val="24"/>
        </w:rPr>
        <w:t>14</w:t>
      </w:r>
      <w:r w:rsidR="00CD49C5" w:rsidRPr="001C35E3">
        <w:rPr>
          <w:szCs w:val="24"/>
        </w:rPr>
        <w:t>.</w:t>
      </w:r>
      <w:r w:rsidR="00CD49C5" w:rsidRPr="001C35E3">
        <w:rPr>
          <w:szCs w:val="24"/>
        </w:rPr>
        <w:tab/>
      </w:r>
      <w:r w:rsidR="00EF6955">
        <w:rPr>
          <w:szCs w:val="24"/>
        </w:rPr>
        <w:t xml:space="preserve">In addition, </w:t>
      </w:r>
      <w:r w:rsidR="00CD49C5" w:rsidRPr="001C35E3">
        <w:rPr>
          <w:szCs w:val="24"/>
        </w:rPr>
        <w:t>the so</w:t>
      </w:r>
      <w:r w:rsidR="00EF6955">
        <w:rPr>
          <w:szCs w:val="24"/>
        </w:rPr>
        <w:t xml:space="preserve"> </w:t>
      </w:r>
      <w:r w:rsidR="00CD49C5" w:rsidRPr="001C35E3">
        <w:rPr>
          <w:szCs w:val="24"/>
        </w:rPr>
        <w:t xml:space="preserve">far agreed </w:t>
      </w:r>
      <w:r w:rsidR="00B115D1">
        <w:rPr>
          <w:szCs w:val="24"/>
        </w:rPr>
        <w:t xml:space="preserve">upon </w:t>
      </w:r>
      <w:r w:rsidR="00CD49C5" w:rsidRPr="001C35E3">
        <w:rPr>
          <w:szCs w:val="24"/>
        </w:rPr>
        <w:t xml:space="preserve">indicators may not be the best or the most complete at least as far as transport is concerned. </w:t>
      </w:r>
      <w:proofErr w:type="gramStart"/>
      <w:r w:rsidR="00B115D1">
        <w:rPr>
          <w:szCs w:val="24"/>
        </w:rPr>
        <w:t>So</w:t>
      </w:r>
      <w:proofErr w:type="gramEnd"/>
      <w:r w:rsidR="00CD49C5" w:rsidRPr="001C35E3">
        <w:rPr>
          <w:szCs w:val="24"/>
        </w:rPr>
        <w:t xml:space="preserve"> it is worth noting that most </w:t>
      </w:r>
      <w:r w:rsidR="00B115D1">
        <w:rPr>
          <w:szCs w:val="24"/>
        </w:rPr>
        <w:t>g</w:t>
      </w:r>
      <w:r w:rsidR="00CD49C5" w:rsidRPr="001C35E3">
        <w:rPr>
          <w:szCs w:val="24"/>
        </w:rPr>
        <w:t xml:space="preserve">oals have some relevance for transport, though the indicators </w:t>
      </w:r>
      <w:r w:rsidR="00B115D1">
        <w:rPr>
          <w:szCs w:val="24"/>
        </w:rPr>
        <w:t xml:space="preserve">are </w:t>
      </w:r>
      <w:r w:rsidR="00CD49C5" w:rsidRPr="001C35E3">
        <w:rPr>
          <w:szCs w:val="24"/>
        </w:rPr>
        <w:t>not necessar</w:t>
      </w:r>
      <w:r w:rsidR="00B115D1">
        <w:rPr>
          <w:szCs w:val="24"/>
        </w:rPr>
        <w:t>ily</w:t>
      </w:r>
      <w:r w:rsidR="00CD49C5" w:rsidRPr="001C35E3">
        <w:rPr>
          <w:szCs w:val="24"/>
        </w:rPr>
        <w:t xml:space="preserve"> </w:t>
      </w:r>
      <w:r w:rsidR="00B115D1">
        <w:rPr>
          <w:szCs w:val="24"/>
        </w:rPr>
        <w:t xml:space="preserve">a </w:t>
      </w:r>
      <w:r w:rsidR="00CD49C5" w:rsidRPr="001C35E3">
        <w:rPr>
          <w:szCs w:val="24"/>
        </w:rPr>
        <w:t>reflect</w:t>
      </w:r>
      <w:r w:rsidR="00B115D1">
        <w:rPr>
          <w:szCs w:val="24"/>
        </w:rPr>
        <w:t>ion</w:t>
      </w:r>
      <w:r w:rsidR="00CD49C5" w:rsidRPr="001C35E3">
        <w:rPr>
          <w:szCs w:val="24"/>
        </w:rPr>
        <w:t xml:space="preserve"> </w:t>
      </w:r>
      <w:r w:rsidR="00B115D1">
        <w:rPr>
          <w:szCs w:val="24"/>
        </w:rPr>
        <w:t>of such</w:t>
      </w:r>
      <w:r w:rsidR="00CD49C5" w:rsidRPr="001C35E3">
        <w:rPr>
          <w:szCs w:val="24"/>
        </w:rPr>
        <w:t xml:space="preserve">. For example, </w:t>
      </w:r>
      <w:r w:rsidR="00B115D1">
        <w:rPr>
          <w:szCs w:val="24"/>
        </w:rPr>
        <w:t xml:space="preserve">an aspect of the </w:t>
      </w:r>
      <w:r w:rsidR="00CD49C5" w:rsidRPr="001C35E3">
        <w:rPr>
          <w:szCs w:val="24"/>
        </w:rPr>
        <w:t xml:space="preserve">transport of dangerous goods regulations </w:t>
      </w:r>
      <w:r w:rsidR="00B115D1">
        <w:rPr>
          <w:szCs w:val="24"/>
        </w:rPr>
        <w:t xml:space="preserve">is the </w:t>
      </w:r>
      <w:r w:rsidR="00CD49C5" w:rsidRPr="001C35E3">
        <w:rPr>
          <w:szCs w:val="24"/>
        </w:rPr>
        <w:t>prevention of pollution of the aquatic environment</w:t>
      </w:r>
      <w:r w:rsidR="00B115D1">
        <w:rPr>
          <w:szCs w:val="24"/>
        </w:rPr>
        <w:t>.  C</w:t>
      </w:r>
      <w:r w:rsidR="00CD49C5" w:rsidRPr="001C35E3">
        <w:rPr>
          <w:szCs w:val="24"/>
        </w:rPr>
        <w:t>riteria defin</w:t>
      </w:r>
      <w:r w:rsidR="00B115D1">
        <w:rPr>
          <w:szCs w:val="24"/>
        </w:rPr>
        <w:t>e:</w:t>
      </w:r>
      <w:r w:rsidR="00CD49C5" w:rsidRPr="001C35E3">
        <w:rPr>
          <w:szCs w:val="24"/>
        </w:rPr>
        <w:t xml:space="preserve"> </w:t>
      </w:r>
      <w:r w:rsidR="00B115D1">
        <w:rPr>
          <w:szCs w:val="24"/>
        </w:rPr>
        <w:t>(</w:t>
      </w:r>
      <w:proofErr w:type="spellStart"/>
      <w:r w:rsidR="00B115D1">
        <w:rPr>
          <w:szCs w:val="24"/>
        </w:rPr>
        <w:t>i</w:t>
      </w:r>
      <w:proofErr w:type="spellEnd"/>
      <w:r w:rsidR="00B115D1">
        <w:rPr>
          <w:szCs w:val="24"/>
        </w:rPr>
        <w:t xml:space="preserve">) </w:t>
      </w:r>
      <w:r w:rsidR="00CD49C5" w:rsidRPr="001C35E3">
        <w:rPr>
          <w:szCs w:val="24"/>
        </w:rPr>
        <w:t xml:space="preserve">hazardous </w:t>
      </w:r>
      <w:r w:rsidR="00B115D1" w:rsidRPr="001C35E3">
        <w:rPr>
          <w:szCs w:val="24"/>
        </w:rPr>
        <w:t xml:space="preserve">substances </w:t>
      </w:r>
      <w:r w:rsidR="00CD49C5" w:rsidRPr="001C35E3">
        <w:rPr>
          <w:szCs w:val="24"/>
        </w:rPr>
        <w:t>to the aquati</w:t>
      </w:r>
      <w:r w:rsidR="00636865" w:rsidRPr="001C35E3">
        <w:rPr>
          <w:szCs w:val="24"/>
        </w:rPr>
        <w:t>c environment and</w:t>
      </w:r>
      <w:r w:rsidR="00CD49C5" w:rsidRPr="001C35E3">
        <w:rPr>
          <w:szCs w:val="24"/>
        </w:rPr>
        <w:t xml:space="preserve"> specific requirements for their packing</w:t>
      </w:r>
      <w:r w:rsidR="00B115D1">
        <w:rPr>
          <w:szCs w:val="24"/>
        </w:rPr>
        <w:t xml:space="preserve"> and</w:t>
      </w:r>
      <w:r w:rsidR="00B115D1" w:rsidRPr="001C35E3">
        <w:rPr>
          <w:szCs w:val="24"/>
        </w:rPr>
        <w:t xml:space="preserve"> </w:t>
      </w:r>
      <w:r w:rsidR="00CD49C5" w:rsidRPr="001C35E3">
        <w:rPr>
          <w:szCs w:val="24"/>
        </w:rPr>
        <w:t>labelling</w:t>
      </w:r>
      <w:proofErr w:type="gramStart"/>
      <w:r w:rsidR="00B115D1">
        <w:rPr>
          <w:szCs w:val="24"/>
        </w:rPr>
        <w:t>;</w:t>
      </w:r>
      <w:proofErr w:type="gramEnd"/>
      <w:r w:rsidR="00CD49C5" w:rsidRPr="001C35E3">
        <w:rPr>
          <w:szCs w:val="24"/>
        </w:rPr>
        <w:t xml:space="preserve"> </w:t>
      </w:r>
      <w:r w:rsidR="00B115D1">
        <w:rPr>
          <w:szCs w:val="24"/>
        </w:rPr>
        <w:t xml:space="preserve">(ii) the </w:t>
      </w:r>
      <w:r w:rsidR="00CD49C5" w:rsidRPr="001C35E3">
        <w:rPr>
          <w:szCs w:val="24"/>
        </w:rPr>
        <w:t>construction and operation of vehicles</w:t>
      </w:r>
      <w:r w:rsidR="00B74E70">
        <w:rPr>
          <w:szCs w:val="24"/>
        </w:rPr>
        <w:t>,</w:t>
      </w:r>
      <w:r w:rsidR="00CD49C5" w:rsidRPr="001C35E3">
        <w:rPr>
          <w:szCs w:val="24"/>
        </w:rPr>
        <w:t xml:space="preserve"> and inland navigation oil or chemical tankers</w:t>
      </w:r>
      <w:r w:rsidR="00B74E70">
        <w:rPr>
          <w:szCs w:val="24"/>
        </w:rPr>
        <w:t>,</w:t>
      </w:r>
      <w:r w:rsidR="00CD49C5" w:rsidRPr="001C35E3">
        <w:rPr>
          <w:szCs w:val="24"/>
        </w:rPr>
        <w:t xml:space="preserve"> to prevent the release of such substances into freshwaters and rivers during transport. For targets 3.9</w:t>
      </w:r>
      <w:r w:rsidR="00636865" w:rsidRPr="001C35E3">
        <w:rPr>
          <w:rStyle w:val="FootnoteReference"/>
          <w:szCs w:val="24"/>
        </w:rPr>
        <w:footnoteReference w:id="2"/>
      </w:r>
      <w:r w:rsidR="00CD49C5" w:rsidRPr="001C35E3">
        <w:rPr>
          <w:szCs w:val="24"/>
        </w:rPr>
        <w:t xml:space="preserve"> and 6.3</w:t>
      </w:r>
      <w:r w:rsidR="00636865" w:rsidRPr="001C35E3">
        <w:rPr>
          <w:rStyle w:val="FootnoteReference"/>
          <w:szCs w:val="24"/>
        </w:rPr>
        <w:footnoteReference w:id="3"/>
      </w:r>
      <w:r w:rsidR="00B74E70">
        <w:rPr>
          <w:szCs w:val="24"/>
        </w:rPr>
        <w:t>,</w:t>
      </w:r>
      <w:r w:rsidR="00CD49C5" w:rsidRPr="001C35E3">
        <w:rPr>
          <w:szCs w:val="24"/>
        </w:rPr>
        <w:t xml:space="preserve"> our work is extremely relevant but </w:t>
      </w:r>
      <w:r w:rsidR="00B74E70">
        <w:rPr>
          <w:szCs w:val="24"/>
        </w:rPr>
        <w:t xml:space="preserve">only indirectly with </w:t>
      </w:r>
      <w:r w:rsidR="00CD49C5" w:rsidRPr="001C35E3">
        <w:rPr>
          <w:szCs w:val="24"/>
        </w:rPr>
        <w:t xml:space="preserve">the agreed indicators. </w:t>
      </w:r>
    </w:p>
    <w:p w:rsidR="00CD49C5" w:rsidRPr="001C35E3" w:rsidRDefault="00B57971" w:rsidP="00CD49C5">
      <w:pPr>
        <w:pStyle w:val="SingleTxtG"/>
        <w:rPr>
          <w:szCs w:val="24"/>
        </w:rPr>
      </w:pPr>
      <w:r>
        <w:rPr>
          <w:szCs w:val="24"/>
        </w:rPr>
        <w:t>15</w:t>
      </w:r>
      <w:r w:rsidR="00CD49C5" w:rsidRPr="001C35E3">
        <w:rPr>
          <w:szCs w:val="24"/>
        </w:rPr>
        <w:t>.</w:t>
      </w:r>
      <w:r w:rsidR="00CD49C5" w:rsidRPr="001C35E3">
        <w:rPr>
          <w:szCs w:val="24"/>
        </w:rPr>
        <w:tab/>
        <w:t>The following table summarize</w:t>
      </w:r>
      <w:r w:rsidR="00B74E70">
        <w:rPr>
          <w:szCs w:val="24"/>
        </w:rPr>
        <w:t>s</w:t>
      </w:r>
      <w:r w:rsidR="00CD49C5" w:rsidRPr="001C35E3">
        <w:rPr>
          <w:szCs w:val="24"/>
        </w:rPr>
        <w:t xml:space="preserve"> the SDGs and targets for which indicators </w:t>
      </w:r>
      <w:proofErr w:type="gramStart"/>
      <w:r w:rsidR="00CD49C5" w:rsidRPr="001C35E3">
        <w:rPr>
          <w:szCs w:val="24"/>
        </w:rPr>
        <w:t>are directly connected</w:t>
      </w:r>
      <w:proofErr w:type="gramEnd"/>
      <w:r w:rsidR="00CD49C5" w:rsidRPr="001C35E3">
        <w:rPr>
          <w:szCs w:val="24"/>
        </w:rPr>
        <w:t xml:space="preserve"> to the work of ITC and its subsidiary bodies.</w:t>
      </w:r>
    </w:p>
    <w:p w:rsidR="00CD49C5" w:rsidRPr="001C35E3" w:rsidRDefault="00B57971" w:rsidP="00CD49C5">
      <w:pPr>
        <w:pStyle w:val="SingleTxtG"/>
        <w:rPr>
          <w:szCs w:val="24"/>
        </w:rPr>
      </w:pPr>
      <w:proofErr w:type="gramStart"/>
      <w:r>
        <w:rPr>
          <w:szCs w:val="24"/>
        </w:rPr>
        <w:t>16</w:t>
      </w:r>
      <w:r w:rsidR="00CD49C5" w:rsidRPr="001C35E3">
        <w:rPr>
          <w:szCs w:val="24"/>
        </w:rPr>
        <w:t>.</w:t>
      </w:r>
      <w:r w:rsidR="00CD49C5" w:rsidRPr="001C35E3">
        <w:rPr>
          <w:szCs w:val="24"/>
        </w:rPr>
        <w:tab/>
      </w:r>
      <w:r w:rsidR="000401B9">
        <w:rPr>
          <w:szCs w:val="24"/>
        </w:rPr>
        <w:t>In sum, d</w:t>
      </w:r>
      <w:r w:rsidR="00CD49C5" w:rsidRPr="001C35E3">
        <w:rPr>
          <w:szCs w:val="24"/>
        </w:rPr>
        <w:t xml:space="preserve">ue to the </w:t>
      </w:r>
      <w:r w:rsidR="00EF6955">
        <w:rPr>
          <w:szCs w:val="24"/>
        </w:rPr>
        <w:t xml:space="preserve">unique </w:t>
      </w:r>
      <w:r w:rsidR="00CD49C5" w:rsidRPr="001C35E3">
        <w:rPr>
          <w:szCs w:val="24"/>
        </w:rPr>
        <w:t>role of ITC in addressing global transport issues through the U</w:t>
      </w:r>
      <w:r w:rsidR="00B74E70">
        <w:rPr>
          <w:szCs w:val="24"/>
        </w:rPr>
        <w:t xml:space="preserve">nited </w:t>
      </w:r>
      <w:r w:rsidR="00CD49C5" w:rsidRPr="001C35E3">
        <w:rPr>
          <w:szCs w:val="24"/>
        </w:rPr>
        <w:t>N</w:t>
      </w:r>
      <w:r w:rsidR="00B74E70">
        <w:rPr>
          <w:szCs w:val="24"/>
        </w:rPr>
        <w:t>ations</w:t>
      </w:r>
      <w:r w:rsidR="00CD49C5" w:rsidRPr="001C35E3">
        <w:rPr>
          <w:szCs w:val="24"/>
        </w:rPr>
        <w:t xml:space="preserve"> legal instruments and regulations under its purview, the </w:t>
      </w:r>
      <w:r w:rsidR="00CE0B34" w:rsidRPr="001C35E3">
        <w:rPr>
          <w:szCs w:val="24"/>
        </w:rPr>
        <w:t>Committee</w:t>
      </w:r>
      <w:r w:rsidR="00CD49C5" w:rsidRPr="001C35E3">
        <w:rPr>
          <w:szCs w:val="24"/>
        </w:rPr>
        <w:t xml:space="preserve"> may wish to reflect on possible opportunities and ways in which the Committee’s role in the implementation of the transport-related SDGs and targets of the 2030 </w:t>
      </w:r>
      <w:r w:rsidR="00B74E70">
        <w:rPr>
          <w:szCs w:val="24"/>
        </w:rPr>
        <w:t>a</w:t>
      </w:r>
      <w:r w:rsidR="00CD49C5" w:rsidRPr="001C35E3">
        <w:rPr>
          <w:szCs w:val="24"/>
        </w:rPr>
        <w:t>genda may be enhanced, including for those targets for which indicators do not correspond with, and reflect the importan</w:t>
      </w:r>
      <w:r w:rsidR="00CE0B34" w:rsidRPr="001C35E3">
        <w:rPr>
          <w:szCs w:val="24"/>
        </w:rPr>
        <w:t>ce</w:t>
      </w:r>
      <w:r w:rsidR="00CD49C5" w:rsidRPr="001C35E3">
        <w:rPr>
          <w:szCs w:val="24"/>
        </w:rPr>
        <w:t xml:space="preserve"> of</w:t>
      </w:r>
      <w:r w:rsidR="00CE0B34" w:rsidRPr="001C35E3">
        <w:rPr>
          <w:szCs w:val="24"/>
        </w:rPr>
        <w:t xml:space="preserve">, the Committee’s </w:t>
      </w:r>
      <w:r w:rsidR="00CD49C5" w:rsidRPr="001C35E3">
        <w:rPr>
          <w:szCs w:val="24"/>
        </w:rPr>
        <w:t>work.</w:t>
      </w:r>
      <w:proofErr w:type="gramEnd"/>
      <w:r w:rsidR="00CD49C5" w:rsidRPr="001C35E3">
        <w:rPr>
          <w:szCs w:val="24"/>
        </w:rPr>
        <w:t xml:space="preserve"> </w:t>
      </w:r>
    </w:p>
    <w:p w:rsidR="00F507EC" w:rsidRPr="001C35E3" w:rsidRDefault="005C0C1C" w:rsidP="005C0C1C">
      <w:pPr>
        <w:pStyle w:val="Heading1"/>
      </w:pPr>
      <w:r w:rsidRPr="001C35E3">
        <w:t>Table</w:t>
      </w:r>
    </w:p>
    <w:p w:rsidR="005C0C1C" w:rsidRPr="001C35E3" w:rsidRDefault="005C0C1C" w:rsidP="005C0C1C">
      <w:pPr>
        <w:pStyle w:val="SingleTxtG"/>
        <w:rPr>
          <w:b/>
        </w:rPr>
      </w:pPr>
      <w:r w:rsidRPr="001C35E3">
        <w:rPr>
          <w:b/>
        </w:rPr>
        <w:t xml:space="preserve">Transport-related </w:t>
      </w:r>
      <w:r w:rsidR="00B57971">
        <w:rPr>
          <w:b/>
        </w:rPr>
        <w:t>Sustainable Development Goals, targets and indicators</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70"/>
      </w:tblGrid>
      <w:tr w:rsidR="000A5479" w:rsidRPr="001C35E3" w:rsidTr="007C3110">
        <w:tc>
          <w:tcPr>
            <w:tcW w:w="7370" w:type="dxa"/>
            <w:tcBorders>
              <w:top w:val="single" w:sz="4" w:space="0" w:color="auto"/>
              <w:bottom w:val="single" w:sz="12" w:space="0" w:color="auto"/>
            </w:tcBorders>
            <w:shd w:val="clear" w:color="auto" w:fill="auto"/>
            <w:vAlign w:val="bottom"/>
          </w:tcPr>
          <w:p w:rsidR="000A5479" w:rsidRPr="001C35E3" w:rsidRDefault="005F0C9A" w:rsidP="000A5479">
            <w:pPr>
              <w:spacing w:before="80" w:after="80" w:line="200" w:lineRule="exact"/>
              <w:ind w:right="113"/>
              <w:rPr>
                <w:i/>
                <w:sz w:val="16"/>
              </w:rPr>
            </w:pPr>
            <w:r w:rsidRPr="001C35E3">
              <w:rPr>
                <w:i/>
                <w:sz w:val="16"/>
              </w:rPr>
              <w:t>Transport-related goals</w:t>
            </w:r>
          </w:p>
        </w:tc>
      </w:tr>
      <w:tr w:rsidR="000A5479" w:rsidRPr="001C35E3" w:rsidTr="007C3110">
        <w:tc>
          <w:tcPr>
            <w:tcW w:w="7370" w:type="dxa"/>
            <w:tcBorders>
              <w:top w:val="single" w:sz="12" w:space="0" w:color="auto"/>
              <w:bottom w:val="single" w:sz="4" w:space="0" w:color="auto"/>
            </w:tcBorders>
            <w:shd w:val="clear" w:color="auto" w:fill="auto"/>
          </w:tcPr>
          <w:p w:rsidR="000A5479" w:rsidRPr="001C35E3" w:rsidRDefault="000A5479" w:rsidP="000A5479">
            <w:pPr>
              <w:spacing w:before="40" w:after="120"/>
              <w:ind w:right="113"/>
            </w:pPr>
            <w:proofErr w:type="gramStart"/>
            <w:r w:rsidRPr="001C35E3">
              <w:rPr>
                <w:b/>
              </w:rPr>
              <w:t>Goal 3.</w:t>
            </w:r>
            <w:proofErr w:type="gramEnd"/>
            <w:r w:rsidRPr="001C35E3">
              <w:rPr>
                <w:b/>
              </w:rPr>
              <w:tab/>
            </w:r>
            <w:r w:rsidRPr="001C35E3">
              <w:rPr>
                <w:b/>
              </w:rPr>
              <w:tab/>
              <w:t>Ensure healthy lives and promote well-being for all at all ages</w:t>
            </w:r>
          </w:p>
        </w:tc>
      </w:tr>
      <w:tr w:rsidR="000A5479" w:rsidRPr="001C35E3" w:rsidTr="007C3110">
        <w:tc>
          <w:tcPr>
            <w:tcW w:w="7370" w:type="dxa"/>
            <w:tcBorders>
              <w:top w:val="single" w:sz="4" w:space="0" w:color="auto"/>
            </w:tcBorders>
            <w:shd w:val="clear" w:color="auto" w:fill="auto"/>
          </w:tcPr>
          <w:p w:rsidR="000A5479" w:rsidRPr="001C35E3" w:rsidRDefault="000A5479" w:rsidP="000A5479">
            <w:pPr>
              <w:spacing w:before="40" w:after="120"/>
              <w:ind w:right="113"/>
            </w:pPr>
            <w:r w:rsidRPr="001C35E3">
              <w:rPr>
                <w:b/>
                <w:i/>
              </w:rPr>
              <w:t>3.6</w:t>
            </w:r>
            <w:r w:rsidRPr="001C35E3">
              <w:rPr>
                <w:b/>
                <w:i/>
              </w:rPr>
              <w:tab/>
              <w:t>By 2020, halve the number of global deaths and injuries from road traffic accidents.</w:t>
            </w:r>
          </w:p>
        </w:tc>
      </w:tr>
      <w:tr w:rsidR="000A5479" w:rsidRPr="001C35E3" w:rsidTr="000A5479">
        <w:tc>
          <w:tcPr>
            <w:tcW w:w="7370" w:type="dxa"/>
            <w:shd w:val="clear" w:color="auto" w:fill="auto"/>
          </w:tcPr>
          <w:p w:rsidR="000A5479" w:rsidRPr="001C35E3" w:rsidRDefault="000A5479" w:rsidP="000A5479">
            <w:pPr>
              <w:spacing w:before="40" w:after="120"/>
              <w:ind w:right="113"/>
            </w:pPr>
            <w:r w:rsidRPr="001C35E3">
              <w:rPr>
                <w:u w:val="single"/>
              </w:rPr>
              <w:t>Indicator</w:t>
            </w:r>
            <w:r w:rsidRPr="001C35E3">
              <w:t>: Number of road traffic fatal injury deaths per 100 000 population (age-standardized)</w:t>
            </w:r>
          </w:p>
        </w:tc>
      </w:tr>
      <w:tr w:rsidR="000A5479" w:rsidRPr="001C35E3" w:rsidTr="000A5479">
        <w:tc>
          <w:tcPr>
            <w:tcW w:w="7370" w:type="dxa"/>
            <w:shd w:val="clear" w:color="auto" w:fill="auto"/>
          </w:tcPr>
          <w:p w:rsidR="000A5479" w:rsidRPr="001C35E3" w:rsidRDefault="000A5479" w:rsidP="00B74E70">
            <w:pPr>
              <w:spacing w:before="40" w:after="120"/>
              <w:ind w:right="113"/>
            </w:pPr>
            <w:r w:rsidRPr="001C35E3">
              <w:t>UNECE Inland Transport Committee is the only U</w:t>
            </w:r>
            <w:r w:rsidR="00B74E70">
              <w:t xml:space="preserve">nited </w:t>
            </w:r>
            <w:r w:rsidRPr="001C35E3">
              <w:t>N</w:t>
            </w:r>
            <w:r w:rsidR="00B74E70">
              <w:t>ations</w:t>
            </w:r>
            <w:r w:rsidRPr="001C35E3">
              <w:t xml:space="preserve"> forum offering a 360</w:t>
            </w:r>
            <w:r w:rsidR="00B74E70">
              <w:t>°</w:t>
            </w:r>
            <w:r w:rsidRPr="001C35E3">
              <w:t xml:space="preserve"> approach to Road Safety based on its regulatory work, capacity</w:t>
            </w:r>
            <w:r w:rsidR="00B74E70">
              <w:t>-</w:t>
            </w:r>
            <w:r w:rsidRPr="001C35E3">
              <w:t>building and technical assistance, analytical work and policy dialogue covering the following areas:</w:t>
            </w:r>
          </w:p>
        </w:tc>
      </w:tr>
      <w:tr w:rsidR="000A5479" w:rsidRPr="001C35E3" w:rsidTr="000A5479">
        <w:tc>
          <w:tcPr>
            <w:tcW w:w="7370" w:type="dxa"/>
            <w:shd w:val="clear" w:color="auto" w:fill="auto"/>
          </w:tcPr>
          <w:p w:rsidR="000A5479" w:rsidRPr="001C35E3" w:rsidRDefault="000A5479" w:rsidP="004343CD">
            <w:pPr>
              <w:pStyle w:val="Bullet1G"/>
              <w:keepNext/>
              <w:keepLines/>
            </w:pPr>
            <w:r w:rsidRPr="001C35E3">
              <w:t>Traffic rules</w:t>
            </w:r>
            <w:r w:rsidR="00B74E70">
              <w:t>;</w:t>
            </w:r>
          </w:p>
        </w:tc>
      </w:tr>
      <w:tr w:rsidR="000A5479" w:rsidRPr="001C35E3" w:rsidTr="000A5479">
        <w:tc>
          <w:tcPr>
            <w:tcW w:w="7370" w:type="dxa"/>
            <w:shd w:val="clear" w:color="auto" w:fill="auto"/>
          </w:tcPr>
          <w:p w:rsidR="000A5479" w:rsidRPr="001C35E3" w:rsidRDefault="000A5479" w:rsidP="004343CD">
            <w:pPr>
              <w:pStyle w:val="Bullet1G"/>
              <w:keepNext/>
              <w:keepLines/>
            </w:pPr>
            <w:r w:rsidRPr="001C35E3">
              <w:t>Signs and signals</w:t>
            </w:r>
            <w:r w:rsidR="00B74E70">
              <w:t>;</w:t>
            </w:r>
          </w:p>
        </w:tc>
      </w:tr>
      <w:tr w:rsidR="000A5479" w:rsidRPr="001C35E3" w:rsidTr="000A5479">
        <w:tc>
          <w:tcPr>
            <w:tcW w:w="7370" w:type="dxa"/>
            <w:shd w:val="clear" w:color="auto" w:fill="auto"/>
          </w:tcPr>
          <w:p w:rsidR="000A5479" w:rsidRPr="001C35E3" w:rsidRDefault="000A5479" w:rsidP="004343CD">
            <w:pPr>
              <w:pStyle w:val="Bullet1G"/>
              <w:keepNext/>
              <w:keepLines/>
            </w:pPr>
            <w:r w:rsidRPr="001C35E3">
              <w:t>Road infrastructure</w:t>
            </w:r>
            <w:r w:rsidR="00B74E70">
              <w:t>;</w:t>
            </w:r>
          </w:p>
        </w:tc>
      </w:tr>
      <w:tr w:rsidR="000A5479" w:rsidRPr="001C35E3" w:rsidTr="000A5479">
        <w:tc>
          <w:tcPr>
            <w:tcW w:w="7370" w:type="dxa"/>
            <w:shd w:val="clear" w:color="auto" w:fill="auto"/>
          </w:tcPr>
          <w:p w:rsidR="000A5479" w:rsidRPr="001C35E3" w:rsidRDefault="000A5479" w:rsidP="004343CD">
            <w:pPr>
              <w:pStyle w:val="Bullet1G"/>
              <w:keepNext/>
              <w:keepLines/>
            </w:pPr>
            <w:r w:rsidRPr="001C35E3">
              <w:t>Construction and periodic inspection of vehicles</w:t>
            </w:r>
            <w:r w:rsidR="00B74E70">
              <w:t>;</w:t>
            </w:r>
          </w:p>
        </w:tc>
      </w:tr>
      <w:tr w:rsidR="000A5479" w:rsidRPr="001C35E3" w:rsidTr="000A5479">
        <w:tc>
          <w:tcPr>
            <w:tcW w:w="7370" w:type="dxa"/>
            <w:shd w:val="clear" w:color="auto" w:fill="auto"/>
          </w:tcPr>
          <w:p w:rsidR="000A5479" w:rsidRPr="001C35E3" w:rsidRDefault="000A5479" w:rsidP="004343CD">
            <w:pPr>
              <w:pStyle w:val="Bullet1G"/>
              <w:keepNext/>
              <w:keepLines/>
            </w:pPr>
            <w:r w:rsidRPr="001C35E3">
              <w:t>Driving times and rest periods for professional drivers</w:t>
            </w:r>
            <w:r w:rsidR="00B74E70">
              <w:t>;</w:t>
            </w:r>
          </w:p>
        </w:tc>
      </w:tr>
      <w:tr w:rsidR="000A5479" w:rsidRPr="001C35E3" w:rsidTr="000A5479">
        <w:tc>
          <w:tcPr>
            <w:tcW w:w="7370" w:type="dxa"/>
            <w:shd w:val="clear" w:color="auto" w:fill="auto"/>
          </w:tcPr>
          <w:p w:rsidR="000A5479" w:rsidRPr="001C35E3" w:rsidRDefault="000A5479" w:rsidP="004343CD">
            <w:pPr>
              <w:pStyle w:val="Bullet1G"/>
              <w:keepNext/>
              <w:keepLines/>
            </w:pPr>
            <w:r w:rsidRPr="001C35E3">
              <w:t>Dangerous goods</w:t>
            </w:r>
            <w:r w:rsidR="00B74E70">
              <w:t>;</w:t>
            </w:r>
          </w:p>
        </w:tc>
      </w:tr>
      <w:tr w:rsidR="000A5479" w:rsidRPr="001C35E3" w:rsidTr="000A5479">
        <w:tc>
          <w:tcPr>
            <w:tcW w:w="7370" w:type="dxa"/>
            <w:shd w:val="clear" w:color="auto" w:fill="auto"/>
          </w:tcPr>
          <w:p w:rsidR="000A5479" w:rsidRPr="001C35E3" w:rsidRDefault="000A5479" w:rsidP="00B74E70">
            <w:pPr>
              <w:pStyle w:val="Bullet1G"/>
              <w:keepNext/>
              <w:keepLines/>
            </w:pPr>
            <w:r w:rsidRPr="001C35E3">
              <w:t>Mobilizing political will and resources, including support</w:t>
            </w:r>
            <w:r w:rsidR="00B74E70">
              <w:t xml:space="preserve"> for</w:t>
            </w:r>
            <w:r w:rsidRPr="001C35E3">
              <w:t xml:space="preserve"> the work of the U</w:t>
            </w:r>
            <w:r w:rsidR="00B74E70">
              <w:t xml:space="preserve">nited </w:t>
            </w:r>
            <w:r w:rsidRPr="001C35E3">
              <w:t>N</w:t>
            </w:r>
            <w:r w:rsidR="00B74E70">
              <w:t>ations</w:t>
            </w:r>
            <w:r w:rsidRPr="001C35E3">
              <w:t xml:space="preserve"> S</w:t>
            </w:r>
            <w:r w:rsidR="00B74E70">
              <w:t>ecretary-</w:t>
            </w:r>
            <w:r w:rsidRPr="001C35E3">
              <w:t>G</w:t>
            </w:r>
            <w:r w:rsidR="00B74E70">
              <w:t>eneral</w:t>
            </w:r>
            <w:r w:rsidRPr="001C35E3">
              <w:t>’s Special Envoy for Road Safety</w:t>
            </w:r>
            <w:r w:rsidR="00B74E70">
              <w:t>.</w:t>
            </w:r>
          </w:p>
        </w:tc>
      </w:tr>
      <w:tr w:rsidR="000A5479" w:rsidRPr="001C35E3" w:rsidTr="007C3110">
        <w:tc>
          <w:tcPr>
            <w:tcW w:w="7370" w:type="dxa"/>
            <w:tcBorders>
              <w:bottom w:val="single" w:sz="12" w:space="0" w:color="auto"/>
            </w:tcBorders>
            <w:shd w:val="clear" w:color="auto" w:fill="auto"/>
          </w:tcPr>
          <w:p w:rsidR="000A5479" w:rsidRPr="001C35E3" w:rsidRDefault="000A5479" w:rsidP="000A5479">
            <w:pPr>
              <w:spacing w:before="40" w:after="120"/>
              <w:ind w:right="113"/>
            </w:pPr>
          </w:p>
        </w:tc>
      </w:tr>
      <w:tr w:rsidR="000A5479" w:rsidRPr="001C35E3" w:rsidTr="007C3110">
        <w:tc>
          <w:tcPr>
            <w:tcW w:w="7370" w:type="dxa"/>
            <w:tcBorders>
              <w:top w:val="single" w:sz="12" w:space="0" w:color="auto"/>
              <w:bottom w:val="single" w:sz="4" w:space="0" w:color="auto"/>
            </w:tcBorders>
            <w:shd w:val="clear" w:color="auto" w:fill="auto"/>
          </w:tcPr>
          <w:p w:rsidR="000A5479" w:rsidRPr="001C35E3" w:rsidRDefault="000A5479" w:rsidP="000A5479">
            <w:pPr>
              <w:spacing w:before="40" w:after="120"/>
              <w:ind w:right="113"/>
            </w:pPr>
            <w:proofErr w:type="gramStart"/>
            <w:r w:rsidRPr="001C35E3">
              <w:rPr>
                <w:b/>
              </w:rPr>
              <w:t>Goal 9.</w:t>
            </w:r>
            <w:proofErr w:type="gramEnd"/>
            <w:r w:rsidRPr="001C35E3">
              <w:rPr>
                <w:b/>
              </w:rPr>
              <w:t xml:space="preserve"> </w:t>
            </w:r>
            <w:r w:rsidRPr="001C35E3">
              <w:rPr>
                <w:b/>
              </w:rPr>
              <w:tab/>
              <w:t>Build resilient infrastructure, promote inclusive and sustainable industrialization and foster innovation</w:t>
            </w:r>
          </w:p>
        </w:tc>
      </w:tr>
      <w:tr w:rsidR="000A5479" w:rsidRPr="001C35E3" w:rsidTr="007C3110">
        <w:tc>
          <w:tcPr>
            <w:tcW w:w="7370" w:type="dxa"/>
            <w:tcBorders>
              <w:top w:val="single" w:sz="4" w:space="0" w:color="auto"/>
            </w:tcBorders>
            <w:shd w:val="clear" w:color="auto" w:fill="auto"/>
          </w:tcPr>
          <w:p w:rsidR="000A5479" w:rsidRPr="001C35E3" w:rsidRDefault="000A5479" w:rsidP="000A5479">
            <w:pPr>
              <w:spacing w:before="40" w:after="120"/>
              <w:ind w:right="113"/>
            </w:pPr>
            <w:r w:rsidRPr="001C35E3">
              <w:rPr>
                <w:b/>
                <w:i/>
              </w:rPr>
              <w:t>9.1</w:t>
            </w:r>
            <w:r w:rsidRPr="001C35E3">
              <w:rPr>
                <w:b/>
                <w:i/>
              </w:rPr>
              <w:tab/>
              <w:t xml:space="preserve">Develop quality, reliable, sustainable and resilient infrastructure, including regional and </w:t>
            </w:r>
            <w:proofErr w:type="spellStart"/>
            <w:r w:rsidRPr="001C35E3">
              <w:rPr>
                <w:b/>
                <w:i/>
              </w:rPr>
              <w:t>transborder</w:t>
            </w:r>
            <w:proofErr w:type="spellEnd"/>
            <w:r w:rsidRPr="001C35E3">
              <w:rPr>
                <w:b/>
                <w:i/>
              </w:rPr>
              <w:t xml:space="preserve"> infrastructure, to support economic development and human well-being, with a focus on affordable and equitable access for all</w:t>
            </w:r>
          </w:p>
        </w:tc>
      </w:tr>
      <w:tr w:rsidR="000A5479" w:rsidRPr="001C35E3" w:rsidTr="000A5479">
        <w:tc>
          <w:tcPr>
            <w:tcW w:w="7370" w:type="dxa"/>
            <w:shd w:val="clear" w:color="auto" w:fill="auto"/>
          </w:tcPr>
          <w:p w:rsidR="000A5479" w:rsidRPr="001C35E3" w:rsidRDefault="000A5479" w:rsidP="000A5479">
            <w:pPr>
              <w:spacing w:before="40" w:after="120"/>
              <w:ind w:right="113"/>
            </w:pPr>
            <w:r w:rsidRPr="001C35E3">
              <w:rPr>
                <w:u w:val="single"/>
              </w:rPr>
              <w:t>Indicator 1</w:t>
            </w:r>
            <w:r w:rsidRPr="001C35E3">
              <w:t>: Share of the rural population who live within 2km of an all season road</w:t>
            </w:r>
          </w:p>
        </w:tc>
      </w:tr>
      <w:tr w:rsidR="000A5479" w:rsidRPr="001C35E3" w:rsidTr="000A5479">
        <w:tc>
          <w:tcPr>
            <w:tcW w:w="7370" w:type="dxa"/>
            <w:shd w:val="clear" w:color="auto" w:fill="auto"/>
          </w:tcPr>
          <w:p w:rsidR="000A5479" w:rsidRPr="001C35E3" w:rsidRDefault="000A5479" w:rsidP="000A5479">
            <w:pPr>
              <w:spacing w:before="40" w:after="120"/>
              <w:ind w:right="113"/>
            </w:pPr>
            <w:r w:rsidRPr="001C35E3">
              <w:rPr>
                <w:u w:val="single"/>
              </w:rPr>
              <w:t>Indicator 2</w:t>
            </w:r>
            <w:r w:rsidRPr="001C35E3">
              <w:t>:</w:t>
            </w:r>
            <w:r w:rsidRPr="007C3110">
              <w:t xml:space="preserve"> </w:t>
            </w:r>
            <w:r w:rsidRPr="001C35E3">
              <w:t>Passenger and freight volumes</w:t>
            </w:r>
          </w:p>
        </w:tc>
      </w:tr>
      <w:tr w:rsidR="000A5479" w:rsidRPr="001C35E3" w:rsidTr="000A5479">
        <w:tc>
          <w:tcPr>
            <w:tcW w:w="7370" w:type="dxa"/>
            <w:shd w:val="clear" w:color="auto" w:fill="auto"/>
          </w:tcPr>
          <w:p w:rsidR="000A5479" w:rsidRPr="001C35E3" w:rsidRDefault="000A5479" w:rsidP="00D37E2E">
            <w:pPr>
              <w:spacing w:before="40" w:after="120"/>
              <w:ind w:right="113"/>
            </w:pPr>
            <w:r w:rsidRPr="001C35E3">
              <w:t>ITC through the work of</w:t>
            </w:r>
            <w:r w:rsidR="00D37E2E">
              <w:t xml:space="preserve"> the Working Party on Transport Trends and Economics (</w:t>
            </w:r>
            <w:r w:rsidRPr="001C35E3">
              <w:t>WP.5</w:t>
            </w:r>
            <w:r w:rsidR="00D37E2E">
              <w:t>)</w:t>
            </w:r>
            <w:r w:rsidRPr="001C35E3">
              <w:t xml:space="preserve"> on climate change adaptations, prepared policy-oriented recommendations that aim to improve the long-term sustainability of international transport systems and set best examples of national policies, addressing the issues of transport networks vulnerability among member Governments, including developing and landlocked countries, as well as small island States.</w:t>
            </w:r>
          </w:p>
        </w:tc>
      </w:tr>
      <w:tr w:rsidR="000A5479" w:rsidRPr="001C35E3" w:rsidTr="007C3110">
        <w:tc>
          <w:tcPr>
            <w:tcW w:w="7370" w:type="dxa"/>
            <w:tcBorders>
              <w:bottom w:val="single" w:sz="12" w:space="0" w:color="auto"/>
            </w:tcBorders>
            <w:shd w:val="clear" w:color="auto" w:fill="auto"/>
          </w:tcPr>
          <w:p w:rsidR="00C415E2" w:rsidRPr="001C35E3" w:rsidRDefault="00C415E2" w:rsidP="000A5479">
            <w:pPr>
              <w:spacing w:before="40" w:after="120"/>
              <w:ind w:right="113"/>
            </w:pPr>
          </w:p>
        </w:tc>
      </w:tr>
      <w:tr w:rsidR="000A5479" w:rsidRPr="001C35E3" w:rsidTr="007C3110">
        <w:tc>
          <w:tcPr>
            <w:tcW w:w="7370" w:type="dxa"/>
            <w:tcBorders>
              <w:top w:val="single" w:sz="12" w:space="0" w:color="auto"/>
              <w:bottom w:val="single" w:sz="4" w:space="0" w:color="auto"/>
            </w:tcBorders>
            <w:shd w:val="clear" w:color="auto" w:fill="auto"/>
          </w:tcPr>
          <w:p w:rsidR="000A5479" w:rsidRPr="001C35E3" w:rsidRDefault="000A5479" w:rsidP="003829F6">
            <w:pPr>
              <w:keepNext/>
              <w:keepLines/>
              <w:spacing w:before="40" w:after="120"/>
              <w:ind w:right="113"/>
            </w:pPr>
            <w:proofErr w:type="gramStart"/>
            <w:r w:rsidRPr="001C35E3">
              <w:rPr>
                <w:b/>
              </w:rPr>
              <w:t>Goal 11.</w:t>
            </w:r>
            <w:proofErr w:type="gramEnd"/>
            <w:r w:rsidRPr="001C35E3">
              <w:rPr>
                <w:b/>
              </w:rPr>
              <w:tab/>
              <w:t>Make cities and human settlements inclusive, safe, resilient and sustainable</w:t>
            </w:r>
          </w:p>
        </w:tc>
      </w:tr>
      <w:tr w:rsidR="000A5479" w:rsidRPr="001C35E3" w:rsidTr="007C3110">
        <w:tc>
          <w:tcPr>
            <w:tcW w:w="7370" w:type="dxa"/>
            <w:tcBorders>
              <w:top w:val="single" w:sz="4" w:space="0" w:color="auto"/>
            </w:tcBorders>
            <w:shd w:val="clear" w:color="auto" w:fill="auto"/>
          </w:tcPr>
          <w:p w:rsidR="000A5479" w:rsidRPr="001C35E3" w:rsidRDefault="000A5479" w:rsidP="003829F6">
            <w:pPr>
              <w:keepNext/>
              <w:keepLines/>
              <w:spacing w:before="40" w:after="120"/>
              <w:ind w:right="113"/>
            </w:pPr>
            <w:r w:rsidRPr="001C35E3">
              <w:rPr>
                <w:b/>
                <w:i/>
              </w:rPr>
              <w:t>11.2</w:t>
            </w:r>
            <w:r w:rsidRPr="001C35E3">
              <w:rPr>
                <w:b/>
                <w:i/>
              </w:rPr>
              <w:tab/>
              <w:t xml:space="preserve">By 2030, provide access to safe, affordable, accessible and sustainable transport systems for all, improving road safety, notably by expanding public transport, with special attention to the needs of those in vulnerable situations, women, </w:t>
            </w:r>
            <w:proofErr w:type="gramStart"/>
            <w:r w:rsidRPr="001C35E3">
              <w:rPr>
                <w:b/>
                <w:i/>
              </w:rPr>
              <w:t>children</w:t>
            </w:r>
            <w:proofErr w:type="gramEnd"/>
            <w:r w:rsidRPr="001C35E3">
              <w:rPr>
                <w:b/>
                <w:i/>
              </w:rPr>
              <w:t>, persons with disabilities and older persons.</w:t>
            </w:r>
          </w:p>
        </w:tc>
      </w:tr>
      <w:tr w:rsidR="000A5479" w:rsidRPr="001C35E3" w:rsidTr="000A5479">
        <w:tc>
          <w:tcPr>
            <w:tcW w:w="7370" w:type="dxa"/>
            <w:shd w:val="clear" w:color="auto" w:fill="auto"/>
          </w:tcPr>
          <w:p w:rsidR="000A5479" w:rsidRPr="001C35E3" w:rsidRDefault="000A5479" w:rsidP="000A5479">
            <w:pPr>
              <w:spacing w:before="40" w:after="120"/>
              <w:ind w:right="113"/>
            </w:pPr>
            <w:r w:rsidRPr="001C35E3">
              <w:rPr>
                <w:u w:val="single"/>
              </w:rPr>
              <w:t>Original indicator</w:t>
            </w:r>
            <w:r w:rsidRPr="001C35E3">
              <w:rPr>
                <w:b/>
              </w:rPr>
              <w:t xml:space="preserve">: </w:t>
            </w:r>
            <w:r w:rsidRPr="001C35E3">
              <w:t>Proportion of the population that has a public transit stop within 0.5 km</w:t>
            </w:r>
          </w:p>
        </w:tc>
      </w:tr>
      <w:tr w:rsidR="000A5479" w:rsidRPr="001C35E3" w:rsidTr="000A5479">
        <w:tc>
          <w:tcPr>
            <w:tcW w:w="7370" w:type="dxa"/>
            <w:shd w:val="clear" w:color="auto" w:fill="auto"/>
          </w:tcPr>
          <w:p w:rsidR="000A5479" w:rsidRPr="001C35E3" w:rsidRDefault="000A5479" w:rsidP="000A5479">
            <w:pPr>
              <w:spacing w:before="40" w:after="120"/>
              <w:ind w:right="113"/>
            </w:pPr>
            <w:r w:rsidRPr="001C35E3">
              <w:rPr>
                <w:u w:val="single"/>
              </w:rPr>
              <w:t>Proposed modification/alternative indicator or additional indicator:</w:t>
            </w:r>
            <w:r w:rsidRPr="001C35E3">
              <w:rPr>
                <w:b/>
              </w:rPr>
              <w:t xml:space="preserve"> </w:t>
            </w:r>
            <w:r w:rsidRPr="001C35E3">
              <w:t>Proportion of the population that has convenient access to public transport [</w:t>
            </w:r>
            <w:r w:rsidRPr="001C35E3">
              <w:rPr>
                <w:b/>
              </w:rPr>
              <w:t>NB: Agreed</w:t>
            </w:r>
            <w:r w:rsidRPr="001C35E3">
              <w:t>]</w:t>
            </w:r>
          </w:p>
        </w:tc>
      </w:tr>
      <w:tr w:rsidR="000A5479" w:rsidRPr="001C35E3" w:rsidTr="000A5479">
        <w:tc>
          <w:tcPr>
            <w:tcW w:w="7370" w:type="dxa"/>
            <w:shd w:val="clear" w:color="auto" w:fill="auto"/>
          </w:tcPr>
          <w:p w:rsidR="000A5479" w:rsidRPr="001C35E3" w:rsidRDefault="000A5479" w:rsidP="000A5479">
            <w:pPr>
              <w:spacing w:before="40" w:after="120"/>
              <w:ind w:right="113"/>
            </w:pPr>
            <w:r w:rsidRPr="001C35E3">
              <w:t>The ITC provides best practices and policies for the development of sustainable urban transport systems, i.e. systems that are efficient, interconnected, affordable, safe and environmentally friendly allowing greater wider mobility and access for all within dense urban environments.</w:t>
            </w:r>
          </w:p>
        </w:tc>
      </w:tr>
      <w:tr w:rsidR="000A5479" w:rsidRPr="001C35E3" w:rsidTr="007C3110">
        <w:tc>
          <w:tcPr>
            <w:tcW w:w="7370" w:type="dxa"/>
            <w:tcBorders>
              <w:bottom w:val="single" w:sz="12" w:space="0" w:color="auto"/>
            </w:tcBorders>
            <w:shd w:val="clear" w:color="auto" w:fill="auto"/>
          </w:tcPr>
          <w:p w:rsidR="000A5479" w:rsidRPr="001C35E3" w:rsidRDefault="000A5479" w:rsidP="000A5479">
            <w:pPr>
              <w:spacing w:before="40" w:after="120"/>
              <w:ind w:right="113"/>
            </w:pPr>
          </w:p>
        </w:tc>
      </w:tr>
      <w:tr w:rsidR="000A5479" w:rsidRPr="001C35E3" w:rsidTr="007C3110">
        <w:tc>
          <w:tcPr>
            <w:tcW w:w="7370" w:type="dxa"/>
            <w:tcBorders>
              <w:top w:val="single" w:sz="12" w:space="0" w:color="auto"/>
              <w:bottom w:val="single" w:sz="4" w:space="0" w:color="auto"/>
            </w:tcBorders>
            <w:shd w:val="clear" w:color="auto" w:fill="auto"/>
          </w:tcPr>
          <w:p w:rsidR="000A5479" w:rsidRPr="001C35E3" w:rsidRDefault="000A5479" w:rsidP="004343CD">
            <w:pPr>
              <w:keepNext/>
              <w:keepLines/>
              <w:spacing w:before="40" w:after="120"/>
              <w:ind w:right="113"/>
            </w:pPr>
            <w:proofErr w:type="gramStart"/>
            <w:r w:rsidRPr="001C35E3">
              <w:rPr>
                <w:b/>
              </w:rPr>
              <w:t>Goal 13.</w:t>
            </w:r>
            <w:proofErr w:type="gramEnd"/>
            <w:r w:rsidRPr="001C35E3">
              <w:rPr>
                <w:b/>
              </w:rPr>
              <w:tab/>
              <w:t>Take urgent action to combat climate change and its impacts</w:t>
            </w:r>
          </w:p>
        </w:tc>
      </w:tr>
      <w:tr w:rsidR="000A5479" w:rsidRPr="001C35E3" w:rsidTr="007C3110">
        <w:tc>
          <w:tcPr>
            <w:tcW w:w="7370" w:type="dxa"/>
            <w:tcBorders>
              <w:top w:val="single" w:sz="4" w:space="0" w:color="auto"/>
            </w:tcBorders>
            <w:shd w:val="clear" w:color="auto" w:fill="auto"/>
          </w:tcPr>
          <w:p w:rsidR="000A5479" w:rsidRPr="001C35E3" w:rsidRDefault="000A5479" w:rsidP="004343CD">
            <w:pPr>
              <w:keepNext/>
              <w:keepLines/>
              <w:spacing w:before="40" w:after="120"/>
              <w:ind w:right="113"/>
            </w:pPr>
            <w:r w:rsidRPr="001C35E3">
              <w:rPr>
                <w:b/>
                <w:i/>
              </w:rPr>
              <w:t>13.2</w:t>
            </w:r>
            <w:r w:rsidRPr="001C35E3">
              <w:rPr>
                <w:b/>
                <w:i/>
              </w:rPr>
              <w:tab/>
              <w:t>Integrate climate change measures into national policies, strategies and planning.</w:t>
            </w:r>
          </w:p>
        </w:tc>
      </w:tr>
      <w:tr w:rsidR="000A5479" w:rsidRPr="001C35E3" w:rsidTr="000A5479">
        <w:tc>
          <w:tcPr>
            <w:tcW w:w="7370" w:type="dxa"/>
            <w:shd w:val="clear" w:color="auto" w:fill="auto"/>
          </w:tcPr>
          <w:p w:rsidR="000A5479" w:rsidRPr="001C35E3" w:rsidRDefault="000A5479" w:rsidP="000A5479">
            <w:pPr>
              <w:spacing w:before="40" w:after="120"/>
              <w:ind w:right="113"/>
            </w:pPr>
            <w:r w:rsidRPr="001C35E3">
              <w:rPr>
                <w:u w:val="single"/>
              </w:rPr>
              <w:t>Original indicator</w:t>
            </w:r>
            <w:r w:rsidRPr="001C35E3">
              <w:t>: Number of countries that have formally communicated the establishment of integrated low-carbon, climate-resilient, disaster risk reduction development strategies (e.g. a national adaptation plan process, national policies and measures to promote transition to environmentally</w:t>
            </w:r>
            <w:r w:rsidR="006F1259">
              <w:t xml:space="preserve"> </w:t>
            </w:r>
            <w:r w:rsidRPr="001C35E3">
              <w:t>friendly substances and technologies) [</w:t>
            </w:r>
            <w:r w:rsidRPr="001C35E3">
              <w:rPr>
                <w:b/>
              </w:rPr>
              <w:t>NB: No agreement</w:t>
            </w:r>
            <w:r w:rsidRPr="001C35E3">
              <w:t>]</w:t>
            </w:r>
          </w:p>
        </w:tc>
      </w:tr>
      <w:tr w:rsidR="000A5479" w:rsidRPr="001C35E3" w:rsidTr="000A5479">
        <w:tc>
          <w:tcPr>
            <w:tcW w:w="7370" w:type="dxa"/>
            <w:shd w:val="clear" w:color="auto" w:fill="auto"/>
          </w:tcPr>
          <w:p w:rsidR="000A5479" w:rsidRPr="001C35E3" w:rsidRDefault="000A5479" w:rsidP="00F4763F">
            <w:pPr>
              <w:spacing w:before="40" w:after="120"/>
              <w:ind w:right="113"/>
            </w:pPr>
            <w:r w:rsidRPr="001C35E3">
              <w:t>The ITC and its subsidiary bodies provide a platform to share best practices and policy recommendations for adapting inland transport to withstand and reduce the effects of climate change, as well as sound policy inputs in mitigating climate change through the development of tools</w:t>
            </w:r>
            <w:r w:rsidR="006F1259">
              <w:t xml:space="preserve">.  For example, </w:t>
            </w:r>
            <w:proofErr w:type="spellStart"/>
            <w:r w:rsidR="006F1259" w:rsidRPr="001C35E3">
              <w:t>ForFITS</w:t>
            </w:r>
            <w:proofErr w:type="spellEnd"/>
            <w:r w:rsidR="006F1259" w:rsidRPr="001C35E3" w:rsidDel="006F1259">
              <w:t xml:space="preserve"> </w:t>
            </w:r>
            <w:r w:rsidR="00F4763F">
              <w:t>is a tool for</w:t>
            </w:r>
            <w:r w:rsidR="00F4763F" w:rsidRPr="001C35E3">
              <w:t xml:space="preserve"> </w:t>
            </w:r>
            <w:r w:rsidRPr="001C35E3">
              <w:t xml:space="preserve">governments </w:t>
            </w:r>
            <w:r w:rsidR="00F4763F">
              <w:t xml:space="preserve">to </w:t>
            </w:r>
            <w:r w:rsidR="006F1259">
              <w:t xml:space="preserve">make </w:t>
            </w:r>
            <w:r w:rsidRPr="001C35E3">
              <w:t xml:space="preserve">informed </w:t>
            </w:r>
            <w:r w:rsidR="006F1259">
              <w:t xml:space="preserve">choices </w:t>
            </w:r>
            <w:r w:rsidRPr="001C35E3">
              <w:t>of the most effective policies when designing low CO</w:t>
            </w:r>
            <w:r w:rsidRPr="001C35E3">
              <w:rPr>
                <w:vertAlign w:val="subscript"/>
              </w:rPr>
              <w:t>2</w:t>
            </w:r>
            <w:r w:rsidRPr="001C35E3">
              <w:t xml:space="preserve"> transport systems.</w:t>
            </w:r>
          </w:p>
        </w:tc>
      </w:tr>
      <w:tr w:rsidR="000A5479" w:rsidRPr="001C35E3" w:rsidTr="000A5479">
        <w:tc>
          <w:tcPr>
            <w:tcW w:w="7370" w:type="dxa"/>
            <w:tcBorders>
              <w:bottom w:val="single" w:sz="12" w:space="0" w:color="auto"/>
            </w:tcBorders>
            <w:shd w:val="clear" w:color="auto" w:fill="auto"/>
          </w:tcPr>
          <w:p w:rsidR="000A5479" w:rsidRPr="001C35E3" w:rsidRDefault="000A5479" w:rsidP="000A5479">
            <w:pPr>
              <w:spacing w:before="40" w:after="120"/>
              <w:ind w:right="113"/>
            </w:pPr>
          </w:p>
        </w:tc>
      </w:tr>
    </w:tbl>
    <w:p w:rsidR="005C0C1C" w:rsidRPr="001C35E3" w:rsidRDefault="000A5479" w:rsidP="000A5479">
      <w:pPr>
        <w:pStyle w:val="SingleTxtG"/>
        <w:spacing w:before="240" w:after="0"/>
        <w:jc w:val="center"/>
      </w:pPr>
      <w:r w:rsidRPr="001C35E3">
        <w:rPr>
          <w:u w:val="single"/>
        </w:rPr>
        <w:tab/>
      </w:r>
      <w:r w:rsidRPr="001C35E3">
        <w:rPr>
          <w:u w:val="single"/>
        </w:rPr>
        <w:tab/>
      </w:r>
      <w:r w:rsidRPr="001C35E3">
        <w:rPr>
          <w:u w:val="single"/>
        </w:rPr>
        <w:tab/>
      </w:r>
    </w:p>
    <w:sectPr w:rsidR="005C0C1C" w:rsidRPr="001C35E3" w:rsidSect="003A5F98">
      <w:headerReference w:type="even" r:id="rId10"/>
      <w:headerReference w:type="default" r:id="rId11"/>
      <w:footerReference w:type="even" r:id="rId12"/>
      <w:footerReference w:type="defaul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650" w:rsidRDefault="00D10650"/>
  </w:endnote>
  <w:endnote w:type="continuationSeparator" w:id="0">
    <w:p w:rsidR="00D10650" w:rsidRDefault="00D10650"/>
  </w:endnote>
  <w:endnote w:type="continuationNotice" w:id="1">
    <w:p w:rsidR="00D10650" w:rsidRDefault="00D106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F98" w:rsidRPr="003A5F98" w:rsidRDefault="003A5F98" w:rsidP="003A5F98">
    <w:pPr>
      <w:pStyle w:val="Footer"/>
      <w:tabs>
        <w:tab w:val="right" w:pos="9638"/>
      </w:tabs>
      <w:rPr>
        <w:sz w:val="18"/>
      </w:rPr>
    </w:pPr>
    <w:r w:rsidRPr="003A5F98">
      <w:rPr>
        <w:b/>
        <w:sz w:val="18"/>
      </w:rPr>
      <w:fldChar w:fldCharType="begin"/>
    </w:r>
    <w:r w:rsidRPr="003A5F98">
      <w:rPr>
        <w:b/>
        <w:sz w:val="18"/>
      </w:rPr>
      <w:instrText xml:space="preserve"> PAGE  \* MERGEFORMAT </w:instrText>
    </w:r>
    <w:r w:rsidRPr="003A5F98">
      <w:rPr>
        <w:b/>
        <w:sz w:val="18"/>
      </w:rPr>
      <w:fldChar w:fldCharType="separate"/>
    </w:r>
    <w:r w:rsidR="00E618BF">
      <w:rPr>
        <w:b/>
        <w:noProof/>
        <w:sz w:val="18"/>
      </w:rPr>
      <w:t>4</w:t>
    </w:r>
    <w:r w:rsidRPr="003A5F98">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F98" w:rsidRPr="003A5F98" w:rsidRDefault="003A5F98" w:rsidP="003A5F98">
    <w:pPr>
      <w:pStyle w:val="Footer"/>
      <w:tabs>
        <w:tab w:val="right" w:pos="9638"/>
      </w:tabs>
      <w:rPr>
        <w:b/>
        <w:sz w:val="18"/>
      </w:rPr>
    </w:pPr>
    <w:r>
      <w:tab/>
    </w:r>
    <w:r w:rsidRPr="003A5F98">
      <w:rPr>
        <w:b/>
        <w:sz w:val="18"/>
      </w:rPr>
      <w:fldChar w:fldCharType="begin"/>
    </w:r>
    <w:r w:rsidRPr="003A5F98">
      <w:rPr>
        <w:b/>
        <w:sz w:val="18"/>
      </w:rPr>
      <w:instrText xml:space="preserve"> PAGE  \* MERGEFORMAT </w:instrText>
    </w:r>
    <w:r w:rsidRPr="003A5F98">
      <w:rPr>
        <w:b/>
        <w:sz w:val="18"/>
      </w:rPr>
      <w:fldChar w:fldCharType="separate"/>
    </w:r>
    <w:r w:rsidR="00E618BF">
      <w:rPr>
        <w:b/>
        <w:noProof/>
        <w:sz w:val="18"/>
      </w:rPr>
      <w:t>3</w:t>
    </w:r>
    <w:r w:rsidRPr="003A5F98">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650" w:rsidRPr="000B175B" w:rsidRDefault="00D10650" w:rsidP="000B175B">
      <w:pPr>
        <w:tabs>
          <w:tab w:val="right" w:pos="2155"/>
        </w:tabs>
        <w:spacing w:after="80"/>
        <w:ind w:left="680"/>
        <w:rPr>
          <w:u w:val="single"/>
        </w:rPr>
      </w:pPr>
      <w:r>
        <w:rPr>
          <w:u w:val="single"/>
        </w:rPr>
        <w:tab/>
      </w:r>
    </w:p>
  </w:footnote>
  <w:footnote w:type="continuationSeparator" w:id="0">
    <w:p w:rsidR="00D10650" w:rsidRPr="00FC68B7" w:rsidRDefault="00D10650" w:rsidP="00FC68B7">
      <w:pPr>
        <w:tabs>
          <w:tab w:val="left" w:pos="2155"/>
        </w:tabs>
        <w:spacing w:after="80"/>
        <w:ind w:left="680"/>
        <w:rPr>
          <w:u w:val="single"/>
        </w:rPr>
      </w:pPr>
      <w:r>
        <w:rPr>
          <w:u w:val="single"/>
        </w:rPr>
        <w:tab/>
      </w:r>
    </w:p>
  </w:footnote>
  <w:footnote w:type="continuationNotice" w:id="1">
    <w:p w:rsidR="00D10650" w:rsidRDefault="00D10650"/>
  </w:footnote>
  <w:footnote w:id="2">
    <w:p w:rsidR="00636865" w:rsidRPr="00636865" w:rsidRDefault="00636865" w:rsidP="00636865">
      <w:pPr>
        <w:pStyle w:val="FootnoteText"/>
        <w:widowControl w:val="0"/>
        <w:tabs>
          <w:tab w:val="clear" w:pos="1021"/>
          <w:tab w:val="right" w:pos="1020"/>
        </w:tabs>
        <w:rPr>
          <w:lang w:val="en-US"/>
        </w:rPr>
      </w:pPr>
      <w:r>
        <w:tab/>
      </w:r>
      <w:r>
        <w:rPr>
          <w:rStyle w:val="FootnoteReference"/>
        </w:rPr>
        <w:footnoteRef/>
      </w:r>
      <w:r>
        <w:tab/>
      </w:r>
      <w:r w:rsidRPr="00636865">
        <w:t>By 2030, substantially reduce the number of deaths and illnesses from hazardous chemicals and air, water and soil pollution and contamination.</w:t>
      </w:r>
    </w:p>
  </w:footnote>
  <w:footnote w:id="3">
    <w:p w:rsidR="00636865" w:rsidRPr="00636865" w:rsidRDefault="00636865" w:rsidP="00636865">
      <w:pPr>
        <w:pStyle w:val="FootnoteText"/>
        <w:widowControl w:val="0"/>
        <w:tabs>
          <w:tab w:val="clear" w:pos="1021"/>
          <w:tab w:val="right" w:pos="1020"/>
        </w:tabs>
        <w:rPr>
          <w:lang w:val="en-US"/>
        </w:rPr>
      </w:pPr>
      <w:r>
        <w:tab/>
      </w:r>
      <w:r>
        <w:rPr>
          <w:rStyle w:val="FootnoteReference"/>
        </w:rPr>
        <w:footnoteRef/>
      </w:r>
      <w:r>
        <w:tab/>
      </w:r>
      <w:r w:rsidRPr="00636865">
        <w:t>By 2030, improve water quality by reducing pollution, eliminating dumping and minimizing release of hazardous chemicals and materials, halving the proportion of untreated wastewater and substantially increasing recycling and safe reuse globally.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F98" w:rsidRPr="003A5F98" w:rsidRDefault="003A5F98">
    <w:pPr>
      <w:pStyle w:val="Header"/>
    </w:pPr>
    <w:r>
      <w:t>ECE/TRANS/2016/</w:t>
    </w:r>
    <w:r w:rsidR="007255BE">
      <w:t>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F98" w:rsidRPr="003A5F98" w:rsidRDefault="003A5F98" w:rsidP="003A5F98">
    <w:pPr>
      <w:pStyle w:val="Header"/>
      <w:jc w:val="right"/>
    </w:pPr>
    <w:r>
      <w:t>ECE/TRANS/2016/</w:t>
    </w:r>
    <w:r w:rsidR="007255BE">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B3E1B79"/>
    <w:multiLevelType w:val="hybridMultilevel"/>
    <w:tmpl w:val="80328FE8"/>
    <w:lvl w:ilvl="0" w:tplc="BB16C6AE">
      <w:start w:val="13"/>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7">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0"/>
  </w:num>
  <w:num w:numId="14">
    <w:abstractNumId w:val="11"/>
  </w:num>
  <w:num w:numId="15">
    <w:abstractNumId w:val="15"/>
  </w:num>
  <w:num w:numId="16">
    <w:abstractNumId w:val="12"/>
  </w:num>
  <w:num w:numId="17">
    <w:abstractNumId w:val="17"/>
  </w:num>
  <w:num w:numId="18">
    <w:abstractNumId w:val="18"/>
  </w:num>
  <w:num w:numId="19">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F98"/>
    <w:rsid w:val="00002A7D"/>
    <w:rsid w:val="000038A8"/>
    <w:rsid w:val="00006790"/>
    <w:rsid w:val="00027624"/>
    <w:rsid w:val="00036E15"/>
    <w:rsid w:val="000401B9"/>
    <w:rsid w:val="00050F6B"/>
    <w:rsid w:val="000678CD"/>
    <w:rsid w:val="00072C8C"/>
    <w:rsid w:val="00081CE0"/>
    <w:rsid w:val="00084D30"/>
    <w:rsid w:val="00090320"/>
    <w:rsid w:val="000931C0"/>
    <w:rsid w:val="000A2E09"/>
    <w:rsid w:val="000A5479"/>
    <w:rsid w:val="000B175B"/>
    <w:rsid w:val="000B3A0F"/>
    <w:rsid w:val="000E0415"/>
    <w:rsid w:val="000F7715"/>
    <w:rsid w:val="00156B99"/>
    <w:rsid w:val="00166124"/>
    <w:rsid w:val="00184DDA"/>
    <w:rsid w:val="001900CD"/>
    <w:rsid w:val="001A0452"/>
    <w:rsid w:val="001B4B04"/>
    <w:rsid w:val="001B5875"/>
    <w:rsid w:val="001C35E3"/>
    <w:rsid w:val="001C4B9C"/>
    <w:rsid w:val="001C6663"/>
    <w:rsid w:val="001C7895"/>
    <w:rsid w:val="001D26DF"/>
    <w:rsid w:val="001F1599"/>
    <w:rsid w:val="001F19C4"/>
    <w:rsid w:val="002043F0"/>
    <w:rsid w:val="00211E0B"/>
    <w:rsid w:val="00232575"/>
    <w:rsid w:val="00242C3D"/>
    <w:rsid w:val="00247258"/>
    <w:rsid w:val="00257CAC"/>
    <w:rsid w:val="0027237A"/>
    <w:rsid w:val="002974E9"/>
    <w:rsid w:val="002A7F94"/>
    <w:rsid w:val="002B109A"/>
    <w:rsid w:val="002B68B2"/>
    <w:rsid w:val="002C6D45"/>
    <w:rsid w:val="002D6E53"/>
    <w:rsid w:val="002F046D"/>
    <w:rsid w:val="002F50C2"/>
    <w:rsid w:val="00301764"/>
    <w:rsid w:val="003229D8"/>
    <w:rsid w:val="00336C97"/>
    <w:rsid w:val="00337F88"/>
    <w:rsid w:val="00342432"/>
    <w:rsid w:val="0035223F"/>
    <w:rsid w:val="00352D4B"/>
    <w:rsid w:val="0035638C"/>
    <w:rsid w:val="003672C4"/>
    <w:rsid w:val="003829F6"/>
    <w:rsid w:val="003A46BB"/>
    <w:rsid w:val="003A4EC7"/>
    <w:rsid w:val="003A5F98"/>
    <w:rsid w:val="003A7295"/>
    <w:rsid w:val="003B1F60"/>
    <w:rsid w:val="003C2CC4"/>
    <w:rsid w:val="003D4B23"/>
    <w:rsid w:val="003E278A"/>
    <w:rsid w:val="003E5468"/>
    <w:rsid w:val="00402319"/>
    <w:rsid w:val="00413520"/>
    <w:rsid w:val="004325CB"/>
    <w:rsid w:val="004343CD"/>
    <w:rsid w:val="00436585"/>
    <w:rsid w:val="00440A07"/>
    <w:rsid w:val="00462880"/>
    <w:rsid w:val="00476F24"/>
    <w:rsid w:val="004C55B0"/>
    <w:rsid w:val="004E7814"/>
    <w:rsid w:val="004F6BA0"/>
    <w:rsid w:val="00503BEA"/>
    <w:rsid w:val="00511975"/>
    <w:rsid w:val="00533616"/>
    <w:rsid w:val="00535ABA"/>
    <w:rsid w:val="0053768B"/>
    <w:rsid w:val="005420F2"/>
    <w:rsid w:val="0054285C"/>
    <w:rsid w:val="00584173"/>
    <w:rsid w:val="00595520"/>
    <w:rsid w:val="005A44B9"/>
    <w:rsid w:val="005B1BA0"/>
    <w:rsid w:val="005B3DB3"/>
    <w:rsid w:val="005C0C1C"/>
    <w:rsid w:val="005D15CA"/>
    <w:rsid w:val="005F0C9A"/>
    <w:rsid w:val="005F3066"/>
    <w:rsid w:val="005F3E61"/>
    <w:rsid w:val="00604DDD"/>
    <w:rsid w:val="006115CC"/>
    <w:rsid w:val="00611FC4"/>
    <w:rsid w:val="006176FB"/>
    <w:rsid w:val="00630FCB"/>
    <w:rsid w:val="00636865"/>
    <w:rsid w:val="00640B26"/>
    <w:rsid w:val="006770B2"/>
    <w:rsid w:val="006940E1"/>
    <w:rsid w:val="006A3C72"/>
    <w:rsid w:val="006A7392"/>
    <w:rsid w:val="006B03A1"/>
    <w:rsid w:val="006B67D9"/>
    <w:rsid w:val="006C5535"/>
    <w:rsid w:val="006D0589"/>
    <w:rsid w:val="006E564B"/>
    <w:rsid w:val="006E7154"/>
    <w:rsid w:val="006F1259"/>
    <w:rsid w:val="007003CD"/>
    <w:rsid w:val="0070701E"/>
    <w:rsid w:val="00712749"/>
    <w:rsid w:val="007255BE"/>
    <w:rsid w:val="0072632A"/>
    <w:rsid w:val="00733C01"/>
    <w:rsid w:val="007358E8"/>
    <w:rsid w:val="00736ECE"/>
    <w:rsid w:val="0074533B"/>
    <w:rsid w:val="007643BC"/>
    <w:rsid w:val="007959FE"/>
    <w:rsid w:val="007A0CF1"/>
    <w:rsid w:val="007B6BA5"/>
    <w:rsid w:val="007C3110"/>
    <w:rsid w:val="007C3390"/>
    <w:rsid w:val="007C42D8"/>
    <w:rsid w:val="007C4F4B"/>
    <w:rsid w:val="007C7B94"/>
    <w:rsid w:val="007D7362"/>
    <w:rsid w:val="007E6A9B"/>
    <w:rsid w:val="007F33C7"/>
    <w:rsid w:val="007F5CE2"/>
    <w:rsid w:val="007F6611"/>
    <w:rsid w:val="00810BAC"/>
    <w:rsid w:val="008175E9"/>
    <w:rsid w:val="008242D7"/>
    <w:rsid w:val="0082577B"/>
    <w:rsid w:val="008472FC"/>
    <w:rsid w:val="00866893"/>
    <w:rsid w:val="00866F02"/>
    <w:rsid w:val="00867D18"/>
    <w:rsid w:val="00871F9A"/>
    <w:rsid w:val="00871FD5"/>
    <w:rsid w:val="0088172E"/>
    <w:rsid w:val="00881EFA"/>
    <w:rsid w:val="008879CB"/>
    <w:rsid w:val="008936BA"/>
    <w:rsid w:val="008979B1"/>
    <w:rsid w:val="008A6B25"/>
    <w:rsid w:val="008A6C4F"/>
    <w:rsid w:val="008B389E"/>
    <w:rsid w:val="008D045E"/>
    <w:rsid w:val="008D3F25"/>
    <w:rsid w:val="008D4D82"/>
    <w:rsid w:val="008E0E46"/>
    <w:rsid w:val="008E7116"/>
    <w:rsid w:val="008F143B"/>
    <w:rsid w:val="008F3882"/>
    <w:rsid w:val="008F4B7C"/>
    <w:rsid w:val="00926E47"/>
    <w:rsid w:val="00947162"/>
    <w:rsid w:val="00955583"/>
    <w:rsid w:val="009610D0"/>
    <w:rsid w:val="00962482"/>
    <w:rsid w:val="0096375C"/>
    <w:rsid w:val="009662E6"/>
    <w:rsid w:val="0097095E"/>
    <w:rsid w:val="0098592B"/>
    <w:rsid w:val="00985FC4"/>
    <w:rsid w:val="00990766"/>
    <w:rsid w:val="00991261"/>
    <w:rsid w:val="009964C4"/>
    <w:rsid w:val="009A431C"/>
    <w:rsid w:val="009A7B81"/>
    <w:rsid w:val="009D01C0"/>
    <w:rsid w:val="009D6A08"/>
    <w:rsid w:val="009E0A16"/>
    <w:rsid w:val="009E6CB7"/>
    <w:rsid w:val="009E7970"/>
    <w:rsid w:val="009F2EAC"/>
    <w:rsid w:val="009F57E3"/>
    <w:rsid w:val="00A10F4F"/>
    <w:rsid w:val="00A11067"/>
    <w:rsid w:val="00A11C60"/>
    <w:rsid w:val="00A1704A"/>
    <w:rsid w:val="00A425EB"/>
    <w:rsid w:val="00A72F22"/>
    <w:rsid w:val="00A733BC"/>
    <w:rsid w:val="00A748A6"/>
    <w:rsid w:val="00A76A69"/>
    <w:rsid w:val="00A80CA7"/>
    <w:rsid w:val="00A879A4"/>
    <w:rsid w:val="00A94204"/>
    <w:rsid w:val="00A94BB5"/>
    <w:rsid w:val="00AA0FF8"/>
    <w:rsid w:val="00AC0F2C"/>
    <w:rsid w:val="00AC502A"/>
    <w:rsid w:val="00AD735C"/>
    <w:rsid w:val="00AF58C1"/>
    <w:rsid w:val="00B04A3F"/>
    <w:rsid w:val="00B06643"/>
    <w:rsid w:val="00B115D1"/>
    <w:rsid w:val="00B15055"/>
    <w:rsid w:val="00B2499F"/>
    <w:rsid w:val="00B30179"/>
    <w:rsid w:val="00B37B15"/>
    <w:rsid w:val="00B45C02"/>
    <w:rsid w:val="00B57971"/>
    <w:rsid w:val="00B72A1E"/>
    <w:rsid w:val="00B74E70"/>
    <w:rsid w:val="00B81E12"/>
    <w:rsid w:val="00BA339B"/>
    <w:rsid w:val="00BA4B02"/>
    <w:rsid w:val="00BB06C6"/>
    <w:rsid w:val="00BC1E7E"/>
    <w:rsid w:val="00BC74E9"/>
    <w:rsid w:val="00BC7735"/>
    <w:rsid w:val="00BC7F91"/>
    <w:rsid w:val="00BE36A9"/>
    <w:rsid w:val="00BE618E"/>
    <w:rsid w:val="00BE7BEC"/>
    <w:rsid w:val="00BF0A5A"/>
    <w:rsid w:val="00BF0E63"/>
    <w:rsid w:val="00BF12A3"/>
    <w:rsid w:val="00BF16D7"/>
    <w:rsid w:val="00BF2373"/>
    <w:rsid w:val="00C044E2"/>
    <w:rsid w:val="00C048CB"/>
    <w:rsid w:val="00C066F3"/>
    <w:rsid w:val="00C211BA"/>
    <w:rsid w:val="00C22F0E"/>
    <w:rsid w:val="00C415E2"/>
    <w:rsid w:val="00C463DD"/>
    <w:rsid w:val="00C745C3"/>
    <w:rsid w:val="00C97FE6"/>
    <w:rsid w:val="00CA24A4"/>
    <w:rsid w:val="00CB348D"/>
    <w:rsid w:val="00CD46F5"/>
    <w:rsid w:val="00CD49C5"/>
    <w:rsid w:val="00CE0B34"/>
    <w:rsid w:val="00CE4A8F"/>
    <w:rsid w:val="00CF071D"/>
    <w:rsid w:val="00D10650"/>
    <w:rsid w:val="00D15B04"/>
    <w:rsid w:val="00D2031B"/>
    <w:rsid w:val="00D25FE2"/>
    <w:rsid w:val="00D3685B"/>
    <w:rsid w:val="00D37DA9"/>
    <w:rsid w:val="00D37E2E"/>
    <w:rsid w:val="00D406A7"/>
    <w:rsid w:val="00D43252"/>
    <w:rsid w:val="00D44D86"/>
    <w:rsid w:val="00D50B7D"/>
    <w:rsid w:val="00D52012"/>
    <w:rsid w:val="00D704E5"/>
    <w:rsid w:val="00D72727"/>
    <w:rsid w:val="00D978C6"/>
    <w:rsid w:val="00DA0956"/>
    <w:rsid w:val="00DA357F"/>
    <w:rsid w:val="00DA3E12"/>
    <w:rsid w:val="00DC18AD"/>
    <w:rsid w:val="00DD3760"/>
    <w:rsid w:val="00DF7CAE"/>
    <w:rsid w:val="00E423C0"/>
    <w:rsid w:val="00E618BF"/>
    <w:rsid w:val="00E6414C"/>
    <w:rsid w:val="00E7260F"/>
    <w:rsid w:val="00E8702D"/>
    <w:rsid w:val="00E916A9"/>
    <w:rsid w:val="00E916DE"/>
    <w:rsid w:val="00E925AD"/>
    <w:rsid w:val="00E96630"/>
    <w:rsid w:val="00ED18DC"/>
    <w:rsid w:val="00ED6201"/>
    <w:rsid w:val="00ED7A2A"/>
    <w:rsid w:val="00EF1D7F"/>
    <w:rsid w:val="00EF6955"/>
    <w:rsid w:val="00F0137E"/>
    <w:rsid w:val="00F21786"/>
    <w:rsid w:val="00F3742B"/>
    <w:rsid w:val="00F41FDB"/>
    <w:rsid w:val="00F4763F"/>
    <w:rsid w:val="00F507EC"/>
    <w:rsid w:val="00F56D63"/>
    <w:rsid w:val="00F609A9"/>
    <w:rsid w:val="00F80C99"/>
    <w:rsid w:val="00F867EC"/>
    <w:rsid w:val="00F91B2B"/>
    <w:rsid w:val="00FA3F15"/>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basedOn w:val="DefaultParagraphFont"/>
    <w:rsid w:val="00E925AD"/>
    <w:rPr>
      <w:rFonts w:ascii="Times New Roman" w:hAnsi="Times New Roman"/>
      <w:sz w:val="18"/>
      <w:vertAlign w:val="superscript"/>
    </w:rPr>
  </w:style>
  <w:style w:type="paragraph" w:styleId="FootnoteText">
    <w:name w:val="footnote text"/>
    <w:aliases w:val="5_G"/>
    <w:basedOn w:val="Normal"/>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E925AD"/>
    <w:rPr>
      <w:color w:val="auto"/>
      <w:u w:val="none"/>
    </w:rPr>
  </w:style>
  <w:style w:type="paragraph" w:styleId="BalloonText">
    <w:name w:val="Balloon Text"/>
    <w:basedOn w:val="Normal"/>
    <w:link w:val="BalloonTextChar"/>
    <w:rsid w:val="003A5F9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A5F98"/>
    <w:rPr>
      <w:rFonts w:ascii="Tahoma" w:hAnsi="Tahoma" w:cs="Tahoma"/>
      <w:sz w:val="16"/>
      <w:szCs w:val="16"/>
      <w:lang w:eastAsia="en-US"/>
    </w:rPr>
  </w:style>
  <w:style w:type="character" w:customStyle="1" w:styleId="SingleTxtGChar">
    <w:name w:val="_ Single Txt_G Char"/>
    <w:link w:val="SingleTxtG"/>
    <w:rsid w:val="00CD49C5"/>
    <w:rPr>
      <w:lang w:eastAsia="en-US"/>
    </w:rPr>
  </w:style>
  <w:style w:type="character" w:styleId="CommentReference">
    <w:name w:val="annotation reference"/>
    <w:basedOn w:val="DefaultParagraphFont"/>
    <w:rsid w:val="001C35E3"/>
    <w:rPr>
      <w:sz w:val="16"/>
      <w:szCs w:val="16"/>
    </w:rPr>
  </w:style>
  <w:style w:type="paragraph" w:styleId="CommentText">
    <w:name w:val="annotation text"/>
    <w:basedOn w:val="Normal"/>
    <w:link w:val="CommentTextChar"/>
    <w:rsid w:val="001C35E3"/>
    <w:pPr>
      <w:spacing w:line="240" w:lineRule="auto"/>
    </w:pPr>
  </w:style>
  <w:style w:type="character" w:customStyle="1" w:styleId="CommentTextChar">
    <w:name w:val="Comment Text Char"/>
    <w:basedOn w:val="DefaultParagraphFont"/>
    <w:link w:val="CommentText"/>
    <w:rsid w:val="001C35E3"/>
    <w:rPr>
      <w:lang w:eastAsia="en-US"/>
    </w:rPr>
  </w:style>
  <w:style w:type="paragraph" w:styleId="CommentSubject">
    <w:name w:val="annotation subject"/>
    <w:basedOn w:val="CommentText"/>
    <w:next w:val="CommentText"/>
    <w:link w:val="CommentSubjectChar"/>
    <w:rsid w:val="001C35E3"/>
    <w:rPr>
      <w:b/>
      <w:bCs/>
    </w:rPr>
  </w:style>
  <w:style w:type="character" w:customStyle="1" w:styleId="CommentSubjectChar">
    <w:name w:val="Comment Subject Char"/>
    <w:basedOn w:val="CommentTextChar"/>
    <w:link w:val="CommentSubject"/>
    <w:rsid w:val="001C35E3"/>
    <w:rPr>
      <w:b/>
      <w:bCs/>
      <w:lang w:eastAsia="en-US"/>
    </w:rPr>
  </w:style>
  <w:style w:type="paragraph" w:styleId="Revision">
    <w:name w:val="Revision"/>
    <w:hidden/>
    <w:uiPriority w:val="99"/>
    <w:semiHidden/>
    <w:rsid w:val="001C35E3"/>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basedOn w:val="DefaultParagraphFont"/>
    <w:rsid w:val="00E925AD"/>
    <w:rPr>
      <w:rFonts w:ascii="Times New Roman" w:hAnsi="Times New Roman"/>
      <w:sz w:val="18"/>
      <w:vertAlign w:val="superscript"/>
    </w:rPr>
  </w:style>
  <w:style w:type="paragraph" w:styleId="FootnoteText">
    <w:name w:val="footnote text"/>
    <w:aliases w:val="5_G"/>
    <w:basedOn w:val="Normal"/>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E925AD"/>
    <w:rPr>
      <w:color w:val="auto"/>
      <w:u w:val="none"/>
    </w:rPr>
  </w:style>
  <w:style w:type="paragraph" w:styleId="BalloonText">
    <w:name w:val="Balloon Text"/>
    <w:basedOn w:val="Normal"/>
    <w:link w:val="BalloonTextChar"/>
    <w:rsid w:val="003A5F9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A5F98"/>
    <w:rPr>
      <w:rFonts w:ascii="Tahoma" w:hAnsi="Tahoma" w:cs="Tahoma"/>
      <w:sz w:val="16"/>
      <w:szCs w:val="16"/>
      <w:lang w:eastAsia="en-US"/>
    </w:rPr>
  </w:style>
  <w:style w:type="character" w:customStyle="1" w:styleId="SingleTxtGChar">
    <w:name w:val="_ Single Txt_G Char"/>
    <w:link w:val="SingleTxtG"/>
    <w:rsid w:val="00CD49C5"/>
    <w:rPr>
      <w:lang w:eastAsia="en-US"/>
    </w:rPr>
  </w:style>
  <w:style w:type="character" w:styleId="CommentReference">
    <w:name w:val="annotation reference"/>
    <w:basedOn w:val="DefaultParagraphFont"/>
    <w:rsid w:val="001C35E3"/>
    <w:rPr>
      <w:sz w:val="16"/>
      <w:szCs w:val="16"/>
    </w:rPr>
  </w:style>
  <w:style w:type="paragraph" w:styleId="CommentText">
    <w:name w:val="annotation text"/>
    <w:basedOn w:val="Normal"/>
    <w:link w:val="CommentTextChar"/>
    <w:rsid w:val="001C35E3"/>
    <w:pPr>
      <w:spacing w:line="240" w:lineRule="auto"/>
    </w:pPr>
  </w:style>
  <w:style w:type="character" w:customStyle="1" w:styleId="CommentTextChar">
    <w:name w:val="Comment Text Char"/>
    <w:basedOn w:val="DefaultParagraphFont"/>
    <w:link w:val="CommentText"/>
    <w:rsid w:val="001C35E3"/>
    <w:rPr>
      <w:lang w:eastAsia="en-US"/>
    </w:rPr>
  </w:style>
  <w:style w:type="paragraph" w:styleId="CommentSubject">
    <w:name w:val="annotation subject"/>
    <w:basedOn w:val="CommentText"/>
    <w:next w:val="CommentText"/>
    <w:link w:val="CommentSubjectChar"/>
    <w:rsid w:val="001C35E3"/>
    <w:rPr>
      <w:b/>
      <w:bCs/>
    </w:rPr>
  </w:style>
  <w:style w:type="character" w:customStyle="1" w:styleId="CommentSubjectChar">
    <w:name w:val="Comment Subject Char"/>
    <w:basedOn w:val="CommentTextChar"/>
    <w:link w:val="CommentSubject"/>
    <w:rsid w:val="001C35E3"/>
    <w:rPr>
      <w:b/>
      <w:bCs/>
      <w:lang w:eastAsia="en-US"/>
    </w:rPr>
  </w:style>
  <w:style w:type="paragraph" w:styleId="Revision">
    <w:name w:val="Revision"/>
    <w:hidden/>
    <w:uiPriority w:val="99"/>
    <w:semiHidden/>
    <w:rsid w:val="001C35E3"/>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inova.ECE-800531\AppData\Roaming\Microsoft\Templates\ECE+PlainPage\EC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95502A-1FE6-4630-AD7A-E681D1665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ECE_E</Template>
  <TotalTime>3</TotalTime>
  <Pages>5</Pages>
  <Words>1897</Words>
  <Characters>10787</Characters>
  <Application>Microsoft Office Word</Application>
  <DocSecurity>0</DocSecurity>
  <Lines>195</Lines>
  <Paragraphs>64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12657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Anastasia Barinova</dc:creator>
  <cp:lastModifiedBy>Anastasia Barinova</cp:lastModifiedBy>
  <cp:revision>8</cp:revision>
  <cp:lastPrinted>2015-11-26T16:38:00Z</cp:lastPrinted>
  <dcterms:created xsi:type="dcterms:W3CDTF">2015-12-14T10:49:00Z</dcterms:created>
  <dcterms:modified xsi:type="dcterms:W3CDTF">2015-12-14T10:52:00Z</dcterms:modified>
</cp:coreProperties>
</file>