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D9" w:rsidRPr="008512D5" w:rsidRDefault="00B731D9" w:rsidP="00B731D9">
      <w:pPr>
        <w:spacing w:line="60" w:lineRule="exact"/>
        <w:rPr>
          <w:color w:val="010000"/>
          <w:sz w:val="6"/>
        </w:rPr>
        <w:sectPr w:rsidR="00B731D9" w:rsidRPr="008512D5" w:rsidSect="00B731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8512D5">
        <w:rPr>
          <w:rStyle w:val="CommentReference"/>
        </w:rPr>
        <w:commentReference w:id="0"/>
      </w:r>
      <w:bookmarkStart w:id="1" w:name="_GoBack"/>
      <w:bookmarkEnd w:id="1"/>
    </w:p>
    <w:p w:rsidR="008512D5" w:rsidRPr="008512D5" w:rsidRDefault="008512D5" w:rsidP="008512D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bookmarkStart w:id="2" w:name="lt_pId000"/>
      <w:r w:rsidRPr="008512D5">
        <w:rPr>
          <w:sz w:val="28"/>
          <w:szCs w:val="28"/>
        </w:rPr>
        <w:lastRenderedPageBreak/>
        <w:t>Европейская экономическая комиссия</w:t>
      </w:r>
      <w:bookmarkEnd w:id="2"/>
    </w:p>
    <w:p w:rsidR="008512D5" w:rsidRPr="008512D5" w:rsidRDefault="008512D5" w:rsidP="008512D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szCs w:val="28"/>
        </w:rPr>
      </w:pPr>
      <w:bookmarkStart w:id="3" w:name="lt_pId001"/>
    </w:p>
    <w:p w:rsidR="008512D5" w:rsidRPr="008512D5" w:rsidRDefault="008512D5" w:rsidP="008512D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8512D5">
        <w:rPr>
          <w:b w:val="0"/>
          <w:sz w:val="28"/>
          <w:szCs w:val="28"/>
        </w:rPr>
        <w:t>Комитет по внутреннему транспорту</w:t>
      </w:r>
      <w:bookmarkEnd w:id="3"/>
    </w:p>
    <w:p w:rsidR="008512D5" w:rsidRPr="008512D5" w:rsidRDefault="008512D5" w:rsidP="008512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  <w:bookmarkStart w:id="4" w:name="lt_pId002"/>
    </w:p>
    <w:p w:rsidR="008512D5" w:rsidRPr="008512D5" w:rsidRDefault="008512D5" w:rsidP="008512D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512D5">
        <w:t>Семьдесят восьмая сессия</w:t>
      </w:r>
      <w:bookmarkEnd w:id="4"/>
    </w:p>
    <w:p w:rsidR="008512D5" w:rsidRPr="008512D5" w:rsidRDefault="008512D5" w:rsidP="008512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5" w:name="lt_pId003"/>
      <w:r w:rsidRPr="008512D5">
        <w:t>Женева, 23−26 февраля 2016 года</w:t>
      </w:r>
      <w:bookmarkStart w:id="6" w:name="lt_pId004"/>
      <w:bookmarkEnd w:id="5"/>
    </w:p>
    <w:p w:rsidR="008512D5" w:rsidRPr="0035076C" w:rsidRDefault="008512D5" w:rsidP="008512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512D5">
        <w:t>Пункт 7 предварительной повестки дня</w:t>
      </w:r>
      <w:bookmarkStart w:id="7" w:name="lt_pId005"/>
      <w:bookmarkEnd w:id="6"/>
    </w:p>
    <w:p w:rsidR="008512D5" w:rsidRPr="008512D5" w:rsidRDefault="008512D5" w:rsidP="008512D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512D5">
        <w:t xml:space="preserve">Проект годового доклада о деятельности </w:t>
      </w:r>
      <w:r w:rsidRPr="008512D5">
        <w:br/>
        <w:t>вспомогательных органов Комитета в 2015 году</w:t>
      </w:r>
      <w:bookmarkEnd w:id="7"/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r w:rsidRPr="008512D5">
        <w:tab/>
        <w:t>Годовой доклад о деятельности Отдела устойчивого транспорта ЕЭК ООН в 2015 году</w:t>
      </w: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Default="008512D5" w:rsidP="008512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8512D5">
        <w:tab/>
      </w:r>
      <w:r w:rsidRPr="008512D5">
        <w:tab/>
      </w:r>
      <w:bookmarkStart w:id="8" w:name="lt_pId011"/>
      <w:r w:rsidRPr="008512D5">
        <w:t>Записка секретариата</w:t>
      </w:r>
      <w:bookmarkEnd w:id="8"/>
    </w:p>
    <w:p w:rsidR="008512D5" w:rsidRPr="008512D5" w:rsidRDefault="008512D5" w:rsidP="008512D5">
      <w:pPr>
        <w:pStyle w:val="SingleTxt"/>
        <w:spacing w:after="0" w:line="120" w:lineRule="exact"/>
        <w:rPr>
          <w:sz w:val="10"/>
          <w:lang w:val="en-US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sz w:val="10"/>
          <w:lang w:val="en-US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DD46C4" w:rsidTr="00DD46C4">
        <w:tc>
          <w:tcPr>
            <w:tcW w:w="7321" w:type="dxa"/>
            <w:tcBorders>
              <w:bottom w:val="nil"/>
            </w:tcBorders>
          </w:tcPr>
          <w:p w:rsidR="00DD46C4" w:rsidRDefault="00DD46C4" w:rsidP="00DD46C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DD46C4" w:rsidRPr="009A2FC6" w:rsidRDefault="00DD46C4" w:rsidP="00E77C1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8512D5">
              <w:t>Начиная с 2013 года секретариат публикует годовой доклад не</w:t>
            </w:r>
            <w:r w:rsidR="00E77C12">
              <w:t> </w:t>
            </w:r>
            <w:r w:rsidRPr="008512D5">
              <w:t>только в качестве составной части годового доклада ЕЭК ООН, но</w:t>
            </w:r>
            <w:r w:rsidR="00E77C12">
              <w:t> </w:t>
            </w:r>
            <w:r w:rsidRPr="008512D5">
              <w:t>и как отдельное резюме достижений Комитета по внутреннему транспорту (КВТ) ЕЭК ООН и Комитета экспертов ЭКОСОС по п</w:t>
            </w:r>
            <w:r w:rsidRPr="008512D5">
              <w:t>е</w:t>
            </w:r>
            <w:r w:rsidRPr="008512D5">
              <w:t>ревозке опасных грузов (ПОГ) и Согласованной на глобальном уровне системе классификации опасности и маркировки химической продукции (СГС).</w:t>
            </w:r>
          </w:p>
        </w:tc>
      </w:tr>
      <w:tr w:rsidR="00DD46C4" w:rsidTr="00DD46C4">
        <w:tc>
          <w:tcPr>
            <w:tcW w:w="7321" w:type="dxa"/>
            <w:tcBorders>
              <w:bottom w:val="nil"/>
            </w:tcBorders>
          </w:tcPr>
          <w:p w:rsidR="00DD46C4" w:rsidRPr="009A2FC6" w:rsidRDefault="00DD46C4" w:rsidP="00DD46C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35076C">
              <w:tab/>
            </w:r>
            <w:r w:rsidRPr="008512D5">
              <w:t>Поскольку совещания вспомогательных органов КВТ и Ком</w:t>
            </w:r>
            <w:r w:rsidRPr="008512D5">
              <w:t>и</w:t>
            </w:r>
            <w:r w:rsidRPr="008512D5">
              <w:t>тета экспертов ЭКОСОС проходят ближе к концу года, в проект г</w:t>
            </w:r>
            <w:r w:rsidRPr="008512D5">
              <w:t>о</w:t>
            </w:r>
            <w:r w:rsidRPr="008512D5">
              <w:t>дового доклада, представленный на перевод в декабре, могут вн</w:t>
            </w:r>
            <w:r w:rsidRPr="008512D5">
              <w:t>о</w:t>
            </w:r>
            <w:r w:rsidRPr="008512D5">
              <w:t>ситься изменения. Тем не менее секретариат стремится подготовить как можно более полный проект. Полная версия доклада вместе с с</w:t>
            </w:r>
            <w:r w:rsidRPr="008512D5">
              <w:t>о</w:t>
            </w:r>
            <w:r w:rsidRPr="008512D5">
              <w:t>держащимися в нем фотографиями будет представлена на ежегодной сессии Комитета в виде неофициального документа.</w:t>
            </w:r>
          </w:p>
        </w:tc>
      </w:tr>
      <w:tr w:rsidR="00DD46C4" w:rsidTr="00DD46C4">
        <w:tc>
          <w:tcPr>
            <w:tcW w:w="7321" w:type="dxa"/>
            <w:tcBorders>
              <w:bottom w:val="nil"/>
            </w:tcBorders>
          </w:tcPr>
          <w:p w:rsidR="00DD46C4" w:rsidRPr="009A2FC6" w:rsidRDefault="00DD46C4" w:rsidP="00DD46C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8512D5">
              <w:t>Подготовка годового доклада для специалистов представляет собой также процесс познания, в ходе которого приветствуется и</w:t>
            </w:r>
            <w:r w:rsidRPr="008512D5">
              <w:t>н</w:t>
            </w:r>
            <w:r w:rsidRPr="008512D5">
              <w:t>формация о мнениях и замечаниях Комитета. В частности, Комитету предлагается:</w:t>
            </w:r>
          </w:p>
        </w:tc>
      </w:tr>
      <w:tr w:rsidR="00DD46C4" w:rsidTr="00DD46C4">
        <w:tc>
          <w:tcPr>
            <w:tcW w:w="7321" w:type="dxa"/>
            <w:tcBorders>
              <w:bottom w:val="nil"/>
            </w:tcBorders>
          </w:tcPr>
          <w:p w:rsidR="00DD46C4" w:rsidRPr="009A2FC6" w:rsidRDefault="00DD46C4" w:rsidP="004B3220">
            <w:pPr>
              <w:pStyle w:val="Bullet1"/>
              <w:ind w:left="950" w:right="475" w:hanging="115"/>
            </w:pPr>
            <w:r w:rsidRPr="008512D5">
              <w:t>предоставить замечания по сути, а также по формату излож</w:t>
            </w:r>
            <w:r w:rsidRPr="008512D5">
              <w:t>е</w:t>
            </w:r>
            <w:r w:rsidRPr="008512D5">
              <w:t>ния проблем, достижений, вызовов и т.д.;</w:t>
            </w:r>
          </w:p>
        </w:tc>
      </w:tr>
      <w:tr w:rsidR="00DD46C4" w:rsidTr="00DD46C4">
        <w:tc>
          <w:tcPr>
            <w:tcW w:w="7321" w:type="dxa"/>
            <w:tcBorders>
              <w:bottom w:val="nil"/>
            </w:tcBorders>
          </w:tcPr>
          <w:p w:rsidR="00DD46C4" w:rsidRPr="009A2FC6" w:rsidRDefault="00DD46C4" w:rsidP="004B3220">
            <w:pPr>
              <w:pStyle w:val="Bullet1"/>
              <w:ind w:left="950" w:right="475" w:hanging="115"/>
            </w:pPr>
            <w:r w:rsidRPr="008512D5">
              <w:t>дать рекомендации относительно улучшения наглядности этих результатов и будущего использования годового доклада.</w:t>
            </w:r>
          </w:p>
        </w:tc>
      </w:tr>
      <w:tr w:rsidR="00DD46C4" w:rsidTr="00DD46C4">
        <w:tc>
          <w:tcPr>
            <w:tcW w:w="7321" w:type="dxa"/>
          </w:tcPr>
          <w:p w:rsidR="00DD46C4" w:rsidRDefault="00DD46C4" w:rsidP="00DD46C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DD46C4" w:rsidRPr="00DD46C4" w:rsidRDefault="00DD46C4" w:rsidP="0035076C">
      <w:pPr>
        <w:pStyle w:val="SingleTxt"/>
      </w:pPr>
    </w:p>
    <w:p w:rsidR="0035076C" w:rsidRPr="0035076C" w:rsidRDefault="0035076C" w:rsidP="008512D5">
      <w:pPr>
        <w:pStyle w:val="SingleTxt"/>
        <w:spacing w:after="0" w:line="120" w:lineRule="exact"/>
        <w:rPr>
          <w:b/>
          <w:sz w:val="10"/>
        </w:rPr>
      </w:pPr>
      <w:r>
        <w:rPr>
          <w:b/>
          <w:sz w:val="10"/>
        </w:rPr>
        <w:br w:type="page"/>
      </w:r>
    </w:p>
    <w:p w:rsidR="008512D5" w:rsidRPr="008512D5" w:rsidRDefault="008512D5" w:rsidP="008512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  <w:t>I.</w:t>
      </w:r>
      <w:r w:rsidRPr="008512D5">
        <w:tab/>
      </w:r>
      <w:bookmarkStart w:id="9" w:name="lt_pId025"/>
      <w:r w:rsidRPr="008512D5">
        <w:t>Введение</w:t>
      </w:r>
      <w:bookmarkEnd w:id="9"/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1.</w:t>
      </w:r>
      <w:r w:rsidRPr="008512D5">
        <w:tab/>
      </w:r>
      <w:bookmarkStart w:id="10" w:name="lt_pId027"/>
      <w:r w:rsidRPr="008512D5">
        <w:t>Подпрограмма по транспорту Европейской экономической комиссии Орг</w:t>
      </w:r>
      <w:r w:rsidRPr="008512D5">
        <w:t>а</w:t>
      </w:r>
      <w:r w:rsidRPr="008512D5">
        <w:t>низации Объединенных Наций (ЕЭК ООН) обеспечивает функционирование К</w:t>
      </w:r>
      <w:r w:rsidRPr="008512D5">
        <w:t>о</w:t>
      </w:r>
      <w:r w:rsidRPr="008512D5">
        <w:t>митета по внутреннему транспорту (КВТ),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Экономического и Социального Совета (ЭКОСОС) и их вспомогательных органов.</w:t>
      </w:r>
      <w:bookmarkEnd w:id="10"/>
      <w:r w:rsidRPr="008512D5">
        <w:t xml:space="preserve"> КВТ является единственным в своем роде межправительственным органом Организации Объединенных Наций, который занимается исключительно вопросами внутреннего транспорта и гла</w:t>
      </w:r>
      <w:r w:rsidRPr="008512D5">
        <w:t>в</w:t>
      </w:r>
      <w:r w:rsidRPr="008512D5">
        <w:t>ная цель которого заключается в обеспечении безопасного, эффективного и эк</w:t>
      </w:r>
      <w:r w:rsidRPr="008512D5">
        <w:t>о</w:t>
      </w:r>
      <w:r w:rsidRPr="008512D5">
        <w:t>логически чистого развития внутреннего транспорта.</w:t>
      </w:r>
    </w:p>
    <w:p w:rsidR="008512D5" w:rsidRPr="008512D5" w:rsidRDefault="008512D5" w:rsidP="008512D5">
      <w:pPr>
        <w:pStyle w:val="SingleTxt"/>
      </w:pPr>
      <w:r w:rsidRPr="008512D5">
        <w:t>2.</w:t>
      </w:r>
      <w:r w:rsidRPr="008512D5">
        <w:tab/>
      </w:r>
      <w:bookmarkStart w:id="11" w:name="lt_pId030"/>
      <w:r w:rsidRPr="008512D5">
        <w:t>Основное внимание КВТ и его вспомогательные органы уделяют оказанию содействия в осуществлении 58 конвенций, соглашений и других правовых д</w:t>
      </w:r>
      <w:r w:rsidRPr="008512D5">
        <w:t>о</w:t>
      </w:r>
      <w:r w:rsidRPr="008512D5">
        <w:t>кументов Организации Объединенных Наций, формирующих международный правовой режим функционирования внутреннего транспорта, включая автом</w:t>
      </w:r>
      <w:r w:rsidRPr="008512D5">
        <w:t>о</w:t>
      </w:r>
      <w:r w:rsidRPr="008512D5">
        <w:t>бильные, железнодорожные, внутренние водны</w:t>
      </w:r>
      <w:r>
        <w:t>е и интермодальные перевозки, а</w:t>
      </w:r>
      <w:r>
        <w:rPr>
          <w:lang w:val="en-US"/>
        </w:rPr>
        <w:t> </w:t>
      </w:r>
      <w:r w:rsidRPr="008512D5">
        <w:t>также перевозку опасных грузов и конструкцию транспортных средств.</w:t>
      </w:r>
      <w:bookmarkEnd w:id="11"/>
      <w:r w:rsidRPr="008512D5">
        <w:t xml:space="preserve"> </w:t>
      </w:r>
      <w:bookmarkStart w:id="12" w:name="lt_pId032"/>
      <w:r w:rsidRPr="008512D5">
        <w:t>Работа КВТ осуществляется в виде стратегического диалога, нормативных мероприятий, аналитической деятельности, а также наращивания потенциала и оказания те</w:t>
      </w:r>
      <w:r w:rsidRPr="008512D5">
        <w:t>х</w:t>
      </w:r>
      <w:r w:rsidRPr="008512D5">
        <w:t>нической помощи.</w:t>
      </w:r>
      <w:bookmarkEnd w:id="12"/>
      <w:r w:rsidRPr="008512D5">
        <w:t xml:space="preserve"> </w:t>
      </w:r>
      <w:bookmarkStart w:id="13" w:name="lt_pId033"/>
      <w:r w:rsidRPr="008512D5">
        <w:t>Его решения непосредственно влияют на повседневную жизнь людей и предприятий во всем мире.</w:t>
      </w:r>
      <w:bookmarkEnd w:id="13"/>
    </w:p>
    <w:p w:rsidR="008512D5" w:rsidRPr="008512D5" w:rsidRDefault="008512D5" w:rsidP="008512D5">
      <w:pPr>
        <w:pStyle w:val="SingleTxt"/>
      </w:pPr>
      <w:r w:rsidRPr="008512D5">
        <w:t>3.</w:t>
      </w:r>
      <w:r w:rsidRPr="008512D5">
        <w:tab/>
        <w:t>2015 год был важным годом для Организации Объединенных Наций, так как ее 193 государства-члена приняли повестку дня в области устойчивого развития, включающую в себя 17 целей в области устойчивого развития (ЦУР), призва</w:t>
      </w:r>
      <w:r w:rsidRPr="008512D5">
        <w:t>н</w:t>
      </w:r>
      <w:r w:rsidRPr="008512D5">
        <w:t>ных покончить с нищетой, создать более глобальное равенство и улучшить жизнь во всех уголках мира. Эта новая повестки дня, озаглавленная «Преобразование нашего мира: Повестка дня в области устойчивого развития на период до 2030 года», явилась результатом работы знакового саммита по устойчивому ра</w:t>
      </w:r>
      <w:r w:rsidRPr="008512D5">
        <w:t>з</w:t>
      </w:r>
      <w:r w:rsidRPr="008512D5">
        <w:t>витию, проведенного 25−27 сентября в Центральных учреждениях ООН в Нью-Йорке. Участвовавшие в нем страны официально приняли историческую новую программу действий, сделав в ней упор на достижении устойчивости на эколог</w:t>
      </w:r>
      <w:r w:rsidRPr="008512D5">
        <w:t>и</w:t>
      </w:r>
      <w:r w:rsidRPr="008512D5">
        <w:t>ческом, экономическом и социальном уровнях с целью обеспечить, чтобы любой успех в осуществлении этой программы был долговременным.</w:t>
      </w:r>
    </w:p>
    <w:p w:rsidR="008512D5" w:rsidRPr="008512D5" w:rsidRDefault="008512D5" w:rsidP="008512D5">
      <w:pPr>
        <w:pStyle w:val="SingleTxt"/>
      </w:pPr>
      <w:r w:rsidRPr="008512D5">
        <w:t>4.</w:t>
      </w:r>
      <w:r w:rsidRPr="008512D5">
        <w:tab/>
        <w:t>КВТ и Отдел устойчивого транспорта ЕЭК ООН, которые всегда были в центре усилий по устойчивому развитию транспорта, приветствовали эту новую повестку дня и полностью ее приняли. В результате профильная деятельность КВТ в 2015 году была сосредоточена на стимулировании устойчивого транспорта и мобильности. Собственно сам Отдел, стараясь лучше выразить упор на усто</w:t>
      </w:r>
      <w:r w:rsidRPr="008512D5">
        <w:t>й</w:t>
      </w:r>
      <w:r w:rsidRPr="008512D5">
        <w:t>чивости, к достижению которой он стремится вот уже нескольких лет, был пер</w:t>
      </w:r>
      <w:r w:rsidRPr="008512D5">
        <w:t>е</w:t>
      </w:r>
      <w:r w:rsidRPr="008512D5">
        <w:t>именован в Отдел устойчивого транспорта.</w:t>
      </w: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bookmarkStart w:id="14" w:name="lt_pId044"/>
      <w:r w:rsidRPr="008512D5">
        <w:rPr>
          <w:lang w:val="en-GB"/>
        </w:rPr>
        <w:t>II</w:t>
      </w:r>
      <w:r w:rsidRPr="008512D5">
        <w:t>.</w:t>
      </w:r>
      <w:bookmarkStart w:id="15" w:name="lt_pId045"/>
      <w:bookmarkEnd w:id="14"/>
      <w:bookmarkEnd w:id="15"/>
      <w:r w:rsidRPr="008512D5">
        <w:tab/>
        <w:t>Достижения в 2015</w:t>
      </w:r>
      <w:r w:rsidRPr="008512D5">
        <w:rPr>
          <w:lang w:val="en-GB"/>
        </w:rPr>
        <w:t> </w:t>
      </w:r>
      <w:r w:rsidRPr="008512D5">
        <w:t>году</w:t>
      </w:r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5.</w:t>
      </w:r>
      <w:r w:rsidRPr="008512D5">
        <w:tab/>
        <w:t>В 2015 году в области устойчивого транспорта была выполнена большая часть подготовительной работы, которая будет освещаться в настоящем докладе. В данном разделе лишь кратко перечисляются некоторые достижения, которые будут более подробно описаны в соответствующих разделах.</w:t>
      </w:r>
    </w:p>
    <w:p w:rsidR="008512D5" w:rsidRPr="008512D5" w:rsidRDefault="008512D5" w:rsidP="008512D5">
      <w:pPr>
        <w:pStyle w:val="SingleTxt"/>
      </w:pPr>
      <w:r w:rsidRPr="008512D5">
        <w:t>6.</w:t>
      </w:r>
      <w:r w:rsidRPr="008512D5">
        <w:tab/>
        <w:t>Для начала следует отметить, что на семьдесят седьмой сессии КВТ, сост</w:t>
      </w:r>
      <w:r w:rsidRPr="008512D5">
        <w:t>о</w:t>
      </w:r>
      <w:r w:rsidRPr="008512D5">
        <w:t>явшейся в феврале, сегмент, связанный с выработкой политики, был посвящен переосмыслению проблемы развития устойчивого городского транспорта и м</w:t>
      </w:r>
      <w:r w:rsidRPr="008512D5">
        <w:t>о</w:t>
      </w:r>
      <w:r w:rsidRPr="008512D5">
        <w:lastRenderedPageBreak/>
        <w:t>бильности для решения задач новой эпохи. На упомянутой сессии была подчер</w:t>
      </w:r>
      <w:r w:rsidRPr="008512D5">
        <w:t>к</w:t>
      </w:r>
      <w:r w:rsidRPr="008512D5">
        <w:t>нута необходимость отразить эти вопросы в ЦУР. Устойчивый транспорт, по сути, пронизывает всю ткань целей в области устойчивого развития.</w:t>
      </w:r>
    </w:p>
    <w:p w:rsidR="008512D5" w:rsidRPr="008512D5" w:rsidRDefault="008512D5" w:rsidP="008512D5">
      <w:pPr>
        <w:pStyle w:val="SingleTxt"/>
      </w:pPr>
      <w:r w:rsidRPr="008512D5">
        <w:t>7.</w:t>
      </w:r>
      <w:r w:rsidRPr="008512D5">
        <w:tab/>
        <w:t>Комитету по внутреннему транспорту был представлен, в частности для сегмента, связанного с выработкой политики, проект, касающийся устойчивого общественного транспорта и мобильности в городах, который был полностью опубликован позднее в 2015 году. В этом исследовании рассматриваются системы общественного транспорта в столицах 36 государств</w:t>
      </w:r>
      <w:r w:rsidR="00B85A05">
        <w:t xml:space="preserve"> </w:t>
      </w:r>
      <w:r w:rsidRPr="008512D5">
        <w:t>– членов ЕЭК ООН, а также сопоставляются их передовые методы и уровни достигнутого успеха. В нем популяризируются имеющаяся база знаний и уроки, извлеченные из опыта этих городов, а также обращается внимание на различные характеристики этих систем, которые, возможно, необходимо изменить для создания более устойчивых систем.</w:t>
      </w:r>
    </w:p>
    <w:p w:rsidR="008512D5" w:rsidRPr="008512D5" w:rsidRDefault="008512D5" w:rsidP="008512D5">
      <w:pPr>
        <w:pStyle w:val="SingleTxt"/>
      </w:pPr>
      <w:r w:rsidRPr="008512D5">
        <w:t>8.</w:t>
      </w:r>
      <w:r w:rsidRPr="008512D5">
        <w:tab/>
        <w:t xml:space="preserve">Третьей ЦУР является «Обеспечение здорового образа жизни и содействие благополучию для всех в любом возрасте». Эта цель направлена, в частности, на сокращение вдвое смертности на дорогах к 2020 году. Безопасность дорожного движения является одной из областей, в которых КВТ добился за многие годы большого прогресса. В рамках подготовки среднесрочного обзора Десятилетия действий ООН, состоявшегося в ноябре в столице Бразилии, секретариат подготовил доклад об осуществлении под названием «Вместе с ЕЭК ООН на пути к безопасности». Чтобы поддержать процесс накопления знаний о стратегиях в области безопасности дорожного движения и закрепить успех проекта ForFITS, </w:t>
      </w:r>
      <w:r>
        <w:t>в</w:t>
      </w:r>
      <w:r>
        <w:rPr>
          <w:lang w:val="en-US"/>
        </w:rPr>
        <w:t> </w:t>
      </w:r>
      <w:r w:rsidRPr="008512D5">
        <w:t>2015 году началось осуществление проекта SafeFITS. Проект SafeFITS, который во всех подробностях описывается в разделе, посвященном безопасности дорожного движения, станет инструментом, который позволит руководящим работникам принимать более обоснованные решения, касающиеся политики в области безопасности дорожного движения, путем прогнозирования последствий различных мер по обеспечению безопасности дорожного движения.</w:t>
      </w:r>
    </w:p>
    <w:p w:rsidR="008512D5" w:rsidRPr="008512D5" w:rsidRDefault="008512D5" w:rsidP="008512D5">
      <w:pPr>
        <w:pStyle w:val="SingleTxt"/>
      </w:pPr>
      <w:r w:rsidRPr="008512D5">
        <w:t>9.</w:t>
      </w:r>
      <w:r w:rsidRPr="008512D5">
        <w:tab/>
      </w:r>
      <w:bookmarkStart w:id="16" w:name="lt_pId066"/>
      <w:r w:rsidRPr="008512D5">
        <w:t>Кроме того, в сфере пропаганды безопасности дорожного движения произошло захватывающее событие. В апреле 2015 года Генеральный секретарь Организации Объединенных Наций назначил г-на Жана Тодта своим Специальным посланником по безопасности дорожного движения.</w:t>
      </w:r>
      <w:bookmarkEnd w:id="16"/>
      <w:r w:rsidRPr="008512D5">
        <w:t xml:space="preserve"> В то же время было решено, что секретариат Специального посланника будет размещаться в ЕЭК. Секретариат Специального посланника, финансируемый за счет внебюджетных ресурсов, начал функционировать в декабре 2015 года. Одновременно основное и конференционное обслуживание Специального посланника осуществлял Отдел устойчивого транспорта.</w:t>
      </w:r>
    </w:p>
    <w:p w:rsidR="008512D5" w:rsidRPr="008512D5" w:rsidRDefault="008512D5" w:rsidP="008512D5">
      <w:pPr>
        <w:pStyle w:val="SingleTxt"/>
      </w:pPr>
      <w:r w:rsidRPr="008512D5">
        <w:t>10.</w:t>
      </w:r>
      <w:r w:rsidRPr="008512D5">
        <w:tab/>
        <w:t xml:space="preserve">Важным событием года стала публикация глобального исследования по устойчивому транспорту, озаглавленного «Транспорт в интересах устойчивого развития: внутренний транспорт». В подготовке этого исследования участвовали под руководством ЕЭК все пять региональных комиссий ООН, Международный союз автомобильного транспорта (МСАТ) и Международный союз железных дорог (МСЖД). В ней представлены стратегии развития внутреннего транспорта во всем мире. Это издание является наиболее полным исследованием такого рода. </w:t>
      </w:r>
      <w:r>
        <w:t>В</w:t>
      </w:r>
      <w:r>
        <w:rPr>
          <w:lang w:val="en-US"/>
        </w:rPr>
        <w:t> </w:t>
      </w:r>
      <w:r w:rsidRPr="008512D5">
        <w:t>нем рассматриваются экологические, социальные и экономические последствия политики в области внутреннего транспорта на каждом континенте.</w:t>
      </w:r>
    </w:p>
    <w:p w:rsidR="008512D5" w:rsidRPr="008512D5" w:rsidRDefault="008512D5" w:rsidP="008512D5">
      <w:pPr>
        <w:pStyle w:val="SingleTxt"/>
      </w:pPr>
      <w:r w:rsidRPr="008512D5">
        <w:t>11.</w:t>
      </w:r>
      <w:r w:rsidRPr="008512D5">
        <w:tab/>
        <w:t>Издания по перевозке опасных грузов и СГС остаются в числе лидеров продаж среди изданий Организации Объединенных Наций, предназначенных для продажи; так, версия ДОПОГ 2015 года стала вторым самым продаваемым изданием во всей системе ООН.</w:t>
      </w: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bookmarkStart w:id="17" w:name="lt_pId080"/>
      <w:r w:rsidRPr="008512D5">
        <w:rPr>
          <w:lang w:val="en-GB"/>
        </w:rPr>
        <w:t>III</w:t>
      </w:r>
      <w:r w:rsidRPr="008512D5">
        <w:t>.</w:t>
      </w:r>
      <w:bookmarkEnd w:id="17"/>
      <w:r w:rsidRPr="008512D5">
        <w:tab/>
      </w:r>
      <w:bookmarkStart w:id="18" w:name="lt_pId081"/>
      <w:r w:rsidRPr="008512D5">
        <w:t>Транспорт и окружающая среда</w:t>
      </w:r>
      <w:bookmarkEnd w:id="18"/>
    </w:p>
    <w:p w:rsidR="008512D5" w:rsidRPr="008512D5" w:rsidRDefault="008512D5" w:rsidP="008512D5">
      <w:pPr>
        <w:pStyle w:val="SingleTxt"/>
        <w:keepNext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12.</w:t>
      </w:r>
      <w:r w:rsidRPr="008512D5">
        <w:tab/>
        <w:t>В рамках сотрудничества между Отделом окружающей среды и Отделом устойчивого транспорта ЕЭК</w:t>
      </w:r>
      <w:r w:rsidRPr="008512D5">
        <w:rPr>
          <w:lang w:val="en-US"/>
        </w:rPr>
        <w:t> </w:t>
      </w:r>
      <w:r w:rsidRPr="008512D5">
        <w:t xml:space="preserve">ООН в проведении обзоров результативности экологической деятельности (ОРЭД) сотрудники Отдела активно участвовали в подготовительных мероприятиях, миссиях по установлению фактов и составлении обзора транспортного сектора в рамках третьих ОРЭД Грузии и Беларуси. </w:t>
      </w:r>
      <w:r>
        <w:t>В</w:t>
      </w:r>
      <w:r>
        <w:rPr>
          <w:lang w:val="en-US"/>
        </w:rPr>
        <w:t> </w:t>
      </w:r>
      <w:r w:rsidRPr="008512D5">
        <w:t>настоящее время проводится третий ОРЭД Таджикистана. В соответствующих главах были охвачены все виды транспорта и все виды перевозок (пассажирские и грузовые перевозки, включая перевозку опасных грузов). Анализ транспортного сектора завершает раздел, содержащий выводы и рекомендации для органов государственной власти. Доклады по итогам ОРЭД адресованы главным образом правительственным должностным лицам, международным финансовым учреждениям, межправительственным и неправительственным организациям, гражданскому обществу, исследователям и деловому сектору.</w:t>
      </w: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r w:rsidRPr="008512D5">
        <w:tab/>
      </w:r>
      <w:bookmarkStart w:id="19" w:name="lt_pId090"/>
      <w:r w:rsidRPr="008512D5">
        <w:t>Проект в интересах будущих систем внутреннего транспорта (ForFITS)</w:t>
      </w:r>
      <w:bookmarkEnd w:id="19"/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13.</w:t>
      </w:r>
      <w:r w:rsidRPr="008512D5">
        <w:tab/>
      </w:r>
      <w:bookmarkStart w:id="20" w:name="lt_pId092"/>
      <w:r w:rsidRPr="008512D5">
        <w:t>Развитие проекта ForFITS продолжалось на основе успешного завершения этапа поддержки со стороны СРООН в 2014 году.</w:t>
      </w:r>
      <w:bookmarkEnd w:id="20"/>
      <w:r w:rsidRPr="008512D5">
        <w:t xml:space="preserve"> Мероприятия в этом году касались стран, использующих его как инструмент политики, и включали в себя разработку дополнительных приложений ForFITS.</w:t>
      </w:r>
    </w:p>
    <w:p w:rsidR="008512D5" w:rsidRPr="008512D5" w:rsidRDefault="008512D5" w:rsidP="008512D5">
      <w:pPr>
        <w:pStyle w:val="SingleTxt"/>
      </w:pPr>
      <w:r w:rsidRPr="008512D5">
        <w:t>14.</w:t>
      </w:r>
      <w:r w:rsidRPr="008512D5">
        <w:tab/>
        <w:t>В рамках проекта, финансируемого Министерством окружающей среды Канады, изучается возможность использования ForFITS и на внедорожной подвижной технике, например на сельскохозяйственных тракторах.</w:t>
      </w: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r w:rsidRPr="008512D5">
        <w:tab/>
      </w:r>
      <w:bookmarkStart w:id="21" w:name="lt_pId099"/>
      <w:r w:rsidRPr="008512D5">
        <w:t>Общеевропейская программа по транспорту, окружающей среде и охране здоровья (ОПТОСОЗ)</w:t>
      </w:r>
      <w:bookmarkEnd w:id="21"/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15.</w:t>
      </w:r>
      <w:r w:rsidRPr="008512D5">
        <w:tab/>
        <w:t>В 2015 году одной из самых активных областей деятельности Комитета по оказанию правительствам поддержки в деле смягчения негативного воздействия транспорта на окружающую среду было осуществление Общеевропейской программы по транспорту, окружающей среде и охране здоровья (ОПТОЗОС).</w:t>
      </w:r>
    </w:p>
    <w:p w:rsidR="008512D5" w:rsidRPr="008512D5" w:rsidRDefault="008512D5" w:rsidP="008512D5">
      <w:pPr>
        <w:pStyle w:val="SingleTxt"/>
      </w:pPr>
      <w:r w:rsidRPr="008512D5">
        <w:t>16.</w:t>
      </w:r>
      <w:r w:rsidRPr="008512D5">
        <w:tab/>
        <w:t xml:space="preserve">Ярким событием для ОПТОСОЗ в 2015 году явилось приглашение, полученное от министров транспорта </w:t>
      </w:r>
      <w:r>
        <w:t>стран</w:t>
      </w:r>
      <w:r w:rsidR="00B85A05">
        <w:t xml:space="preserve"> </w:t>
      </w:r>
      <w:r w:rsidRPr="008512D5">
        <w:t>– членов ЕС, в связи с накопленным ею опытом в деле поощрения активной мобильности, в частности езды на велосипеде. Интересно отметить, что ОПТОСОЗ была прямо упомянута в принятой на встрече министров транспорта в Люксембурге «Декларации о велосипедном движении как безопасном для климата способе передвижения» благодаря ее работе по составлению общеевропейского плана комплексного развития велосипедного движения.</w:t>
      </w:r>
    </w:p>
    <w:p w:rsidR="008512D5" w:rsidRPr="008512D5" w:rsidRDefault="008512D5" w:rsidP="008512D5">
      <w:pPr>
        <w:pStyle w:val="SingleTxt"/>
      </w:pPr>
      <w:r w:rsidRPr="008512D5">
        <w:t>17.</w:t>
      </w:r>
      <w:r w:rsidRPr="008512D5">
        <w:tab/>
        <w:t>В Париже была повторно начата эстафета ОПТОСОЗ как один из главных механизмов осуществления Парижской декларации о транспорте, охране здоровья и окружающей среде. 10−12 сентября 2015 года в Иркутске (Российская Федерация) было проведено весьма успешное ежегодное рабочее совещание-эстафета ОПТОСОЗ на тему «Развитие устойчивой городской мобильности для улучшения состояния здоровья и окружающей среды». Это рабочее совещание привлекло более 200 участников из 12 стран и позволило провести анализ воздействия транспорта на окружающую среду и здоровье человека в городских условиях.</w:t>
      </w:r>
    </w:p>
    <w:p w:rsidR="008512D5" w:rsidRPr="008512D5" w:rsidRDefault="008512D5" w:rsidP="008512D5">
      <w:pPr>
        <w:pStyle w:val="SingleTxt"/>
      </w:pPr>
      <w:r w:rsidRPr="008512D5">
        <w:t>18.</w:t>
      </w:r>
      <w:r w:rsidRPr="008512D5">
        <w:tab/>
        <w:t>В 2015 году был организован ежегодный симпозиум ОПТОСОЗ на тему «Сокращение связанных с транспортом выбросов в целях улучшения состояния окружающей среды и здоровья людей». На нем были рассмотрены вызовы и оптимальная практика в области смягчения последствий вредных выбросов</w:t>
      </w:r>
      <w:r w:rsidR="00B85A05">
        <w:t xml:space="preserve"> </w:t>
      </w:r>
      <w:r w:rsidRPr="008512D5">
        <w:t>– ПГ, загрязнителей воздуха и шума</w:t>
      </w:r>
      <w:r w:rsidR="00B85A05">
        <w:t xml:space="preserve"> </w:t>
      </w:r>
      <w:r w:rsidRPr="008512D5">
        <w:t>– транспортного сектора. Участники симпозиума подробно обсудили вопрос о том, как сокращение выбросов парниковых газов и загрязнителей воздуха на транспорте может привести к улучшению состояния окружающей среды и здоровья человека в соответствии с приоритетной целью 3 Парижской декларации. Итоги работы этого симпозиума будут доведены до сведения Восьмой Конференции</w:t>
      </w:r>
      <w:r>
        <w:t xml:space="preserve"> министров «</w:t>
      </w:r>
      <w:r w:rsidRPr="008512D5">
        <w:t>Окружающая среда для Европы</w:t>
      </w:r>
      <w:r>
        <w:t>»</w:t>
      </w:r>
      <w:r w:rsidRPr="008512D5">
        <w:t>, которая состоится в Батуми (Грузия) 8−10 июня 2016 года.</w:t>
      </w: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bookmarkStart w:id="22" w:name="lt_pId113"/>
      <w:r w:rsidRPr="008512D5">
        <w:rPr>
          <w:lang w:val="en-GB"/>
        </w:rPr>
        <w:t>IV</w:t>
      </w:r>
      <w:r w:rsidRPr="008512D5">
        <w:t>.</w:t>
      </w:r>
      <w:bookmarkEnd w:id="22"/>
      <w:r w:rsidRPr="008512D5">
        <w:tab/>
        <w:t>Аналитическая деятельность и опубликованные издания</w:t>
      </w: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8512D5">
        <w:t>A.</w:t>
      </w:r>
      <w:r w:rsidRPr="008512D5">
        <w:tab/>
        <w:t>Издание «Транспорт в интересах устойчивого развития: внутренний транспорт»</w:t>
      </w:r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19.</w:t>
      </w:r>
      <w:r w:rsidRPr="008512D5">
        <w:tab/>
        <w:t>Событием года стала публикация издания «Транспорт в интересах устойчивого развития: внутренний транспорт», в котором содержится сбалансированный и сопоставительный обзор прогресса и проблем, отмечаемых в глобальных усилиях по достижению перехода к устойчивому развитию транспорта с точки зрения внутренних видов транспорта.</w:t>
      </w:r>
    </w:p>
    <w:p w:rsidR="008512D5" w:rsidRPr="008512D5" w:rsidRDefault="008512D5" w:rsidP="008512D5">
      <w:pPr>
        <w:pStyle w:val="SingleTxt"/>
      </w:pPr>
      <w:r w:rsidRPr="008512D5">
        <w:t>20.</w:t>
      </w:r>
      <w:r w:rsidRPr="008512D5">
        <w:tab/>
        <w:t>Обзор, содержащийся в этом издании, является сбалансированным, поскольку в нем признано, что транспорт создает негативные внешние последствия, но в то же время является предварительным условием социального и экономического развития. Обзор является сопоставительным, потому что в нем рассматривается совокупный опыт пяти региональных комиссий ООН и таких глобальных заинтересованных сторон, как Международный союз автомобильного транспорта (МСАТ) и Международный союз железных дорог (МСЖД). Это издание способствует при этом углубленному и реалистичному пониманию пяти определяющих аспектов устойчивого развития транспорта</w:t>
      </w:r>
      <w:r w:rsidR="00B85A05">
        <w:t xml:space="preserve"> </w:t>
      </w:r>
      <w:r>
        <w:t>–</w:t>
      </w:r>
      <w:r w:rsidRPr="008512D5">
        <w:t xml:space="preserve"> доступности, разумной цены, безопасности, физической безопасности и экологической эффективности.</w:t>
      </w:r>
    </w:p>
    <w:p w:rsidR="008512D5" w:rsidRPr="008512D5" w:rsidRDefault="008512D5" w:rsidP="008512D5">
      <w:pPr>
        <w:pStyle w:val="SingleTxt"/>
      </w:pPr>
      <w:r w:rsidRPr="008512D5">
        <w:t>21.</w:t>
      </w:r>
      <w:r w:rsidRPr="008512D5">
        <w:tab/>
      </w:r>
      <w:bookmarkStart w:id="23" w:name="lt_pId129"/>
      <w:r w:rsidRPr="008512D5">
        <w:t>Общим элементом является то, что транспорт играет ключевую роль в переходе к устойчивым обществам, но необходима твердая политическая воля, чтобы разорвать связь между транспортом и такими его последствиями, как парниковые газы, загрязнение воздуха и дорожно-транспортные происшествия. Кроме того, путем предоставления доступа к рынкам и интегрирования в цепочки поставок транспорт играет ключевую роль в экономическом развитии и выступает локомотивом роста. Однако многие люди не могут воспользоваться доступным и экологичным транспортом, а у многих стран отсутствует эффективный доступ к мировым рынкам.</w:t>
      </w:r>
      <w:bookmarkEnd w:id="23"/>
      <w:r w:rsidRPr="008512D5">
        <w:t xml:space="preserve"> Одно из главных политических посланий состоит в том, что для осуществления этого перехода транспорт в интересах устойчивого развития необходимо рассматривать в качестве политического и финансового приоритета развития среди различных групп населения и географических регионов.</w:t>
      </w: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  <w:t>B.</w:t>
      </w:r>
      <w:r w:rsidRPr="008512D5">
        <w:tab/>
      </w:r>
      <w:bookmarkStart w:id="24" w:name="lt_pId133"/>
      <w:r w:rsidRPr="008512D5">
        <w:t>Издание</w:t>
      </w:r>
      <w:bookmarkEnd w:id="24"/>
      <w:r w:rsidRPr="008512D5">
        <w:t xml:space="preserve"> </w:t>
      </w:r>
      <w:bookmarkStart w:id="25" w:name="lt_pId134"/>
      <w:r w:rsidRPr="008512D5">
        <w:t>«Устойчивый общественный транспорт и городская мобильность»</w:t>
      </w:r>
      <w:bookmarkEnd w:id="25"/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22.</w:t>
      </w:r>
      <w:r w:rsidRPr="008512D5">
        <w:tab/>
        <w:t>Издание «Устойчивый общественный транспорт и городская мобильность» содействует распространению накопленных знаний об устойчивой городской мобильности, а также уроков, извлеченных из их применения. В частности, в нем содержатся результаты анализа систем городского транспорта, осуществленного в 36 столичных городах региона ЕЭК, и обращается внимание на различные характеристики этих систем, которые, возможно, необходимо изменить для создания более устойчивых систем.</w:t>
      </w:r>
    </w:p>
    <w:p w:rsidR="008512D5" w:rsidRPr="008512D5" w:rsidRDefault="008512D5" w:rsidP="008512D5">
      <w:pPr>
        <w:pStyle w:val="SingleTxt"/>
      </w:pPr>
      <w:r w:rsidRPr="008512D5">
        <w:t>23.</w:t>
      </w:r>
      <w:r w:rsidRPr="008512D5">
        <w:tab/>
        <w:t>В проведенном анализе рассматриваются, в частности, спрос на услуги городской мобильности и его распределение между различными видами транспорта с учетом доступности и комфортности городского общественного транспорта. В нем изучаются такие проблемы, как пробки, безопасность дорожного движения и загрязнение окружающей среды, включая изменение климата, а также критически оценивается растущая популярность неавтомобильного транспорта в городских районах.</w:t>
      </w: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  <w:t>V.</w:t>
      </w:r>
      <w:r w:rsidRPr="008512D5">
        <w:tab/>
      </w:r>
      <w:bookmarkStart w:id="26" w:name="lt_pId144"/>
      <w:r w:rsidRPr="008512D5">
        <w:t>Статистика транспорта</w:t>
      </w:r>
      <w:bookmarkEnd w:id="26"/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24.</w:t>
      </w:r>
      <w:r w:rsidRPr="008512D5">
        <w:tab/>
      </w:r>
      <w:bookmarkStart w:id="27" w:name="lt_pId146"/>
      <w:r w:rsidRPr="008512D5">
        <w:t>С целью определения показателей устойчивого развития транспорта Рабочая группа по статистике транспорта (WP.6) разработала общие методологии и терминологию для согласования статистики.</w:t>
      </w:r>
      <w:bookmarkEnd w:id="27"/>
      <w:r w:rsidRPr="008512D5">
        <w:t xml:space="preserve"> </w:t>
      </w:r>
      <w:bookmarkStart w:id="28" w:name="lt_pId147"/>
      <w:r w:rsidRPr="008512D5">
        <w:t>К их числу относятся методологии, касающиеся сбора и компиляции статистических данных об автомобильном, железнодорожном, внутреннем водном и трубопроводном транспорте и о безопасности дорожного движения (работа велась в сотрудничестве с Евростатом и Международным транспортным форумом (МТФ)) и направленные на улучшение сопоставимости статистики транспорта на международном уровне.</w:t>
      </w:r>
      <w:bookmarkEnd w:id="28"/>
      <w:r w:rsidRPr="008512D5">
        <w:t xml:space="preserve"> Для рационализации процедур сбора данных в области транспорта был распространен в онлайновом режиме на всех официальных языках ЕЭК ООН общий вопросник (ЕЭК ООН/Евростат/МТФ). </w:t>
      </w:r>
      <w:bookmarkStart w:id="29" w:name="lt_pId149"/>
      <w:r w:rsidRPr="008512D5">
        <w:t>КВТ также утвердил резолюции и рекомендации для правительств в отношении процедур и методологий, используемых при обследованиях движения по автомобильным дорогам и на железнодорожных линиях категории Е.</w:t>
      </w:r>
      <w:bookmarkEnd w:id="29"/>
    </w:p>
    <w:p w:rsidR="008512D5" w:rsidRPr="008512D5" w:rsidRDefault="008512D5" w:rsidP="008512D5">
      <w:pPr>
        <w:pStyle w:val="SingleTxt"/>
      </w:pPr>
      <w:r w:rsidRPr="008512D5">
        <w:t>25.</w:t>
      </w:r>
      <w:r w:rsidRPr="008512D5">
        <w:tab/>
        <w:t>В 2015 году были выпущены два крупных электронных издания: бюллетень статистики транспорта ЕЭК ООН и бюллетень дорожно-транспортных происшествий ЕЭК ООН. Впервые были также проанализированы данные, хотя и кратко.</w:t>
      </w: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512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bookmarkStart w:id="30" w:name="lt_pId155"/>
      <w:r w:rsidRPr="008512D5">
        <w:t>VI.</w:t>
      </w:r>
      <w:bookmarkEnd w:id="30"/>
      <w:r w:rsidRPr="008512D5">
        <w:tab/>
      </w:r>
      <w:bookmarkStart w:id="31" w:name="lt_pId156"/>
      <w:r w:rsidRPr="008512D5">
        <w:t>Наращивание потенциала и техническая помощь</w:t>
      </w:r>
      <w:bookmarkEnd w:id="31"/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26.</w:t>
      </w:r>
      <w:r w:rsidRPr="008512D5">
        <w:tab/>
        <w:t>В 2015 году Отдел устойчивого транспорта оказывал поддержку осуществлению правовых документов ООН в области транспорта путем предоставления консультативных услуг и совместной организации рабочих совещаний. К этим мероприятиям относятся, например, рабочие совещания по правовым документам ООН (Женева, февраль 2015 года), транспортной связности (Женева, сентябрь 2015 года; Вена, ноябрь 2015 года), безопасности дорожного движения (Женева, март и май 2015 года; Алматы, сентябрь 2015 года) и осуществлению субрегиональных проектов. На сессии Проектной рабочей группы СПЕКА по транспорту и пересечению границ (Алматы, сентябрь 2015 года) решались вопросы устойчивого развития транспортной системы, региональной связности, более полной интеграции развивающихся стр</w:t>
      </w:r>
      <w:r w:rsidR="00B85A05">
        <w:t>ан, не имеющих выхода к морю, и </w:t>
      </w:r>
      <w:r w:rsidRPr="008512D5">
        <w:t>укрепления потенциала стран</w:t>
      </w:r>
      <w:r w:rsidR="00B85A05">
        <w:t xml:space="preserve"> </w:t>
      </w:r>
      <w:r w:rsidR="00803528">
        <w:t>–</w:t>
      </w:r>
      <w:r w:rsidRPr="008512D5">
        <w:t xml:space="preserve"> участниц СПЕКА для улучшения национальных систем управления безопасностью дорожного движения. В рамках осуществления проектов в области региональной инфраструктуры (ЕАТС, ТЕА и ТЕЖ) и сотрудничества с региональными транспортными организациями (ОЧЭС, ТОЮВЕ, ЦЕИ) Отдел устойчивого транспорта работал над улучшением интермодальных перевозок и связности и облегчением процедур пересечения границ и содействовал региональному сотрудничеству и интеграции. В сотрудничестве с Пограничным колледжем ОБСЕ для руководящего состава (Душанбе, октябрь 2015 года) ЕЭК ООН организовала рабочие совещания для стран</w:t>
      </w:r>
      <w:r w:rsidR="00B85A05">
        <w:t xml:space="preserve"> </w:t>
      </w:r>
      <w:r w:rsidR="00803528">
        <w:t>–</w:t>
      </w:r>
      <w:r w:rsidRPr="008512D5">
        <w:t xml:space="preserve"> участниц СПЕКА с целью повысить уровень знаний и потенциал 50 национальных экспертов по правовым документам, касающимся облегчения процедур пересечения границ.</w:t>
      </w:r>
    </w:p>
    <w:p w:rsidR="00803528" w:rsidRPr="00803528" w:rsidRDefault="00803528" w:rsidP="00803528">
      <w:pPr>
        <w:pStyle w:val="SingleTxt"/>
        <w:spacing w:after="0" w:line="120" w:lineRule="exact"/>
        <w:rPr>
          <w:b/>
          <w:sz w:val="10"/>
        </w:rPr>
      </w:pPr>
    </w:p>
    <w:p w:rsidR="00803528" w:rsidRPr="00803528" w:rsidRDefault="00803528" w:rsidP="00803528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0352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  <w:t>A.</w:t>
      </w:r>
      <w:r w:rsidRPr="008512D5">
        <w:tab/>
      </w:r>
      <w:bookmarkStart w:id="32" w:name="lt_pId168"/>
      <w:r w:rsidRPr="008512D5">
        <w:t>Евро-азиатские транспортные связи (ЕАТС)</w:t>
      </w:r>
      <w:bookmarkEnd w:id="32"/>
    </w:p>
    <w:p w:rsidR="00803528" w:rsidRPr="00803528" w:rsidRDefault="00803528" w:rsidP="00803528">
      <w:pPr>
        <w:pStyle w:val="SingleTxt"/>
        <w:spacing w:after="0" w:line="120" w:lineRule="exact"/>
        <w:rPr>
          <w:sz w:val="10"/>
        </w:rPr>
      </w:pPr>
    </w:p>
    <w:p w:rsidR="00803528" w:rsidRPr="00803528" w:rsidRDefault="00803528" w:rsidP="00803528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27.</w:t>
      </w:r>
      <w:r w:rsidRPr="008512D5">
        <w:tab/>
        <w:t>В проекте ЕАТС участвуют 38 стран, через территорию которых проходят сухопутные маршруты между двумя континентами. Сессии Группы экспертов по ЕАТС были проведены в Женеве (2–3 февраля 2015 года), Душанбе (9–10 июня 2015 года; под эгидой ОБСЕ) и Стамбуле (20–21 октября 2015 года; в сотрудничестве с Тюркским советом, выступившим устроителем сессии).</w:t>
      </w:r>
    </w:p>
    <w:p w:rsidR="00803528" w:rsidRPr="00803528" w:rsidRDefault="00803528" w:rsidP="00803528">
      <w:pPr>
        <w:pStyle w:val="SingleTxt"/>
        <w:spacing w:after="0" w:line="120" w:lineRule="exact"/>
        <w:rPr>
          <w:b/>
          <w:sz w:val="10"/>
        </w:rPr>
      </w:pPr>
    </w:p>
    <w:p w:rsidR="00803528" w:rsidRPr="00803528" w:rsidRDefault="00803528" w:rsidP="00803528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0352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  <w:t>C.</w:t>
      </w:r>
      <w:r w:rsidRPr="008512D5">
        <w:tab/>
      </w:r>
      <w:bookmarkStart w:id="33" w:name="lt_pId175"/>
      <w:r w:rsidRPr="008512D5">
        <w:t>Проекты Трансъевр</w:t>
      </w:r>
      <w:r w:rsidR="00803528">
        <w:t>опейской автомагистрали (ТЕА) и </w:t>
      </w:r>
      <w:r w:rsidRPr="008512D5">
        <w:t>Трансъевропейской железнодорожной магистрали (ТЕЖ)</w:t>
      </w:r>
      <w:bookmarkEnd w:id="33"/>
    </w:p>
    <w:p w:rsidR="00803528" w:rsidRPr="00803528" w:rsidRDefault="00803528" w:rsidP="00803528">
      <w:pPr>
        <w:pStyle w:val="SingleTxt"/>
        <w:spacing w:after="0" w:line="120" w:lineRule="exact"/>
        <w:rPr>
          <w:sz w:val="10"/>
        </w:rPr>
      </w:pPr>
    </w:p>
    <w:p w:rsidR="00803528" w:rsidRPr="00803528" w:rsidRDefault="00803528" w:rsidP="00803528">
      <w:pPr>
        <w:pStyle w:val="SingleTxt"/>
        <w:spacing w:after="0" w:line="120" w:lineRule="exact"/>
        <w:rPr>
          <w:sz w:val="10"/>
        </w:rPr>
      </w:pPr>
    </w:p>
    <w:p w:rsidR="008512D5" w:rsidRDefault="008512D5" w:rsidP="008512D5">
      <w:pPr>
        <w:pStyle w:val="SingleTxt"/>
      </w:pPr>
      <w:r w:rsidRPr="008512D5">
        <w:t>28.</w:t>
      </w:r>
      <w:r w:rsidRPr="008512D5">
        <w:tab/>
        <w:t>В 2015</w:t>
      </w:r>
      <w:r w:rsidRPr="008512D5">
        <w:rPr>
          <w:lang w:val="fr-CH"/>
        </w:rPr>
        <w:t> </w:t>
      </w:r>
      <w:r w:rsidRPr="008512D5">
        <w:t>году деятельность в рамках ТЕА включала проведение трех рабочих совещаний по таким темам, как управление безопасностью дорожного движения, финансирование автодорожной инфраструктуры и оценка воздействия на окружающую среду. Руководящий комитет дал Центральному управлению проекта ТЕА (ЦУП) мандат на содействие подготовке докладов, касающихся безопасности дорожного движения, финансирования дорог и стратегии для проекта ТЕА и</w:t>
      </w:r>
      <w:r w:rsidR="00BC2252">
        <w:t> </w:t>
      </w:r>
      <w:r w:rsidRPr="008512D5">
        <w:t>основанных на информации, собранной на рабочих совещаниях, проводившихся в нынешнем году.</w:t>
      </w:r>
    </w:p>
    <w:p w:rsidR="00DE4EC8" w:rsidRPr="008512D5" w:rsidRDefault="00DE4EC8" w:rsidP="008512D5">
      <w:pPr>
        <w:pStyle w:val="SingleTxt"/>
      </w:pPr>
      <w:r w:rsidRPr="00DE4EC8">
        <w:t>29.</w:t>
      </w:r>
      <w:r w:rsidRPr="00DE4EC8">
        <w:tab/>
        <w:t>В 2015</w:t>
      </w:r>
      <w:r w:rsidRPr="00DE4EC8">
        <w:rPr>
          <w:lang w:val="en-US"/>
        </w:rPr>
        <w:t> </w:t>
      </w:r>
      <w:r w:rsidRPr="00DE4EC8">
        <w:t>году руководители проекта ТЕЖ тесно сотрудничали с секретариатом SC.2 в подготовке общей методологии для генерального плана высокоскоростной железнодорожной сети в регионах ЕЭК и ТЕЖ. В апреле ЦУП проекта ТЕЖ организовал в сотрудничестве с правительством Турции рабочее совещание на тему «Межгосударственная координация работ по обслуживанию транспортных коридоров». Такие нерешенные административные вопросы, как контракт заместителя руководителя проекта и новое соглашение с принимающей страной о ЦУП ТЕЖ, находятся в стадии доработки, и, как ожидается, эти документы будут подписаны в 2015 году.</w:t>
      </w:r>
    </w:p>
    <w:p w:rsidR="00803528" w:rsidRPr="00803528" w:rsidRDefault="00803528" w:rsidP="00803528">
      <w:pPr>
        <w:pStyle w:val="SingleTxt"/>
        <w:spacing w:after="0" w:line="120" w:lineRule="exact"/>
        <w:rPr>
          <w:b/>
          <w:sz w:val="10"/>
        </w:rPr>
      </w:pPr>
    </w:p>
    <w:p w:rsidR="00803528" w:rsidRPr="00803528" w:rsidRDefault="00803528" w:rsidP="00803528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0352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  <w:t>D.</w:t>
      </w:r>
      <w:r w:rsidRPr="008512D5">
        <w:tab/>
      </w:r>
      <w:bookmarkStart w:id="34" w:name="lt_pId185"/>
      <w:r w:rsidRPr="008512D5">
        <w:t>Специальная программа Организации Объединенных Наций для экономик Центральной Азии (СПЕКА)</w:t>
      </w:r>
      <w:bookmarkEnd w:id="34"/>
    </w:p>
    <w:p w:rsidR="00803528" w:rsidRPr="00803528" w:rsidRDefault="00803528" w:rsidP="00803528">
      <w:pPr>
        <w:pStyle w:val="SingleTxt"/>
        <w:spacing w:after="0" w:line="120" w:lineRule="exact"/>
        <w:rPr>
          <w:sz w:val="10"/>
        </w:rPr>
      </w:pPr>
    </w:p>
    <w:p w:rsidR="00803528" w:rsidRPr="00803528" w:rsidRDefault="00803528" w:rsidP="00803528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30.</w:t>
      </w:r>
      <w:r w:rsidRPr="008512D5">
        <w:tab/>
        <w:t>Юбилейная 20-я сессия Проектной рабочей группы СПЕКА по транспорту и пересечению границ состоялась в Алматы (Казахстан) 10–11 сентября 2015 года. Устроителем этой сессии выступило Министерство по инвестициям и развитию Республики Казахстан, и она была организована совместно ЕЭК ООН и Экономической и социальной комиссией ООН для Азии и Тихого океана (ЭСКАТО). На ней были представлены национальные планы развития транспортной инфраструктуры, включая деятельность по устранению узких мест (физического и нефизического характера), а также прогресс в области присоединения к транспортным конвенциям ООН и их применения. Обеспечение качества и надежности транспортных данных остается проблемой в большинстве стран </w:t>
      </w:r>
      <w:r w:rsidR="00803528">
        <w:t>–</w:t>
      </w:r>
      <w:r w:rsidRPr="008512D5">
        <w:t xml:space="preserve"> членов СПЕКА. Поскольку транспорт включен в качестве показателя в несколько целей в области устойчивого развития, то пришло время заняться решением этой проблемы. Таким образом, было решено, что в будущих мероприятиях по оказанию технической помощи приоритет будет отдан сбору и обработке данных в</w:t>
      </w:r>
      <w:r w:rsidR="00BC2252">
        <w:t> </w:t>
      </w:r>
      <w:r w:rsidRPr="008512D5">
        <w:t>транспортном секторе с уделением особого внимания безопасности дорожного движения.</w:t>
      </w:r>
    </w:p>
    <w:p w:rsidR="008512D5" w:rsidRPr="008512D5" w:rsidRDefault="008512D5" w:rsidP="008512D5">
      <w:pPr>
        <w:pStyle w:val="SingleTxt"/>
      </w:pPr>
      <w:r w:rsidRPr="008512D5">
        <w:t>31.</w:t>
      </w:r>
      <w:r w:rsidRPr="008512D5">
        <w:tab/>
        <w:t>К сессии ПРГ-ТПГ было приурочено проведение рабочего совещания по наращиванию потенциала в области безопасности дорожного движения, на котором страны</w:t>
      </w:r>
      <w:r w:rsidR="007A19D7">
        <w:t xml:space="preserve"> </w:t>
      </w:r>
      <w:r w:rsidR="00803528">
        <w:t>–</w:t>
      </w:r>
      <w:r w:rsidRPr="008512D5">
        <w:t xml:space="preserve"> члены СПЕКА осветили сложившуюся у них ситуацию с безопасностью дорожного движения, поделились опытом по разработке правовой и нормативной базы для обеспечения безопасности дорожного движения и по созданию системы управления безопасностью дорожного движения. Сбор и анализ данных о безопасности дорожного движения, проводимые с целью мониторинга и оценки ситуации и установления стратегических целей в области обеспечения безопасности дорожного движения, были сочтены одной из ключевых задач на предстоящие годы.</w:t>
      </w:r>
    </w:p>
    <w:p w:rsidR="00803528" w:rsidRPr="00803528" w:rsidRDefault="00803528" w:rsidP="00803528">
      <w:pPr>
        <w:pStyle w:val="SingleTxt"/>
        <w:spacing w:after="0" w:line="120" w:lineRule="exact"/>
        <w:rPr>
          <w:b/>
          <w:sz w:val="10"/>
        </w:rPr>
      </w:pPr>
    </w:p>
    <w:p w:rsidR="00803528" w:rsidRPr="00803528" w:rsidRDefault="00803528" w:rsidP="00803528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0352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bookmarkStart w:id="35" w:name="lt_pId197"/>
      <w:r w:rsidRPr="008512D5">
        <w:t>VII.</w:t>
      </w:r>
      <w:bookmarkEnd w:id="35"/>
      <w:r w:rsidRPr="008512D5">
        <w:tab/>
      </w:r>
      <w:bookmarkStart w:id="36" w:name="lt_pId198"/>
      <w:r w:rsidRPr="008512D5">
        <w:t>Безопасность дорожного движения</w:t>
      </w:r>
      <w:bookmarkEnd w:id="36"/>
    </w:p>
    <w:p w:rsidR="00803528" w:rsidRPr="00803528" w:rsidRDefault="00803528" w:rsidP="00803528">
      <w:pPr>
        <w:pStyle w:val="SingleTxt"/>
        <w:spacing w:after="0" w:line="120" w:lineRule="exact"/>
        <w:rPr>
          <w:b/>
          <w:sz w:val="10"/>
        </w:rPr>
      </w:pPr>
    </w:p>
    <w:p w:rsidR="00803528" w:rsidRPr="00803528" w:rsidRDefault="00803528" w:rsidP="00803528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0352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  <w:t>A.</w:t>
      </w:r>
      <w:r w:rsidRPr="008512D5">
        <w:tab/>
      </w:r>
      <w:bookmarkStart w:id="37" w:name="lt_pId201"/>
      <w:r w:rsidRPr="008512D5">
        <w:t>Безопасные будущие системы внутреннего транспорта (SafeFITS)</w:t>
      </w:r>
      <w:bookmarkEnd w:id="37"/>
    </w:p>
    <w:p w:rsidR="00803528" w:rsidRPr="00803528" w:rsidRDefault="00803528" w:rsidP="00803528">
      <w:pPr>
        <w:pStyle w:val="SingleTxt"/>
        <w:spacing w:after="0" w:line="120" w:lineRule="exact"/>
        <w:rPr>
          <w:sz w:val="10"/>
        </w:rPr>
      </w:pPr>
    </w:p>
    <w:p w:rsidR="00803528" w:rsidRPr="00803528" w:rsidRDefault="00803528" w:rsidP="00803528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32.</w:t>
      </w:r>
      <w:r w:rsidRPr="008512D5">
        <w:tab/>
        <w:t>Было начато осуществление отдельного самостоятельного проекта, касающегося безопасных будущих систем внутреннего транспорта (SafeFITS), с целью разработки модуля безопасности дорожного движения и, следовательно, оказания поддержки проведению Десятилетия действий ООН по обеспечению безопасности дорожного движения. Этот проект финансируется МСАТ.</w:t>
      </w:r>
    </w:p>
    <w:p w:rsidR="008512D5" w:rsidRPr="008512D5" w:rsidRDefault="008512D5" w:rsidP="008512D5">
      <w:pPr>
        <w:pStyle w:val="SingleTxt"/>
      </w:pPr>
      <w:r w:rsidRPr="008512D5">
        <w:t>33.</w:t>
      </w:r>
      <w:r w:rsidRPr="008512D5">
        <w:tab/>
        <w:t>Модуль дорожной безопасности SafeFITS, в котором используются принципы ForFITS, призван облегчить принятие решений, основанных на имеющихся знаниях и касающихся политики обеспечения дорожной безопасности, с целью снижения уровня травматизма и смертности в результате дорожно-транспортных происшествий. SafeFITS был задуман главным образом для оказания помощи правительствам и директивным органам в принятии решений относительно наиболее подходящих стратегий и мер, направленных на достижение ощутимых результатов в деле повышения безопасности дорожного движения. Эта модель будет основываться на данных о безопасности дорожного движения, накопленных за длительный период, и на связях между несколькими параметрами безопасности дорожного движения, и, как ожидается, она позволит получить информацию о различных сценариях безопасности дорожного движения на основе выбранных стратегий и мер.</w:t>
      </w:r>
    </w:p>
    <w:p w:rsidR="00803528" w:rsidRPr="00803528" w:rsidRDefault="00803528" w:rsidP="00803528">
      <w:pPr>
        <w:pStyle w:val="SingleTxt"/>
        <w:spacing w:after="0" w:line="120" w:lineRule="exact"/>
        <w:rPr>
          <w:b/>
          <w:sz w:val="10"/>
        </w:rPr>
      </w:pPr>
    </w:p>
    <w:p w:rsidR="00803528" w:rsidRPr="00803528" w:rsidRDefault="00803528" w:rsidP="00803528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0352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r w:rsidRPr="008512D5">
        <w:rPr>
          <w:lang w:val="en-GB"/>
        </w:rPr>
        <w:t>B</w:t>
      </w:r>
      <w:r w:rsidRPr="008512D5">
        <w:t>.</w:t>
      </w:r>
      <w:r w:rsidRPr="008512D5">
        <w:tab/>
      </w:r>
      <w:bookmarkStart w:id="38" w:name="lt_pId211"/>
      <w:r w:rsidRPr="008512D5">
        <w:t xml:space="preserve">Обследования состояния безопасности дорожного движения, </w:t>
      </w:r>
      <w:bookmarkEnd w:id="38"/>
      <w:r w:rsidRPr="008512D5">
        <w:t>финансируемые по линии Счета развития Организации Объединенных Наций (СРООН)</w:t>
      </w:r>
    </w:p>
    <w:p w:rsidR="00803528" w:rsidRPr="00803528" w:rsidRDefault="00803528" w:rsidP="00803528">
      <w:pPr>
        <w:pStyle w:val="SingleTxt"/>
        <w:spacing w:after="0" w:line="120" w:lineRule="exact"/>
        <w:rPr>
          <w:sz w:val="10"/>
        </w:rPr>
      </w:pPr>
    </w:p>
    <w:p w:rsidR="00803528" w:rsidRPr="00803528" w:rsidRDefault="00803528" w:rsidP="00803528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34.</w:t>
      </w:r>
      <w:r w:rsidRPr="008512D5">
        <w:tab/>
        <w:t>Финансируемый по линии СРООН проект «Укрепление национального потенциала отдельных развивающихся стран и стран с переходной экономикой по управлению безопасностью дорожного движения» призван помочь Албании, Грузии, Доминиканской Республике и Вьетнаму укрепить их потенциал в области систем управления безопасностью дорожного движения путем эффективного учета и улучшения национальных показателей безопасности дорожного движения. Этот трехлетний проект был запущен в 2015 году и осуществляется ЕЭК ООН, ЭКЛАК и ЭСКАТО.</w:t>
      </w:r>
    </w:p>
    <w:p w:rsidR="00803528" w:rsidRPr="00803528" w:rsidRDefault="00803528" w:rsidP="00803528">
      <w:pPr>
        <w:pStyle w:val="SingleTxt"/>
        <w:spacing w:after="0" w:line="120" w:lineRule="exact"/>
        <w:rPr>
          <w:b/>
          <w:sz w:val="10"/>
        </w:rPr>
      </w:pPr>
    </w:p>
    <w:p w:rsidR="00803528" w:rsidRPr="00803528" w:rsidRDefault="00803528" w:rsidP="00803528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03528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r w:rsidRPr="008512D5">
        <w:rPr>
          <w:lang w:val="en-GB"/>
        </w:rPr>
        <w:t>C</w:t>
      </w:r>
      <w:r w:rsidRPr="008512D5">
        <w:t>.</w:t>
      </w:r>
      <w:r w:rsidRPr="008512D5">
        <w:tab/>
      </w:r>
      <w:bookmarkStart w:id="39" w:name="lt_pId217"/>
      <w:r w:rsidRPr="008512D5">
        <w:t xml:space="preserve">Десятилетие действий по обеспечению безопасности дорожного движения ООН </w:t>
      </w:r>
      <w:bookmarkEnd w:id="39"/>
      <w:r w:rsidRPr="008512D5">
        <w:t>и достижения в области нормативно-правовой работы</w:t>
      </w:r>
    </w:p>
    <w:p w:rsidR="00803528" w:rsidRPr="00803528" w:rsidRDefault="00803528" w:rsidP="00803528">
      <w:pPr>
        <w:pStyle w:val="SingleTxt"/>
        <w:keepNext/>
        <w:spacing w:after="0" w:line="120" w:lineRule="exact"/>
        <w:rPr>
          <w:sz w:val="10"/>
        </w:rPr>
      </w:pPr>
    </w:p>
    <w:p w:rsidR="00803528" w:rsidRPr="00803528" w:rsidRDefault="00803528" w:rsidP="00803528">
      <w:pPr>
        <w:pStyle w:val="SingleTxt"/>
        <w:keepNext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35.</w:t>
      </w:r>
      <w:r w:rsidRPr="008512D5">
        <w:tab/>
        <w:t>Вторая Всемирная конференция высокого уровня по безопасности дорожного движения была проведена 18–19 ноября 2015 года в Бразилии. В качестве вклада ЕЭК в работу этой конференции ею был опубликован доклад «Вместе с</w:t>
      </w:r>
      <w:r w:rsidR="00BC2252">
        <w:t> </w:t>
      </w:r>
      <w:r w:rsidRPr="008512D5">
        <w:t>ЕЭК ООН на пути к безопасности». На основе пяти основных направлений Глобального плана ЕЭК ООН определила 11 целей для того, чтобы сформулировать свой стратегический подход к безопасности дорожного движения в течение Десятилетия. В этом докладе подробно рассматривается каждая из этих целей </w:t>
      </w:r>
      <w:r w:rsidR="00803528">
        <w:t>– от </w:t>
      </w:r>
      <w:r w:rsidRPr="008512D5">
        <w:t>защиты уязвимых участников дорожного движения до повышения осведомленности о безопасности дорожного движения, от повышения безопасности транспортных средств до смягчения последствий дорожно-транспортных происшествий. В нем приводится всесторонний обзор, включая ход выполнения этих целей и основные результаты в их достижении, а также содержатся описания конкретных инициатив КВТ ЕЭК ООН и информация о вызовах, стоящих перед заинтересованными сторонами, занимающимися вопросами обеспечения безопасности дорожного движения в мире. Один из основных выводов, к которому приходят авторы этого доклада, заключается в том, что политическая воля, внедрение и использование национальных стратегий являются, вероятно, решающим фактором, способствующим достижению главной цели: к 2020 году вдвое сократить число случаев смерти и травм в мире в результате дорожно-транспортных происшествий. С этим докладом можно ознакомиться в настоящее время на веб-сайте ЕЭК ООН.</w:t>
      </w:r>
    </w:p>
    <w:p w:rsidR="00803528" w:rsidRPr="00803528" w:rsidRDefault="00803528" w:rsidP="00803528">
      <w:pPr>
        <w:pStyle w:val="SingleTxt"/>
        <w:spacing w:after="0" w:line="120" w:lineRule="exact"/>
        <w:rPr>
          <w:b/>
          <w:sz w:val="10"/>
        </w:rPr>
      </w:pPr>
    </w:p>
    <w:p w:rsidR="00803528" w:rsidRPr="00803528" w:rsidRDefault="00803528" w:rsidP="00803528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80352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bookmarkStart w:id="40" w:name="lt_pId230"/>
      <w:r w:rsidRPr="008512D5">
        <w:t>VIII.</w:t>
      </w:r>
      <w:bookmarkEnd w:id="40"/>
      <w:r w:rsidRPr="008512D5">
        <w:tab/>
      </w:r>
      <w:bookmarkStart w:id="41" w:name="lt_pId231"/>
      <w:r w:rsidRPr="008512D5">
        <w:t>Железнодорожный транспорт</w:t>
      </w:r>
      <w:bookmarkEnd w:id="41"/>
    </w:p>
    <w:p w:rsidR="00803528" w:rsidRPr="00803528" w:rsidRDefault="00803528" w:rsidP="00803528">
      <w:pPr>
        <w:pStyle w:val="SingleTxt"/>
        <w:spacing w:after="0" w:line="120" w:lineRule="exact"/>
        <w:rPr>
          <w:sz w:val="10"/>
        </w:rPr>
      </w:pPr>
    </w:p>
    <w:p w:rsidR="00803528" w:rsidRPr="00803528" w:rsidRDefault="00803528" w:rsidP="00803528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36.</w:t>
      </w:r>
      <w:r w:rsidRPr="008512D5">
        <w:tab/>
      </w:r>
      <w:bookmarkStart w:id="42" w:name="lt_pId233"/>
      <w:r w:rsidRPr="008512D5">
        <w:t>Рабочая группа по железнодорожному транспорту (SC.2) в 2015 году занималась рядом проблемных вопросов в области железнодорожного транспорта.</w:t>
      </w:r>
      <w:bookmarkEnd w:id="42"/>
      <w:r w:rsidR="00803528">
        <w:t xml:space="preserve"> В </w:t>
      </w:r>
      <w:r w:rsidRPr="008512D5">
        <w:t xml:space="preserve">ходе сессии Рабочей группы в сотрудничестве с МСЖД было организовано одно рабочее совещание по вопросу о тенденциях и вызовах в области безопасности на железнодорожном транспорте, которое заинтересовало многих делегатов от некоторых стран и международных организаций. </w:t>
      </w:r>
      <w:bookmarkStart w:id="43" w:name="lt_pId236"/>
      <w:r w:rsidRPr="008512D5">
        <w:t>Внимание было уделено следующим вопросам:</w:t>
      </w:r>
      <w:bookmarkEnd w:id="43"/>
    </w:p>
    <w:p w:rsidR="008512D5" w:rsidRPr="008512D5" w:rsidRDefault="00803528" w:rsidP="00803528">
      <w:pPr>
        <w:pStyle w:val="SingleTxt"/>
        <w:tabs>
          <w:tab w:val="right" w:pos="1685"/>
        </w:tabs>
        <w:ind w:left="1742" w:hanging="475"/>
      </w:pPr>
      <w:bookmarkStart w:id="44" w:name="lt_pId237"/>
      <w:r>
        <w:tab/>
        <w:t>•</w:t>
      </w:r>
      <w:r w:rsidR="008512D5" w:rsidRPr="008512D5">
        <w:tab/>
        <w:t>состоялось обсуждение проблем железнодорожной безопасности, и был представлен экспериментальный этап создания международного центра мониторинга железнодорожной безопасности;</w:t>
      </w:r>
      <w:bookmarkEnd w:id="44"/>
    </w:p>
    <w:p w:rsidR="008512D5" w:rsidRPr="008512D5" w:rsidRDefault="00803528" w:rsidP="00803528">
      <w:pPr>
        <w:pStyle w:val="SingleTxt"/>
        <w:tabs>
          <w:tab w:val="right" w:pos="1685"/>
        </w:tabs>
        <w:ind w:left="1742" w:hanging="475"/>
      </w:pPr>
      <w:bookmarkStart w:id="45" w:name="lt_pId238"/>
      <w:r>
        <w:tab/>
        <w:t>•</w:t>
      </w:r>
      <w:r w:rsidR="008512D5" w:rsidRPr="008512D5">
        <w:tab/>
        <w:t>были приняты предложения о поправках к Европейскому соглашению о</w:t>
      </w:r>
      <w:r w:rsidR="00BC2252">
        <w:t> </w:t>
      </w:r>
      <w:r w:rsidR="008512D5" w:rsidRPr="008512D5">
        <w:t>международных магистральных железнодорожных линиях (СМЖЛ), подготовленные в консультациях с Европейским железнодорожным агентством (ЕЖДА);</w:t>
      </w:r>
      <w:bookmarkEnd w:id="45"/>
    </w:p>
    <w:p w:rsidR="008512D5" w:rsidRPr="008512D5" w:rsidRDefault="00803528" w:rsidP="00803528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8512D5" w:rsidRPr="008512D5">
        <w:tab/>
        <w:t>были представлены и обсуждены сотрудничество с Центром передового опыта ЕЭК ООН по ГЧП и размещение на веб-сайте Рабочей группы инструмента, который позволяет оценивать инвестиции в железнодорожную инфраструктуру в рамках механизмов партнерства государственного и частного секторов;</w:t>
      </w:r>
    </w:p>
    <w:p w:rsidR="008512D5" w:rsidRPr="008512D5" w:rsidRDefault="00803528" w:rsidP="00803528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8512D5" w:rsidRPr="008512D5">
        <w:tab/>
        <w:t>были представлены и обсуждены тематические исследования по реформе железных дорог;</w:t>
      </w:r>
    </w:p>
    <w:p w:rsidR="008512D5" w:rsidRPr="008512D5" w:rsidRDefault="00803528" w:rsidP="00803528">
      <w:pPr>
        <w:pStyle w:val="SingleTxt"/>
        <w:tabs>
          <w:tab w:val="right" w:pos="1685"/>
        </w:tabs>
        <w:ind w:left="1742" w:hanging="475"/>
      </w:pPr>
      <w:bookmarkStart w:id="46" w:name="lt_pId241"/>
      <w:r>
        <w:tab/>
        <w:t>•</w:t>
      </w:r>
      <w:r w:rsidR="008512D5" w:rsidRPr="008512D5">
        <w:tab/>
        <w:t>состоялось обсуждение новой конвенции по облегчению условий железнодорожной перевозки пассажиров и багажа через границы;</w:t>
      </w:r>
      <w:bookmarkEnd w:id="46"/>
    </w:p>
    <w:p w:rsidR="008512D5" w:rsidRPr="008512D5" w:rsidRDefault="00803528" w:rsidP="00803528">
      <w:pPr>
        <w:pStyle w:val="SingleTxt"/>
        <w:tabs>
          <w:tab w:val="right" w:pos="1685"/>
        </w:tabs>
        <w:ind w:left="1742" w:hanging="475"/>
      </w:pPr>
      <w:bookmarkStart w:id="47" w:name="lt_pId242"/>
      <w:r>
        <w:tab/>
        <w:t>•</w:t>
      </w:r>
      <w:r w:rsidR="008512D5" w:rsidRPr="008512D5">
        <w:tab/>
        <w:t>были обсуждены и одобрены пересмотренные показатели производительности железнодорожного транспорта;</w:t>
      </w:r>
      <w:bookmarkEnd w:id="47"/>
    </w:p>
    <w:p w:rsidR="008512D5" w:rsidRPr="008512D5" w:rsidRDefault="00803528" w:rsidP="00803528">
      <w:pPr>
        <w:pStyle w:val="SingleTxt"/>
        <w:tabs>
          <w:tab w:val="right" w:pos="1685"/>
        </w:tabs>
        <w:ind w:left="1742" w:hanging="475"/>
      </w:pPr>
      <w:r>
        <w:tab/>
        <w:t>•</w:t>
      </w:r>
      <w:r w:rsidR="008512D5" w:rsidRPr="008512D5">
        <w:tab/>
        <w:t>была обсуждена и одобрена подготовка плана действий для мониторинга осуществления нового приложения 9 к Конвенции о согласовании.</w:t>
      </w:r>
    </w:p>
    <w:p w:rsidR="008512D5" w:rsidRPr="008512D5" w:rsidRDefault="008512D5" w:rsidP="008512D5">
      <w:pPr>
        <w:pStyle w:val="SingleTxt"/>
      </w:pPr>
      <w:r w:rsidRPr="008512D5">
        <w:t>37.</w:t>
      </w:r>
      <w:r w:rsidRPr="008512D5">
        <w:tab/>
        <w:t>В рамках повышения эффективности железнодорожных перевозок между Азией и Европой Группе экспертов по единому железнодорожному праву удалось подготовить в период действия своего мандата правовые положения, касающиеся договора перевозки и, в частности, прав и обязанностей сторон договора перевозки, документации, ответственности, заявления претензий и отношений между перевозчиками единого железнодорожного права. Это было сделано с учетом передовой практики, уже реализованной в рамках ЦИМ/КОТИФ и СМГС, а также других международных транспортных конвенций. Группа также подготовила основные принципы системы управления для единого железнодорожного права.</w:t>
      </w:r>
    </w:p>
    <w:p w:rsidR="008512D5" w:rsidRPr="008512D5" w:rsidRDefault="008512D5" w:rsidP="008512D5">
      <w:pPr>
        <w:pStyle w:val="SingleTxt"/>
      </w:pPr>
      <w:r w:rsidRPr="008512D5">
        <w:t>38.</w:t>
      </w:r>
      <w:r w:rsidRPr="008512D5">
        <w:tab/>
        <w:t>В 2016 году Группа экспертов будет продолжать свою работу, уделяя основное внимание:</w:t>
      </w:r>
    </w:p>
    <w:p w:rsidR="008512D5" w:rsidRPr="008512D5" w:rsidRDefault="00D941C8" w:rsidP="008512D5">
      <w:pPr>
        <w:pStyle w:val="SingleTxt"/>
      </w:pPr>
      <w:r>
        <w:tab/>
      </w:r>
      <w:r w:rsidR="008512D5" w:rsidRPr="008512D5">
        <w:t>a)</w:t>
      </w:r>
      <w:r w:rsidR="008512D5" w:rsidRPr="008512D5">
        <w:tab/>
        <w:t>координации подготовки и/или обзора уже подготовленных документов, необходимых для железнодорожных перевозок, соответствующими международными ассоциациями, имеющими отношение к железнодорожной отрасли, с</w:t>
      </w:r>
      <w:r w:rsidR="002315E3">
        <w:rPr>
          <w:lang w:val="en-US"/>
        </w:rPr>
        <w:t> </w:t>
      </w:r>
      <w:r w:rsidR="008512D5" w:rsidRPr="008512D5">
        <w:t>учетом подготовленного проекта правовых положений;</w:t>
      </w:r>
    </w:p>
    <w:p w:rsidR="008512D5" w:rsidRPr="008512D5" w:rsidRDefault="00D941C8" w:rsidP="008512D5">
      <w:pPr>
        <w:pStyle w:val="SingleTxt"/>
      </w:pPr>
      <w:r>
        <w:tab/>
      </w:r>
      <w:r w:rsidR="008512D5" w:rsidRPr="008512D5">
        <w:t>b)</w:t>
      </w:r>
      <w:r w:rsidR="008512D5" w:rsidRPr="008512D5">
        <w:tab/>
        <w:t>мониторингу результатов проверок проекта правовых положений на</w:t>
      </w:r>
      <w:r w:rsidR="00BC2252">
        <w:t> </w:t>
      </w:r>
      <w:r w:rsidR="008512D5" w:rsidRPr="008512D5">
        <w:t>практике и подготовке соответствующих рекомендаций.</w:t>
      </w:r>
    </w:p>
    <w:p w:rsidR="00D941C8" w:rsidRPr="00D941C8" w:rsidRDefault="00D941C8" w:rsidP="00D941C8">
      <w:pPr>
        <w:pStyle w:val="SingleTxt"/>
        <w:spacing w:after="0" w:line="120" w:lineRule="exact"/>
        <w:rPr>
          <w:b/>
          <w:sz w:val="10"/>
        </w:rPr>
      </w:pPr>
    </w:p>
    <w:p w:rsidR="00D941C8" w:rsidRPr="00D941C8" w:rsidRDefault="00D941C8" w:rsidP="00D941C8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D941C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bookmarkStart w:id="48" w:name="lt_pId255"/>
      <w:r w:rsidRPr="008512D5">
        <w:t>IX.</w:t>
      </w:r>
      <w:bookmarkEnd w:id="48"/>
      <w:r w:rsidRPr="008512D5">
        <w:tab/>
      </w:r>
      <w:bookmarkStart w:id="49" w:name="lt_pId256"/>
      <w:r w:rsidRPr="008512D5">
        <w:t>Внутренний водный транспорт</w:t>
      </w:r>
      <w:bookmarkEnd w:id="49"/>
    </w:p>
    <w:p w:rsidR="00D941C8" w:rsidRPr="00D941C8" w:rsidRDefault="00D941C8" w:rsidP="00D941C8">
      <w:pPr>
        <w:pStyle w:val="SingleTxt"/>
        <w:spacing w:after="0" w:line="120" w:lineRule="exact"/>
        <w:rPr>
          <w:b/>
          <w:sz w:val="10"/>
        </w:rPr>
      </w:pPr>
    </w:p>
    <w:p w:rsidR="00D941C8" w:rsidRPr="00D941C8" w:rsidRDefault="00D941C8" w:rsidP="00D941C8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D941C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r w:rsidRPr="008512D5">
        <w:tab/>
      </w:r>
      <w:bookmarkStart w:id="50" w:name="lt_pId259"/>
      <w:r w:rsidRPr="008512D5">
        <w:t>Европейские правила судоходства по внутренним водным путям (ЕПСВВП)</w:t>
      </w:r>
      <w:bookmarkEnd w:id="50"/>
    </w:p>
    <w:p w:rsidR="00D941C8" w:rsidRPr="00D941C8" w:rsidRDefault="00D941C8" w:rsidP="00D941C8">
      <w:pPr>
        <w:pStyle w:val="SingleTxt"/>
        <w:spacing w:after="0" w:line="120" w:lineRule="exact"/>
        <w:rPr>
          <w:sz w:val="10"/>
        </w:rPr>
      </w:pPr>
    </w:p>
    <w:p w:rsidR="00D941C8" w:rsidRPr="00D941C8" w:rsidRDefault="00D941C8" w:rsidP="00D941C8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39.</w:t>
      </w:r>
      <w:r w:rsidRPr="008512D5">
        <w:tab/>
        <w:t>После утверждения в ноябре 2014 года пятого пересмотренного издания ЕПСВВП в 2015 году были опубликованы печатная и онлайновая версии ЕПСВВП на английском, русском и французском языках. Следующим шагом будет пересмотр резолюции № 59, содержащей инструкции по сигнальным знакам, регулирующим судоходство по водным путям, в целях приведения ее в соответствие с пятым пересмотренным изданием ЕПСВВП.</w:t>
      </w:r>
    </w:p>
    <w:p w:rsidR="008512D5" w:rsidRPr="008512D5" w:rsidRDefault="008512D5" w:rsidP="008512D5">
      <w:pPr>
        <w:pStyle w:val="SingleTxt"/>
      </w:pPr>
      <w:r w:rsidRPr="008512D5">
        <w:t>40.</w:t>
      </w:r>
      <w:r w:rsidRPr="008512D5">
        <w:tab/>
        <w:t>Рабочая группа по внутреннему водному транспорту (SC.3) утвердила последующие поправки к приложению II к Европейскому соглашению о важнейших внутренних водных путях международного значения (СМВП). Началось обсуждение вопроса о том, как привести Протокол о комбинированных перевозках по внутренним водным путям к Европейскому соглашению о важнейших линиях международных комбинированных перевозок и соответствующих объектах (Протокол к СЛКП) в соответствие с пересмотренными приложениями к СМВП.</w:t>
      </w:r>
    </w:p>
    <w:p w:rsidR="008512D5" w:rsidRPr="008512D5" w:rsidRDefault="008512D5" w:rsidP="008512D5">
      <w:pPr>
        <w:pStyle w:val="SingleTxt"/>
      </w:pPr>
      <w:r w:rsidRPr="008512D5">
        <w:t>41.</w:t>
      </w:r>
      <w:r w:rsidRPr="008512D5">
        <w:tab/>
        <w:t>Были согласованы несколько обновлений резолюций 57а и 63 КВТ для отражения изменений, произошедших в речных информационных системах. Наиболее значительно была обновлена резолюция № 48, содержащая рекомендацию, касающуюся системы отображения электронных карт и информации для внутреннего судоходства, и приложение к ней. Пересмотр этой резолюции направлен на облегчение использования электронных карт для внутреннего судоходства в Европе и обновление на основе последних версиях стандартов СОЭНКИ ВС, включая минимальные требования, предъявляемые к СОЭНКИ ВС в режиме передачи информации, и батиметрическую электронную навигационную карту для внутреннего судоходства, с целью согласования ее текста с другими международными правилами, например правилами Центральной комиссии судоходства по Рейну и Европейского союза.</w:t>
      </w:r>
    </w:p>
    <w:p w:rsidR="00D941C8" w:rsidRPr="00D941C8" w:rsidRDefault="00D941C8" w:rsidP="00D941C8">
      <w:pPr>
        <w:pStyle w:val="SingleTxt"/>
        <w:spacing w:after="0" w:line="120" w:lineRule="exact"/>
        <w:rPr>
          <w:b/>
          <w:sz w:val="10"/>
        </w:rPr>
      </w:pPr>
    </w:p>
    <w:p w:rsidR="00D941C8" w:rsidRPr="00D941C8" w:rsidRDefault="00D941C8" w:rsidP="00D941C8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D941C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r w:rsidRPr="008512D5">
        <w:rPr>
          <w:lang w:val="en-GB"/>
        </w:rPr>
        <w:t>X</w:t>
      </w:r>
      <w:r w:rsidRPr="008512D5">
        <w:t>.</w:t>
      </w:r>
      <w:r w:rsidRPr="008512D5">
        <w:tab/>
      </w:r>
      <w:bookmarkStart w:id="51" w:name="lt_pId272"/>
      <w:r w:rsidRPr="008512D5">
        <w:t>Интермодальные перевозки и логистика</w:t>
      </w:r>
      <w:bookmarkEnd w:id="51"/>
    </w:p>
    <w:p w:rsidR="00D941C8" w:rsidRPr="00D941C8" w:rsidRDefault="00D941C8" w:rsidP="00D941C8">
      <w:pPr>
        <w:pStyle w:val="SingleTxt"/>
        <w:spacing w:after="0" w:line="120" w:lineRule="exact"/>
        <w:rPr>
          <w:sz w:val="10"/>
        </w:rPr>
      </w:pPr>
    </w:p>
    <w:p w:rsidR="00D941C8" w:rsidRPr="00D941C8" w:rsidRDefault="00D941C8" w:rsidP="00D941C8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42.</w:t>
      </w:r>
      <w:r w:rsidRPr="008512D5">
        <w:tab/>
        <w:t>После утверждения в 2014 году Кодекса практики по укладке грузов в грузовые транспортные единицы (Кодекс ГТЕ) Комитетом по внутреннему транспорту, Международной организацией труда (МОТ) и Международной морской организацией (ИМО) знание этого кодекса распространяется по всей отрасли благодаря его наличию на всех официальных языках ООН. Кроме того, некоторые правительства приняли решение о его переводе на местные языки (например, на немецкий язык). Помимо этого, некоторые правительства включают это кодекс в национальное законодательство: например, в начале 2016 года его планируется включить как одно из требований в законодательство Южной Африки.</w:t>
      </w:r>
    </w:p>
    <w:p w:rsidR="008512D5" w:rsidRPr="008512D5" w:rsidRDefault="008512D5" w:rsidP="008512D5">
      <w:pPr>
        <w:pStyle w:val="SingleTxt"/>
      </w:pPr>
      <w:r w:rsidRPr="008512D5">
        <w:t>43.</w:t>
      </w:r>
      <w:r w:rsidRPr="008512D5">
        <w:tab/>
        <w:t>Деятельность Рабочей группы по интермодальным перевозкам и логистике (WP.24) была еще больше посвящена обмену оптимальной практикой в области интермодальных перевозок и логистики, и ее кульминационной точкой явилось рабочее совещание «Интермодальный подход приводит к устойчивости», проведенное в конце 2015 года. Была значительно обновлена имеющаяся информация о стратегиях интермодальных перевозок, что должно помочь государствам-членам понять, как развивать их сектор интермодальных перевозок наиболее эффективным образом.</w:t>
      </w:r>
    </w:p>
    <w:p w:rsidR="00D941C8" w:rsidRPr="00D941C8" w:rsidRDefault="00D941C8" w:rsidP="00D941C8">
      <w:pPr>
        <w:pStyle w:val="SingleTxt"/>
        <w:spacing w:after="0" w:line="120" w:lineRule="exact"/>
        <w:rPr>
          <w:b/>
          <w:sz w:val="10"/>
        </w:rPr>
      </w:pPr>
    </w:p>
    <w:p w:rsidR="00D941C8" w:rsidRPr="00D941C8" w:rsidRDefault="00D941C8" w:rsidP="00D941C8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D941C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bookmarkStart w:id="52" w:name="lt_pId281"/>
      <w:r w:rsidRPr="008512D5">
        <w:t>XI.</w:t>
      </w:r>
      <w:bookmarkEnd w:id="52"/>
      <w:r w:rsidRPr="008512D5">
        <w:tab/>
      </w:r>
      <w:bookmarkStart w:id="53" w:name="lt_pId282"/>
      <w:r w:rsidRPr="008512D5">
        <w:t>Облегчение пересечения границ и Конвенция МДП</w:t>
      </w:r>
      <w:bookmarkEnd w:id="53"/>
    </w:p>
    <w:p w:rsidR="00D941C8" w:rsidRPr="00D941C8" w:rsidRDefault="00D941C8" w:rsidP="00D941C8">
      <w:pPr>
        <w:pStyle w:val="SingleTxt"/>
        <w:spacing w:after="0" w:line="120" w:lineRule="exact"/>
        <w:rPr>
          <w:b/>
          <w:sz w:val="10"/>
        </w:rPr>
      </w:pPr>
    </w:p>
    <w:p w:rsidR="00D941C8" w:rsidRPr="00D941C8" w:rsidRDefault="00D941C8" w:rsidP="00D941C8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D941C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r w:rsidRPr="008512D5">
        <w:tab/>
      </w:r>
      <w:bookmarkStart w:id="54" w:name="lt_pId285"/>
      <w:r w:rsidRPr="008512D5">
        <w:t>МДП</w:t>
      </w:r>
      <w:bookmarkEnd w:id="54"/>
    </w:p>
    <w:p w:rsidR="00D941C8" w:rsidRPr="00D941C8" w:rsidRDefault="00D941C8" w:rsidP="00D941C8">
      <w:pPr>
        <w:pStyle w:val="SingleTxt"/>
        <w:spacing w:after="0" w:line="120" w:lineRule="exact"/>
        <w:rPr>
          <w:sz w:val="10"/>
        </w:rPr>
      </w:pPr>
    </w:p>
    <w:p w:rsidR="00D941C8" w:rsidRPr="00D941C8" w:rsidRDefault="00D941C8" w:rsidP="00D941C8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44.</w:t>
      </w:r>
      <w:r w:rsidRPr="008512D5">
        <w:tab/>
      </w:r>
      <w:bookmarkStart w:id="55" w:name="lt_pId287"/>
      <w:r w:rsidRPr="008512D5">
        <w:t xml:space="preserve">Что касается применения Конвенции МДП, то 2015 год был по-прежнему отмечен так называемым </w:t>
      </w:r>
      <w:r w:rsidR="00D941C8">
        <w:t>«</w:t>
      </w:r>
      <w:r w:rsidRPr="008512D5">
        <w:t>кризисом МДП</w:t>
      </w:r>
      <w:r w:rsidR="00D941C8">
        <w:t>»</w:t>
      </w:r>
      <w:r w:rsidRPr="008512D5">
        <w:t>, начавшимся в 2013 году, когда в соответствии с решением Федеральной таможенной службы (ФТС) Российской Федерации все большее число таможен стали отказываться от принятия гарантий МДП, выданных иностранными национальными объединениями, и взамен требовать оформления перевозчиками национальной гарантии.</w:t>
      </w:r>
      <w:bookmarkEnd w:id="55"/>
      <w:r w:rsidRPr="008512D5">
        <w:t xml:space="preserve"> Несмотря на продолжавшиеся усилия руководящих органов МДП, а также усилия, предпринимавшиеся на национальном уровне, российские таможни отказывались принимать книжки МДП. Однако к концу года блеснула небольшая искра надежды, когда вслед за распространением проекта указа, содержащего перечень из тридцати девяти пунктов пропуска через границу, на которых будут вновь приниматься к оформлению книжки МДП, некоторые из этих пунктов приступили к оформлению перевозок по процедуре МДП.</w:t>
      </w:r>
    </w:p>
    <w:p w:rsidR="008512D5" w:rsidRPr="008512D5" w:rsidRDefault="008512D5" w:rsidP="008512D5">
      <w:pPr>
        <w:pStyle w:val="SingleTxt"/>
      </w:pPr>
      <w:r w:rsidRPr="008512D5">
        <w:t>45.</w:t>
      </w:r>
      <w:r w:rsidRPr="008512D5">
        <w:tab/>
        <w:t>В 2015</w:t>
      </w:r>
      <w:r w:rsidRPr="008512D5">
        <w:rPr>
          <w:lang w:val="en-US"/>
        </w:rPr>
        <w:t> </w:t>
      </w:r>
      <w:r w:rsidRPr="008512D5">
        <w:t>году Рабочая группа по таможенным вопросам, связанным с транспортом (WP.30), и Административный комитет МДП (АС.2) продолжали обсуждать различные предложения, представленные правительством Российской Федерации и направленные, в частности, на то, чтобы обеспечить б</w:t>
      </w:r>
      <w:r w:rsidRPr="008512D5">
        <w:rPr>
          <w:i/>
          <w:iCs/>
        </w:rPr>
        <w:t>о</w:t>
      </w:r>
      <w:r w:rsidRPr="008512D5">
        <w:t>льшую транспарентность в функционировании международной системы гарантий и предусмотреть для государственных бюджетов б</w:t>
      </w:r>
      <w:r w:rsidR="00D941C8" w:rsidRPr="00D941C8">
        <w:rPr>
          <w:iCs/>
        </w:rPr>
        <w:t>о</w:t>
      </w:r>
      <w:r w:rsidR="00D941C8">
        <w:rPr>
          <w:iCs/>
        </w:rPr>
        <w:t>́</w:t>
      </w:r>
      <w:r w:rsidRPr="008512D5">
        <w:t>льшую определенность в том, что касается компенсации за нарушения Конвенции. В этих условиях АС.2 просил Исполнительный совет МДП (ИСМДП) провести полную оценку различных вариантов, чтобы привести гарантии МДП в большее соответствие с усилиями таможенных органов, направленных на обеспечение полного гарантийного покрытия таможенных пошлин и сборов, о которых идет речь.</w:t>
      </w:r>
    </w:p>
    <w:p w:rsidR="008512D5" w:rsidRPr="008512D5" w:rsidRDefault="008512D5" w:rsidP="008512D5">
      <w:pPr>
        <w:pStyle w:val="SingleTxt"/>
      </w:pPr>
      <w:r w:rsidRPr="008512D5">
        <w:t>46.</w:t>
      </w:r>
      <w:r w:rsidRPr="008512D5">
        <w:tab/>
        <w:t>2015 год стал не только годом, когда отмечалась сороковая годовщина Конвенции МДП, заключенной 17 ноября 1975 года, но и годом, когда число ее Договаривающихся сторон достигло шестидесяти девяти после присоединения к ней в июне Исламской Республики Пакистан. Это событие, как ожидается, будет способствовать активизации регионального развития и интеграции, особенно вдоль региональных торговых коридоров, связывающих 10 членов Организации экономического сотрудничества (Азербайджан, Афганистан, Иран, Казахстан, Кыргызстан, Пакистан, Таджикистан, Туркменистан, Турцию и Узбекистан), все из которых будут теперь Договаривающимися сторонами МДП.</w:t>
      </w:r>
    </w:p>
    <w:p w:rsidR="008512D5" w:rsidRPr="008512D5" w:rsidRDefault="008512D5" w:rsidP="008512D5">
      <w:pPr>
        <w:pStyle w:val="SingleTxt"/>
      </w:pPr>
      <w:r w:rsidRPr="008512D5">
        <w:t>47.</w:t>
      </w:r>
      <w:r w:rsidRPr="008512D5">
        <w:tab/>
        <w:t>Усилия по компьютеризации процедуры МДП (eTIR) получили важный импульс, когда на своей сессии, проходившей в июне 2015 года, WP.30 поддержала версию 4.1 Справочной модели eTIR в качестве основы будущей деятельности своих вспомогательных групп экспертов: Неофициальной специальной группы экспертов по техническим и процедурным аспектам компьютеризации процедуры МДП (</w:t>
      </w:r>
      <w:r w:rsidRPr="008512D5">
        <w:rPr>
          <w:lang w:val="en-GB"/>
        </w:rPr>
        <w:t>GE</w:t>
      </w:r>
      <w:r w:rsidRPr="008512D5">
        <w:t>.1) и Группы экспертов по правовым аспектам компьютеризации процедуры МДП (</w:t>
      </w:r>
      <w:r w:rsidRPr="008512D5">
        <w:rPr>
          <w:lang w:val="en-GB"/>
        </w:rPr>
        <w:t>GE</w:t>
      </w:r>
      <w:r w:rsidRPr="008512D5">
        <w:t>.2). Группа экспертов по правовым аспектам провела свою первую сессию в ноябре 2015 года.</w:t>
      </w:r>
    </w:p>
    <w:p w:rsidR="008512D5" w:rsidRPr="008512D5" w:rsidRDefault="008512D5" w:rsidP="008512D5">
      <w:pPr>
        <w:pStyle w:val="SingleTxt"/>
      </w:pPr>
      <w:r w:rsidRPr="008512D5">
        <w:t>48.</w:t>
      </w:r>
      <w:r w:rsidRPr="008512D5">
        <w:tab/>
        <w:t>В 2015 году началась реализация совместного пилотного проекта eTIR ЕЭК ООН </w:t>
      </w:r>
      <w:r w:rsidR="00D941C8">
        <w:t>–</w:t>
      </w:r>
      <w:r w:rsidRPr="008512D5">
        <w:t xml:space="preserve"> МСАТ между Ираном (Исламской Республикой) и Турцией, в рамках которого в ноябре 2015 года была успешно осуществлена первая перевозка eTIR. В осуществлении финансируемого по линии СРООН проекта под названием «Укрепление способности развивающихся стран и стран с переходной экономикой принимать меры для облегчения законного пересечения границ и поощрения регионального сотрудничества и интеграции», который поддерживает процесс компьютеризации МДП, был достигнут значительный прогресс, и его реализация была продлена до июня 2016 года.</w:t>
      </w:r>
    </w:p>
    <w:p w:rsidR="008512D5" w:rsidRPr="008512D5" w:rsidRDefault="008512D5" w:rsidP="008512D5">
      <w:pPr>
        <w:pStyle w:val="SingleTxt"/>
      </w:pPr>
      <w:r w:rsidRPr="008512D5">
        <w:t>49.</w:t>
      </w:r>
      <w:r w:rsidRPr="008512D5">
        <w:tab/>
        <w:t>WP.30 инициировала разработку нового приложения 10 к Конвенции о согласовании 1982 года, касающегося упрощения процедур регулирования и контроля в морских портах. В связи с пересмотром Международной конвенции об облегчении условий железнодорожной перевозки пассажиров и багажа через границы (январь 1952 года) она также получила первый проект предлагаемой новой конвенции о международных перевозках пассажиров по железной дороге.</w:t>
      </w:r>
    </w:p>
    <w:p w:rsidR="008512D5" w:rsidRPr="008512D5" w:rsidRDefault="008512D5" w:rsidP="008512D5">
      <w:pPr>
        <w:pStyle w:val="SingleTxt"/>
      </w:pPr>
      <w:r w:rsidRPr="008512D5">
        <w:t>50.</w:t>
      </w:r>
      <w:r w:rsidRPr="008512D5">
        <w:tab/>
      </w:r>
      <w:bookmarkStart w:id="56" w:name="lt_pId307"/>
      <w:r w:rsidRPr="008512D5">
        <w:t>Террористические акты и преступная деятельность могут привести к разрушению инфраструктуры, от которой мы зависим в нашей повседневной жизни.</w:t>
      </w:r>
      <w:bookmarkEnd w:id="56"/>
      <w:r w:rsidRPr="008512D5">
        <w:t xml:space="preserve"> </w:t>
      </w:r>
      <w:bookmarkStart w:id="57" w:name="lt_pId308"/>
      <w:r w:rsidRPr="008512D5">
        <w:t>Эта инфраструктура, зачастую называемая «инфраструктурой первостепенной важности», включает в себя различные транспортные объекты </w:t>
      </w:r>
      <w:r w:rsidR="00D941C8">
        <w:t>–</w:t>
      </w:r>
      <w:r w:rsidRPr="008512D5">
        <w:t xml:space="preserve"> от интермодальных транспортных узлов и логистических центров до железнодорожных и автодорожных мостов и туннелей.</w:t>
      </w:r>
      <w:bookmarkEnd w:id="57"/>
      <w:r w:rsidRPr="008512D5">
        <w:t xml:space="preserve"> В связи с пленарной сессией Рабочей группы по тенденциям и экономике транспорта (</w:t>
      </w:r>
      <w:r w:rsidRPr="008512D5">
        <w:rPr>
          <w:lang w:val="en-GB"/>
        </w:rPr>
        <w:t>WP</w:t>
      </w:r>
      <w:r w:rsidRPr="008512D5">
        <w:t>.5) 8 сентября 2015 года в Женеве было организ</w:t>
      </w:r>
      <w:r w:rsidR="002315E3">
        <w:t>овано рабочее совещание на тему</w:t>
      </w:r>
      <w:r w:rsidRPr="008512D5">
        <w:t xml:space="preserve"> «Уязвимость и безопасность транспортной инфраструктуры первостепенной важности».</w:t>
      </w:r>
    </w:p>
    <w:p w:rsidR="00D941C8" w:rsidRPr="00D941C8" w:rsidRDefault="00D941C8" w:rsidP="00D941C8">
      <w:pPr>
        <w:pStyle w:val="SingleTxt"/>
        <w:spacing w:after="0" w:line="120" w:lineRule="exact"/>
        <w:rPr>
          <w:b/>
          <w:sz w:val="10"/>
        </w:rPr>
      </w:pPr>
    </w:p>
    <w:p w:rsidR="00D941C8" w:rsidRPr="00D941C8" w:rsidRDefault="00D941C8" w:rsidP="00D941C8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D941C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bookmarkStart w:id="58" w:name="lt_pId311"/>
      <w:r w:rsidRPr="008512D5">
        <w:t>XII.</w:t>
      </w:r>
      <w:bookmarkEnd w:id="58"/>
      <w:r w:rsidRPr="008512D5">
        <w:tab/>
      </w:r>
      <w:bookmarkStart w:id="59" w:name="lt_pId312"/>
      <w:r w:rsidRPr="008512D5">
        <w:t>Правила в области транспортных средств</w:t>
      </w:r>
      <w:r w:rsidR="007A19D7">
        <w:t xml:space="preserve"> </w:t>
      </w:r>
      <w:r w:rsidR="00D941C8">
        <w:t>–</w:t>
      </w:r>
      <w:r w:rsidRPr="008512D5">
        <w:t xml:space="preserve"> Всемирный форум для согласования правил в области транспортных средств (WP.29)</w:t>
      </w:r>
      <w:bookmarkEnd w:id="59"/>
    </w:p>
    <w:p w:rsidR="00D941C8" w:rsidRPr="00D941C8" w:rsidRDefault="00D941C8" w:rsidP="00D941C8">
      <w:pPr>
        <w:pStyle w:val="SingleTxt"/>
        <w:spacing w:after="0" w:line="120" w:lineRule="exact"/>
        <w:rPr>
          <w:sz w:val="10"/>
        </w:rPr>
      </w:pPr>
    </w:p>
    <w:p w:rsidR="00D941C8" w:rsidRPr="00D941C8" w:rsidRDefault="00D941C8" w:rsidP="00D941C8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51.</w:t>
      </w:r>
      <w:r w:rsidRPr="008512D5">
        <w:tab/>
      </w:r>
      <w:bookmarkStart w:id="60" w:name="lt_pId314"/>
      <w:r w:rsidRPr="008512D5">
        <w:t>В 2015 году вступили в силу два новых текста правил Организации Объединенных Наций по транспортным средствам, которые были включены в Соглашение 1958 года в качестве приложений и направлены на улучшение показателей безопасности и экологических характеристик транспортных средств, и были приняты еще два текста правил:</w:t>
      </w:r>
      <w:bookmarkEnd w:id="60"/>
    </w:p>
    <w:p w:rsidR="008512D5" w:rsidRPr="008512D5" w:rsidRDefault="00D941C8" w:rsidP="00D941C8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512D5" w:rsidRPr="008512D5">
        <w:t>новые Правила № 134, касающиеся характеристик безопасности транспортных средств, работающих на водороде (ТСВТЭ), и содержащие требования в отношении безопасной эксплуатации ТСВТЭ с учетом установленных на них систем хранения компримированного водорода;</w:t>
      </w:r>
    </w:p>
    <w:p w:rsidR="008512D5" w:rsidRPr="008512D5" w:rsidRDefault="00D941C8" w:rsidP="00D941C8">
      <w:pPr>
        <w:pStyle w:val="SingleTxt"/>
        <w:tabs>
          <w:tab w:val="right" w:pos="1685"/>
        </w:tabs>
        <w:ind w:left="1742" w:hanging="475"/>
      </w:pPr>
      <w:bookmarkStart w:id="61" w:name="lt_pId316"/>
      <w:r>
        <w:tab/>
        <w:t>•</w:t>
      </w:r>
      <w:r>
        <w:tab/>
      </w:r>
      <w:r w:rsidR="008512D5" w:rsidRPr="008512D5">
        <w:t>новые Правила № 135 ООН, касающиеся бокового удара о столб (БУС) и</w:t>
      </w:r>
      <w:r w:rsidR="002315E3">
        <w:rPr>
          <w:lang w:val="en-US"/>
        </w:rPr>
        <w:t> </w:t>
      </w:r>
      <w:r w:rsidR="008512D5" w:rsidRPr="008512D5">
        <w:t>содержащие более жесткие требования в отношении характеристик безопасности транспортных средств в случае бокового удара о столб;</w:t>
      </w:r>
      <w:bookmarkEnd w:id="61"/>
    </w:p>
    <w:p w:rsidR="008512D5" w:rsidRPr="008512D5" w:rsidRDefault="00D941C8" w:rsidP="00D941C8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512D5" w:rsidRPr="008512D5">
        <w:t>новые Правила ООН, касающиеся двухколесных транспортных средств с</w:t>
      </w:r>
      <w:r w:rsidR="002315E3">
        <w:rPr>
          <w:lang w:val="en-US"/>
        </w:rPr>
        <w:t> </w:t>
      </w:r>
      <w:r w:rsidR="008512D5" w:rsidRPr="008512D5">
        <w:t>электрическим приводом</w:t>
      </w:r>
      <w:r w:rsidR="007A19D7">
        <w:t xml:space="preserve"> </w:t>
      </w:r>
      <w:r>
        <w:t>–</w:t>
      </w:r>
      <w:r w:rsidR="008512D5" w:rsidRPr="008512D5">
        <w:t xml:space="preserve"> электрических транспортных средств категории L (ЭТС-L), принятые в ходе сессии WP.29 в июне 2015 года и содержащие требования в отношении безопасной эксплуатации ЭТС-L с учетом установленных на них систем аккумулирования электрической энергии;</w:t>
      </w:r>
    </w:p>
    <w:p w:rsidR="008512D5" w:rsidRPr="008512D5" w:rsidRDefault="00D941C8" w:rsidP="00D941C8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8512D5" w:rsidRPr="008512D5">
        <w:t>новые Правила ООН, касающиеся лобового столкновения, с уделением особого внимания удерживающим системам (ЛСУС), принятые в ходе сессии WP.29 в ноябре 2015 года и содержащие более жесткие требования в отношении характеристик безопасности транспортных средств в случае лобового столкновения о барьер безопасности со 100-процентным перекрытием.</w:t>
      </w:r>
    </w:p>
    <w:p w:rsidR="008512D5" w:rsidRPr="008512D5" w:rsidRDefault="008512D5" w:rsidP="008512D5">
      <w:pPr>
        <w:pStyle w:val="SingleTxt"/>
      </w:pPr>
      <w:r w:rsidRPr="008512D5">
        <w:t>52.</w:t>
      </w:r>
      <w:r w:rsidRPr="008512D5">
        <w:tab/>
      </w:r>
      <w:bookmarkStart w:id="62" w:name="lt_pId320"/>
      <w:r w:rsidRPr="008512D5">
        <w:t>Наряду с этим 90 поправок к уже действующим правилам ООН, внесенные в целях их обновления, позволили привести их в соответствие с самыми последними техническими достижениями и включить в них более строгие ограничения, нацеленные как на повышение безопасности транспортных средств, так и на улучшение их экологических характеристик.</w:t>
      </w:r>
      <w:bookmarkEnd w:id="62"/>
      <w:r w:rsidRPr="008512D5">
        <w:t xml:space="preserve"> В частности, в июне 2015 года </w:t>
      </w:r>
      <w:r w:rsidRPr="008512D5">
        <w:rPr>
          <w:lang w:val="en-GB"/>
        </w:rPr>
        <w:t>WP</w:t>
      </w:r>
      <w:r w:rsidRPr="008512D5">
        <w:t>.29 принял поправку к Правилам № 51 ООН (шум) в рамках Соглашения 1958 года, которая устанавливает более строгие требования к испытаниям для измерения уровня шума, таким образом обеспечивая большее соответствие фактическим условиям эксплуатации транспортных средств.</w:t>
      </w:r>
    </w:p>
    <w:p w:rsidR="008512D5" w:rsidRPr="008512D5" w:rsidRDefault="008512D5" w:rsidP="008512D5">
      <w:pPr>
        <w:pStyle w:val="SingleTxt"/>
      </w:pPr>
      <w:r w:rsidRPr="008512D5">
        <w:t>53.</w:t>
      </w:r>
      <w:r w:rsidRPr="008512D5">
        <w:tab/>
      </w:r>
      <w:bookmarkStart w:id="63" w:name="lt_pId323"/>
      <w:r w:rsidRPr="008512D5">
        <w:t>В 2015 году WP.29 также продолжил разработку эксплуатационных требований, касающихся интеллектуальных транспортных систем и систем помощи водителю автоматизированного транспортного средства, заложив, таким образом, основу для производства будущих автономных транспортных средств.</w:t>
      </w:r>
      <w:bookmarkEnd w:id="63"/>
      <w:r w:rsidRPr="008512D5">
        <w:t xml:space="preserve"> </w:t>
      </w:r>
      <w:bookmarkStart w:id="64" w:name="lt_pId324"/>
      <w:r w:rsidRPr="008512D5">
        <w:t xml:space="preserve">С этой целью </w:t>
      </w:r>
      <w:r w:rsidRPr="008512D5">
        <w:rPr>
          <w:lang w:val="en-GB"/>
        </w:rPr>
        <w:t>WP</w:t>
      </w:r>
      <w:r w:rsidRPr="008512D5">
        <w:t>.29 перераспределил некоторую часть своих ресурсов в рамках неофициальной рабочей группы по ИТС/автономному вождению (ИТС/АВ) для надлежащего учета и отражения стремительного технологического прогресса в этой области.</w:t>
      </w:r>
      <w:bookmarkEnd w:id="64"/>
      <w:r w:rsidRPr="008512D5">
        <w:t xml:space="preserve"> На своей сессии в марте 2015 года WP.29 одобрил программу работы ИТС/АВ в контексте вызовов, связанных с автоматизацией транспортных средств.</w:t>
      </w:r>
    </w:p>
    <w:p w:rsidR="008512D5" w:rsidRPr="008512D5" w:rsidRDefault="008512D5" w:rsidP="008512D5">
      <w:pPr>
        <w:pStyle w:val="SingleTxt"/>
      </w:pPr>
      <w:r w:rsidRPr="008512D5">
        <w:t>54.</w:t>
      </w:r>
      <w:r w:rsidRPr="008512D5">
        <w:tab/>
        <w:t xml:space="preserve">В марте 2015 года </w:t>
      </w:r>
      <w:r w:rsidRPr="008512D5">
        <w:rPr>
          <w:lang w:val="en-GB"/>
        </w:rPr>
        <w:t>WP</w:t>
      </w:r>
      <w:r w:rsidRPr="008512D5">
        <w:t>.29 завершил многолетнюю работу над поправками к</w:t>
      </w:r>
      <w:r w:rsidR="002315E3">
        <w:rPr>
          <w:lang w:val="en-US"/>
        </w:rPr>
        <w:t> </w:t>
      </w:r>
      <w:r w:rsidRPr="008512D5">
        <w:t>Глобальным техническим правилам № 3 (торможение мотоциклов) и № 4 (всемирный цикл испытаний на выбросы двигателями большой мощности (ВСБМ)), приняв их.</w:t>
      </w:r>
    </w:p>
    <w:p w:rsidR="00D941C8" w:rsidRPr="00D941C8" w:rsidRDefault="00D941C8" w:rsidP="00D941C8">
      <w:pPr>
        <w:pStyle w:val="SingleTxt"/>
        <w:spacing w:after="0" w:line="120" w:lineRule="exact"/>
        <w:rPr>
          <w:b/>
          <w:sz w:val="10"/>
        </w:rPr>
      </w:pPr>
    </w:p>
    <w:p w:rsidR="00D941C8" w:rsidRPr="00D941C8" w:rsidRDefault="00D941C8" w:rsidP="00D941C8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D941C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bookmarkStart w:id="65" w:name="lt_pId329"/>
      <w:r w:rsidRPr="008512D5">
        <w:t>XIII.</w:t>
      </w:r>
      <w:bookmarkEnd w:id="65"/>
      <w:r w:rsidRPr="008512D5">
        <w:tab/>
      </w:r>
      <w:bookmarkStart w:id="66" w:name="lt_pId330"/>
      <w:r w:rsidRPr="008512D5">
        <w:t>Перевозка скоропортящихся пищевых продуктов</w:t>
      </w:r>
      <w:bookmarkEnd w:id="66"/>
    </w:p>
    <w:p w:rsidR="00D941C8" w:rsidRPr="00D941C8" w:rsidRDefault="00D941C8" w:rsidP="00D941C8">
      <w:pPr>
        <w:pStyle w:val="SingleTxt"/>
        <w:spacing w:after="0" w:line="120" w:lineRule="exact"/>
        <w:rPr>
          <w:sz w:val="10"/>
        </w:rPr>
      </w:pPr>
    </w:p>
    <w:p w:rsidR="00D941C8" w:rsidRPr="00D941C8" w:rsidRDefault="00D941C8" w:rsidP="00D941C8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55.</w:t>
      </w:r>
      <w:r w:rsidRPr="008512D5">
        <w:tab/>
      </w:r>
      <w:bookmarkStart w:id="67" w:name="lt_pId332"/>
      <w:r w:rsidRPr="008512D5">
        <w:t>Цель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(СПС), состоит в обеспечении эффективной, безопасной и гигиенической перевозки охлажденных и глубокозамороженных пищевых продуктов и непричинении вреда здоровью человека.</w:t>
      </w:r>
      <w:bookmarkEnd w:id="67"/>
      <w:r w:rsidRPr="008512D5">
        <w:t xml:space="preserve"> Кроме того, оно помогает странам избежать потерь пищевых продуктов из-за их порчи, вызванной несоблюдением температурного режима во время перевозки автомобильным и железнодорожным транспортом.</w:t>
      </w:r>
    </w:p>
    <w:p w:rsidR="008512D5" w:rsidRPr="008512D5" w:rsidRDefault="008512D5" w:rsidP="008512D5">
      <w:pPr>
        <w:pStyle w:val="SingleTxt"/>
      </w:pPr>
      <w:r w:rsidRPr="008512D5">
        <w:t>56.</w:t>
      </w:r>
      <w:r w:rsidRPr="008512D5">
        <w:tab/>
      </w:r>
      <w:bookmarkStart w:id="68" w:name="lt_pId335"/>
      <w:r w:rsidRPr="008512D5">
        <w:t>Договаривающимися сторонами СПС являются 49 стран, включая Марокко, Саудовскую Аравию и Тунис.</w:t>
      </w:r>
      <w:bookmarkEnd w:id="68"/>
      <w:r w:rsidRPr="008512D5">
        <w:t xml:space="preserve"> </w:t>
      </w:r>
      <w:bookmarkStart w:id="69" w:name="lt_pId336"/>
      <w:r w:rsidRPr="008512D5">
        <w:t>СПС также популяризируется среди таких других стран Средиземноморья, как Алжир и Иордания.</w:t>
      </w:r>
      <w:bookmarkEnd w:id="69"/>
      <w:r w:rsidRPr="008512D5">
        <w:t xml:space="preserve"> </w:t>
      </w:r>
      <w:bookmarkStart w:id="70" w:name="lt_pId337"/>
      <w:r w:rsidRPr="008512D5">
        <w:t>Рабочая группа по перевозкам скоропортящихся пищевых продуктов (WP.11) является органом, ответственным за обслуживание СПС.</w:t>
      </w:r>
      <w:bookmarkEnd w:id="70"/>
      <w:r w:rsidRPr="008512D5">
        <w:t xml:space="preserve"> </w:t>
      </w:r>
      <w:bookmarkStart w:id="71" w:name="lt_pId338"/>
      <w:r w:rsidRPr="008512D5">
        <w:t>Основное внимание в СПС сосредоточено на международных перевозках, однако все большее число стран переносят положения СПС в свое национальное законодательство, регулирующее перевозки холодильным транспортом.</w:t>
      </w:r>
      <w:bookmarkEnd w:id="71"/>
    </w:p>
    <w:p w:rsidR="008512D5" w:rsidRPr="008512D5" w:rsidRDefault="008512D5" w:rsidP="008512D5">
      <w:pPr>
        <w:pStyle w:val="SingleTxt"/>
      </w:pPr>
      <w:r w:rsidRPr="008512D5">
        <w:t>57.</w:t>
      </w:r>
      <w:r w:rsidRPr="008512D5">
        <w:tab/>
        <w:t>Поправки к СПС, направленные на запрещение допущения кузовов с брезентовым верхом в контексте СПС, и прочие положения, касающиеся контроля изотермических транспортных средств, транспортных средств-ледников, транспортных средств-рефрижераторов или отапливаемых транспортных средств, вступили в силу 30 сентября 2015 года.</w:t>
      </w:r>
    </w:p>
    <w:p w:rsidR="008512D5" w:rsidRPr="008512D5" w:rsidRDefault="008512D5" w:rsidP="008512D5">
      <w:pPr>
        <w:pStyle w:val="SingleTxt"/>
      </w:pPr>
      <w:r w:rsidRPr="008512D5">
        <w:t>58.</w:t>
      </w:r>
      <w:r w:rsidRPr="008512D5">
        <w:tab/>
        <w:t>На своей сессии в 2015 году WP.11 приняла методы расчета средней поверхности кузова автомобилей-фургонов без окон в грузовом отделении, и иллюстрации к трем принятым методам были включены в Справочник СПС. Были также приняты положения, касающиеся автономных транспортных средств и неавтономных транспортных средств, и переходное положение относительно неавтономных транспортных средств, находящихся в эксплуатации. Для включения в Справочник СПС были приняты комментарии, разъясняющие термины «незначительные и ограниченные изменения», «количество и толщина изоляционного материала», «зарегистрировано» или «поставлено на учет», и критерии расчета общего объема изоляционного материала.</w:t>
      </w:r>
    </w:p>
    <w:p w:rsidR="008512D5" w:rsidRPr="008512D5" w:rsidRDefault="008512D5" w:rsidP="008512D5">
      <w:pPr>
        <w:pStyle w:val="SingleTxt"/>
      </w:pPr>
      <w:r w:rsidRPr="008512D5">
        <w:t>59.</w:t>
      </w:r>
      <w:r w:rsidRPr="008512D5">
        <w:tab/>
        <w:t>Благодаря сотрудничеству с проектом ЕвроМед была завершена разработка «дорожной карты» по присоединению к Соглашению СПС и его осуществлению.</w:t>
      </w:r>
    </w:p>
    <w:p w:rsidR="00D941C8" w:rsidRPr="00D941C8" w:rsidRDefault="00D941C8" w:rsidP="00D941C8">
      <w:pPr>
        <w:pStyle w:val="SingleTxt"/>
        <w:spacing w:after="0" w:line="120" w:lineRule="exact"/>
        <w:rPr>
          <w:b/>
          <w:sz w:val="10"/>
        </w:rPr>
      </w:pPr>
    </w:p>
    <w:p w:rsidR="00D941C8" w:rsidRPr="00D941C8" w:rsidRDefault="00D941C8" w:rsidP="00D941C8">
      <w:pPr>
        <w:pStyle w:val="SingleTxt"/>
        <w:spacing w:after="0" w:line="120" w:lineRule="exact"/>
        <w:rPr>
          <w:b/>
          <w:sz w:val="10"/>
        </w:rPr>
      </w:pPr>
    </w:p>
    <w:p w:rsidR="008512D5" w:rsidRPr="008512D5" w:rsidRDefault="008512D5" w:rsidP="00D941C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bookmarkStart w:id="72" w:name="lt_pId348"/>
      <w:r w:rsidRPr="008512D5">
        <w:t>XIV.</w:t>
      </w:r>
      <w:bookmarkEnd w:id="72"/>
      <w:r w:rsidRPr="008512D5">
        <w:tab/>
      </w:r>
      <w:bookmarkStart w:id="73" w:name="lt_pId349"/>
      <w:r w:rsidRPr="008512D5">
        <w:t xml:space="preserve">Перевозка опасных грузов, </w:t>
      </w:r>
      <w:bookmarkEnd w:id="73"/>
      <w:r w:rsidRPr="008512D5">
        <w:t>классификация опасности и</w:t>
      </w:r>
      <w:r w:rsidR="00D941C8">
        <w:t> </w:t>
      </w:r>
      <w:r w:rsidRPr="008512D5">
        <w:t>маркировка химической продукции</w:t>
      </w:r>
    </w:p>
    <w:p w:rsidR="00D941C8" w:rsidRPr="00D941C8" w:rsidRDefault="00D941C8" w:rsidP="00D941C8">
      <w:pPr>
        <w:pStyle w:val="SingleTxt"/>
        <w:spacing w:after="0" w:line="120" w:lineRule="exact"/>
        <w:rPr>
          <w:sz w:val="10"/>
        </w:rPr>
      </w:pPr>
    </w:p>
    <w:p w:rsidR="00D941C8" w:rsidRPr="00D941C8" w:rsidRDefault="00D941C8" w:rsidP="00D941C8">
      <w:pPr>
        <w:pStyle w:val="SingleTxt"/>
        <w:spacing w:after="0" w:line="120" w:lineRule="exact"/>
        <w:rPr>
          <w:sz w:val="10"/>
        </w:rPr>
      </w:pPr>
    </w:p>
    <w:p w:rsidR="008512D5" w:rsidRPr="008512D5" w:rsidRDefault="008512D5" w:rsidP="008512D5">
      <w:pPr>
        <w:pStyle w:val="SingleTxt"/>
      </w:pPr>
      <w:r w:rsidRPr="008512D5">
        <w:t>60.</w:t>
      </w:r>
      <w:r w:rsidRPr="008512D5">
        <w:tab/>
      </w:r>
      <w:bookmarkStart w:id="74" w:name="lt_pId352"/>
      <w:r w:rsidRPr="008512D5">
        <w:t>Под эгидой Экономического и Социального Совета (ЭКОСОС) Организация Объединенных Наций разработала механизмы согласования критериев классификации химической продукции по видам опасности и соответствующие коммуникационные средства (маркировку и памятки по технике безопасности), а также механизмы согласования условий перевозки для всех видов транспорта. Речь идет о Согласованной на глобальном уровне системе классификации опасности и маркировки химической продукции (СГС) и о Рекомендациях Организации Объединенных Наций по перевозке опасных грузов</w:t>
      </w:r>
      <w:r w:rsidR="007A19D7">
        <w:t xml:space="preserve"> </w:t>
      </w:r>
      <w:r w:rsidR="00D941C8">
        <w:t>–</w:t>
      </w:r>
      <w:r w:rsidRPr="008512D5">
        <w:t xml:space="preserve"> Типовых правилах, называемых обычно «Оранжевой книгой».</w:t>
      </w:r>
      <w:bookmarkEnd w:id="74"/>
    </w:p>
    <w:p w:rsidR="008512D5" w:rsidRPr="008512D5" w:rsidRDefault="008512D5" w:rsidP="008512D5">
      <w:pPr>
        <w:pStyle w:val="SingleTxt"/>
      </w:pPr>
      <w:r w:rsidRPr="008512D5">
        <w:t>61.</w:t>
      </w:r>
      <w:r w:rsidRPr="008512D5">
        <w:tab/>
        <w:t>ЕЭК ООН обеспечивает секретариатское обслуживание органов ЭКОСОС, ответственных за эти механизмы (т.е.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и его вспомогательных органов), и органов КВТ, ответственных за соответствующие региональные соглашения и обеспечивающих их эффективное осуществление в области перевозки опасных грузов автомобильным, железнодорожным и внутренним водным транспортом.</w:t>
      </w:r>
    </w:p>
    <w:p w:rsidR="008512D5" w:rsidRPr="008512D5" w:rsidRDefault="008512D5" w:rsidP="008512D5">
      <w:pPr>
        <w:pStyle w:val="SingleTxt"/>
      </w:pPr>
      <w:r w:rsidRPr="008512D5">
        <w:t>62.</w:t>
      </w:r>
      <w:r w:rsidRPr="008512D5">
        <w:tab/>
        <w:t>В Согласованной на глобальном уровне системе классификации опасности и маркировки химической продукции (СГС) содержатся критерии классификации химической продукции, охватывающие все виды химической опасности (физические опасности и опасности для здоровья или окружающей среды), и инструменты информирования об опасности (маркировка и памятка по технике безопасности), предназначенные для использования не только в контексте перевозок, но и в связи с поставками, хранением, безопасностью труда и защитой окружающей среды.</w:t>
      </w:r>
    </w:p>
    <w:p w:rsidR="008512D5" w:rsidRPr="008512D5" w:rsidRDefault="008512D5" w:rsidP="008512D5">
      <w:pPr>
        <w:pStyle w:val="SingleTxt"/>
      </w:pPr>
      <w:r w:rsidRPr="008512D5">
        <w:t>63.</w:t>
      </w:r>
      <w:r w:rsidRPr="008512D5">
        <w:tab/>
      </w:r>
      <w:bookmarkStart w:id="75" w:name="lt_pId358"/>
      <w:r w:rsidRPr="008512D5">
        <w:t>Рекомендации Организации Объединенных Наций по перевозке опасных грузов адаптируют СГС к транспортному контексту и касаются таких условий перевозки на всех видах транспорта, как составление перечня опасных грузов, упаковка, маркировка, проведение спасательных работ и перевозка в переносных цистернах, а также предусматривают</w:t>
      </w:r>
      <w:r w:rsidR="007A19D7">
        <w:t xml:space="preserve"> </w:t>
      </w:r>
      <w:r w:rsidR="00D941C8">
        <w:t>–</w:t>
      </w:r>
      <w:r w:rsidRPr="008512D5">
        <w:t xml:space="preserve"> в Руководстве по испытаниям и критериям </w:t>
      </w:r>
      <w:r w:rsidR="00D941C8">
        <w:t>–</w:t>
      </w:r>
      <w:r w:rsidRPr="008512D5">
        <w:t xml:space="preserve"> методы испытаний на выявление физической опасности.</w:t>
      </w:r>
      <w:bookmarkEnd w:id="75"/>
    </w:p>
    <w:p w:rsidR="008512D5" w:rsidRPr="008512D5" w:rsidRDefault="008512D5" w:rsidP="008512D5">
      <w:pPr>
        <w:pStyle w:val="SingleTxt"/>
      </w:pPr>
      <w:r w:rsidRPr="008512D5">
        <w:t>64.</w:t>
      </w:r>
      <w:r w:rsidRPr="008512D5">
        <w:tab/>
        <w:t>Во исполнение резолюции 2015/7 ЭКОСОС Комитет ЭКОСОС начал новый двухгодичный период работы 2015−2016 годов, а секретариат ЕЭК ООН опубликовал шестое пересмотренное издание СГС, девятнадцатое пересмотренное издание Типовых правил и шестое пересмотренное издание Руководства по испытаниям и критериям.</w:t>
      </w:r>
    </w:p>
    <w:p w:rsidR="008512D5" w:rsidRPr="008512D5" w:rsidRDefault="008512D5" w:rsidP="008512D5">
      <w:pPr>
        <w:pStyle w:val="SingleTxt"/>
      </w:pPr>
      <w:r w:rsidRPr="008512D5">
        <w:t>65.</w:t>
      </w:r>
      <w:r w:rsidRPr="008512D5">
        <w:tab/>
      </w:r>
      <w:bookmarkStart w:id="76" w:name="lt_pId363"/>
      <w:r w:rsidRPr="008512D5">
        <w:t>На региональном уровне, в соответствии с той же резолюцией, девятнадцатое пересмотренное издание Типовых правил было рассмотрено Рабочей группой по перевозкам опасных грузов (WP.15) ЕЭК ООН и участниками ее совместных совещаний с ОТИФ и Центральной комиссией</w:t>
      </w:r>
      <w:r w:rsidR="00D941C8">
        <w:t xml:space="preserve"> судоходства по Рейну (ЦКСР). В </w:t>
      </w:r>
      <w:r w:rsidRPr="008512D5">
        <w:t>результате был принят ряд проектов поправок к Европейскому соглашению о международной дорожной перевозке опасных грузов (ДОПОГ), Правилам международной перевозки опасных грузов по железным дорогам (МПОГ) и Европейскому соглашению о международной перевозке опасных грузов по внутренним водным путям (ВОПОГ).</w:t>
      </w:r>
      <w:bookmarkEnd w:id="76"/>
    </w:p>
    <w:p w:rsidR="008512D5" w:rsidRPr="008512D5" w:rsidRDefault="008512D5" w:rsidP="008512D5">
      <w:pPr>
        <w:pStyle w:val="SingleTxt"/>
      </w:pPr>
      <w:r w:rsidRPr="008512D5">
        <w:t>66.</w:t>
      </w:r>
      <w:r w:rsidRPr="008512D5">
        <w:tab/>
        <w:t>WP.15 также приняла проекты конкретных поправок к ДОПОГ, касающихся, например, письменных инструкций, которые должны находиться на транспортном средстве, электрооборудования транспортных средств, а также использования сжиженного природного газа (СПГ), компримированного природного газа (КПГ) и сжиженного нефтяного газа (СНГ) в качестве топлива для транспортных средств, перевозящих опасные грузы</w:t>
      </w:r>
    </w:p>
    <w:p w:rsidR="008512D5" w:rsidRPr="008512D5" w:rsidRDefault="008512D5" w:rsidP="008512D5">
      <w:pPr>
        <w:pStyle w:val="SingleTxt"/>
      </w:pPr>
      <w:r w:rsidRPr="008512D5">
        <w:t>67.</w:t>
      </w:r>
      <w:r w:rsidRPr="008512D5">
        <w:tab/>
        <w:t>В 2015 году были также подготовлены проекты поправок к ВОПОГ, но</w:t>
      </w:r>
      <w:r w:rsidR="002315E3">
        <w:rPr>
          <w:lang w:val="en-US"/>
        </w:rPr>
        <w:t> </w:t>
      </w:r>
      <w:r w:rsidRPr="008512D5">
        <w:t>большинство поправок, находящихся в стадии обсуждения, будут, как ожидается, окончательно подготовлены в январе 2016 года.</w:t>
      </w:r>
    </w:p>
    <w:p w:rsidR="008512D5" w:rsidRPr="008512D5" w:rsidRDefault="008512D5" w:rsidP="008512D5">
      <w:pPr>
        <w:pStyle w:val="SingleTxt"/>
      </w:pPr>
      <w:r w:rsidRPr="008512D5">
        <w:t>68.</w:t>
      </w:r>
      <w:r w:rsidRPr="008512D5">
        <w:tab/>
        <w:t>Все эти проекты поправок должны быть представлены соответственно Договаривающимся сторонам ДОПОГ, ВОПОГ и МПОГ для принятия в 2016 году и вступления в силу 1 января 2017 года.</w:t>
      </w:r>
    </w:p>
    <w:p w:rsidR="008512D5" w:rsidRPr="008512D5" w:rsidRDefault="008512D5" w:rsidP="008512D5">
      <w:pPr>
        <w:pStyle w:val="SingleTxt"/>
      </w:pPr>
      <w:r w:rsidRPr="008512D5">
        <w:t>69.</w:t>
      </w:r>
      <w:r w:rsidRPr="008512D5">
        <w:tab/>
      </w:r>
      <w:bookmarkStart w:id="77" w:name="lt_pId371"/>
      <w:r w:rsidRPr="008512D5">
        <w:t>Административный комитет ВОПОГ предоставил отступление, допускающее использование СПГ в качестве топлива для обеспечения движения судна вместо дизельного топлива, на экспериментальной основе на одном новом танкере в соответствии со стратегиями охраны окружающей среды и сокращения выбросов.</w:t>
      </w:r>
      <w:bookmarkEnd w:id="77"/>
      <w:r w:rsidRPr="008512D5">
        <w:t xml:space="preserve"> </w:t>
      </w:r>
      <w:bookmarkStart w:id="78" w:name="lt_pId372"/>
      <w:r w:rsidRPr="008512D5">
        <w:t>В настоящее время положениями ВОПОГ разрешается использовать только жидкое топливо с температурой вспышки не ниже 55 °С.</w:t>
      </w:r>
      <w:bookmarkEnd w:id="78"/>
      <w:r w:rsidRPr="008512D5">
        <w:t xml:space="preserve"> Он также предоставил еще одно отступление, позволяющее использовать мембранные танки для перевозки СНГ на том же танкере.</w:t>
      </w:r>
    </w:p>
    <w:p w:rsidR="008512D5" w:rsidRPr="008512D5" w:rsidRDefault="008512D5" w:rsidP="008512D5">
      <w:pPr>
        <w:pStyle w:val="SingleTxt"/>
      </w:pPr>
      <w:r w:rsidRPr="008512D5">
        <w:t>70.</w:t>
      </w:r>
      <w:r w:rsidRPr="008512D5">
        <w:tab/>
      </w:r>
      <w:bookmarkStart w:id="79" w:name="lt_pId375"/>
      <w:r w:rsidRPr="008512D5">
        <w:t>Работа ЕЭК ООН по обеспечению выполнения вышеуказанных правовых документов и рекомендаций, а также доступа к ним способствует безопасному обращению с химическими веществами на протяжении всего их жизненного цикла (производство, хранение, перевозка, профессиональное и потребительское использование).</w:t>
      </w:r>
      <w:bookmarkEnd w:id="79"/>
    </w:p>
    <w:p w:rsidR="008512D5" w:rsidRPr="008512D5" w:rsidRDefault="008512D5" w:rsidP="008512D5">
      <w:pPr>
        <w:pStyle w:val="SingleTxt"/>
      </w:pPr>
      <w:r w:rsidRPr="008512D5">
        <w:t>71.</w:t>
      </w:r>
      <w:r w:rsidRPr="008512D5">
        <w:tab/>
        <w:t xml:space="preserve">Хотя осуществление рекомендаций по перевозке опасных грузов может существенно различаться в зависимости от национальных процедур принятия законов или обновления правил, многие страны разработали национальное законодательство, регулирующее перевозку опасных грузов на внутреннем транспорте, основываясь полностью или частично на правовых документах ЕЭК ООН. </w:t>
      </w:r>
      <w:bookmarkStart w:id="80" w:name="lt_pId378"/>
      <w:r w:rsidRPr="008512D5">
        <w:t>Это касается и перевозки опасных грузов между странами</w:t>
      </w:r>
      <w:r w:rsidRPr="008512D5">
        <w:rPr>
          <w:lang w:val="fr-CH"/>
        </w:rPr>
        <w:t> </w:t>
      </w:r>
      <w:r w:rsidRPr="008512D5">
        <w:t>— представителями некоторых регионов или общих рынков.</w:t>
      </w:r>
      <w:bookmarkEnd w:id="80"/>
    </w:p>
    <w:p w:rsidR="008512D5" w:rsidRPr="008512D5" w:rsidRDefault="008512D5" w:rsidP="008512D5">
      <w:pPr>
        <w:pStyle w:val="SingleTxt"/>
      </w:pPr>
      <w:r w:rsidRPr="008512D5">
        <w:t>72.</w:t>
      </w:r>
      <w:r w:rsidRPr="008512D5">
        <w:tab/>
      </w:r>
      <w:bookmarkStart w:id="81" w:name="lt_pId380"/>
      <w:r w:rsidRPr="008512D5">
        <w:t>Например, правила, регулирующие внутренние перевозки в Австралии, Бразилии, Канаде, Малайзии и Соединенных Штатах Америки, основаны на Рекомендациях по перевозке опасных грузов</w:t>
      </w:r>
      <w:r w:rsidR="007A19D7">
        <w:t xml:space="preserve"> </w:t>
      </w:r>
      <w:r w:rsidR="00D941C8">
        <w:t>–</w:t>
      </w:r>
      <w:r w:rsidRPr="008512D5">
        <w:t xml:space="preserve"> Типовых правилах Организации Объединенных Наций, тогда как национальное законодательство Таиланда </w:t>
      </w:r>
      <w:r w:rsidR="00D941C8">
        <w:t>–</w:t>
      </w:r>
      <w:r w:rsidRPr="008512D5">
        <w:t xml:space="preserve"> как на ДОПОГ, так и на Типовых правилах.</w:t>
      </w:r>
      <w:bookmarkEnd w:id="81"/>
    </w:p>
    <w:p w:rsidR="008512D5" w:rsidRPr="008512D5" w:rsidRDefault="008512D5" w:rsidP="008512D5">
      <w:pPr>
        <w:pStyle w:val="SingleTxt"/>
      </w:pPr>
      <w:r w:rsidRPr="008512D5">
        <w:t>73.</w:t>
      </w:r>
      <w:r w:rsidRPr="008512D5">
        <w:tab/>
        <w:t>В Европейском союзе положения ДОПОГ, МПОГ и ВОПОГ применяются для внутренних перевозок на основе Директивы 2008/68/EC о перевозке опасных грузов, с внесенными в нее изменениями, Европейского парламента и Совета.</w:t>
      </w:r>
    </w:p>
    <w:p w:rsidR="008512D5" w:rsidRPr="008512D5" w:rsidRDefault="008512D5" w:rsidP="008512D5">
      <w:pPr>
        <w:pStyle w:val="SingleTxt"/>
      </w:pPr>
      <w:r w:rsidRPr="008512D5">
        <w:t>74.</w:t>
      </w:r>
      <w:r w:rsidRPr="008512D5">
        <w:tab/>
        <w:t>Страны Южноамериканского общего рынка (МЕРКОСУР) (Аргентина, Бразилия, Парагвай и Уругвай) применяют соглашение о перевозке опасных грузов, основанное на Типовых правилах, МПОГ и ДОПОГ, в то время как страны Андского сообщества (Колумбия, Многонациональное Государство Боливия, Перу и Эквадор) разработали проект правил, который основан на Типовых правилах, ДОПОГ и МПОГ и который все еще находится в стадии рассмотрения.</w:t>
      </w:r>
    </w:p>
    <w:p w:rsidR="008512D5" w:rsidRPr="008512D5" w:rsidRDefault="008512D5" w:rsidP="008512D5">
      <w:pPr>
        <w:pStyle w:val="SingleTxt"/>
      </w:pPr>
      <w:r w:rsidRPr="008512D5">
        <w:t>75.</w:t>
      </w:r>
      <w:r w:rsidRPr="008512D5">
        <w:tab/>
        <w:t>Что касается стран Юго-Восточной Азии, то в протоколе № 9 к Рамочному соглашению АСЕАН об облегчении транзита грузов предусматривается упрощение процедур и требований в отношении транзитных перевозок опасных грузов в странах Ассоциации государств Юго-Восточной Азии (АСЕАН) на основе Типовых правил и ДОПОГ. Кроме того, в приложении I (перевозка опасных грузов) к Соглашению о трансграничных перевозках в субрегионе Большого Меконга также содержатся положения об обязательном применении Типовых правил и ДОПОГ в отношении трансграничных перевозок.</w:t>
      </w:r>
    </w:p>
    <w:p w:rsidR="008512D5" w:rsidRPr="008512D5" w:rsidRDefault="008512D5" w:rsidP="008512D5">
      <w:pPr>
        <w:pStyle w:val="SingleTxt"/>
      </w:pPr>
      <w:r w:rsidRPr="008512D5">
        <w:t>76.</w:t>
      </w:r>
      <w:r w:rsidRPr="008512D5">
        <w:tab/>
        <w:t>И наконец, страны</w:t>
      </w:r>
      <w:r w:rsidR="007A19D7">
        <w:t xml:space="preserve"> </w:t>
      </w:r>
      <w:r w:rsidR="00D941C8">
        <w:t>–</w:t>
      </w:r>
      <w:r w:rsidRPr="008512D5">
        <w:t xml:space="preserve"> члены Центральноафриканского экономического и валютного сообщества (Габон, Демократическая Республика Конго, Камерун, Центральноафриканская Республика, Чад и Экваториальная Гвинея) приняли в области перевозки опасных грузов автомобильным транспортом правила, которые частично основываются на прежних положениях ДОПОГ, но не полностью соответствуют Типовым правилам. Национальные стандарты по перевозке опасных грузов в Замбии основаны на Типовых правилах.</w:t>
      </w:r>
    </w:p>
    <w:p w:rsidR="008512D5" w:rsidRPr="008512D5" w:rsidRDefault="008512D5" w:rsidP="008512D5">
      <w:pPr>
        <w:pStyle w:val="SingleTxt"/>
      </w:pPr>
      <w:r w:rsidRPr="008512D5">
        <w:t>77.</w:t>
      </w:r>
      <w:r w:rsidRPr="008512D5">
        <w:tab/>
        <w:t>Участие секретариата в работе двух рабочих совещаний по безопасности дорожного движения, организованных совместно с ЭКА и ИКАП, явилось хорошей возможностью для повышения информированности африканских стран и содействия присоединению к ДОПОГ. Кроме того, секретариат принял участие в нескольких мероприятиях ЕвроМед, предназначенных для содействия присоединению к ДОПОГ нескольких стран Средиземноморья, которые еще не являются сторонами Соглашения.</w:t>
      </w:r>
    </w:p>
    <w:p w:rsidR="008512D5" w:rsidRPr="008512D5" w:rsidRDefault="008512D5" w:rsidP="008512D5">
      <w:pPr>
        <w:pStyle w:val="SingleTxt"/>
      </w:pPr>
      <w:r w:rsidRPr="008512D5">
        <w:t>78.</w:t>
      </w:r>
      <w:r w:rsidRPr="008512D5">
        <w:tab/>
        <w:t>Что касается классификации опасности и маркировки химической продукции, то среди стран, которые уже внедрили Согласованную на глобальном уровне систему (СГС), продолжается обновление правовых документов или национальных стандартов в соответствии с положениями ее пересмотренных изданий. Например, 25 июля 2015 года Европейский союз опубликовал седьмой адаптированный к научно-техническому прогрессу вариант Регламента (EC) № 1272/2008.</w:t>
      </w:r>
    </w:p>
    <w:p w:rsidR="008512D5" w:rsidRPr="008512D5" w:rsidRDefault="008512D5" w:rsidP="008512D5">
      <w:pPr>
        <w:pStyle w:val="SingleTxt"/>
      </w:pPr>
      <w:r w:rsidRPr="008512D5">
        <w:t>79.</w:t>
      </w:r>
      <w:r w:rsidRPr="008512D5">
        <w:tab/>
      </w:r>
      <w:bookmarkStart w:id="82" w:name="lt_pId402"/>
      <w:r w:rsidRPr="008512D5">
        <w:t>В 2015 году ряд стран издал новые или внес изменения в прежние правовые документы, стандарты или руководящие правила в целях внедрения Согласованной на глобальном уровне системы. К этим странам относятся, например, Филиппины (административное постановление от 19 мая, касающееся правил и</w:t>
      </w:r>
      <w:r w:rsidR="00BC2252">
        <w:t> </w:t>
      </w:r>
      <w:r w:rsidRPr="008512D5">
        <w:t>процедур, призванных обеспечить внедрение СГС), Мексика (официальный стандарт по внедрению СГС на рабочем месте от 9 октября), Канада (пересмотренные правила обращения с опасными веществами, касающиеся внедрения СГС на рабочем месте, от 11 февраля), Аргентина (резолюция от 10 апреля о внедрении СГС на рабочем месте) и Кыргызстан (постановление правительства от 9 февраля об утверждении Положения о системе классификации опасностей химических веществ/смесей и требованиях к элементам информирования об опасности: маркировке и Паспорту безопасности). В других странах продолжается работа над пересмотром и изменением правовых документов, стандартов и руководящих правил в целях скорейшего внедрения Согласованной на глобальном уровне системы.</w:t>
      </w:r>
      <w:bookmarkEnd w:id="82"/>
    </w:p>
    <w:p w:rsidR="008512D5" w:rsidRPr="008512D5" w:rsidRDefault="008512D5" w:rsidP="008512D5">
      <w:pPr>
        <w:pStyle w:val="SingleTxt"/>
      </w:pPr>
      <w:r w:rsidRPr="008512D5">
        <w:t>80.</w:t>
      </w:r>
      <w:r w:rsidRPr="008512D5">
        <w:tab/>
        <w:t>В некоторых других странах в этом году был завершен переходный период, предоставленный для достижения полного соблюдения законов о внедрении СГС, принятых до 2015 года: Бразилии, Сербии, Соединенных Штатах Америки, Турции, Швейцарии, 28 странах</w:t>
      </w:r>
      <w:r w:rsidR="007A19D7">
        <w:t xml:space="preserve"> </w:t>
      </w:r>
      <w:r w:rsidR="00D941C8">
        <w:t>–</w:t>
      </w:r>
      <w:r w:rsidRPr="008512D5">
        <w:t xml:space="preserve"> членах Европейского союза и </w:t>
      </w:r>
      <w:r w:rsidR="002315E3" w:rsidRPr="002315E3">
        <w:t>3</w:t>
      </w:r>
      <w:r w:rsidRPr="008512D5">
        <w:t xml:space="preserve"> странах Европейской экономической зоны.</w:t>
      </w:r>
    </w:p>
    <w:p w:rsidR="008512D5" w:rsidRPr="008512D5" w:rsidRDefault="008512D5" w:rsidP="008512D5">
      <w:pPr>
        <w:pStyle w:val="SingleTxt"/>
      </w:pPr>
      <w:r w:rsidRPr="008512D5">
        <w:t>81.</w:t>
      </w:r>
      <w:r w:rsidRPr="008512D5">
        <w:tab/>
        <w:t>Различные проекты и мероприятия, связанные с внедрением СГС, были завершены, начаты или продолжались в 2015 году в Бенине, Боливии, Бурунди, Гаити, Гватемале, Демократической Республики Конго, Кирибати, Колумбии, Кыргызстане, Мали, Мексике, Таджикистане, Того и Тунисе.</w:t>
      </w:r>
    </w:p>
    <w:p w:rsidR="008512D5" w:rsidRDefault="008512D5" w:rsidP="00D941C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8512D5">
        <w:t>Приложение</w:t>
      </w:r>
    </w:p>
    <w:p w:rsidR="00D941C8" w:rsidRPr="00D941C8" w:rsidRDefault="00D941C8" w:rsidP="00D941C8">
      <w:pPr>
        <w:pStyle w:val="SingleTxt"/>
        <w:spacing w:after="0" w:line="120" w:lineRule="exact"/>
        <w:rPr>
          <w:sz w:val="10"/>
        </w:rPr>
      </w:pPr>
    </w:p>
    <w:p w:rsidR="00D941C8" w:rsidRPr="00D941C8" w:rsidRDefault="00D941C8" w:rsidP="00D941C8">
      <w:pPr>
        <w:pStyle w:val="SingleTxt"/>
        <w:spacing w:after="0" w:line="120" w:lineRule="exact"/>
        <w:rPr>
          <w:sz w:val="10"/>
        </w:rPr>
      </w:pPr>
    </w:p>
    <w:p w:rsidR="00B731D9" w:rsidRDefault="008512D5" w:rsidP="00D941C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12D5">
        <w:tab/>
      </w:r>
      <w:r w:rsidRPr="008512D5">
        <w:tab/>
        <w:t>Некоторые из основных достижений 2015 года</w:t>
      </w:r>
    </w:p>
    <w:p w:rsidR="00D941C8" w:rsidRPr="00D941C8" w:rsidRDefault="00D941C8" w:rsidP="00D941C8">
      <w:pPr>
        <w:pStyle w:val="SingleTxt"/>
        <w:spacing w:after="0" w:line="120" w:lineRule="exact"/>
        <w:rPr>
          <w:sz w:val="10"/>
        </w:rPr>
      </w:pPr>
    </w:p>
    <w:p w:rsidR="00D941C8" w:rsidRPr="00D941C8" w:rsidRDefault="00D941C8" w:rsidP="00D941C8">
      <w:pPr>
        <w:pStyle w:val="SingleTxt"/>
        <w:spacing w:after="0" w:line="120" w:lineRule="exact"/>
        <w:rPr>
          <w:sz w:val="10"/>
        </w:rPr>
      </w:pPr>
    </w:p>
    <w:tbl>
      <w:tblPr>
        <w:tblW w:w="1005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5"/>
      </w:tblGrid>
      <w:tr w:rsidR="00264114" w:rsidRPr="00264114" w:rsidTr="003C312E">
        <w:tc>
          <w:tcPr>
            <w:tcW w:w="10055" w:type="dxa"/>
            <w:tcBorders>
              <w:bottom w:val="single" w:sz="4" w:space="0" w:color="auto"/>
            </w:tcBorders>
            <w:shd w:val="clear" w:color="auto" w:fill="auto"/>
          </w:tcPr>
          <w:p w:rsidR="00264114" w:rsidRPr="00264114" w:rsidRDefault="00264114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</w:pPr>
            <w:r w:rsidRPr="008512D5">
              <w:rPr>
                <w:rFonts w:cstheme="minorBidi"/>
                <w:b/>
                <w:bCs/>
              </w:rPr>
              <w:t>Число Договаривающихся сторон</w:t>
            </w:r>
            <w:r w:rsidRPr="008512D5">
              <w:rPr>
                <w:rFonts w:cstheme="minorBidi"/>
              </w:rPr>
              <w:t xml:space="preserve"> увеличилось до 1 709 в результате присоединения 10 новых государств.</w:t>
            </w:r>
          </w:p>
        </w:tc>
      </w:tr>
      <w:tr w:rsidR="00264114" w:rsidRPr="00264114" w:rsidTr="003C312E">
        <w:tc>
          <w:tcPr>
            <w:tcW w:w="10055" w:type="dxa"/>
            <w:tcBorders>
              <w:bottom w:val="nil"/>
            </w:tcBorders>
            <w:shd w:val="clear" w:color="auto" w:fill="auto"/>
          </w:tcPr>
          <w:p w:rsidR="00264114" w:rsidRDefault="00264114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theme="minorBidi"/>
                <w:b/>
              </w:rPr>
            </w:pPr>
            <w:r w:rsidRPr="008512D5">
              <w:rPr>
                <w:rFonts w:cstheme="minorBidi"/>
                <w:b/>
              </w:rPr>
              <w:t>«Дорожные карты», призванные содействовать присоединению к транспортным конвенциям ООН и</w:t>
            </w:r>
            <w:r w:rsidR="002315E3">
              <w:rPr>
                <w:rFonts w:cstheme="minorBidi"/>
                <w:b/>
              </w:rPr>
              <w:t> </w:t>
            </w:r>
            <w:r w:rsidRPr="008512D5">
              <w:rPr>
                <w:rFonts w:cstheme="minorBidi"/>
                <w:b/>
              </w:rPr>
              <w:t>их осуществлению:</w:t>
            </w:r>
          </w:p>
          <w:p w:rsidR="00264114" w:rsidRPr="00264114" w:rsidRDefault="00264114" w:rsidP="007A19D7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0" w:hanging="475"/>
            </w:pPr>
            <w:r>
              <w:rPr>
                <w:rFonts w:cstheme="minorBidi"/>
                <w:b/>
              </w:rPr>
              <w:tab/>
              <w:t>•</w:t>
            </w:r>
            <w:r>
              <w:rPr>
                <w:rFonts w:cstheme="minorBidi"/>
                <w:b/>
              </w:rPr>
              <w:tab/>
            </w:r>
            <w:r w:rsidRPr="008512D5">
              <w:rPr>
                <w:rFonts w:cstheme="minorBidi"/>
              </w:rPr>
              <w:t>Благодаря сотрудничеству с проектом ЕвроМед подготовлены два новых проекта</w:t>
            </w:r>
            <w:r w:rsidR="007A19D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–</w:t>
            </w:r>
            <w:r w:rsidRPr="008512D5">
              <w:rPr>
                <w:rFonts w:cstheme="minorBidi"/>
              </w:rPr>
              <w:t xml:space="preserve"> по ЕСТР и по СПС, которые дополнят серию, уже состоящую из «Дорожной карты» по ДОПОГ, Справочника МДП и Справочника </w:t>
            </w:r>
            <w:r w:rsidRPr="008512D5">
              <w:rPr>
                <w:rFonts w:cstheme="minorBidi"/>
                <w:lang w:val="en-GB"/>
              </w:rPr>
              <w:t>WP</w:t>
            </w:r>
            <w:r w:rsidRPr="008512D5">
              <w:rPr>
                <w:rFonts w:cstheme="minorBidi"/>
              </w:rPr>
              <w:t>.29.</w:t>
            </w:r>
          </w:p>
        </w:tc>
      </w:tr>
      <w:tr w:rsidR="00264114" w:rsidRPr="00264114" w:rsidTr="003C312E">
        <w:tc>
          <w:tcPr>
            <w:tcW w:w="10055" w:type="dxa"/>
            <w:tcBorders>
              <w:top w:val="nil"/>
              <w:bottom w:val="nil"/>
            </w:tcBorders>
            <w:shd w:val="clear" w:color="auto" w:fill="auto"/>
          </w:tcPr>
          <w:p w:rsidR="00264114" w:rsidRDefault="00264114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</w:rPr>
            </w:pPr>
            <w:bookmarkStart w:id="83" w:name="lt_pId416"/>
            <w:r w:rsidRPr="00264114">
              <w:rPr>
                <w:b/>
              </w:rPr>
              <w:t>Аналитическая деятельность и публикации:</w:t>
            </w:r>
            <w:bookmarkEnd w:id="83"/>
          </w:p>
          <w:p w:rsidR="00264114" w:rsidRPr="00264114" w:rsidRDefault="00264114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0" w:hanging="475"/>
              <w:rPr>
                <w:rFonts w:cstheme="minorBidi"/>
              </w:rPr>
            </w:pPr>
            <w:r w:rsidRPr="00264114">
              <w:rPr>
                <w:rFonts w:cstheme="minorBidi"/>
              </w:rPr>
              <w:tab/>
              <w:t>•</w:t>
            </w:r>
            <w:r w:rsidRPr="00264114">
              <w:rPr>
                <w:rFonts w:cstheme="minorBidi"/>
              </w:rPr>
              <w:tab/>
              <w:t xml:space="preserve">Транспорт в интересах устойчивого развития: </w:t>
            </w:r>
            <w:bookmarkStart w:id="84" w:name="lt_pId418"/>
            <w:r w:rsidRPr="00264114">
              <w:rPr>
                <w:rFonts w:cstheme="minorBidi"/>
              </w:rPr>
              <w:t>внутренний транспорт</w:t>
            </w:r>
            <w:bookmarkEnd w:id="84"/>
            <w:r w:rsidR="002315E3">
              <w:rPr>
                <w:rFonts w:cstheme="minorBidi"/>
              </w:rPr>
              <w:t>.</w:t>
            </w:r>
          </w:p>
          <w:p w:rsidR="00264114" w:rsidRDefault="00264114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0" w:hanging="475"/>
              <w:rPr>
                <w:rFonts w:cstheme="minorBidi"/>
              </w:rPr>
            </w:pPr>
            <w:r w:rsidRPr="00264114">
              <w:rPr>
                <w:rFonts w:cstheme="minorBidi"/>
              </w:rPr>
              <w:tab/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Устойчивый общественный тра</w:t>
            </w:r>
            <w:r>
              <w:rPr>
                <w:rFonts w:cstheme="minorBidi"/>
              </w:rPr>
              <w:t>нспорт и городская мобильность</w:t>
            </w:r>
            <w:r w:rsidR="007A19D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–</w:t>
            </w:r>
            <w:r w:rsidRPr="008512D5">
              <w:rPr>
                <w:rFonts w:cstheme="minorBidi"/>
              </w:rPr>
              <w:t xml:space="preserve"> анализ систем городского транспорта, осуществленный в 36 ст</w:t>
            </w:r>
            <w:r w:rsidR="002315E3">
              <w:rPr>
                <w:rFonts w:cstheme="minorBidi"/>
              </w:rPr>
              <w:t>оличных городах региона ЕЭК ООН.</w:t>
            </w:r>
          </w:p>
          <w:p w:rsidR="00264114" w:rsidRDefault="00264114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0" w:hanging="475"/>
              <w:rPr>
                <w:rFonts w:cstheme="minorBidi"/>
              </w:rPr>
            </w:pPr>
            <w:r w:rsidRPr="00264114">
              <w:rPr>
                <w:rFonts w:cstheme="minorBidi"/>
              </w:rPr>
              <w:tab/>
              <w:t>•</w:t>
            </w:r>
            <w:r w:rsidRPr="00264114">
              <w:rPr>
                <w:rFonts w:cstheme="minorBidi"/>
              </w:rPr>
              <w:tab/>
            </w:r>
            <w:r w:rsidR="002315E3">
              <w:rPr>
                <w:rFonts w:cstheme="minorBidi"/>
              </w:rPr>
              <w:t>Анализ шлемов.</w:t>
            </w:r>
          </w:p>
          <w:p w:rsidR="00264114" w:rsidRDefault="00264114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0" w:hanging="475"/>
              <w:rPr>
                <w:rFonts w:cstheme="minorBidi"/>
              </w:rPr>
            </w:pPr>
            <w:r w:rsidRPr="00264114">
              <w:rPr>
                <w:rFonts w:cstheme="minorBidi"/>
              </w:rPr>
              <w:tab/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Вместе с</w:t>
            </w:r>
            <w:r w:rsidR="002315E3">
              <w:rPr>
                <w:rFonts w:cstheme="minorBidi"/>
              </w:rPr>
              <w:t xml:space="preserve"> ЕЭК ООН на пути к безопасности.</w:t>
            </w:r>
          </w:p>
          <w:p w:rsidR="00264114" w:rsidRPr="00264114" w:rsidRDefault="00264114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0" w:hanging="475"/>
            </w:pPr>
            <w:r w:rsidRPr="00264114">
              <w:rPr>
                <w:rFonts w:cstheme="minorBidi"/>
              </w:rPr>
              <w:tab/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Бюллетени статистики транспорта и дорожно-транспортных происшествий ЕЭК ООН.</w:t>
            </w:r>
          </w:p>
        </w:tc>
      </w:tr>
      <w:tr w:rsidR="00264114" w:rsidRPr="00264114" w:rsidTr="003C312E">
        <w:tc>
          <w:tcPr>
            <w:tcW w:w="10055" w:type="dxa"/>
            <w:tcBorders>
              <w:top w:val="nil"/>
              <w:bottom w:val="nil"/>
            </w:tcBorders>
            <w:shd w:val="clear" w:color="auto" w:fill="auto"/>
          </w:tcPr>
          <w:p w:rsidR="00264114" w:rsidRDefault="00264114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</w:rPr>
            </w:pPr>
            <w:bookmarkStart w:id="85" w:name="lt_pId423"/>
            <w:r w:rsidRPr="00264114">
              <w:rPr>
                <w:b/>
              </w:rPr>
              <w:t>Диалог по вопросам политики, аналитическая деятельность и техническая помощь:</w:t>
            </w:r>
            <w:bookmarkEnd w:id="85"/>
          </w:p>
          <w:p w:rsidR="00264114" w:rsidRDefault="00264114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0" w:hanging="475"/>
              <w:rPr>
                <w:rFonts w:cstheme="minorBidi"/>
              </w:rPr>
            </w:pPr>
            <w:r w:rsidRPr="00264114">
              <w:rPr>
                <w:rFonts w:cstheme="minorBidi"/>
              </w:rPr>
              <w:tab/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Начата разработка проекта «Безопасные будущие системы внутреннего транспорта (SafeFITS)</w:t>
            </w:r>
            <w:r w:rsidR="007A19D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–</w:t>
            </w:r>
            <w:r w:rsidRPr="008512D5">
              <w:rPr>
                <w:rFonts w:cstheme="minorBidi"/>
              </w:rPr>
              <w:t xml:space="preserve"> </w:t>
            </w:r>
            <w:r w:rsidR="002315E3">
              <w:rPr>
                <w:rFonts w:cstheme="minorBidi"/>
              </w:rPr>
              <w:br/>
            </w:r>
            <w:r w:rsidRPr="008512D5">
              <w:rPr>
                <w:rFonts w:cstheme="minorBidi"/>
              </w:rPr>
              <w:t>безопасность дорожного движения» после того, как МСАТ обеспечил его финансирование.</w:t>
            </w:r>
          </w:p>
          <w:p w:rsidR="00264114" w:rsidRDefault="00264114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0" w:hanging="475"/>
              <w:rPr>
                <w:rFonts w:cstheme="minorBidi"/>
              </w:rPr>
            </w:pPr>
            <w:r w:rsidRPr="00264114">
              <w:rPr>
                <w:rFonts w:cstheme="minorBidi"/>
              </w:rPr>
              <w:tab/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 xml:space="preserve">Достигнут значительный прогресс в разработке нового модуля </w:t>
            </w:r>
            <w:r w:rsidRPr="00264114">
              <w:rPr>
                <w:rFonts w:cstheme="minorBidi"/>
              </w:rPr>
              <w:t>ForFITS</w:t>
            </w:r>
            <w:r w:rsidRPr="008512D5">
              <w:rPr>
                <w:rFonts w:cstheme="minorBidi"/>
              </w:rPr>
              <w:t xml:space="preserve"> для внедорожной подвижной техники благодаря финансированию правительства Канады.</w:t>
            </w:r>
          </w:p>
          <w:p w:rsidR="00264114" w:rsidRDefault="00264114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0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 xml:space="preserve">Начато осуществление финансируемого по линии СРООН проекта по обследованиям состояния </w:t>
            </w:r>
            <w:r w:rsidR="002315E3">
              <w:rPr>
                <w:rFonts w:cstheme="minorBidi"/>
              </w:rPr>
              <w:br/>
            </w:r>
            <w:r w:rsidRPr="008512D5">
              <w:rPr>
                <w:rFonts w:cstheme="minorBidi"/>
              </w:rPr>
              <w:t>безопасности дорожного движения.</w:t>
            </w:r>
          </w:p>
          <w:p w:rsidR="00264114" w:rsidRDefault="00264114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0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Достигнут прогресс в осуществлении финансируемого по линии СРООН проекта по обмену данными между таможенными органами.</w:t>
            </w:r>
          </w:p>
          <w:p w:rsidR="00264114" w:rsidRDefault="00264114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0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Транспорту посвящены главы в проведенных под руководством Отдела окружающей среды ЕЭК ООН обзорах результативности экологической деятельности (ОРЭД) Беларуси и Таджикистана.</w:t>
            </w:r>
          </w:p>
          <w:p w:rsidR="00264114" w:rsidRDefault="00264114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0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В сотрудничестве с правительством Франции проведено основное рабочее совещание по ИТС, увязанное с Всемирным конгрессом по ИТС в Бордо.</w:t>
            </w:r>
          </w:p>
          <w:p w:rsidR="00264114" w:rsidRPr="00264114" w:rsidRDefault="00264114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0" w:hanging="475"/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Организованы несколько рабочих совещаний и «круглых столов», например основное рабочее совещание по ИТС и рабочее совещание WP.24 под названием «Интермодальный подход приводит к устойчивости».</w:t>
            </w:r>
          </w:p>
        </w:tc>
      </w:tr>
      <w:tr w:rsidR="00264114" w:rsidRPr="00264114" w:rsidTr="003C312E">
        <w:tc>
          <w:tcPr>
            <w:tcW w:w="10055" w:type="dxa"/>
            <w:tcBorders>
              <w:top w:val="nil"/>
              <w:bottom w:val="nil"/>
            </w:tcBorders>
            <w:shd w:val="clear" w:color="auto" w:fill="auto"/>
          </w:tcPr>
          <w:p w:rsidR="00264114" w:rsidRDefault="00B15161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</w:rPr>
            </w:pPr>
            <w:r w:rsidRPr="00B15161">
              <w:rPr>
                <w:b/>
              </w:rPr>
              <w:t>Получили импульс основные проекты по сотрудничеству:</w:t>
            </w:r>
          </w:p>
          <w:p w:rsidR="00B15161" w:rsidRDefault="00B15161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0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Начата реализация совместного пилотного проекта eTIR ЕЭК ООН </w:t>
            </w:r>
            <w:r>
              <w:rPr>
                <w:rFonts w:cstheme="minorBidi"/>
              </w:rPr>
              <w:t>–</w:t>
            </w:r>
            <w:r w:rsidRPr="008512D5">
              <w:rPr>
                <w:rFonts w:cstheme="minorBidi"/>
              </w:rPr>
              <w:t xml:space="preserve"> МСАТ между Ираном (Исламской Республикой) и Турцией, в рамках которого в ноябре 2015 года была успешно осуществлена первая перевозка eTIR.</w:t>
            </w:r>
          </w:p>
          <w:p w:rsidR="00B15161" w:rsidRPr="00B15161" w:rsidRDefault="00B15161" w:rsidP="007A19D7">
            <w:pPr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0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ТЕА</w:t>
            </w:r>
            <w:r w:rsidR="007A19D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–</w:t>
            </w:r>
            <w:r w:rsidRPr="008512D5">
              <w:rPr>
                <w:rFonts w:cstheme="minorBidi"/>
              </w:rPr>
              <w:t xml:space="preserve"> завершены организационно-распорядительные мероприятия по утверждению руководителя проекта; проект сотрудничества стратегически переориентирован на безопасность дорожного движения, ИТС и финансирование.</w:t>
            </w:r>
          </w:p>
        </w:tc>
      </w:tr>
      <w:tr w:rsidR="00264114" w:rsidRPr="00264114" w:rsidTr="003C312E">
        <w:tc>
          <w:tcPr>
            <w:tcW w:w="10055" w:type="dxa"/>
            <w:tcBorders>
              <w:top w:val="nil"/>
              <w:bottom w:val="nil"/>
            </w:tcBorders>
            <w:shd w:val="clear" w:color="auto" w:fill="auto"/>
          </w:tcPr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ТЕЖ</w:t>
            </w:r>
            <w:r w:rsidR="007A19D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–</w:t>
            </w:r>
            <w:r w:rsidRPr="008512D5">
              <w:rPr>
                <w:rFonts w:cstheme="minorBidi"/>
              </w:rPr>
              <w:t xml:space="preserve"> достигнута договоренность о переводе управления проекта в Белград (Сербия); запущен будущий основной элемент проекта сотрудничества</w:t>
            </w:r>
            <w:r w:rsidR="007A19D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–</w:t>
            </w:r>
            <w:r w:rsidRPr="008512D5">
              <w:rPr>
                <w:rFonts w:cstheme="minorBidi"/>
              </w:rPr>
              <w:t xml:space="preserve"> Генеральный план для высокоскоростного железнодорожного пути.</w:t>
            </w:r>
          </w:p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ЕАТС</w:t>
            </w:r>
            <w:r w:rsidR="007A19D7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–</w:t>
            </w:r>
            <w:r w:rsidRPr="008512D5">
              <w:rPr>
                <w:rFonts w:cstheme="minorBidi"/>
              </w:rPr>
              <w:t xml:space="preserve"> третий этап приближается к завершению.</w:t>
            </w:r>
          </w:p>
          <w:p w:rsidR="00264114" w:rsidRPr="00264114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ОПТОСОЗ, обслуживаемая совместно Отделами окружающей среды и устойчивого транспорта ЕЭК ООН и ЕРБ ВОЗ: проведены рабочие совещания в Иркутске и Москве, достигнут прогресс в области общеевропейского генерального плана, касающегося велосипедных маршрутов и полос.</w:t>
            </w:r>
          </w:p>
        </w:tc>
      </w:tr>
      <w:tr w:rsidR="00264114" w:rsidRPr="00264114" w:rsidTr="003C312E">
        <w:tc>
          <w:tcPr>
            <w:tcW w:w="10055" w:type="dxa"/>
            <w:tcBorders>
              <w:top w:val="nil"/>
              <w:bottom w:val="nil"/>
            </w:tcBorders>
            <w:shd w:val="clear" w:color="auto" w:fill="auto"/>
          </w:tcPr>
          <w:p w:rsidR="00264114" w:rsidRDefault="00B15161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b/>
              </w:rPr>
            </w:pPr>
            <w:r w:rsidRPr="00B15161">
              <w:rPr>
                <w:b/>
              </w:rPr>
              <w:t>Достижения в области нормативно-правовой работы</w:t>
            </w:r>
          </w:p>
          <w:p w:rsidR="00B15161" w:rsidRDefault="00B15161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i/>
              </w:rPr>
            </w:pPr>
            <w:bookmarkStart w:id="86" w:name="lt_pId443"/>
            <w:r w:rsidRPr="00B15161">
              <w:rPr>
                <w:i/>
              </w:rPr>
              <w:t>Правила в области транспортных средств:</w:t>
            </w:r>
            <w:bookmarkEnd w:id="86"/>
          </w:p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Вступили в силу два новых текста правил ООН по транспортным средствам, которые были включены в</w:t>
            </w:r>
            <w:r w:rsidR="002315E3">
              <w:rPr>
                <w:rFonts w:cstheme="minorBidi"/>
              </w:rPr>
              <w:t> </w:t>
            </w:r>
            <w:r w:rsidRPr="008512D5">
              <w:rPr>
                <w:rFonts w:cstheme="minorBidi"/>
              </w:rPr>
              <w:t>Соглашение 1958 года в качестве приложений:</w:t>
            </w:r>
          </w:p>
          <w:p w:rsidR="00B15161" w:rsidRDefault="003A5B8B" w:rsidP="003A5B8B">
            <w:pPr>
              <w:keepNext/>
              <w:tabs>
                <w:tab w:val="left" w:pos="288"/>
                <w:tab w:val="left" w:pos="729"/>
                <w:tab w:val="left" w:pos="909"/>
                <w:tab w:val="left" w:pos="1152"/>
                <w:tab w:val="right" w:pos="1629"/>
              </w:tabs>
              <w:spacing w:before="40" w:after="80"/>
              <w:ind w:left="909" w:right="43" w:hanging="423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="00B15161" w:rsidRPr="00264114">
              <w:rPr>
                <w:rFonts w:cstheme="minorBidi"/>
              </w:rPr>
              <w:t>•</w:t>
            </w:r>
            <w:r w:rsidR="00B15161" w:rsidRPr="00264114">
              <w:rPr>
                <w:rFonts w:cstheme="minorBidi"/>
              </w:rPr>
              <w:tab/>
            </w:r>
            <w:r w:rsidR="00B15161" w:rsidRPr="008512D5">
              <w:rPr>
                <w:rFonts w:cstheme="minorBidi"/>
              </w:rPr>
              <w:t>новые Правила, касающиеся характеристик безопасности транспортных средств, работающих на</w:t>
            </w:r>
            <w:r w:rsidR="002315E3">
              <w:rPr>
                <w:rFonts w:cstheme="minorBidi"/>
              </w:rPr>
              <w:t> </w:t>
            </w:r>
            <w:r w:rsidR="00B15161" w:rsidRPr="008512D5">
              <w:rPr>
                <w:rFonts w:cstheme="minorBidi"/>
              </w:rPr>
              <w:t>водороде (ТСВТЭ), и содержащие требования в отношении безопасной эксплуатации ТСВТЭ с</w:t>
            </w:r>
            <w:r w:rsidR="002315E3">
              <w:rPr>
                <w:rFonts w:cstheme="minorBidi"/>
              </w:rPr>
              <w:t> </w:t>
            </w:r>
            <w:r w:rsidR="00B15161" w:rsidRPr="008512D5">
              <w:rPr>
                <w:rFonts w:cstheme="minorBidi"/>
              </w:rPr>
              <w:t>учетом установленных на них систем хранения компримированного водорода;</w:t>
            </w:r>
          </w:p>
          <w:p w:rsidR="00B15161" w:rsidRDefault="003A5B8B" w:rsidP="003A5B8B">
            <w:pPr>
              <w:keepNext/>
              <w:tabs>
                <w:tab w:val="left" w:pos="288"/>
                <w:tab w:val="left" w:pos="729"/>
                <w:tab w:val="left" w:pos="909"/>
                <w:tab w:val="left" w:pos="1152"/>
                <w:tab w:val="right" w:pos="1629"/>
              </w:tabs>
              <w:spacing w:before="40" w:after="80"/>
              <w:ind w:left="909" w:right="43" w:hanging="423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="00B15161" w:rsidRPr="00264114">
              <w:rPr>
                <w:rFonts w:cstheme="minorBidi"/>
              </w:rPr>
              <w:t>•</w:t>
            </w:r>
            <w:r w:rsidR="00B15161" w:rsidRPr="00264114">
              <w:rPr>
                <w:rFonts w:cstheme="minorBidi"/>
              </w:rPr>
              <w:tab/>
            </w:r>
            <w:r w:rsidR="00B15161" w:rsidRPr="008512D5">
              <w:rPr>
                <w:rFonts w:cstheme="minorBidi"/>
              </w:rPr>
              <w:t>новые Правила, касающиеся бокового удара о столб (БУС) и содержащие более жесткие требования в отношении характеристик безопасности транспортных средств в случае бокового удара о</w:t>
            </w:r>
            <w:r w:rsidR="002315E3">
              <w:rPr>
                <w:rFonts w:cstheme="minorBidi"/>
              </w:rPr>
              <w:t> </w:t>
            </w:r>
            <w:r w:rsidR="00B15161" w:rsidRPr="008512D5">
              <w:rPr>
                <w:rFonts w:cstheme="minorBidi"/>
              </w:rPr>
              <w:t>столб.</w:t>
            </w:r>
          </w:p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Приняты два новых текста правил ООН по транспортным средствам:</w:t>
            </w:r>
          </w:p>
          <w:p w:rsidR="00B15161" w:rsidRDefault="003A5B8B" w:rsidP="003A5B8B">
            <w:pPr>
              <w:keepNext/>
              <w:tabs>
                <w:tab w:val="left" w:pos="288"/>
                <w:tab w:val="left" w:pos="729"/>
                <w:tab w:val="left" w:pos="909"/>
                <w:tab w:val="left" w:pos="1152"/>
                <w:tab w:val="right" w:pos="1629"/>
              </w:tabs>
              <w:spacing w:before="40" w:after="80"/>
              <w:ind w:left="909" w:right="43" w:hanging="423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="00B15161" w:rsidRPr="00264114">
              <w:rPr>
                <w:rFonts w:cstheme="minorBidi"/>
              </w:rPr>
              <w:t>•</w:t>
            </w:r>
            <w:r w:rsidR="00B15161" w:rsidRPr="00264114">
              <w:rPr>
                <w:rFonts w:cstheme="minorBidi"/>
              </w:rPr>
              <w:tab/>
            </w:r>
            <w:r w:rsidR="00B15161" w:rsidRPr="008512D5">
              <w:rPr>
                <w:rFonts w:cstheme="minorBidi"/>
              </w:rPr>
              <w:t>новые Правила ООН, касающиеся двухколесных транспортных средств с электрическим приводом </w:t>
            </w:r>
            <w:r>
              <w:rPr>
                <w:rFonts w:cstheme="minorBidi"/>
              </w:rPr>
              <w:t>–</w:t>
            </w:r>
            <w:r w:rsidR="00B15161" w:rsidRPr="008512D5">
              <w:rPr>
                <w:rFonts w:cstheme="minorBidi"/>
              </w:rPr>
              <w:t xml:space="preserve"> электрических транспортных средств категории L (ЭТС-L), содержащие требования в отношении безопасной эксплуатации ЭТС-L с учетом установленных на них систем аккумулирования электрической энергии;</w:t>
            </w:r>
          </w:p>
          <w:p w:rsidR="00B15161" w:rsidRDefault="003A5B8B" w:rsidP="003A5B8B">
            <w:pPr>
              <w:keepNext/>
              <w:tabs>
                <w:tab w:val="left" w:pos="288"/>
                <w:tab w:val="left" w:pos="729"/>
                <w:tab w:val="left" w:pos="909"/>
                <w:tab w:val="left" w:pos="1152"/>
                <w:tab w:val="right" w:pos="1629"/>
              </w:tabs>
              <w:spacing w:before="40" w:after="80"/>
              <w:ind w:left="909" w:right="43" w:hanging="423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="00B15161" w:rsidRPr="00264114">
              <w:rPr>
                <w:rFonts w:cstheme="minorBidi"/>
              </w:rPr>
              <w:t>•</w:t>
            </w:r>
            <w:r w:rsidR="00B15161" w:rsidRPr="00264114">
              <w:rPr>
                <w:rFonts w:cstheme="minorBidi"/>
              </w:rPr>
              <w:tab/>
            </w:r>
            <w:r w:rsidR="00B15161" w:rsidRPr="008512D5">
              <w:rPr>
                <w:rFonts w:cstheme="minorBidi"/>
              </w:rPr>
              <w:t>новые Правила ООН, касающиеся лобового столкновения, с уделением особого внимания удерживающим системам (ЛСУС), содержащие более жесткие требования в отношении характеристик безопасности транспортных средств в случае лобового столкновения о барьер безопасности со</w:t>
            </w:r>
            <w:r w:rsidR="002315E3">
              <w:rPr>
                <w:rFonts w:cstheme="minorBidi"/>
              </w:rPr>
              <w:t> </w:t>
            </w:r>
            <w:r w:rsidR="00B15161" w:rsidRPr="008512D5">
              <w:rPr>
                <w:rFonts w:cstheme="minorBidi"/>
              </w:rPr>
              <w:t>100-процентным перекрытием.</w:t>
            </w:r>
          </w:p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Наряду с этим 90 поправок к уже действующим правилам ООН, внесенные в целях их обновления, позволили привести их в соответствие с самыми последними техническими достижениями и включить в них более строгие ограничения, нацеленные на повышение безопасности транспортных средств и на улучшение их экологических характеристик.</w:t>
            </w:r>
          </w:p>
          <w:p w:rsidR="00B15161" w:rsidRPr="00264114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Принята поправка к Правилам № 51 ООН (шум) в рамках Соглашения 1958 года, которая устанавливает более строгие требования к испытаниям для измерения уровня шума, таким образом обеспечивая большее соответствие фактическим условиям эксплуатации транспортных средств.</w:t>
            </w:r>
          </w:p>
        </w:tc>
      </w:tr>
      <w:tr w:rsidR="00264114" w:rsidRPr="00264114" w:rsidTr="003C312E">
        <w:tc>
          <w:tcPr>
            <w:tcW w:w="10055" w:type="dxa"/>
            <w:tcBorders>
              <w:top w:val="nil"/>
              <w:bottom w:val="nil"/>
            </w:tcBorders>
            <w:shd w:val="clear" w:color="auto" w:fill="auto"/>
          </w:tcPr>
          <w:p w:rsidR="00264114" w:rsidRDefault="00B15161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theme="minorBidi"/>
                <w:i/>
              </w:rPr>
            </w:pPr>
            <w:bookmarkStart w:id="87" w:name="lt_pId452"/>
            <w:r w:rsidRPr="008512D5">
              <w:rPr>
                <w:rFonts w:cstheme="minorBidi"/>
                <w:i/>
              </w:rPr>
              <w:t>Перевозка опасных грузов:</w:t>
            </w:r>
            <w:bookmarkEnd w:id="87"/>
          </w:p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 xml:space="preserve">Опубликована новая версия Рекомендаций ООН по перевозке опасных грузов (девятнадцатое </w:t>
            </w:r>
            <w:r w:rsidR="002315E3">
              <w:rPr>
                <w:rFonts w:cstheme="minorBidi"/>
              </w:rPr>
              <w:br/>
            </w:r>
            <w:r w:rsidRPr="008512D5">
              <w:rPr>
                <w:rFonts w:cstheme="minorBidi"/>
              </w:rPr>
              <w:t>пересмотренное издание).</w:t>
            </w:r>
          </w:p>
          <w:p w:rsidR="00B15161" w:rsidRPr="00264114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 xml:space="preserve">Опубликована новая версия Руководства по испытаниям и критериям (шестое пересмотренное </w:t>
            </w:r>
            <w:r w:rsidR="002315E3">
              <w:rPr>
                <w:rFonts w:cstheme="minorBidi"/>
              </w:rPr>
              <w:br/>
            </w:r>
            <w:r w:rsidRPr="008512D5">
              <w:rPr>
                <w:rFonts w:cstheme="minorBidi"/>
              </w:rPr>
              <w:t>издание).</w:t>
            </w:r>
          </w:p>
        </w:tc>
      </w:tr>
      <w:tr w:rsidR="00B15161" w:rsidRPr="00264114" w:rsidTr="003C312E">
        <w:tc>
          <w:tcPr>
            <w:tcW w:w="10055" w:type="dxa"/>
            <w:tcBorders>
              <w:top w:val="nil"/>
              <w:bottom w:val="nil"/>
            </w:tcBorders>
            <w:shd w:val="clear" w:color="auto" w:fill="auto"/>
          </w:tcPr>
          <w:p w:rsidR="00B15161" w:rsidRDefault="00B15161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theme="minorBidi"/>
                <w:i/>
              </w:rPr>
            </w:pPr>
            <w:bookmarkStart w:id="88" w:name="lt_pId455"/>
            <w:r w:rsidRPr="008512D5">
              <w:rPr>
                <w:rFonts w:cstheme="minorBidi"/>
                <w:i/>
              </w:rPr>
              <w:t>СГС:</w:t>
            </w:r>
            <w:bookmarkEnd w:id="88"/>
          </w:p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Вступили в силу поправки к ДОПОГ, МПОГ и ВОПОГ (издания 2015 года).</w:t>
            </w:r>
          </w:p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Опубликована новая версия СГС (шестое пересмотренное издание).</w:t>
            </w:r>
          </w:p>
          <w:p w:rsidR="00B15161" w:rsidRPr="00264114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Обеспечено более широкое применение во всем мире.</w:t>
            </w:r>
          </w:p>
        </w:tc>
      </w:tr>
      <w:tr w:rsidR="00B15161" w:rsidRPr="00264114" w:rsidTr="003C312E">
        <w:tc>
          <w:tcPr>
            <w:tcW w:w="10055" w:type="dxa"/>
            <w:tcBorders>
              <w:top w:val="nil"/>
              <w:bottom w:val="nil"/>
            </w:tcBorders>
            <w:shd w:val="clear" w:color="auto" w:fill="auto"/>
          </w:tcPr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theme="minorBidi"/>
                <w:i/>
              </w:rPr>
            </w:pPr>
            <w:bookmarkStart w:id="89" w:name="lt_pId459"/>
            <w:r w:rsidRPr="008512D5">
              <w:rPr>
                <w:rFonts w:cstheme="minorBidi"/>
                <w:i/>
              </w:rPr>
              <w:t>СПС:</w:t>
            </w:r>
            <w:bookmarkEnd w:id="89"/>
          </w:p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30 сентября 2015 года вступили в силу поправки, направленные на запрещение допущения кузовов с</w:t>
            </w:r>
            <w:r w:rsidR="002315E3">
              <w:rPr>
                <w:rFonts w:cstheme="minorBidi"/>
              </w:rPr>
              <w:t> </w:t>
            </w:r>
            <w:r w:rsidRPr="008512D5">
              <w:rPr>
                <w:rFonts w:cstheme="minorBidi"/>
              </w:rPr>
              <w:t>брезентовым верхом, и прочие положения, касающиеся контроля транспортных средств.</w:t>
            </w:r>
          </w:p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Приняты новые методы расчета средней площади поверхности.</w:t>
            </w:r>
          </w:p>
          <w:p w:rsidR="00B15161" w:rsidRPr="00264114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Приняты критерии расчета общего объема изоляционного материала.</w:t>
            </w:r>
          </w:p>
        </w:tc>
      </w:tr>
      <w:tr w:rsidR="00B15161" w:rsidRPr="00264114" w:rsidTr="003C312E">
        <w:tc>
          <w:tcPr>
            <w:tcW w:w="10055" w:type="dxa"/>
            <w:tcBorders>
              <w:top w:val="nil"/>
              <w:bottom w:val="nil"/>
            </w:tcBorders>
            <w:shd w:val="clear" w:color="auto" w:fill="auto"/>
          </w:tcPr>
          <w:p w:rsidR="00B15161" w:rsidRDefault="00B15161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theme="minorBidi"/>
                <w:i/>
              </w:rPr>
            </w:pPr>
            <w:bookmarkStart w:id="90" w:name="lt_pId463"/>
            <w:r w:rsidRPr="008512D5">
              <w:rPr>
                <w:rFonts w:cstheme="minorBidi"/>
                <w:i/>
              </w:rPr>
              <w:t>Автомобильный транспорт:</w:t>
            </w:r>
            <w:bookmarkEnd w:id="90"/>
          </w:p>
          <w:p w:rsidR="00B15161" w:rsidRPr="00264114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Завершена подготовка проекта соглашения «Омнибус», за исключением двух вопросов.</w:t>
            </w:r>
          </w:p>
        </w:tc>
      </w:tr>
      <w:tr w:rsidR="00B15161" w:rsidRPr="00264114" w:rsidTr="003C312E">
        <w:tc>
          <w:tcPr>
            <w:tcW w:w="10055" w:type="dxa"/>
            <w:tcBorders>
              <w:top w:val="nil"/>
              <w:bottom w:val="nil"/>
            </w:tcBorders>
            <w:shd w:val="clear" w:color="auto" w:fill="auto"/>
          </w:tcPr>
          <w:p w:rsidR="00B15161" w:rsidRDefault="00B15161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theme="minorBidi"/>
                <w:i/>
              </w:rPr>
            </w:pPr>
            <w:bookmarkStart w:id="91" w:name="lt_pId465"/>
            <w:r w:rsidRPr="008512D5">
              <w:rPr>
                <w:rFonts w:cstheme="minorBidi"/>
                <w:i/>
              </w:rPr>
              <w:t>МДП:</w:t>
            </w:r>
            <w:bookmarkEnd w:id="91"/>
          </w:p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Принята версия 4.1 Справочной модели eTIR в качестве основы будущей деятельности.</w:t>
            </w:r>
          </w:p>
          <w:p w:rsidR="00B15161" w:rsidRPr="00264114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 xml:space="preserve">Запущен пилотный проект </w:t>
            </w:r>
            <w:r w:rsidRPr="00B15161">
              <w:rPr>
                <w:rFonts w:cstheme="minorBidi"/>
              </w:rPr>
              <w:t>eTIR</w:t>
            </w:r>
            <w:r w:rsidRPr="008512D5">
              <w:rPr>
                <w:rFonts w:cstheme="minorBidi"/>
              </w:rPr>
              <w:t xml:space="preserve"> ЕЭК ООН и МСАТ.</w:t>
            </w:r>
          </w:p>
        </w:tc>
      </w:tr>
      <w:tr w:rsidR="00B15161" w:rsidRPr="00264114" w:rsidTr="003C312E">
        <w:tc>
          <w:tcPr>
            <w:tcW w:w="10055" w:type="dxa"/>
            <w:tcBorders>
              <w:top w:val="nil"/>
              <w:bottom w:val="nil"/>
            </w:tcBorders>
            <w:shd w:val="clear" w:color="auto" w:fill="auto"/>
          </w:tcPr>
          <w:p w:rsidR="00B15161" w:rsidRDefault="00B15161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theme="minorBidi"/>
                <w:i/>
              </w:rPr>
            </w:pPr>
            <w:bookmarkStart w:id="92" w:name="lt_pId468"/>
            <w:r w:rsidRPr="008512D5">
              <w:rPr>
                <w:rFonts w:cstheme="minorBidi"/>
                <w:i/>
              </w:rPr>
              <w:t>Железнодорожный транспорт:</w:t>
            </w:r>
            <w:bookmarkEnd w:id="92"/>
          </w:p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Группа экспертов по единому железнодорожному праву подготовила проект правовых положений о</w:t>
            </w:r>
            <w:r w:rsidR="002315E3">
              <w:rPr>
                <w:rFonts w:cstheme="minorBidi"/>
              </w:rPr>
              <w:t> </w:t>
            </w:r>
            <w:r w:rsidRPr="008512D5">
              <w:rPr>
                <w:rFonts w:cstheme="minorBidi"/>
              </w:rPr>
              <w:t>едином железнодорожном праве.</w:t>
            </w:r>
          </w:p>
          <w:p w:rsidR="00B15161" w:rsidRPr="00264114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SC.2 провела в сотрудничестве с МСЖД рабочее совещание по вопросу о тенденциях и вызовах в области безопасности на железнодорожном транспорте, в котором приняли участие более 70 делегатов государств-членов и заинтересованных сторон.</w:t>
            </w:r>
          </w:p>
        </w:tc>
      </w:tr>
      <w:tr w:rsidR="00B15161" w:rsidRPr="00264114" w:rsidTr="003C312E">
        <w:tc>
          <w:tcPr>
            <w:tcW w:w="10055" w:type="dxa"/>
            <w:tcBorders>
              <w:top w:val="nil"/>
              <w:bottom w:val="nil"/>
            </w:tcBorders>
            <w:shd w:val="clear" w:color="auto" w:fill="auto"/>
          </w:tcPr>
          <w:p w:rsidR="00B15161" w:rsidRDefault="00B15161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theme="minorBidi"/>
                <w:i/>
              </w:rPr>
            </w:pPr>
            <w:bookmarkStart w:id="93" w:name="lt_pId472"/>
            <w:r w:rsidRPr="008512D5">
              <w:rPr>
                <w:rFonts w:cstheme="minorBidi"/>
                <w:i/>
              </w:rPr>
              <w:t>Внутренний водный транспорт:</w:t>
            </w:r>
            <w:bookmarkEnd w:id="93"/>
          </w:p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Опубликованы печатная и онлайновая версии пятого пересмотренного издания ЕПСВВП на английском, русском и французском языках.</w:t>
            </w:r>
          </w:p>
          <w:p w:rsidR="00B15161" w:rsidRPr="00264114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Приняты поправки к приложению II Европейского соглашения о важнейших внутренних водных путях международного значения (СМВП).</w:t>
            </w:r>
          </w:p>
        </w:tc>
      </w:tr>
      <w:tr w:rsidR="00B15161" w:rsidRPr="00264114" w:rsidTr="003C312E">
        <w:tc>
          <w:tcPr>
            <w:tcW w:w="10055" w:type="dxa"/>
            <w:tcBorders>
              <w:top w:val="nil"/>
            </w:tcBorders>
            <w:shd w:val="clear" w:color="auto" w:fill="auto"/>
          </w:tcPr>
          <w:p w:rsidR="00B15161" w:rsidRDefault="00B15161" w:rsidP="003A5B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43" w:right="43"/>
              <w:rPr>
                <w:rFonts w:cstheme="minorBidi"/>
                <w:b/>
              </w:rPr>
            </w:pPr>
            <w:r w:rsidRPr="008512D5">
              <w:rPr>
                <w:rFonts w:cstheme="minorBidi"/>
                <w:b/>
              </w:rPr>
              <w:t>Коммуникационная и информационно-пропагандистская деятельность</w:t>
            </w:r>
          </w:p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Спектр деятельности ЕЭК ООН: по облегчению пересечения границ (вслед за обеспечением безопасности дорожного движения).</w:t>
            </w:r>
          </w:p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 xml:space="preserve">Брошюры: </w:t>
            </w:r>
            <w:bookmarkStart w:id="94" w:name="lt_pId479"/>
            <w:r w:rsidRPr="008512D5">
              <w:rPr>
                <w:rFonts w:cstheme="minorBidi"/>
              </w:rPr>
              <w:t>Детские удерживающие устройства</w:t>
            </w:r>
            <w:bookmarkEnd w:id="94"/>
            <w:r w:rsidRPr="008512D5">
              <w:rPr>
                <w:rFonts w:cstheme="minorBidi"/>
              </w:rPr>
              <w:t>.</w:t>
            </w:r>
          </w:p>
          <w:p w:rsidR="00B15161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  <w:rPr>
                <w:rFonts w:cstheme="minorBidi"/>
              </w:rPr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 xml:space="preserve">Буклеты: </w:t>
            </w:r>
            <w:bookmarkStart w:id="95" w:name="lt_pId481"/>
            <w:r w:rsidRPr="008512D5">
              <w:rPr>
                <w:rFonts w:cstheme="minorBidi"/>
              </w:rPr>
              <w:t>Использование шлема;</w:t>
            </w:r>
            <w:bookmarkEnd w:id="95"/>
            <w:r w:rsidRPr="008512D5">
              <w:rPr>
                <w:rFonts w:cstheme="minorBidi"/>
              </w:rPr>
              <w:t xml:space="preserve"> </w:t>
            </w:r>
            <w:bookmarkStart w:id="96" w:name="lt_pId482"/>
            <w:r w:rsidRPr="008512D5">
              <w:rPr>
                <w:rFonts w:cstheme="minorBidi"/>
              </w:rPr>
              <w:t>Детские удерживающие устройства;</w:t>
            </w:r>
            <w:bookmarkEnd w:id="96"/>
            <w:r w:rsidRPr="008512D5">
              <w:rPr>
                <w:rFonts w:cstheme="minorBidi"/>
              </w:rPr>
              <w:t xml:space="preserve"> </w:t>
            </w:r>
            <w:bookmarkStart w:id="97" w:name="lt_pId485"/>
            <w:r w:rsidRPr="008512D5">
              <w:rPr>
                <w:rFonts w:cstheme="minorBidi"/>
              </w:rPr>
              <w:t xml:space="preserve">Как деятельность ЕЭК ООН </w:t>
            </w:r>
            <w:r w:rsidR="002315E3">
              <w:rPr>
                <w:rFonts w:cstheme="minorBidi"/>
              </w:rPr>
              <w:br/>
            </w:r>
            <w:r w:rsidRPr="008512D5">
              <w:rPr>
                <w:rFonts w:cstheme="minorBidi"/>
              </w:rPr>
              <w:t>помогает повысить безопасность пешеходов; Деятельность ВВТ; Интермодальные перевозки</w:t>
            </w:r>
            <w:bookmarkEnd w:id="97"/>
            <w:r w:rsidRPr="008512D5">
              <w:rPr>
                <w:rFonts w:cstheme="minorBidi"/>
              </w:rPr>
              <w:t>.</w:t>
            </w:r>
          </w:p>
          <w:p w:rsidR="00B15161" w:rsidRPr="00264114" w:rsidRDefault="00B15161" w:rsidP="003A5B8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  <w:tab w:val="right" w:pos="1629"/>
              </w:tabs>
              <w:spacing w:before="40" w:after="80"/>
              <w:ind w:left="486" w:right="43" w:hanging="475"/>
            </w:pPr>
            <w:r>
              <w:rPr>
                <w:rFonts w:cstheme="minorBidi"/>
              </w:rPr>
              <w:tab/>
            </w:r>
            <w:r w:rsidRPr="00264114">
              <w:rPr>
                <w:rFonts w:cstheme="minorBidi"/>
              </w:rPr>
              <w:t>•</w:t>
            </w:r>
            <w:r w:rsidRPr="00264114">
              <w:rPr>
                <w:rFonts w:cstheme="minorBidi"/>
              </w:rPr>
              <w:tab/>
            </w:r>
            <w:r w:rsidRPr="008512D5">
              <w:rPr>
                <w:rFonts w:cstheme="minorBidi"/>
              </w:rPr>
              <w:t>Статьи для Исполнительного секретаря.</w:t>
            </w:r>
          </w:p>
        </w:tc>
      </w:tr>
    </w:tbl>
    <w:p w:rsidR="008512D5" w:rsidRPr="00B15161" w:rsidRDefault="00B15161" w:rsidP="00B15161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512D5" w:rsidRPr="00B15161" w:rsidSect="00B731D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1-12T14:07:00Z" w:initials="Start">
    <w:p w:rsidR="00DD46C4" w:rsidRPr="008512D5" w:rsidRDefault="00DD46C4">
      <w:pPr>
        <w:pStyle w:val="CommentText"/>
        <w:rPr>
          <w:lang w:val="en-US"/>
        </w:rPr>
      </w:pPr>
      <w:r>
        <w:fldChar w:fldCharType="begin"/>
      </w:r>
      <w:r w:rsidRPr="008512D5">
        <w:rPr>
          <w:rStyle w:val="CommentReference"/>
          <w:lang w:val="en-US"/>
        </w:rPr>
        <w:instrText xml:space="preserve"> </w:instrText>
      </w:r>
      <w:r w:rsidRPr="008512D5">
        <w:rPr>
          <w:lang w:val="en-US"/>
        </w:rPr>
        <w:instrText>PAGE \# "'Page: '#'</w:instrText>
      </w:r>
      <w:r w:rsidRPr="008512D5">
        <w:rPr>
          <w:lang w:val="en-US"/>
        </w:rPr>
        <w:br/>
        <w:instrText>'"</w:instrText>
      </w:r>
      <w:r w:rsidRPr="008512D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512D5">
        <w:rPr>
          <w:lang w:val="en-US"/>
        </w:rPr>
        <w:t>&lt;&lt;ODS JOB NO&gt;&gt;N1528584R&lt;&lt;ODS JOB NO&gt;&gt;</w:t>
      </w:r>
    </w:p>
    <w:p w:rsidR="00DD46C4" w:rsidRDefault="00DD46C4">
      <w:pPr>
        <w:pStyle w:val="CommentText"/>
      </w:pPr>
      <w:r>
        <w:t>&lt;&lt;ODS DOC SYMBOL1&gt;&gt;ECE/TRANS/2016/23&lt;&lt;ODS DOC SYMBOL1&gt;&gt;</w:t>
      </w:r>
    </w:p>
    <w:p w:rsidR="00DD46C4" w:rsidRDefault="00DD46C4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C4" w:rsidRDefault="00DD46C4" w:rsidP="008A1A7A">
      <w:pPr>
        <w:spacing w:line="240" w:lineRule="auto"/>
      </w:pPr>
      <w:r>
        <w:separator/>
      </w:r>
    </w:p>
  </w:endnote>
  <w:endnote w:type="continuationSeparator" w:id="0">
    <w:p w:rsidR="00DD46C4" w:rsidRDefault="00DD46C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D46C4" w:rsidTr="00B731D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D46C4" w:rsidRPr="00B731D9" w:rsidRDefault="00DD46C4" w:rsidP="00B731D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9777C">
            <w:rPr>
              <w:noProof/>
            </w:rPr>
            <w:t>2</w:t>
          </w:r>
          <w:r>
            <w:fldChar w:fldCharType="end"/>
          </w:r>
          <w:r>
            <w:t>/</w:t>
          </w:r>
          <w:r w:rsidR="00B9777C">
            <w:fldChar w:fldCharType="begin"/>
          </w:r>
          <w:r w:rsidR="00B9777C">
            <w:instrText xml:space="preserve"> NUMPAGES  \* Arabic  \* MERGEFORMAT </w:instrText>
          </w:r>
          <w:r w:rsidR="00B9777C">
            <w:fldChar w:fldCharType="separate"/>
          </w:r>
          <w:r w:rsidR="00B9777C">
            <w:rPr>
              <w:noProof/>
            </w:rPr>
            <w:t>2</w:t>
          </w:r>
          <w:r w:rsidR="00B9777C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D46C4" w:rsidRPr="00B731D9" w:rsidRDefault="00DD46C4" w:rsidP="00B731D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D0EB7">
            <w:rPr>
              <w:b w:val="0"/>
              <w:color w:val="000000"/>
              <w:sz w:val="14"/>
            </w:rPr>
            <w:t>GE.15-22142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D46C4" w:rsidRPr="00B731D9" w:rsidRDefault="00DD46C4" w:rsidP="00B73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D46C4" w:rsidTr="00B731D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D46C4" w:rsidRPr="00B731D9" w:rsidRDefault="00DD46C4" w:rsidP="00B731D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D0EB7">
            <w:rPr>
              <w:b w:val="0"/>
              <w:color w:val="000000"/>
              <w:sz w:val="14"/>
            </w:rPr>
            <w:t>GE.15-22142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D46C4" w:rsidRPr="00B731D9" w:rsidRDefault="00DD46C4" w:rsidP="00B731D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D0EB7">
            <w:rPr>
              <w:noProof/>
            </w:rPr>
            <w:t>19</w:t>
          </w:r>
          <w:r>
            <w:fldChar w:fldCharType="end"/>
          </w:r>
          <w:r>
            <w:t>/</w:t>
          </w:r>
          <w:r w:rsidR="00B9777C">
            <w:fldChar w:fldCharType="begin"/>
          </w:r>
          <w:r w:rsidR="00B9777C">
            <w:instrText xml:space="preserve"> NUMPAGES  \* Arabic  \* MERGEFORMAT </w:instrText>
          </w:r>
          <w:r w:rsidR="00B9777C">
            <w:fldChar w:fldCharType="separate"/>
          </w:r>
          <w:r w:rsidR="006D0EB7">
            <w:rPr>
              <w:noProof/>
            </w:rPr>
            <w:t>20</w:t>
          </w:r>
          <w:r w:rsidR="00B9777C">
            <w:rPr>
              <w:noProof/>
            </w:rPr>
            <w:fldChar w:fldCharType="end"/>
          </w:r>
        </w:p>
      </w:tc>
    </w:tr>
  </w:tbl>
  <w:p w:rsidR="00DD46C4" w:rsidRPr="00B731D9" w:rsidRDefault="00DD46C4" w:rsidP="00B731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D46C4" w:rsidTr="00B731D9">
      <w:tc>
        <w:tcPr>
          <w:tcW w:w="3873" w:type="dxa"/>
        </w:tcPr>
        <w:p w:rsidR="00DD46C4" w:rsidRDefault="00DD46C4" w:rsidP="00B731D9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7AC20DE1" wp14:editId="019B5F1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2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2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GE.15-22142 (R)</w:t>
          </w:r>
          <w:r>
            <w:rPr>
              <w:color w:val="010000"/>
            </w:rPr>
            <w:t xml:space="preserve">    120116    120116</w:t>
          </w:r>
        </w:p>
        <w:p w:rsidR="00DD46C4" w:rsidRPr="00B731D9" w:rsidRDefault="00DD46C4" w:rsidP="00B731D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*1522142*</w:t>
          </w:r>
        </w:p>
      </w:tc>
      <w:tc>
        <w:tcPr>
          <w:tcW w:w="5127" w:type="dxa"/>
        </w:tcPr>
        <w:p w:rsidR="00DD46C4" w:rsidRDefault="00DD46C4" w:rsidP="00B731D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409C7E14" wp14:editId="4E9D94F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D46C4" w:rsidRPr="00B731D9" w:rsidRDefault="00DD46C4" w:rsidP="00B731D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C4" w:rsidRDefault="00DD46C4" w:rsidP="008A1A7A">
      <w:pPr>
        <w:spacing w:line="240" w:lineRule="auto"/>
      </w:pPr>
      <w:r>
        <w:separator/>
      </w:r>
    </w:p>
  </w:footnote>
  <w:footnote w:type="continuationSeparator" w:id="0">
    <w:p w:rsidR="00DD46C4" w:rsidRDefault="00DD46C4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D46C4" w:rsidTr="00B731D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D46C4" w:rsidRPr="00B731D9" w:rsidRDefault="00DD46C4" w:rsidP="00B731D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D0EB7">
            <w:rPr>
              <w:b/>
            </w:rPr>
            <w:t>ECE/TRANS/2016/23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D46C4" w:rsidRDefault="00DD46C4" w:rsidP="00B731D9">
          <w:pPr>
            <w:pStyle w:val="Header"/>
          </w:pPr>
        </w:p>
      </w:tc>
    </w:tr>
  </w:tbl>
  <w:p w:rsidR="00DD46C4" w:rsidRPr="00B731D9" w:rsidRDefault="00DD46C4" w:rsidP="00B73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D46C4" w:rsidTr="00B731D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D46C4" w:rsidRDefault="00DD46C4" w:rsidP="00B731D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D46C4" w:rsidRPr="00B731D9" w:rsidRDefault="00DD46C4" w:rsidP="00B731D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D0EB7">
            <w:rPr>
              <w:b/>
            </w:rPr>
            <w:t>ECE/TRANS/2016/23</w:t>
          </w:r>
          <w:r>
            <w:rPr>
              <w:b/>
            </w:rPr>
            <w:fldChar w:fldCharType="end"/>
          </w:r>
        </w:p>
      </w:tc>
    </w:tr>
  </w:tbl>
  <w:p w:rsidR="00DD46C4" w:rsidRPr="00B731D9" w:rsidRDefault="00DD46C4" w:rsidP="00B73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D46C4" w:rsidTr="00B731D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D46C4" w:rsidRPr="00B731D9" w:rsidRDefault="00DD46C4" w:rsidP="00B731D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D46C4" w:rsidRDefault="00DD46C4" w:rsidP="00B731D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D46C4" w:rsidRPr="00B731D9" w:rsidRDefault="00DD46C4" w:rsidP="00B731D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/TRANS/2016/23</w:t>
          </w:r>
        </w:p>
      </w:tc>
    </w:tr>
    <w:tr w:rsidR="00DD46C4" w:rsidRPr="0035076C" w:rsidTr="00B731D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46C4" w:rsidRPr="00B731D9" w:rsidRDefault="00DD46C4" w:rsidP="00B731D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6B8F7636" wp14:editId="79B6F42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46C4" w:rsidRPr="00B731D9" w:rsidRDefault="00DD46C4" w:rsidP="00B731D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46C4" w:rsidRPr="00B731D9" w:rsidRDefault="00DD46C4" w:rsidP="00B731D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46C4" w:rsidRPr="008512D5" w:rsidRDefault="00DD46C4" w:rsidP="00B731D9">
          <w:pPr>
            <w:pStyle w:val="Distribution"/>
            <w:rPr>
              <w:color w:val="000000"/>
              <w:lang w:val="en-US"/>
            </w:rPr>
          </w:pPr>
          <w:r w:rsidRPr="008512D5">
            <w:rPr>
              <w:color w:val="000000"/>
              <w:lang w:val="en-US"/>
            </w:rPr>
            <w:t>Distr.: General</w:t>
          </w:r>
        </w:p>
        <w:p w:rsidR="00DD46C4" w:rsidRPr="008512D5" w:rsidRDefault="00DD46C4" w:rsidP="008512D5">
          <w:pPr>
            <w:pStyle w:val="Publication"/>
            <w:rPr>
              <w:color w:val="000000"/>
              <w:lang w:val="en-US"/>
            </w:rPr>
          </w:pPr>
          <w:r w:rsidRPr="008512D5">
            <w:rPr>
              <w:color w:val="000000"/>
              <w:lang w:val="en-US"/>
            </w:rPr>
            <w:t>15 December 2015</w:t>
          </w:r>
        </w:p>
        <w:p w:rsidR="00DD46C4" w:rsidRPr="008512D5" w:rsidRDefault="00DD46C4" w:rsidP="00B731D9">
          <w:pPr>
            <w:rPr>
              <w:color w:val="000000"/>
              <w:lang w:val="en-US"/>
            </w:rPr>
          </w:pPr>
          <w:r w:rsidRPr="008512D5">
            <w:rPr>
              <w:color w:val="000000"/>
              <w:lang w:val="en-US"/>
            </w:rPr>
            <w:t>Russian</w:t>
          </w:r>
        </w:p>
        <w:p w:rsidR="00DD46C4" w:rsidRPr="008512D5" w:rsidRDefault="00DD46C4" w:rsidP="00B731D9">
          <w:pPr>
            <w:pStyle w:val="Original"/>
            <w:rPr>
              <w:color w:val="000000"/>
              <w:lang w:val="en-US"/>
            </w:rPr>
          </w:pPr>
          <w:r w:rsidRPr="008512D5">
            <w:rPr>
              <w:color w:val="000000"/>
              <w:lang w:val="en-US"/>
            </w:rPr>
            <w:t>Original: English</w:t>
          </w:r>
        </w:p>
        <w:p w:rsidR="00DD46C4" w:rsidRPr="008512D5" w:rsidRDefault="00DD46C4" w:rsidP="00B731D9">
          <w:pPr>
            <w:rPr>
              <w:lang w:val="en-US"/>
            </w:rPr>
          </w:pPr>
        </w:p>
      </w:tc>
    </w:tr>
  </w:tbl>
  <w:p w:rsidR="00DD46C4" w:rsidRPr="008512D5" w:rsidRDefault="00DD46C4" w:rsidP="00B731D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CEE4941A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1F740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E7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9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A0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02B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C0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25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6C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767376"/>
    <w:multiLevelType w:val="hybridMultilevel"/>
    <w:tmpl w:val="7B667DFE"/>
    <w:lvl w:ilvl="0" w:tplc="826A82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843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8E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ED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CC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E0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2C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2A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441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A93773"/>
    <w:multiLevelType w:val="hybridMultilevel"/>
    <w:tmpl w:val="C512CD54"/>
    <w:lvl w:ilvl="0" w:tplc="54BAE79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15A7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7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68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64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AF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62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CD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2C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8B1957"/>
    <w:multiLevelType w:val="hybridMultilevel"/>
    <w:tmpl w:val="B38695F8"/>
    <w:lvl w:ilvl="0" w:tplc="1D34BA3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A7B2626"/>
    <w:multiLevelType w:val="hybridMultilevel"/>
    <w:tmpl w:val="372CFE8C"/>
    <w:lvl w:ilvl="0" w:tplc="7304FEC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F2F41188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E2B49C2E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2B67F8E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C7940A8A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8D321D62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85385AC4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A0AED454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90AF4E8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1E253887"/>
    <w:multiLevelType w:val="hybridMultilevel"/>
    <w:tmpl w:val="497EC7CC"/>
    <w:lvl w:ilvl="0" w:tplc="8E54CA70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A0487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86B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83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C9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4C2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ED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6FB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10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0">
    <w:nsid w:val="1FD43EEE"/>
    <w:multiLevelType w:val="hybridMultilevel"/>
    <w:tmpl w:val="025A83B8"/>
    <w:lvl w:ilvl="0" w:tplc="35AC72B6">
      <w:start w:val="1"/>
      <w:numFmt w:val="decimal"/>
      <w:lvlText w:val="%1."/>
      <w:lvlJc w:val="left"/>
      <w:pPr>
        <w:ind w:left="1854" w:hanging="360"/>
      </w:pPr>
    </w:lvl>
    <w:lvl w:ilvl="1" w:tplc="4FD62864" w:tentative="1">
      <w:start w:val="1"/>
      <w:numFmt w:val="lowerLetter"/>
      <w:lvlText w:val="%2."/>
      <w:lvlJc w:val="left"/>
      <w:pPr>
        <w:ind w:left="2574" w:hanging="360"/>
      </w:pPr>
    </w:lvl>
    <w:lvl w:ilvl="2" w:tplc="0F64F3F8" w:tentative="1">
      <w:start w:val="1"/>
      <w:numFmt w:val="lowerRoman"/>
      <w:lvlText w:val="%3."/>
      <w:lvlJc w:val="right"/>
      <w:pPr>
        <w:ind w:left="3294" w:hanging="180"/>
      </w:pPr>
    </w:lvl>
    <w:lvl w:ilvl="3" w:tplc="258A9F3E" w:tentative="1">
      <w:start w:val="1"/>
      <w:numFmt w:val="decimal"/>
      <w:lvlText w:val="%4."/>
      <w:lvlJc w:val="left"/>
      <w:pPr>
        <w:ind w:left="4014" w:hanging="360"/>
      </w:pPr>
    </w:lvl>
    <w:lvl w:ilvl="4" w:tplc="88D25F78" w:tentative="1">
      <w:start w:val="1"/>
      <w:numFmt w:val="lowerLetter"/>
      <w:lvlText w:val="%5."/>
      <w:lvlJc w:val="left"/>
      <w:pPr>
        <w:ind w:left="4734" w:hanging="360"/>
      </w:pPr>
    </w:lvl>
    <w:lvl w:ilvl="5" w:tplc="EAA686CA" w:tentative="1">
      <w:start w:val="1"/>
      <w:numFmt w:val="lowerRoman"/>
      <w:lvlText w:val="%6."/>
      <w:lvlJc w:val="right"/>
      <w:pPr>
        <w:ind w:left="5454" w:hanging="180"/>
      </w:pPr>
    </w:lvl>
    <w:lvl w:ilvl="6" w:tplc="78944846" w:tentative="1">
      <w:start w:val="1"/>
      <w:numFmt w:val="decimal"/>
      <w:lvlText w:val="%7."/>
      <w:lvlJc w:val="left"/>
      <w:pPr>
        <w:ind w:left="6174" w:hanging="360"/>
      </w:pPr>
    </w:lvl>
    <w:lvl w:ilvl="7" w:tplc="35182226" w:tentative="1">
      <w:start w:val="1"/>
      <w:numFmt w:val="lowerLetter"/>
      <w:lvlText w:val="%8."/>
      <w:lvlJc w:val="left"/>
      <w:pPr>
        <w:ind w:left="6894" w:hanging="360"/>
      </w:pPr>
    </w:lvl>
    <w:lvl w:ilvl="8" w:tplc="5FD834AC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1A12325"/>
    <w:multiLevelType w:val="hybridMultilevel"/>
    <w:tmpl w:val="FF0E5B48"/>
    <w:lvl w:ilvl="0" w:tplc="27A2DB7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BE0A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32D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20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86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AE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2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CA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6A8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4C3278"/>
    <w:multiLevelType w:val="hybridMultilevel"/>
    <w:tmpl w:val="A6A0F1BA"/>
    <w:lvl w:ilvl="0" w:tplc="D37A8CF4">
      <w:start w:val="1"/>
      <w:numFmt w:val="lowerLetter"/>
      <w:lvlText w:val="%1)"/>
      <w:lvlJc w:val="left"/>
      <w:pPr>
        <w:ind w:left="1854" w:hanging="360"/>
      </w:pPr>
    </w:lvl>
    <w:lvl w:ilvl="1" w:tplc="FFF299C4" w:tentative="1">
      <w:start w:val="1"/>
      <w:numFmt w:val="lowerLetter"/>
      <w:lvlText w:val="%2."/>
      <w:lvlJc w:val="left"/>
      <w:pPr>
        <w:ind w:left="2574" w:hanging="360"/>
      </w:pPr>
    </w:lvl>
    <w:lvl w:ilvl="2" w:tplc="8E98FFC6" w:tentative="1">
      <w:start w:val="1"/>
      <w:numFmt w:val="lowerRoman"/>
      <w:lvlText w:val="%3."/>
      <w:lvlJc w:val="right"/>
      <w:pPr>
        <w:ind w:left="3294" w:hanging="180"/>
      </w:pPr>
    </w:lvl>
    <w:lvl w:ilvl="3" w:tplc="10C0D1D0" w:tentative="1">
      <w:start w:val="1"/>
      <w:numFmt w:val="decimal"/>
      <w:lvlText w:val="%4."/>
      <w:lvlJc w:val="left"/>
      <w:pPr>
        <w:ind w:left="4014" w:hanging="360"/>
      </w:pPr>
    </w:lvl>
    <w:lvl w:ilvl="4" w:tplc="D71E2510" w:tentative="1">
      <w:start w:val="1"/>
      <w:numFmt w:val="lowerLetter"/>
      <w:lvlText w:val="%5."/>
      <w:lvlJc w:val="left"/>
      <w:pPr>
        <w:ind w:left="4734" w:hanging="360"/>
      </w:pPr>
    </w:lvl>
    <w:lvl w:ilvl="5" w:tplc="3A2E8978" w:tentative="1">
      <w:start w:val="1"/>
      <w:numFmt w:val="lowerRoman"/>
      <w:lvlText w:val="%6."/>
      <w:lvlJc w:val="right"/>
      <w:pPr>
        <w:ind w:left="5454" w:hanging="180"/>
      </w:pPr>
    </w:lvl>
    <w:lvl w:ilvl="6" w:tplc="38CA2F46" w:tentative="1">
      <w:start w:val="1"/>
      <w:numFmt w:val="decimal"/>
      <w:lvlText w:val="%7."/>
      <w:lvlJc w:val="left"/>
      <w:pPr>
        <w:ind w:left="6174" w:hanging="360"/>
      </w:pPr>
    </w:lvl>
    <w:lvl w:ilvl="7" w:tplc="1D084452" w:tentative="1">
      <w:start w:val="1"/>
      <w:numFmt w:val="lowerLetter"/>
      <w:lvlText w:val="%8."/>
      <w:lvlJc w:val="left"/>
      <w:pPr>
        <w:ind w:left="6894" w:hanging="360"/>
      </w:pPr>
    </w:lvl>
    <w:lvl w:ilvl="8" w:tplc="709216A0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F997FFE"/>
    <w:multiLevelType w:val="hybridMultilevel"/>
    <w:tmpl w:val="EB301380"/>
    <w:lvl w:ilvl="0" w:tplc="2BF6F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81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0CE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40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03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723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62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A1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88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26E3D"/>
    <w:multiLevelType w:val="hybridMultilevel"/>
    <w:tmpl w:val="E5A4803E"/>
    <w:lvl w:ilvl="0" w:tplc="0C48A6D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588E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76D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8C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8B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80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00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883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43818"/>
    <w:multiLevelType w:val="hybridMultilevel"/>
    <w:tmpl w:val="462425C6"/>
    <w:lvl w:ilvl="0" w:tplc="73D2AA02">
      <w:start w:val="10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8FD095AE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C43CBCD0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6E2311A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8D264D6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F6547A06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DF568056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8187426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5D68C6AE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9">
    <w:nsid w:val="587967B3"/>
    <w:multiLevelType w:val="hybridMultilevel"/>
    <w:tmpl w:val="2F54F712"/>
    <w:lvl w:ilvl="0" w:tplc="C096F6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5081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2E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26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09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0B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AB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0B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06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F721B"/>
    <w:multiLevelType w:val="hybridMultilevel"/>
    <w:tmpl w:val="A44A4B06"/>
    <w:lvl w:ilvl="0" w:tplc="95BA88B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B43ABCBE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5B6AB3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1E0C92E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A5EE3F1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AA2865A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FEAF7C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5D7003B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55EA693C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4833244"/>
    <w:multiLevelType w:val="hybridMultilevel"/>
    <w:tmpl w:val="3EBAC1E0"/>
    <w:lvl w:ilvl="0" w:tplc="83C82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AC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3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8E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AE2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B8E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E0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6A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E5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25DC1"/>
    <w:multiLevelType w:val="hybridMultilevel"/>
    <w:tmpl w:val="FAA66F24"/>
    <w:lvl w:ilvl="0" w:tplc="53926B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42065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0C9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68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47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60B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0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00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1EA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81120"/>
    <w:multiLevelType w:val="hybridMultilevel"/>
    <w:tmpl w:val="F1D87816"/>
    <w:lvl w:ilvl="0" w:tplc="20E2D9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0ED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21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D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85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D0B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AC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65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EC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43C55"/>
    <w:multiLevelType w:val="hybridMultilevel"/>
    <w:tmpl w:val="C6649D4A"/>
    <w:lvl w:ilvl="0" w:tplc="23E8FCD2">
      <w:start w:val="1"/>
      <w:numFmt w:val="lowerLetter"/>
      <w:lvlText w:val="%1)"/>
      <w:lvlJc w:val="left"/>
      <w:pPr>
        <w:ind w:left="204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4F81720"/>
    <w:multiLevelType w:val="hybridMultilevel"/>
    <w:tmpl w:val="B9DE06CA"/>
    <w:lvl w:ilvl="0" w:tplc="B80A08A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BB2C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60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C0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49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0B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63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CD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CC2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223DA"/>
    <w:multiLevelType w:val="hybridMultilevel"/>
    <w:tmpl w:val="5B7ACB42"/>
    <w:lvl w:ilvl="0" w:tplc="4F7A5F12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89A28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88E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0A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5C1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0B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21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C2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33"/>
  </w:num>
  <w:num w:numId="10">
    <w:abstractNumId w:val="2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8"/>
  </w:num>
  <w:num w:numId="18">
    <w:abstractNumId w:val="10"/>
  </w:num>
  <w:num w:numId="19">
    <w:abstractNumId w:val="16"/>
  </w:num>
  <w:num w:numId="20">
    <w:abstractNumId w:val="23"/>
  </w:num>
  <w:num w:numId="21">
    <w:abstractNumId w:val="17"/>
  </w:num>
  <w:num w:numId="22">
    <w:abstractNumId w:val="32"/>
  </w:num>
  <w:num w:numId="23">
    <w:abstractNumId w:val="37"/>
  </w:num>
  <w:num w:numId="24">
    <w:abstractNumId w:val="31"/>
  </w:num>
  <w:num w:numId="25">
    <w:abstractNumId w:val="24"/>
  </w:num>
  <w:num w:numId="26">
    <w:abstractNumId w:val="36"/>
  </w:num>
  <w:num w:numId="27">
    <w:abstractNumId w:val="11"/>
  </w:num>
  <w:num w:numId="28">
    <w:abstractNumId w:val="26"/>
  </w:num>
  <w:num w:numId="29">
    <w:abstractNumId w:val="34"/>
  </w:num>
  <w:num w:numId="30">
    <w:abstractNumId w:val="29"/>
  </w:num>
  <w:num w:numId="31">
    <w:abstractNumId w:val="25"/>
  </w:num>
  <w:num w:numId="32">
    <w:abstractNumId w:val="12"/>
  </w:num>
  <w:num w:numId="33">
    <w:abstractNumId w:val="30"/>
  </w:num>
  <w:num w:numId="34">
    <w:abstractNumId w:val="20"/>
  </w:num>
  <w:num w:numId="35">
    <w:abstractNumId w:val="22"/>
  </w:num>
  <w:num w:numId="36">
    <w:abstractNumId w:val="15"/>
  </w:num>
  <w:num w:numId="37">
    <w:abstractNumId w:val="1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142*"/>
    <w:docVar w:name="CreationDt" w:val="1/12/2016 2:07: PM"/>
    <w:docVar w:name="DocCategory" w:val="Doc"/>
    <w:docVar w:name="DocType" w:val="Final"/>
    <w:docVar w:name="DutyStation" w:val="Geneva"/>
    <w:docVar w:name="FooterJN" w:val="GE.15-22142"/>
    <w:docVar w:name="jobn" w:val="GE.15-22142 (R)"/>
    <w:docVar w:name="jobnDT" w:val="GE.15-22142 (R)   120116"/>
    <w:docVar w:name="jobnDTDT" w:val="GE.15-22142 (R)   120116   120116"/>
    <w:docVar w:name="JobNo" w:val="GE.1522142R"/>
    <w:docVar w:name="JobNo2" w:val="1528584R"/>
    <w:docVar w:name="LocalDrive" w:val="0"/>
    <w:docVar w:name="OandT" w:val="AP"/>
    <w:docVar w:name="PaperSize" w:val="A4"/>
    <w:docVar w:name="sss1" w:val="ECE/TRANS/2016/23"/>
    <w:docVar w:name="sss2" w:val="-"/>
    <w:docVar w:name="Symbol1" w:val="ECE/TRANS/2016/23"/>
    <w:docVar w:name="Symbol2" w:val="-"/>
  </w:docVars>
  <w:rsids>
    <w:rsidRoot w:val="00DC20BA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0519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60E2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315E3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14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076C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5B8B"/>
    <w:rsid w:val="003B16B4"/>
    <w:rsid w:val="003B5A03"/>
    <w:rsid w:val="003B6E50"/>
    <w:rsid w:val="003C12AC"/>
    <w:rsid w:val="003C2842"/>
    <w:rsid w:val="003C312E"/>
    <w:rsid w:val="003D0825"/>
    <w:rsid w:val="003D2003"/>
    <w:rsid w:val="003D5DA2"/>
    <w:rsid w:val="003E5193"/>
    <w:rsid w:val="003F3EBB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3220"/>
    <w:rsid w:val="004B722C"/>
    <w:rsid w:val="004C1077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0EB7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19D7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528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12D5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5161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31D9"/>
    <w:rsid w:val="00B77560"/>
    <w:rsid w:val="00B77FC0"/>
    <w:rsid w:val="00B85A05"/>
    <w:rsid w:val="00B9777C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252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41C8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20BA"/>
    <w:rsid w:val="00DC31D2"/>
    <w:rsid w:val="00DC7A5F"/>
    <w:rsid w:val="00DD0CE6"/>
    <w:rsid w:val="00DD46C4"/>
    <w:rsid w:val="00DD6A66"/>
    <w:rsid w:val="00DE0D15"/>
    <w:rsid w:val="00DE4EC8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05EB"/>
    <w:rsid w:val="00E6111E"/>
    <w:rsid w:val="00E616D0"/>
    <w:rsid w:val="00E61FD8"/>
    <w:rsid w:val="00E62CCE"/>
    <w:rsid w:val="00E62D29"/>
    <w:rsid w:val="00E64F51"/>
    <w:rsid w:val="00E65C07"/>
    <w:rsid w:val="00E77C12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4221E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03E2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annotation text" w:uiPriority="0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0"/>
    <w:lsdException w:name="line number" w:semiHidden="0" w:unhideWhenUsed="0"/>
    <w:lsdException w:name="page number" w:uiPriority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8512D5"/>
    <w:p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512D5"/>
    <w:p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512D5"/>
    <w:p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512D5"/>
    <w:p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512D5"/>
    <w:p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512D5"/>
    <w:p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character" w:customStyle="1" w:styleId="Heading4Char">
    <w:name w:val="Heading 4 Char"/>
    <w:basedOn w:val="DefaultParagraphFont"/>
    <w:link w:val="Heading4"/>
    <w:rsid w:val="008512D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512D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512D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8512D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8512D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512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styleId="Footer">
    <w:name w:val="footer"/>
    <w:aliases w:val="3_G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uiPriority w:val="1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uiPriority w:val="1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nhideWhenUsed/>
    <w:rsid w:val="00B731D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31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731D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73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1D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PageNumber">
    <w:name w:val="page number"/>
    <w:aliases w:val="7_G"/>
    <w:basedOn w:val="DefaultParagraphFont"/>
    <w:rsid w:val="008512D5"/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semiHidden/>
    <w:rsid w:val="008512D5"/>
    <w:rPr>
      <w:color w:val="auto"/>
      <w:u w:val="none"/>
    </w:rPr>
  </w:style>
  <w:style w:type="paragraph" w:styleId="BalloonText">
    <w:name w:val="Balloon Text"/>
    <w:basedOn w:val="Normal"/>
    <w:link w:val="BalloonTextChar"/>
    <w:rsid w:val="008512D5"/>
    <w:pPr>
      <w:suppressAutoHyphens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8512D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512D5"/>
    <w:pPr>
      <w:spacing w:after="200" w:line="276" w:lineRule="auto"/>
      <w:ind w:left="720"/>
      <w:contextualSpacing/>
    </w:pPr>
    <w:rPr>
      <w:rFonts w:asciiTheme="minorHAnsi" w:hAnsiTheme="minorHAnsi" w:cstheme="minorBidi"/>
      <w:spacing w:val="0"/>
      <w:w w:val="100"/>
      <w:kern w:val="0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annotation text" w:uiPriority="0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0"/>
    <w:lsdException w:name="line number" w:semiHidden="0" w:unhideWhenUsed="0"/>
    <w:lsdException w:name="page number" w:uiPriority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8512D5"/>
    <w:p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512D5"/>
    <w:p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512D5"/>
    <w:p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512D5"/>
    <w:p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512D5"/>
    <w:p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512D5"/>
    <w:p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character" w:customStyle="1" w:styleId="Heading4Char">
    <w:name w:val="Heading 4 Char"/>
    <w:basedOn w:val="DefaultParagraphFont"/>
    <w:link w:val="Heading4"/>
    <w:rsid w:val="008512D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512D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512D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8512D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8512D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512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styleId="Footer">
    <w:name w:val="footer"/>
    <w:aliases w:val="3_G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uiPriority w:val="1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uiPriority w:val="1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nhideWhenUsed/>
    <w:rsid w:val="00B731D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31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731D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73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1D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PageNumber">
    <w:name w:val="page number"/>
    <w:aliases w:val="7_G"/>
    <w:basedOn w:val="DefaultParagraphFont"/>
    <w:rsid w:val="008512D5"/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semiHidden/>
    <w:rsid w:val="008512D5"/>
    <w:rPr>
      <w:color w:val="auto"/>
      <w:u w:val="none"/>
    </w:rPr>
  </w:style>
  <w:style w:type="paragraph" w:styleId="BalloonText">
    <w:name w:val="Balloon Text"/>
    <w:basedOn w:val="Normal"/>
    <w:link w:val="BalloonTextChar"/>
    <w:rsid w:val="008512D5"/>
    <w:pPr>
      <w:suppressAutoHyphens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8512D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512D5"/>
    <w:pPr>
      <w:spacing w:after="200" w:line="276" w:lineRule="auto"/>
      <w:ind w:left="720"/>
      <w:contextualSpacing/>
    </w:pPr>
    <w:rPr>
      <w:rFonts w:asciiTheme="minorHAnsi" w:hAnsiTheme="minorHAnsi" w:cstheme="minorBidi"/>
      <w:spacing w:val="0"/>
      <w:w w:val="100"/>
      <w:kern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F172-1072-41E4-9ECF-421451CA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8607</Words>
  <Characters>49066</Characters>
  <Application>Microsoft Office Word</Application>
  <DocSecurity>4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Anastasia Barinova</cp:lastModifiedBy>
  <cp:revision>2</cp:revision>
  <cp:lastPrinted>2016-01-12T15:52:00Z</cp:lastPrinted>
  <dcterms:created xsi:type="dcterms:W3CDTF">2016-01-21T13:08:00Z</dcterms:created>
  <dcterms:modified xsi:type="dcterms:W3CDTF">2016-01-21T13:08:00Z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1522142R</vt:lpwstr>
  </property>
  <property fmtid="{D5CDD505-2E9C-101B-9397-08002B2CF9AE}" pid="3" name="ODSRefJobNo">
    <vt:lpwstr>1528584R</vt:lpwstr>
  </property>
  <property fmtid="{D5CDD505-2E9C-101B-9397-08002B2CF9AE}" pid="4" name="Symbol1">
    <vt:lpwstr>ECE/TRANS/2016/23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120116</vt:lpwstr>
  </property>
</Properties>
</file>