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56" w:rsidRPr="00022CE2" w:rsidRDefault="00286256" w:rsidP="00286256">
      <w:pPr>
        <w:spacing w:line="60" w:lineRule="exact"/>
        <w:rPr>
          <w:color w:val="010000"/>
          <w:sz w:val="6"/>
        </w:rPr>
        <w:sectPr w:rsidR="00286256" w:rsidRPr="00022CE2" w:rsidSect="002862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22CE2" w:rsidRPr="00022CE2" w:rsidRDefault="00022CE2" w:rsidP="00022C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2CE2">
        <w:lastRenderedPageBreak/>
        <w:t>Европейская экономическая комиссия</w:t>
      </w: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val="en-US"/>
        </w:rPr>
      </w:pPr>
      <w:r w:rsidRPr="00022CE2">
        <w:rPr>
          <w:b w:val="0"/>
        </w:rPr>
        <w:t>Комитет по внутреннему транспорту</w:t>
      </w:r>
    </w:p>
    <w:p w:rsidR="00022CE2" w:rsidRPr="00022CE2" w:rsidRDefault="00022CE2" w:rsidP="00022CE2">
      <w:pPr>
        <w:pStyle w:val="SingleTxt"/>
        <w:spacing w:after="0" w:line="120" w:lineRule="exact"/>
        <w:rPr>
          <w:sz w:val="10"/>
          <w:lang w:val="en-US"/>
        </w:rPr>
      </w:pPr>
    </w:p>
    <w:p w:rsidR="00022CE2" w:rsidRPr="00022CE2" w:rsidRDefault="00022CE2" w:rsidP="00022C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022CE2">
        <w:t>Семьдесят восьмая сессия</w:t>
      </w:r>
    </w:p>
    <w:p w:rsidR="00022CE2" w:rsidRPr="00022CE2" w:rsidRDefault="00022CE2" w:rsidP="00022C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b w:val="0"/>
          <w:lang w:val="en-US"/>
        </w:rPr>
      </w:pPr>
      <w:r w:rsidRPr="00022CE2">
        <w:rPr>
          <w:b w:val="0"/>
        </w:rPr>
        <w:t>Женева, 23–26 февраля 2016 года</w:t>
      </w:r>
    </w:p>
    <w:p w:rsidR="00022CE2" w:rsidRPr="00022CE2" w:rsidRDefault="00022CE2" w:rsidP="00022C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b w:val="0"/>
        </w:rPr>
      </w:pPr>
      <w:r w:rsidRPr="00022CE2">
        <w:rPr>
          <w:b w:val="0"/>
        </w:rPr>
        <w:t>Пункт 2 предварительной повестки дня</w:t>
      </w:r>
    </w:p>
    <w:p w:rsidR="00022CE2" w:rsidRPr="00022CE2" w:rsidRDefault="00022CE2" w:rsidP="00022C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022CE2">
        <w:t xml:space="preserve">Инновации для устойчивого внутреннего транспорта </w:t>
      </w:r>
      <w:r w:rsidRPr="00022CE2">
        <w:br/>
        <w:t xml:space="preserve">с </w:t>
      </w:r>
      <w:proofErr w:type="spellStart"/>
      <w:r w:rsidRPr="00022CE2">
        <w:t>уделением</w:t>
      </w:r>
      <w:proofErr w:type="spellEnd"/>
      <w:r w:rsidRPr="00022CE2">
        <w:t xml:space="preserve"> особого внимания информационн</w:t>
      </w:r>
      <w:proofErr w:type="gramStart"/>
      <w:r w:rsidRPr="00022CE2">
        <w:t>о</w:t>
      </w:r>
      <w:r w:rsidR="00026779">
        <w:t>-</w:t>
      </w:r>
      <w:proofErr w:type="gramEnd"/>
      <w:r>
        <w:t xml:space="preserve"> </w:t>
      </w:r>
      <w:r>
        <w:br/>
        <w:t>коммуникационным технологиям</w:t>
      </w: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2CE2">
        <w:tab/>
      </w:r>
      <w:r w:rsidRPr="00022CE2">
        <w:tab/>
        <w:t xml:space="preserve">Концептуальная записка и проект программы </w:t>
      </w:r>
      <w:r w:rsidRPr="00022CE2">
        <w:br/>
        <w:t>для сегмента, посвященного вопросам политики</w:t>
      </w: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677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2CE2">
        <w:tab/>
      </w:r>
      <w:r w:rsidRPr="00022CE2">
        <w:tab/>
        <w:t xml:space="preserve">«Инновации для устойчивого внутреннего транспорта </w:t>
      </w:r>
      <w:r w:rsidRPr="00022CE2">
        <w:br/>
        <w:t xml:space="preserve">и устойчивой мобильности, которые расширяют </w:t>
      </w:r>
      <w:r w:rsidR="0060356F" w:rsidRPr="0060356F">
        <w:br/>
      </w:r>
      <w:r w:rsidRPr="00022CE2">
        <w:t>возможности взаимодействия и доступа»</w:t>
      </w: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022CE2">
        <w:tab/>
      </w:r>
      <w:r w:rsidRPr="00022CE2">
        <w:tab/>
        <w:t>Записка секретариата</w:t>
      </w:r>
    </w:p>
    <w:p w:rsidR="00286256" w:rsidRPr="00022CE2" w:rsidRDefault="00286256" w:rsidP="00022CE2">
      <w:pPr>
        <w:pStyle w:val="SingleTxt"/>
        <w:spacing w:after="0" w:line="120" w:lineRule="exact"/>
        <w:rPr>
          <w:sz w:val="10"/>
        </w:rPr>
      </w:pPr>
    </w:p>
    <w:p w:rsidR="00022CE2" w:rsidRPr="00022CE2" w:rsidRDefault="00022CE2" w:rsidP="00022CE2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022CE2" w:rsidTr="00022CE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22CE2" w:rsidRPr="00022CE2" w:rsidRDefault="00022CE2" w:rsidP="00022CE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022CE2" w:rsidRPr="00022CE2" w:rsidTr="00022CE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022CE2" w:rsidRPr="00022CE2" w:rsidRDefault="00022CE2" w:rsidP="00026779">
            <w:pPr>
              <w:pStyle w:val="SingleTxt"/>
              <w:spacing w:after="240"/>
            </w:pPr>
            <w:r w:rsidRPr="00022CE2">
              <w:tab/>
              <w:t>В настоящем документе излагаются основные соображения, определившие выбор темы для сегмента, посвященного вопросам политики, на семьдесят вос</w:t>
            </w:r>
            <w:r w:rsidRPr="00022CE2">
              <w:t>ь</w:t>
            </w:r>
            <w:r w:rsidRPr="00022CE2">
              <w:t>мой сессии Комитета по внутреннему транспорту, в рамках которого основное внимание будет уделено инновациям для устойчивого внутреннего транспорта и устойчивой мобильности с упором на информационно-коммуникационные те</w:t>
            </w:r>
            <w:r w:rsidRPr="00022CE2">
              <w:t>х</w:t>
            </w:r>
            <w:r w:rsidRPr="00022CE2">
              <w:t>нологии, которые расширяют возможности взаимодействия и доступа. Комитет, возможно, пожелает отметить, что Бюро на своем заседании в июне 2015 года приняло решение о том, что в первый день семьдесят восьмой сессии Комитета работа над сегментом, посвященным вопросам политики, должна быть сосред</w:t>
            </w:r>
            <w:r w:rsidRPr="00022CE2">
              <w:t>о</w:t>
            </w:r>
            <w:r w:rsidRPr="00022CE2">
              <w:t>точена на обсуждении этой темы.</w:t>
            </w:r>
          </w:p>
        </w:tc>
      </w:tr>
    </w:tbl>
    <w:p w:rsidR="00022CE2" w:rsidRDefault="00022CE2" w:rsidP="00286256">
      <w:pPr>
        <w:pStyle w:val="SingleTxt"/>
      </w:pPr>
    </w:p>
    <w:p w:rsidR="0060356F" w:rsidRPr="0060356F" w:rsidRDefault="00022CE2" w:rsidP="0060356F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60356F" w:rsidRPr="0060356F" w:rsidRDefault="0060356F" w:rsidP="006035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356F">
        <w:tab/>
        <w:t>I.</w:t>
      </w:r>
      <w:r w:rsidRPr="0060356F">
        <w:tab/>
        <w:t>Контекст осуществления политики</w:t>
      </w: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</w:pPr>
      <w:r w:rsidRPr="0060356F">
        <w:t>1.</w:t>
      </w:r>
      <w:r w:rsidRPr="0060356F">
        <w:tab/>
        <w:t>25</w:t>
      </w:r>
      <w:r w:rsidR="00D0017A">
        <w:t>–</w:t>
      </w:r>
      <w:r w:rsidRPr="0060356F">
        <w:t>27 сентября 2015 года страны мира принимали участие в саммите Орг</w:t>
      </w:r>
      <w:r w:rsidRPr="0060356F">
        <w:t>а</w:t>
      </w:r>
      <w:r w:rsidRPr="0060356F">
        <w:t xml:space="preserve">низации Объединенных Наций по устойчивому развитию, с </w:t>
      </w:r>
      <w:proofErr w:type="gramStart"/>
      <w:r w:rsidRPr="0060356F">
        <w:t>тем</w:t>
      </w:r>
      <w:proofErr w:type="gramEnd"/>
      <w:r w:rsidRPr="0060356F">
        <w:t xml:space="preserve"> чтобы наметить ряд целей в области устойчивого развития (ЦУР) на период до 2030 года, пр</w:t>
      </w:r>
      <w:r w:rsidRPr="0060356F">
        <w:t>и</w:t>
      </w:r>
      <w:r w:rsidRPr="0060356F">
        <w:t>званных вернуть человечество на добродетельный путь устойчивого развития перед лицом растущих доказательств того, что благополучие планеты, судя по всему, находится под угрозой. Включение в контексте различных ЦУР прямых ссылок на вопросы транспорта отражает тот факт, что актуальность транспорта для устойчивого развития не вызывает сомнений. Устойчивое развитие транспо</w:t>
      </w:r>
      <w:r w:rsidRPr="0060356F">
        <w:t>р</w:t>
      </w:r>
      <w:r w:rsidRPr="0060356F">
        <w:t>та имеет решающее значение с точки зрения ликвидации нищеты (доступ к ры</w:t>
      </w:r>
      <w:r w:rsidRPr="0060356F">
        <w:t>н</w:t>
      </w:r>
      <w:r w:rsidRPr="0060356F">
        <w:t>кам и рабочим местам), повышения качества образования (доступ к школам), з</w:t>
      </w:r>
      <w:r w:rsidRPr="0060356F">
        <w:t>а</w:t>
      </w:r>
      <w:r w:rsidRPr="0060356F">
        <w:t xml:space="preserve">щиты здоровья матери и ребенка (доступ к медицинским услугам) и повышения экологической устойчивости и безопасности дорожного движения. </w:t>
      </w:r>
    </w:p>
    <w:p w:rsidR="0060356F" w:rsidRPr="0060356F" w:rsidRDefault="0060356F" w:rsidP="0060356F">
      <w:pPr>
        <w:pStyle w:val="SingleTxt"/>
      </w:pPr>
      <w:r w:rsidRPr="0060356F">
        <w:t>2.</w:t>
      </w:r>
      <w:r w:rsidRPr="0060356F">
        <w:tab/>
        <w:t>Комитет по внутреннему транспорту (КВТ) является единственным в своем роде органом Организации Объединенных Наций, который комплексно охват</w:t>
      </w:r>
      <w:r w:rsidRPr="0060356F">
        <w:t>ы</w:t>
      </w:r>
      <w:r w:rsidRPr="0060356F">
        <w:t>вает проблематику всех видов внутреннего транспорта и, таким образом, соде</w:t>
      </w:r>
      <w:r w:rsidRPr="0060356F">
        <w:t>й</w:t>
      </w:r>
      <w:r w:rsidRPr="0060356F">
        <w:t>ствует достижению намеченных ЦУР, создавая благоприятные условия для ра</w:t>
      </w:r>
      <w:r w:rsidRPr="0060356F">
        <w:t>з</w:t>
      </w:r>
      <w:r w:rsidRPr="0060356F">
        <w:t>вития коммуникаций в интересах общин и устойчивого экономического роста, а</w:t>
      </w:r>
      <w:r w:rsidR="00D0017A">
        <w:t> </w:t>
      </w:r>
      <w:r w:rsidRPr="0060356F">
        <w:t>также поддерживая инновационную деятельность.</w:t>
      </w:r>
    </w:p>
    <w:p w:rsidR="0060356F" w:rsidRPr="0060356F" w:rsidRDefault="0060356F" w:rsidP="0060356F">
      <w:pPr>
        <w:pStyle w:val="SingleTxt"/>
      </w:pPr>
      <w:r w:rsidRPr="0060356F">
        <w:t>3.</w:t>
      </w:r>
      <w:r w:rsidRPr="0060356F">
        <w:tab/>
        <w:t xml:space="preserve">Выбор темы сегмента, посвященного вопросам политики, является вкладом </w:t>
      </w:r>
      <w:proofErr w:type="gramStart"/>
      <w:r w:rsidRPr="0060356F">
        <w:t>КВТ</w:t>
      </w:r>
      <w:proofErr w:type="gramEnd"/>
      <w:r w:rsidRPr="0060356F">
        <w:t xml:space="preserve"> в реализацию далеко идущих целей, поставленных в Нью-Йорке, поскольку Комитет стремится проанализировать один из ключевых факторов, которые м</w:t>
      </w:r>
      <w:r w:rsidRPr="0060356F">
        <w:t>о</w:t>
      </w:r>
      <w:r w:rsidRPr="0060356F">
        <w:t>гут сыграть в этой связи первостепенную роль, т.е. инновации для устойчивого транспорта, которые расширяют возможности взаимодействия и доступа. В це</w:t>
      </w:r>
      <w:r w:rsidRPr="0060356F">
        <w:t>н</w:t>
      </w:r>
      <w:r w:rsidRPr="0060356F">
        <w:t xml:space="preserve">тре внимания неизбежно оказываются два сектора: транспорт и связь. </w:t>
      </w: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356F">
        <w:tab/>
        <w:t>II.</w:t>
      </w:r>
      <w:r w:rsidRPr="0060356F">
        <w:tab/>
        <w:t>Современное состояние и основные тенденции</w:t>
      </w:r>
      <w:proofErr w:type="gramStart"/>
      <w:r w:rsidRPr="0060356F">
        <w:t xml:space="preserve"> − </w:t>
      </w:r>
      <w:r w:rsidR="00D0017A">
        <w:br/>
      </w:r>
      <w:r w:rsidRPr="0060356F">
        <w:t>П</w:t>
      </w:r>
      <w:proofErr w:type="gramEnd"/>
      <w:r w:rsidRPr="0060356F">
        <w:t>очему инновации важны для устойчивой мобильности?</w:t>
      </w: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</w:pPr>
      <w:r w:rsidRPr="0060356F">
        <w:t>4.</w:t>
      </w:r>
      <w:r w:rsidRPr="0060356F">
        <w:tab/>
        <w:t>Транспорт является одним из важнейших секторов экономики в плане с</w:t>
      </w:r>
      <w:r w:rsidRPr="0060356F">
        <w:t>о</w:t>
      </w:r>
      <w:r w:rsidRPr="0060356F">
        <w:t>здания возможностей для социальной интеграции, ибо он обеспечивает доступ к занятости, здравоохранению, образованию и другим общественно значимым услугам. Кроме того, он обеспечивает доступ к рынкам и цепочкам поставок для осуществления экспорта и импорта. Таким образом, он имеет огромное значение для достижения социального прогресса, включая уменьшение масштабов нищ</w:t>
      </w:r>
      <w:r w:rsidRPr="0060356F">
        <w:t>е</w:t>
      </w:r>
      <w:r w:rsidR="00026779">
        <w:t>ты, и</w:t>
      </w:r>
      <w:r w:rsidRPr="0060356F">
        <w:t xml:space="preserve"> в конечном итоге для устойчивого развития. </w:t>
      </w:r>
    </w:p>
    <w:p w:rsidR="0060356F" w:rsidRPr="0060356F" w:rsidRDefault="0060356F" w:rsidP="0060356F">
      <w:pPr>
        <w:pStyle w:val="SingleTxt"/>
      </w:pPr>
      <w:r w:rsidRPr="0060356F">
        <w:t>5.</w:t>
      </w:r>
      <w:r w:rsidRPr="0060356F">
        <w:tab/>
        <w:t>Несмотря на взрывной рост темпов инновационной деятельности в области транспорта и коммуникационных технологий результаты достигнутого прогресса распределяются неравномерно. По-прежнему существуют большие группы нас</w:t>
      </w:r>
      <w:r w:rsidRPr="0060356F">
        <w:t>е</w:t>
      </w:r>
      <w:r w:rsidRPr="0060356F">
        <w:t>ления, которые лишены доступа к транспортным услугам только из-за того, что транспортная политика и инвестиции не способствуют развитию общественного транспорта и не предусматривают приоритетное расширение доступа к тран</w:t>
      </w:r>
      <w:r w:rsidRPr="0060356F">
        <w:t>с</w:t>
      </w:r>
      <w:r w:rsidRPr="0060356F">
        <w:t>портным услугам для сельского населения. Если же смотреть в более широком плане, то по-прежнему весьма велико число стран, где развитие различных се</w:t>
      </w:r>
      <w:r w:rsidRPr="0060356F">
        <w:t>к</w:t>
      </w:r>
      <w:r w:rsidRPr="0060356F">
        <w:t>торов экономики (от обрабатывающей промышленности до торговли и туризма) сдерживается нехваткой беспрепятственного доступа на мировые рынки по пр</w:t>
      </w:r>
      <w:r w:rsidRPr="0060356F">
        <w:t>и</w:t>
      </w:r>
      <w:r w:rsidRPr="0060356F">
        <w:t>чине отсутствия выхода к морю и малой пропускной способности транзитных участков и пунктов пересечения границ.</w:t>
      </w:r>
    </w:p>
    <w:p w:rsidR="0060356F" w:rsidRPr="0060356F" w:rsidRDefault="0060356F" w:rsidP="00D0017A">
      <w:pPr>
        <w:pStyle w:val="SingleTxt"/>
        <w:keepNext/>
        <w:keepLines/>
      </w:pPr>
      <w:r w:rsidRPr="0060356F">
        <w:lastRenderedPageBreak/>
        <w:t>6.</w:t>
      </w:r>
      <w:r w:rsidRPr="0060356F">
        <w:tab/>
        <w:t>В заключение следует отметить, что существует множество препятствий для доступа, которые подрывают усилия мирового сообщества по реализации ча</w:t>
      </w:r>
      <w:r w:rsidRPr="0060356F">
        <w:t>я</w:t>
      </w:r>
      <w:r w:rsidRPr="0060356F">
        <w:t xml:space="preserve">ний, отраженных в ЦУР. Наиболее остро эти препятствия дают о себе знать в случае стран, не имеющих выхода к морю (на международном уровне), разрывов между городскими и сельскими районами (на уровне общин) и людей с особыми потребностями в сфере мобильности (на бытовом уровне). </w:t>
      </w:r>
    </w:p>
    <w:p w:rsidR="0060356F" w:rsidRPr="0060356F" w:rsidRDefault="0060356F" w:rsidP="0060356F">
      <w:pPr>
        <w:pStyle w:val="SingleTxt"/>
      </w:pPr>
      <w:r w:rsidRPr="0060356F">
        <w:t>7.</w:t>
      </w:r>
      <w:r w:rsidRPr="0060356F">
        <w:tab/>
        <w:t xml:space="preserve">Поскольку речь, в сущности, идет о вопросах </w:t>
      </w:r>
      <w:r w:rsidRPr="0060356F">
        <w:rPr>
          <w:i/>
          <w:iCs/>
        </w:rPr>
        <w:t>доступа</w:t>
      </w:r>
      <w:r w:rsidRPr="0060356F">
        <w:t>, то весьма действе</w:t>
      </w:r>
      <w:r w:rsidRPr="0060356F">
        <w:t>н</w:t>
      </w:r>
      <w:r w:rsidRPr="0060356F">
        <w:t>ным решением является повышение эффективности в сферах транспорта и связи, т.е. в двух секторах, которые по своей природе обеспечивают возможности вза</w:t>
      </w:r>
      <w:r w:rsidRPr="0060356F">
        <w:t>и</w:t>
      </w:r>
      <w:r w:rsidRPr="0060356F">
        <w:t>модействия через инфраструктуру и услуги. В то же время эффективность фун</w:t>
      </w:r>
      <w:r w:rsidRPr="0060356F">
        <w:t>к</w:t>
      </w:r>
      <w:r w:rsidRPr="0060356F">
        <w:t>ционирования этих секторов зависит от масштабов осуществляемой в их рамках инновационной деятельности. Например, расширение взаимодействия играет особенно важную роль для стран, не имеющих выхода к морю и находящихся вдали от морских портов, которые они сталкиваются с серьезными препятстви</w:t>
      </w:r>
      <w:r w:rsidRPr="0060356F">
        <w:t>я</w:t>
      </w:r>
      <w:r w:rsidRPr="0060356F">
        <w:t>ми при осуществлении усилий по региональной и глобальной интеграции. П</w:t>
      </w:r>
      <w:r w:rsidRPr="0060356F">
        <w:t>о</w:t>
      </w:r>
      <w:r w:rsidRPr="0060356F">
        <w:t>этому эти страны и общины активизируют усилия, направленные на преодоление экономической дистанции путем устранения или уменьшения нормативных и процедурных препятствий на пути развития торговли и международного тран</w:t>
      </w:r>
      <w:r w:rsidRPr="0060356F">
        <w:t>с</w:t>
      </w:r>
      <w:r w:rsidRPr="0060356F">
        <w:t xml:space="preserve">порта. Кроме того, </w:t>
      </w:r>
      <w:r w:rsidRPr="0060356F">
        <w:rPr>
          <w:i/>
          <w:iCs/>
        </w:rPr>
        <w:t>взаимодействие</w:t>
      </w:r>
      <w:r w:rsidRPr="0060356F">
        <w:t xml:space="preserve"> играет важнейшую роль в торговле, которая зависит от национальных и трансграничных информационных потоков между экономическими субъектами и государственными учреждениями. Упрощение процедур пересечения границ, а также </w:t>
      </w:r>
      <w:proofErr w:type="spellStart"/>
      <w:r w:rsidRPr="0060356F">
        <w:t>международно</w:t>
      </w:r>
      <w:proofErr w:type="spellEnd"/>
      <w:r w:rsidRPr="0060356F">
        <w:t xml:space="preserve"> согласованные нормы и стандарты также являются ключевыми факторами обеспечения взаимодействия и доступа. </w:t>
      </w:r>
    </w:p>
    <w:p w:rsidR="0060356F" w:rsidRPr="0060356F" w:rsidRDefault="0060356F" w:rsidP="0060356F">
      <w:pPr>
        <w:pStyle w:val="SingleTxt"/>
      </w:pPr>
      <w:r w:rsidRPr="0060356F">
        <w:t>8.</w:t>
      </w:r>
      <w:r w:rsidRPr="0060356F">
        <w:tab/>
        <w:t>С другой стороны, в крупных городах мира особую роль играют интелле</w:t>
      </w:r>
      <w:r w:rsidRPr="0060356F">
        <w:t>к</w:t>
      </w:r>
      <w:r w:rsidRPr="0060356F">
        <w:t>туальные транспортные системы (ИТС), обладающие достаточным потенциалом для того, чтобы революционизировать мобильность и трансформировать все ее аспекты – от способов передвижения и связи, которыми пользуются люди, до подходов к разработке транспортного законодательства и регламентированию транспортных средств. Так, автоматизация транспортных средств сулит мног</w:t>
      </w:r>
      <w:r w:rsidRPr="0060356F">
        <w:t>о</w:t>
      </w:r>
      <w:r w:rsidRPr="0060356F">
        <w:t>численные потенциальные выгоды, в числе которых следует отметить повыш</w:t>
      </w:r>
      <w:r w:rsidRPr="0060356F">
        <w:t>е</w:t>
      </w:r>
      <w:r w:rsidRPr="0060356F">
        <w:t>ние безопасности, уменьшение воздействия на окружающую среду и расширение возможностей индивидуальной мобильности для большего числа людей. Вместе с тем, представления о проблемах автоматизации, сопутствующих трудностях и вероятности получения обещанных преимуществ, в частности в том, что касается самоуправляющихся автономных транспортных средств, являются пока весьма ограниченными.</w:t>
      </w:r>
    </w:p>
    <w:p w:rsidR="0060356F" w:rsidRPr="0060356F" w:rsidRDefault="0060356F" w:rsidP="0060356F">
      <w:pPr>
        <w:pStyle w:val="SingleTxt"/>
      </w:pPr>
      <w:r w:rsidRPr="0060356F">
        <w:t>9.</w:t>
      </w:r>
      <w:r w:rsidRPr="0060356F">
        <w:tab/>
        <w:t>Благодаря информационно-коммуникационным технологиям решения на б</w:t>
      </w:r>
      <w:r w:rsidRPr="0060356F">
        <w:t>а</w:t>
      </w:r>
      <w:r w:rsidRPr="0060356F">
        <w:t>зе ИТС обеспечивают взаимосвязь между объектами инфраструктуры, тран</w:t>
      </w:r>
      <w:r w:rsidRPr="0060356F">
        <w:t>с</w:t>
      </w:r>
      <w:r w:rsidRPr="0060356F">
        <w:t>портными средствами и пользователями, оптимизируя тем самым управление транспортными потоками и мобильностью. Важно отметить, что ИТС сущ</w:t>
      </w:r>
      <w:r w:rsidRPr="0060356F">
        <w:t>е</w:t>
      </w:r>
      <w:r w:rsidRPr="0060356F">
        <w:t xml:space="preserve">ственно расширяют возможности </w:t>
      </w:r>
      <w:proofErr w:type="spellStart"/>
      <w:r w:rsidRPr="0060356F">
        <w:t>интермодальности</w:t>
      </w:r>
      <w:proofErr w:type="spellEnd"/>
      <w:r w:rsidRPr="0060356F">
        <w:t>, представляя собой пла</w:t>
      </w:r>
      <w:r w:rsidRPr="0060356F">
        <w:t>т</w:t>
      </w:r>
      <w:r w:rsidRPr="0060356F">
        <w:t>форму для взаимодействия различных видов транспорта.</w:t>
      </w:r>
    </w:p>
    <w:p w:rsidR="0060356F" w:rsidRPr="0060356F" w:rsidRDefault="0060356F" w:rsidP="0060356F">
      <w:pPr>
        <w:pStyle w:val="SingleTxt"/>
      </w:pPr>
      <w:r w:rsidRPr="0060356F">
        <w:t>10.</w:t>
      </w:r>
      <w:r w:rsidRPr="0060356F">
        <w:tab/>
        <w:t>Однако внедрение этих решений на национальном и международном уро</w:t>
      </w:r>
      <w:r w:rsidRPr="0060356F">
        <w:t>в</w:t>
      </w:r>
      <w:r w:rsidRPr="0060356F">
        <w:t>нях не может быть линейным. Только потому, что решения эффективны сами по себе, не означает, что они будут эффективно и результативно задействованы. Ра</w:t>
      </w:r>
      <w:r w:rsidRPr="0060356F">
        <w:t>з</w:t>
      </w:r>
      <w:r w:rsidRPr="0060356F">
        <w:t>личные препятствия – от проблем со сбором данных до обеспечения финансир</w:t>
      </w:r>
      <w:r w:rsidRPr="0060356F">
        <w:t>о</w:t>
      </w:r>
      <w:r w:rsidRPr="0060356F">
        <w:t>вания и эксплуатационной совместимости – могут сдерживать или подрывать эффективное использование самых прогрессивных технологических достижений. Именно поэтому международное согласование играет столь важную роль при определении будущего мобильности и транспортного сектора. Огромные поте</w:t>
      </w:r>
      <w:r w:rsidRPr="0060356F">
        <w:t>н</w:t>
      </w:r>
      <w:r w:rsidRPr="0060356F">
        <w:t xml:space="preserve">циальные возможности и преимущества ИТС могут быть задействованы только в </w:t>
      </w:r>
      <w:r w:rsidRPr="0060356F">
        <w:lastRenderedPageBreak/>
        <w:t xml:space="preserve">том случае, если соответствующие решения будут реализованы на основе </w:t>
      </w:r>
      <w:proofErr w:type="spellStart"/>
      <w:r w:rsidRPr="0060356F">
        <w:t>ме</w:t>
      </w:r>
      <w:r w:rsidRPr="0060356F">
        <w:t>ж</w:t>
      </w:r>
      <w:r w:rsidRPr="0060356F">
        <w:t>дународно</w:t>
      </w:r>
      <w:proofErr w:type="spellEnd"/>
      <w:r w:rsidRPr="0060356F">
        <w:t xml:space="preserve"> согласованных подходов, причем как с точки зрения нормативной б</w:t>
      </w:r>
      <w:r w:rsidRPr="0060356F">
        <w:t>а</w:t>
      </w:r>
      <w:r w:rsidRPr="0060356F">
        <w:t>зы, так и основных параметров ее внедрения.</w:t>
      </w:r>
    </w:p>
    <w:p w:rsidR="0060356F" w:rsidRPr="0060356F" w:rsidRDefault="0060356F" w:rsidP="0060356F">
      <w:pPr>
        <w:pStyle w:val="SingleTxt"/>
      </w:pPr>
      <w:r w:rsidRPr="0060356F">
        <w:t>11.</w:t>
      </w:r>
      <w:r w:rsidRPr="0060356F">
        <w:tab/>
        <w:t>Ускорение темпов успешного внедрения инноваций в таких ключевых транспортных областях, как инфраструктура, транспортные средства и управл</w:t>
      </w:r>
      <w:r w:rsidRPr="0060356F">
        <w:t>е</w:t>
      </w:r>
      <w:r w:rsidRPr="0060356F">
        <w:t>ние мобильностью будет способствовать повышению безопасности, эффективн</w:t>
      </w:r>
      <w:r w:rsidRPr="0060356F">
        <w:t>о</w:t>
      </w:r>
      <w:r w:rsidRPr="0060356F">
        <w:t>сти и экологической устойчивости мобильности, а развитые и развивающиеся страны смогут сохранить и даже улучшить свои показатели экономического р</w:t>
      </w:r>
      <w:r w:rsidRPr="0060356F">
        <w:t>о</w:t>
      </w:r>
      <w:r w:rsidRPr="0060356F">
        <w:t xml:space="preserve">ста. Однако для того, чтобы внедрение инноваций оказалось действительно успешным, они должны эффективным образом вписываться в </w:t>
      </w:r>
      <w:proofErr w:type="spellStart"/>
      <w:r w:rsidRPr="0060356F">
        <w:t>международно</w:t>
      </w:r>
      <w:proofErr w:type="spellEnd"/>
      <w:r w:rsidRPr="0060356F">
        <w:t xml:space="preserve"> с</w:t>
      </w:r>
      <w:r w:rsidRPr="0060356F">
        <w:t>о</w:t>
      </w:r>
      <w:r w:rsidRPr="0060356F">
        <w:t>гласованные правовые рамки, что зачастую предполагает необходимость надл</w:t>
      </w:r>
      <w:r w:rsidRPr="0060356F">
        <w:t>е</w:t>
      </w:r>
      <w:r w:rsidRPr="0060356F">
        <w:t>жащей адаптации и модернизации существующих международных механизмов. Это позволит полностью задействовать в процессе устойчивого развития тран</w:t>
      </w:r>
      <w:r w:rsidRPr="0060356F">
        <w:t>с</w:t>
      </w:r>
      <w:r w:rsidRPr="0060356F">
        <w:t>порта потенциал транспортных инноваций и внести тем самым крупный вклад в реализацию воплощенной в ЦУР концепции в условиях быстрых глобальных и</w:t>
      </w:r>
      <w:r w:rsidRPr="0060356F">
        <w:t>з</w:t>
      </w:r>
      <w:r w:rsidRPr="0060356F">
        <w:t xml:space="preserve">менений. </w:t>
      </w: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356F">
        <w:tab/>
        <w:t>III.</w:t>
      </w:r>
      <w:r w:rsidRPr="0060356F">
        <w:tab/>
        <w:t xml:space="preserve">Роль Комитета по внутреннему транспорту ЕЭК ООН </w:t>
      </w:r>
      <w:r w:rsidR="00D0017A">
        <w:br/>
      </w:r>
      <w:r w:rsidRPr="0060356F">
        <w:t>в деле стимулирования и расширения возможностей взаимодействия и доступа и связанных с ними инноваций</w:t>
      </w: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</w:p>
    <w:p w:rsidR="0060356F" w:rsidRPr="0060356F" w:rsidRDefault="0060356F" w:rsidP="0060356F">
      <w:pPr>
        <w:pStyle w:val="SingleTxt"/>
      </w:pPr>
      <w:r w:rsidRPr="0060356F">
        <w:t>12.</w:t>
      </w:r>
      <w:r w:rsidRPr="0060356F">
        <w:tab/>
        <w:t>Научно-технологические изменения и инновации в транспортном секторе послужили причиной новой волны преобразований транспортных норм и правил. Наиболее ярко эти изменения можно наблюдать на примере технологий тран</w:t>
      </w:r>
      <w:r w:rsidRPr="0060356F">
        <w:t>с</w:t>
      </w:r>
      <w:r w:rsidRPr="0060356F">
        <w:t>портных средств, а также на примере того, как решения на базе ИТС приводят к формированию новых видов взаимодействия между инфраструктурой, тран</w:t>
      </w:r>
      <w:r w:rsidRPr="0060356F">
        <w:t>с</w:t>
      </w:r>
      <w:r w:rsidRPr="0060356F">
        <w:t>портными средствами и пользователем. Быстрые темпы разработки национал</w:t>
      </w:r>
      <w:r w:rsidRPr="0060356F">
        <w:t>ь</w:t>
      </w:r>
      <w:r w:rsidRPr="0060356F">
        <w:t>ных и региональных правил в области транспорта диктуют необходимость ос</w:t>
      </w:r>
      <w:r w:rsidRPr="0060356F">
        <w:t>о</w:t>
      </w:r>
      <w:r w:rsidRPr="0060356F">
        <w:t>бенно оперативного согласования на международном уровне во избежание новых препятствий для международной торговли и транспорта. Вместе с тем укрепл</w:t>
      </w:r>
      <w:r w:rsidRPr="0060356F">
        <w:t>е</w:t>
      </w:r>
      <w:r w:rsidRPr="0060356F">
        <w:t xml:space="preserve">ние политической приверженности делу устойчивого развития транспорта с </w:t>
      </w:r>
      <w:proofErr w:type="spellStart"/>
      <w:r w:rsidRPr="0060356F">
        <w:t>уд</w:t>
      </w:r>
      <w:r w:rsidRPr="0060356F">
        <w:t>е</w:t>
      </w:r>
      <w:r w:rsidRPr="0060356F">
        <w:t>лением</w:t>
      </w:r>
      <w:proofErr w:type="spellEnd"/>
      <w:r w:rsidRPr="0060356F">
        <w:t xml:space="preserve"> повышенного внимания его экологическим показателям, вопросам изм</w:t>
      </w:r>
      <w:r w:rsidRPr="0060356F">
        <w:t>е</w:t>
      </w:r>
      <w:r w:rsidRPr="0060356F">
        <w:t>нения климата и безопасности дорожного движения требует, чтобы значительная часть новых правил и норм разрабатывалась на основе многостороннего подхода. Эта политическая воля и технологический потенциал в области устойчивого ра</w:t>
      </w:r>
      <w:r w:rsidRPr="0060356F">
        <w:t>з</w:t>
      </w:r>
      <w:r w:rsidRPr="0060356F">
        <w:t>вития транспортного сектора уже находят отражение в учащении пересмотров правовых инструментов – тенденции, которая в будущем, вероятно, станет еще более выраженной. Страны, которые еще не присоединились к основным тран</w:t>
      </w:r>
      <w:r w:rsidRPr="0060356F">
        <w:t>с</w:t>
      </w:r>
      <w:r w:rsidRPr="0060356F">
        <w:t>портным конвенциям Организации Объединенных Наций, будут отставать и не смогут воспользоваться достигаемыми преимуществами, в результате чего между ними и теми ключевыми участниками из числа государств, которые их уже во многом опередили, будут возникать новые разрывы. Этот возможный новый ди</w:t>
      </w:r>
      <w:r w:rsidRPr="0060356F">
        <w:t>с</w:t>
      </w:r>
      <w:r w:rsidRPr="0060356F">
        <w:t>баланс, в основе которого и без того лежит глубокий разрыв на уровне регулир</w:t>
      </w:r>
      <w:r w:rsidRPr="0060356F">
        <w:t>о</w:t>
      </w:r>
      <w:r w:rsidRPr="0060356F">
        <w:t>вания между богатыми и бедными или развитыми и менее развитыми странами, необходимо предотвратить.</w:t>
      </w:r>
    </w:p>
    <w:p w:rsidR="0060356F" w:rsidRPr="0060356F" w:rsidRDefault="0060356F" w:rsidP="0060356F">
      <w:pPr>
        <w:pStyle w:val="SingleTxt"/>
      </w:pPr>
      <w:r w:rsidRPr="0060356F">
        <w:t>13.</w:t>
      </w:r>
      <w:r w:rsidRPr="0060356F">
        <w:tab/>
        <w:t xml:space="preserve">Говоря </w:t>
      </w:r>
      <w:proofErr w:type="gramStart"/>
      <w:r w:rsidRPr="0060356F">
        <w:t>более предметно</w:t>
      </w:r>
      <w:proofErr w:type="gramEnd"/>
      <w:r w:rsidRPr="0060356F">
        <w:t>, КВТ играет важную роль в поддержке и поощр</w:t>
      </w:r>
      <w:r w:rsidRPr="0060356F">
        <w:t>е</w:t>
      </w:r>
      <w:r w:rsidRPr="0060356F">
        <w:t>нии взаимодействия между государствами-членами, а также между всеми стр</w:t>
      </w:r>
      <w:r w:rsidRPr="0060356F">
        <w:t>а</w:t>
      </w:r>
      <w:r w:rsidRPr="0060356F">
        <w:t>нами мира путем осуществления разнообразных мероприятий в области вну</w:t>
      </w:r>
      <w:r w:rsidRPr="0060356F">
        <w:t>т</w:t>
      </w:r>
      <w:r w:rsidRPr="0060356F">
        <w:t>реннего транспорта, подготовки широкого круга рекомендаций и стандартов по упрощению процедур торговли и электронным деловым операциям и реализации информационно-пропагандистских программ. КВТ содействует сокращению ра</w:t>
      </w:r>
      <w:r w:rsidRPr="0060356F">
        <w:t>с</w:t>
      </w:r>
      <w:r w:rsidRPr="0060356F">
        <w:t>ходов на осуществление трансграничных деловых операций за счет повышения эффективности международных грузовых перевозок путем осуществления Ме</w:t>
      </w:r>
      <w:r w:rsidRPr="0060356F">
        <w:t>ж</w:t>
      </w:r>
      <w:r w:rsidRPr="0060356F">
        <w:t>дународной конвенции о согласовании условий проведения контроля грузов на границах и Таможенной конвенции о международной перевозке грузов с прим</w:t>
      </w:r>
      <w:r w:rsidRPr="0060356F">
        <w:t>е</w:t>
      </w:r>
      <w:r w:rsidRPr="0060356F">
        <w:t>нением книжки МДП (Конвенция МДП).</w:t>
      </w:r>
    </w:p>
    <w:p w:rsidR="0060356F" w:rsidRPr="0060356F" w:rsidRDefault="0060356F" w:rsidP="0060356F">
      <w:pPr>
        <w:pStyle w:val="SingleTxt"/>
      </w:pPr>
      <w:r w:rsidRPr="0060356F">
        <w:t>14.</w:t>
      </w:r>
      <w:r w:rsidRPr="0060356F">
        <w:tab/>
        <w:t>КВТ также поощряет и активизирует деятельность в области инновацио</w:t>
      </w:r>
      <w:r w:rsidRPr="0060356F">
        <w:t>н</w:t>
      </w:r>
      <w:r w:rsidRPr="0060356F">
        <w:t>ных транспортных систем путем ведения стратегического диалога, связанного с его нормативно-аналитической деятельностью. КВТ задает направление диску</w:t>
      </w:r>
      <w:r w:rsidRPr="0060356F">
        <w:t>с</w:t>
      </w:r>
      <w:r w:rsidRPr="0060356F">
        <w:t xml:space="preserve">сиям о внедрении ИТС, </w:t>
      </w:r>
      <w:proofErr w:type="gramStart"/>
      <w:r w:rsidRPr="0060356F">
        <w:t>например</w:t>
      </w:r>
      <w:proofErr w:type="gramEnd"/>
      <w:r w:rsidRPr="0060356F">
        <w:t xml:space="preserve"> путем выпуска в 2012 году своей публикации «Интеллектуальные транспортные системы для устойчивой мобильности». Вс</w:t>
      </w:r>
      <w:r w:rsidRPr="0060356F">
        <w:t>е</w:t>
      </w:r>
      <w:r w:rsidRPr="0060356F">
        <w:t>мирный форум для согласования правил в области транспортных средств Ком</w:t>
      </w:r>
      <w:r w:rsidRPr="0060356F">
        <w:t>и</w:t>
      </w:r>
      <w:r w:rsidRPr="0060356F">
        <w:t>тета по внутреннему транспорту является основным органом, в рамках которого правительства обеспечивают согласованное внедрение новых технологий, пре</w:t>
      </w:r>
      <w:r w:rsidRPr="0060356F">
        <w:t>д</w:t>
      </w:r>
      <w:r w:rsidRPr="0060356F">
        <w:t xml:space="preserve">назначенных для повышения безопасности и </w:t>
      </w:r>
      <w:proofErr w:type="spellStart"/>
      <w:r w:rsidRPr="0060356F">
        <w:t>экологичности</w:t>
      </w:r>
      <w:proofErr w:type="spellEnd"/>
      <w:r w:rsidRPr="0060356F">
        <w:t xml:space="preserve"> транспортных средств, и достигается упрощение процедур международной торговли тран</w:t>
      </w:r>
      <w:r w:rsidRPr="0060356F">
        <w:t>с</w:t>
      </w:r>
      <w:r w:rsidRPr="0060356F">
        <w:t>портными средствами. Например, в 2013 году были приняты Глобальные техн</w:t>
      </w:r>
      <w:r w:rsidRPr="0060356F">
        <w:t>и</w:t>
      </w:r>
      <w:r w:rsidRPr="0060356F">
        <w:t>ческие правила, касающиеся транспортных средств, работающих на водороде и топливных элементах, и в настоящее время осуществляется подготовка глобал</w:t>
      </w:r>
      <w:r w:rsidRPr="0060356F">
        <w:t>ь</w:t>
      </w:r>
      <w:r w:rsidRPr="0060356F">
        <w:t xml:space="preserve">ных технических правил, касающихся безопасности электромобилей. Однако </w:t>
      </w:r>
      <w:proofErr w:type="spellStart"/>
      <w:proofErr w:type="gramStart"/>
      <w:r w:rsidRPr="0060356F">
        <w:t>б</w:t>
      </w:r>
      <w:r w:rsidR="00497F10">
        <w:t>о́</w:t>
      </w:r>
      <w:r w:rsidRPr="0060356F">
        <w:t>льшую</w:t>
      </w:r>
      <w:proofErr w:type="spellEnd"/>
      <w:proofErr w:type="gramEnd"/>
      <w:r w:rsidRPr="0060356F">
        <w:t xml:space="preserve"> часть работы еще предстоит выполнить.</w:t>
      </w:r>
    </w:p>
    <w:p w:rsidR="0060356F" w:rsidRPr="0060356F" w:rsidRDefault="0060356F" w:rsidP="0060356F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022CE2" w:rsidRPr="00022CE2" w:rsidRDefault="0060356F" w:rsidP="006035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0356F">
        <w:tab/>
        <w:t>IV.</w:t>
      </w:r>
      <w:r w:rsidRPr="0060356F">
        <w:tab/>
        <w:t>Проект программы: сегмент, посвященный вопросам политики</w:t>
      </w:r>
    </w:p>
    <w:p w:rsidR="0060356F" w:rsidRPr="001E1825" w:rsidRDefault="0060356F" w:rsidP="001E1825">
      <w:pPr>
        <w:pStyle w:val="SingleTxt"/>
        <w:spacing w:after="0" w:line="120" w:lineRule="exact"/>
        <w:rPr>
          <w:sz w:val="10"/>
          <w:lang w:val="en-US"/>
        </w:rPr>
      </w:pPr>
    </w:p>
    <w:p w:rsidR="001E1825" w:rsidRPr="0060356F" w:rsidRDefault="001E1825" w:rsidP="0060356F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Style w:val="TableGrid"/>
        <w:tblW w:w="7576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5983"/>
      </w:tblGrid>
      <w:tr w:rsidR="001E1825" w:rsidRPr="00B52820" w:rsidTr="00026779">
        <w:tc>
          <w:tcPr>
            <w:tcW w:w="75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exact"/>
              <w:ind w:left="0" w:right="0"/>
              <w:jc w:val="left"/>
              <w:rPr>
                <w:b/>
                <w:bCs/>
                <w:spacing w:val="4"/>
                <w:w w:val="103"/>
                <w:lang w:val="ru-RU"/>
              </w:rPr>
            </w:pPr>
            <w:r w:rsidRPr="00B52820">
              <w:rPr>
                <w:b/>
                <w:bCs/>
                <w:spacing w:val="4"/>
                <w:w w:val="103"/>
                <w:lang w:val="ru-RU"/>
              </w:rPr>
              <w:t xml:space="preserve">«Инновации для устойчивого внутреннего транспорта с </w:t>
            </w:r>
            <w:proofErr w:type="spellStart"/>
            <w:r w:rsidRPr="00B52820">
              <w:rPr>
                <w:b/>
                <w:bCs/>
                <w:spacing w:val="4"/>
                <w:w w:val="103"/>
                <w:lang w:val="ru-RU"/>
              </w:rPr>
              <w:t>уделением</w:t>
            </w:r>
            <w:proofErr w:type="spellEnd"/>
            <w:r w:rsidRPr="00B52820">
              <w:rPr>
                <w:b/>
                <w:bCs/>
                <w:spacing w:val="4"/>
                <w:w w:val="103"/>
                <w:lang w:val="ru-RU"/>
              </w:rPr>
              <w:t xml:space="preserve"> особого внимания информационно-коммуникационным технологиям» </w:t>
            </w:r>
          </w:p>
          <w:p w:rsidR="001E1825" w:rsidRPr="00B52820" w:rsidRDefault="001E1825" w:rsidP="00D0017A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exact"/>
              <w:ind w:left="0" w:right="0"/>
              <w:jc w:val="left"/>
              <w:rPr>
                <w:b/>
                <w:bCs/>
                <w:spacing w:val="4"/>
                <w:w w:val="103"/>
                <w:lang w:val="ru-RU"/>
              </w:rPr>
            </w:pPr>
            <w:r w:rsidRPr="00B52820">
              <w:rPr>
                <w:b/>
                <w:bCs/>
                <w:spacing w:val="4"/>
                <w:w w:val="103"/>
                <w:lang w:val="ru-RU"/>
              </w:rPr>
              <w:t>23 февраля 2016 года</w:t>
            </w:r>
          </w:p>
          <w:p w:rsidR="001E1825" w:rsidRPr="00B52820" w:rsidRDefault="001E1825" w:rsidP="00D0017A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exact"/>
              <w:ind w:left="0" w:right="0"/>
              <w:jc w:val="left"/>
              <w:rPr>
                <w:b/>
                <w:bCs/>
                <w:spacing w:val="4"/>
                <w:w w:val="103"/>
                <w:lang w:val="ru-RU"/>
              </w:rPr>
            </w:pPr>
            <w:r w:rsidRPr="00B52820">
              <w:rPr>
                <w:b/>
                <w:bCs/>
                <w:spacing w:val="4"/>
                <w:w w:val="103"/>
                <w:lang w:val="ru-RU"/>
              </w:rPr>
              <w:t xml:space="preserve">11 ч. 00 м. – 17 ч. 30 м. </w:t>
            </w:r>
          </w:p>
          <w:p w:rsidR="001E1825" w:rsidRPr="00B52820" w:rsidRDefault="001E1825" w:rsidP="00D0017A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exact"/>
              <w:ind w:left="0" w:right="0"/>
              <w:jc w:val="left"/>
              <w:rPr>
                <w:b/>
                <w:bCs/>
                <w:spacing w:val="4"/>
                <w:w w:val="103"/>
                <w:lang w:val="ru-RU"/>
              </w:rPr>
            </w:pPr>
            <w:r w:rsidRPr="00B52820">
              <w:rPr>
                <w:b/>
                <w:bCs/>
                <w:spacing w:val="4"/>
                <w:w w:val="103"/>
                <w:lang w:val="ru-RU"/>
              </w:rPr>
              <w:t xml:space="preserve">Зал </w:t>
            </w:r>
            <w:r w:rsidR="00231980">
              <w:rPr>
                <w:b/>
                <w:bCs/>
                <w:spacing w:val="4"/>
                <w:w w:val="103"/>
                <w:lang w:val="ru-RU"/>
              </w:rPr>
              <w:t xml:space="preserve">заседаний </w:t>
            </w:r>
            <w:r w:rsidRPr="00B52820">
              <w:rPr>
                <w:b/>
                <w:bCs/>
                <w:spacing w:val="4"/>
                <w:w w:val="103"/>
                <w:lang w:val="ru-RU"/>
              </w:rPr>
              <w:t>XII</w:t>
            </w:r>
          </w:p>
          <w:p w:rsidR="001E1825" w:rsidRPr="00B52820" w:rsidRDefault="001E1825" w:rsidP="00D0017A">
            <w:pPr>
              <w:pStyle w:val="SingleTxtG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B52820">
              <w:rPr>
                <w:b/>
                <w:bCs/>
                <w:spacing w:val="4"/>
                <w:w w:val="103"/>
                <w:lang w:val="ru-RU"/>
              </w:rPr>
              <w:t>Дворец Наций, Женева</w:t>
            </w:r>
          </w:p>
        </w:tc>
      </w:tr>
      <w:tr w:rsidR="001E1825" w:rsidRPr="00B52820" w:rsidTr="00026779"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>11 ч. 00 м. –</w:t>
            </w:r>
            <w:r w:rsidRPr="001E1825">
              <w:t xml:space="preserve"> </w:t>
            </w:r>
            <w:r w:rsidRPr="001E1825">
              <w:br/>
            </w:r>
            <w:r w:rsidRPr="00B52820">
              <w:t>11 ч. 20 м.</w:t>
            </w:r>
          </w:p>
        </w:tc>
        <w:tc>
          <w:tcPr>
            <w:tcW w:w="5983" w:type="dxa"/>
            <w:tcBorders>
              <w:top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i/>
                <w:iCs/>
              </w:rPr>
            </w:pPr>
            <w:r w:rsidRPr="00B52820">
              <w:rPr>
                <w:i/>
                <w:iCs/>
              </w:rPr>
              <w:t>Открытие и приветственное слово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>11</w:t>
            </w:r>
            <w:r w:rsidR="00D0017A">
              <w:t xml:space="preserve"> </w:t>
            </w:r>
            <w:r w:rsidRPr="00B52820">
              <w:t xml:space="preserve">ч. 20 м. – </w:t>
            </w:r>
            <w:r>
              <w:rPr>
                <w:lang w:val="en-US"/>
              </w:rPr>
              <w:br/>
            </w:r>
            <w:r w:rsidRPr="00B52820">
              <w:t>12 ч. 30 м.</w:t>
            </w: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i/>
                <w:iCs/>
              </w:rPr>
            </w:pPr>
            <w:r w:rsidRPr="00B52820">
              <w:rPr>
                <w:i/>
                <w:iCs/>
              </w:rPr>
              <w:t>Заседание I: Всеобщий доступ: роль правительств в деле всестороннего использования потенциала транспортных инноваций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rPr>
                <w:u w:val="single"/>
              </w:rPr>
              <w:t>Два основных докладчика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rPr>
                <w:u w:val="single"/>
              </w:rPr>
              <w:t xml:space="preserve">Обсуждение </w:t>
            </w:r>
          </w:p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t>На этом заседании будет осуждаться вопрос всеобщего доступа. Особое внимание будет уделено налаживанию сообщения с отдаленными территориями, а также проблемам женщин, детей, лиц с ограниченными возможностями передвижения, пожилых людей и лиц, находящихся в уязвимом положении. Делегатам от</w:t>
            </w:r>
            <w:r w:rsidR="00D0017A">
              <w:t> </w:t>
            </w:r>
            <w:r w:rsidRPr="00B52820">
              <w:t xml:space="preserve">правительств будет предоставлена возможность обменяться опытом и представить информацию о планах по достижению ЦУР 11.2. 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 xml:space="preserve">12 ч. 30 м. – </w:t>
            </w:r>
            <w:r w:rsidRPr="001E1825">
              <w:br/>
            </w:r>
            <w:r w:rsidRPr="00B52820">
              <w:t>14 ч. 30 м.</w:t>
            </w: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i/>
                <w:iCs/>
              </w:rPr>
            </w:pPr>
            <w:r w:rsidRPr="00B52820">
              <w:rPr>
                <w:i/>
                <w:iCs/>
              </w:rPr>
              <w:t>Перерыв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 xml:space="preserve">14 ч. 30 м. – </w:t>
            </w:r>
            <w:r>
              <w:rPr>
                <w:lang w:val="en-US"/>
              </w:rPr>
              <w:br/>
            </w:r>
            <w:r w:rsidRPr="00B52820">
              <w:t>15 ч. 40 м.</w:t>
            </w: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i/>
                <w:iCs/>
              </w:rPr>
            </w:pPr>
            <w:r w:rsidRPr="00B52820">
              <w:rPr>
                <w:i/>
                <w:iCs/>
              </w:rPr>
              <w:t xml:space="preserve">Заседание II: Точка за точкой: взаимодействие и доступ для расширения мобильности пассажиров в будущем 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rPr>
                <w:u w:val="single"/>
              </w:rPr>
              <w:t>Два основных докладчика</w:t>
            </w:r>
          </w:p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rPr>
                <w:u w:val="single"/>
              </w:rPr>
              <w:t>Обсуждение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>Это заседание будет посвящено интеллектуальным решениям для управления мобильностью в условиях растущей плотности населения в городах, охватывающим общественный транспорт и</w:t>
            </w:r>
            <w:r w:rsidR="00D0017A">
              <w:rPr>
                <w:lang w:val="en-US"/>
              </w:rPr>
              <w:t> </w:t>
            </w:r>
            <w:r w:rsidRPr="00B52820">
              <w:t xml:space="preserve">индивидуальную мобильность на базе интеллектуальных технологий, с </w:t>
            </w:r>
            <w:proofErr w:type="spellStart"/>
            <w:r w:rsidRPr="00B52820">
              <w:t>уделением</w:t>
            </w:r>
            <w:proofErr w:type="spellEnd"/>
            <w:r w:rsidRPr="00B52820">
              <w:t xml:space="preserve"> особого внимания связанным с ними трудностям, ограничениям и вероятности получения обещанных преимуществ. Делегатам от правительств будет предоставлена возможность обменяться опытом.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 xml:space="preserve">15 ч. 40 м. – </w:t>
            </w:r>
            <w:r w:rsidRPr="001E1825">
              <w:br/>
            </w:r>
            <w:r w:rsidRPr="00B52820">
              <w:t>16 ч. 10 м.</w:t>
            </w: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i/>
                <w:iCs/>
              </w:rPr>
            </w:pPr>
            <w:r w:rsidRPr="00B52820">
              <w:rPr>
                <w:i/>
                <w:iCs/>
              </w:rPr>
              <w:t>Перерыв на кофе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 xml:space="preserve">16 ч. 10 м. – </w:t>
            </w:r>
            <w:r>
              <w:rPr>
                <w:lang w:val="en-US"/>
              </w:rPr>
              <w:br/>
            </w:r>
            <w:r w:rsidRPr="00B52820">
              <w:t>17 ч. 20 м.</w:t>
            </w: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i/>
                <w:iCs/>
              </w:rPr>
            </w:pPr>
            <w:r w:rsidRPr="00B52820">
              <w:rPr>
                <w:i/>
                <w:iCs/>
              </w:rPr>
              <w:t xml:space="preserve">Заседание III: Точка за точкой: взаимодействие и доступ – </w:t>
            </w:r>
            <w:r w:rsidRPr="001E1825">
              <w:rPr>
                <w:i/>
                <w:iCs/>
              </w:rPr>
              <w:br/>
            </w:r>
            <w:r w:rsidRPr="00B52820">
              <w:rPr>
                <w:i/>
                <w:iCs/>
              </w:rPr>
              <w:t>аспект логистики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rPr>
                <w:u w:val="single"/>
              </w:rPr>
              <w:t>Два основных докладчика</w:t>
            </w:r>
          </w:p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rPr>
                <w:u w:val="single"/>
              </w:rPr>
              <w:t>Обсуждение</w:t>
            </w:r>
          </w:p>
        </w:tc>
      </w:tr>
      <w:tr w:rsidR="001E1825" w:rsidRPr="00B52820" w:rsidTr="00026779">
        <w:tc>
          <w:tcPr>
            <w:tcW w:w="159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</w:p>
        </w:tc>
        <w:tc>
          <w:tcPr>
            <w:tcW w:w="5983" w:type="dxa"/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t>Это заседание будет посвящено инновациям, направленным на облегчение торговли и оптимизацию автомобильных перевозок в</w:t>
            </w:r>
            <w:r w:rsidR="00D0017A">
              <w:rPr>
                <w:lang w:val="en-US"/>
              </w:rPr>
              <w:t> </w:t>
            </w:r>
            <w:r w:rsidRPr="00B52820">
              <w:t>рамках системы внутреннего транспорта и логистических операций, охватывающих различные виды транспорта. Делегатам от</w:t>
            </w:r>
            <w:r w:rsidR="00D0017A">
              <w:t xml:space="preserve"> </w:t>
            </w:r>
            <w:r w:rsidRPr="00B52820">
              <w:t>правительств будет предоставлена возможность обменяться опытом.</w:t>
            </w:r>
          </w:p>
        </w:tc>
      </w:tr>
      <w:tr w:rsidR="001E1825" w:rsidRPr="00B52820" w:rsidTr="00026779"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B52820">
              <w:t xml:space="preserve">17 ч. 20 м. – </w:t>
            </w:r>
            <w:r w:rsidRPr="001E1825">
              <w:br/>
            </w:r>
            <w:r w:rsidRPr="00B52820">
              <w:t>17 ч. 30 м.</w:t>
            </w:r>
          </w:p>
        </w:tc>
        <w:tc>
          <w:tcPr>
            <w:tcW w:w="5983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:rsidR="001E1825" w:rsidRPr="00B52820" w:rsidRDefault="001E1825" w:rsidP="00D0017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u w:val="single"/>
              </w:rPr>
            </w:pPr>
            <w:r w:rsidRPr="00B52820">
              <w:t>Выводы координатора обсуждения</w:t>
            </w:r>
          </w:p>
        </w:tc>
      </w:tr>
    </w:tbl>
    <w:p w:rsidR="0060356F" w:rsidRPr="001E1825" w:rsidRDefault="001E1825" w:rsidP="001E1825">
      <w:pPr>
        <w:pStyle w:val="SingleTxt"/>
        <w:spacing w:after="0" w:line="240" w:lineRule="auto"/>
        <w:jc w:val="lef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0356F" w:rsidRPr="001E1825" w:rsidSect="0028625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AA" w:rsidRDefault="00643AAA" w:rsidP="008A1A7A">
      <w:pPr>
        <w:spacing w:line="240" w:lineRule="auto"/>
      </w:pPr>
      <w:r>
        <w:separator/>
      </w:r>
    </w:p>
  </w:endnote>
  <w:endnote w:type="continuationSeparator" w:id="0">
    <w:p w:rsidR="00643AAA" w:rsidRDefault="00643AA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86256" w:rsidTr="002862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86256" w:rsidRPr="00286256" w:rsidRDefault="00286256" w:rsidP="0028625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7C6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57C69">
              <w:rPr>
                <w:noProof/>
              </w:rPr>
              <w:t>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86256" w:rsidRPr="00286256" w:rsidRDefault="00286256" w:rsidP="0028625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42703">
            <w:rPr>
              <w:b w:val="0"/>
              <w:color w:val="000000"/>
              <w:sz w:val="14"/>
            </w:rPr>
            <w:t>GE.15-21948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86256" w:rsidRPr="00286256" w:rsidRDefault="00286256" w:rsidP="00286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86256" w:rsidTr="002862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86256" w:rsidRPr="00286256" w:rsidRDefault="00286256" w:rsidP="0028625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42703">
            <w:rPr>
              <w:b w:val="0"/>
              <w:color w:val="000000"/>
              <w:sz w:val="14"/>
            </w:rPr>
            <w:t>GE.15-21948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6256" w:rsidRPr="00286256" w:rsidRDefault="00286256" w:rsidP="0028625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7C69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F57C69">
              <w:rPr>
                <w:noProof/>
              </w:rPr>
              <w:t>7</w:t>
            </w:r>
          </w:fldSimple>
        </w:p>
      </w:tc>
    </w:tr>
  </w:tbl>
  <w:p w:rsidR="00286256" w:rsidRPr="00286256" w:rsidRDefault="00286256" w:rsidP="00286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86256" w:rsidTr="00286256">
      <w:tc>
        <w:tcPr>
          <w:tcW w:w="3873" w:type="dxa"/>
        </w:tcPr>
        <w:p w:rsidR="00286256" w:rsidRDefault="00286256" w:rsidP="00286256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1CE8BBB" wp14:editId="7BD36AF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GE.15-21948 (R)</w:t>
          </w:r>
          <w:r>
            <w:rPr>
              <w:color w:val="010000"/>
            </w:rPr>
            <w:t xml:space="preserve">    040116    040116</w:t>
          </w:r>
        </w:p>
        <w:p w:rsidR="00286256" w:rsidRPr="00286256" w:rsidRDefault="00286256" w:rsidP="0028625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*1521948*</w:t>
          </w:r>
        </w:p>
      </w:tc>
      <w:tc>
        <w:tcPr>
          <w:tcW w:w="5127" w:type="dxa"/>
        </w:tcPr>
        <w:p w:rsidR="00286256" w:rsidRDefault="00286256" w:rsidP="002862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8BABE9F" wp14:editId="2F2FCB9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256" w:rsidRPr="00286256" w:rsidRDefault="00286256" w:rsidP="002862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AA" w:rsidRDefault="00643AAA" w:rsidP="008A1A7A">
      <w:pPr>
        <w:spacing w:line="240" w:lineRule="auto"/>
      </w:pPr>
      <w:r>
        <w:separator/>
      </w:r>
    </w:p>
  </w:footnote>
  <w:footnote w:type="continuationSeparator" w:id="0">
    <w:p w:rsidR="00643AAA" w:rsidRDefault="00643AAA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86256" w:rsidTr="002862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86256" w:rsidRPr="00286256" w:rsidRDefault="00286256" w:rsidP="0028625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42703">
            <w:rPr>
              <w:b/>
            </w:rPr>
            <w:t>ECE/TRANS/2016/1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6256" w:rsidRDefault="00286256" w:rsidP="00286256">
          <w:pPr>
            <w:pStyle w:val="Header"/>
          </w:pPr>
        </w:p>
      </w:tc>
    </w:tr>
  </w:tbl>
  <w:p w:rsidR="00286256" w:rsidRPr="00286256" w:rsidRDefault="00286256" w:rsidP="00286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86256" w:rsidTr="002862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86256" w:rsidRDefault="00286256" w:rsidP="0028625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86256" w:rsidRPr="00286256" w:rsidRDefault="00286256" w:rsidP="0028625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42703">
            <w:rPr>
              <w:b/>
            </w:rPr>
            <w:t>ECE/TRANS/2016/1</w:t>
          </w:r>
          <w:r>
            <w:rPr>
              <w:b/>
            </w:rPr>
            <w:fldChar w:fldCharType="end"/>
          </w:r>
        </w:p>
      </w:tc>
    </w:tr>
  </w:tbl>
  <w:p w:rsidR="00286256" w:rsidRPr="00286256" w:rsidRDefault="00286256" w:rsidP="00286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86256" w:rsidTr="0028625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86256" w:rsidRPr="00286256" w:rsidRDefault="00286256" w:rsidP="002862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6256" w:rsidRDefault="00286256" w:rsidP="0028625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86256" w:rsidRPr="00286256" w:rsidRDefault="00286256" w:rsidP="002862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</w:t>
          </w:r>
        </w:p>
      </w:tc>
    </w:tr>
    <w:tr w:rsidR="00286256" w:rsidRPr="00022CE2" w:rsidTr="0028625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256" w:rsidRPr="00286256" w:rsidRDefault="00286256" w:rsidP="0028625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92B545C" wp14:editId="2E5018A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256" w:rsidRPr="00286256" w:rsidRDefault="00286256" w:rsidP="0028625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256" w:rsidRPr="00286256" w:rsidRDefault="00286256" w:rsidP="0028625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256" w:rsidRPr="00022CE2" w:rsidRDefault="00286256" w:rsidP="00286256">
          <w:pPr>
            <w:pStyle w:val="Distribution"/>
            <w:rPr>
              <w:color w:val="000000"/>
              <w:lang w:val="en-US"/>
            </w:rPr>
          </w:pPr>
          <w:r w:rsidRPr="00022CE2">
            <w:rPr>
              <w:color w:val="000000"/>
              <w:lang w:val="en-US"/>
            </w:rPr>
            <w:t>Distr.: General</w:t>
          </w:r>
        </w:p>
        <w:p w:rsidR="00286256" w:rsidRPr="00022CE2" w:rsidRDefault="00286256" w:rsidP="00022CE2">
          <w:pPr>
            <w:pStyle w:val="Publication"/>
            <w:rPr>
              <w:color w:val="000000"/>
              <w:lang w:val="en-US"/>
            </w:rPr>
          </w:pPr>
          <w:r w:rsidRPr="00022CE2">
            <w:rPr>
              <w:color w:val="000000"/>
              <w:lang w:val="en-US"/>
            </w:rPr>
            <w:t>14 December 2015</w:t>
          </w:r>
        </w:p>
        <w:p w:rsidR="00286256" w:rsidRPr="00022CE2" w:rsidRDefault="00286256" w:rsidP="00286256">
          <w:pPr>
            <w:rPr>
              <w:color w:val="000000"/>
              <w:lang w:val="en-US"/>
            </w:rPr>
          </w:pPr>
          <w:r w:rsidRPr="00022CE2">
            <w:rPr>
              <w:color w:val="000000"/>
              <w:lang w:val="en-US"/>
            </w:rPr>
            <w:t>Russian</w:t>
          </w:r>
        </w:p>
        <w:p w:rsidR="00286256" w:rsidRPr="00022CE2" w:rsidRDefault="00286256" w:rsidP="00286256">
          <w:pPr>
            <w:pStyle w:val="Original"/>
            <w:rPr>
              <w:color w:val="000000"/>
              <w:lang w:val="en-US"/>
            </w:rPr>
          </w:pPr>
          <w:r w:rsidRPr="00022CE2">
            <w:rPr>
              <w:color w:val="000000"/>
              <w:lang w:val="en-US"/>
            </w:rPr>
            <w:t>Original: English</w:t>
          </w:r>
        </w:p>
        <w:p w:rsidR="00286256" w:rsidRPr="00022CE2" w:rsidRDefault="00286256" w:rsidP="00286256">
          <w:pPr>
            <w:rPr>
              <w:lang w:val="en-US"/>
            </w:rPr>
          </w:pPr>
        </w:p>
      </w:tc>
    </w:tr>
  </w:tbl>
  <w:p w:rsidR="00286256" w:rsidRPr="00022CE2" w:rsidRDefault="00286256" w:rsidP="0028625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48*"/>
    <w:docVar w:name="CreationDt" w:val="1/4/2016 3:52: PM"/>
    <w:docVar w:name="DocCategory" w:val="Doc"/>
    <w:docVar w:name="DocType" w:val="Final"/>
    <w:docVar w:name="DutyStation" w:val="Geneva"/>
    <w:docVar w:name="FooterJN" w:val="GE.15-21948"/>
    <w:docVar w:name="jobn" w:val="GE.15-21948 (R)"/>
    <w:docVar w:name="jobnDT" w:val="GE.15-21948 (R)   040116"/>
    <w:docVar w:name="jobnDTDT" w:val="GE.15-21948 (R)   040116   040116"/>
    <w:docVar w:name="JobNo" w:val="GE.1521948R"/>
    <w:docVar w:name="JobNo2" w:val="1528389R"/>
    <w:docVar w:name="LocalDrive" w:val="0"/>
    <w:docVar w:name="OandT" w:val=" "/>
    <w:docVar w:name="PaperSize" w:val="A4"/>
    <w:docVar w:name="sss1" w:val="ECE/TRANS/2016/1"/>
    <w:docVar w:name="sss2" w:val="-"/>
    <w:docVar w:name="Symbol1" w:val="ECE/TRANS/2016/1"/>
    <w:docVar w:name="Symbol2" w:val="-"/>
  </w:docVars>
  <w:rsids>
    <w:rsidRoot w:val="00643AAA"/>
    <w:rsid w:val="00004615"/>
    <w:rsid w:val="00004756"/>
    <w:rsid w:val="00010735"/>
    <w:rsid w:val="00013E03"/>
    <w:rsid w:val="00015201"/>
    <w:rsid w:val="0001588C"/>
    <w:rsid w:val="000162FB"/>
    <w:rsid w:val="00022CE2"/>
    <w:rsid w:val="00024A67"/>
    <w:rsid w:val="00025CF3"/>
    <w:rsid w:val="0002669B"/>
    <w:rsid w:val="00026779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7C03"/>
    <w:rsid w:val="001C072D"/>
    <w:rsid w:val="001C54CE"/>
    <w:rsid w:val="001D15F8"/>
    <w:rsid w:val="001D1749"/>
    <w:rsid w:val="001D2679"/>
    <w:rsid w:val="001D502D"/>
    <w:rsid w:val="001D60ED"/>
    <w:rsid w:val="001E1825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1980"/>
    <w:rsid w:val="0023370B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6256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97F10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67999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356F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AAA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2915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317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138D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017A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0CE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2703"/>
    <w:rsid w:val="00F51C87"/>
    <w:rsid w:val="00F5214D"/>
    <w:rsid w:val="00F55457"/>
    <w:rsid w:val="00F57C69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8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2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2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2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1E182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1E182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1E18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6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8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2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2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2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1E182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1E182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1E18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6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692A-1D2C-4309-9DC1-69540BC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13099</Characters>
  <Application>Microsoft Office Word</Application>
  <DocSecurity>0</DocSecurity>
  <Lines>291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Anastasia Barinova</cp:lastModifiedBy>
  <cp:revision>3</cp:revision>
  <cp:lastPrinted>2016-01-04T15:34:00Z</cp:lastPrinted>
  <dcterms:created xsi:type="dcterms:W3CDTF">2016-02-02T08:22:00Z</dcterms:created>
  <dcterms:modified xsi:type="dcterms:W3CDTF">2016-02-02T08:29:00Z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1521948R</vt:lpwstr>
  </property>
  <property fmtid="{D5CDD505-2E9C-101B-9397-08002B2CF9AE}" pid="3" name="ODSRefJobNo">
    <vt:lpwstr>1528389R</vt:lpwstr>
  </property>
  <property fmtid="{D5CDD505-2E9C-101B-9397-08002B2CF9AE}" pid="4" name="Symbol1">
    <vt:lpwstr>ECE/TRANS/2016/1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040116</vt:lpwstr>
  </property>
</Properties>
</file>