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0C1" w:rsidRPr="00ED6101" w:rsidRDefault="001A30C1" w:rsidP="001A30C1">
      <w:pPr>
        <w:spacing w:line="240" w:lineRule="auto"/>
        <w:rPr>
          <w:sz w:val="2"/>
          <w:lang w:val="fr-CH"/>
        </w:rPr>
        <w:sectPr w:rsidR="001A30C1" w:rsidRPr="00ED6101" w:rsidSect="001A30C1">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1A30C1" w:rsidRPr="00ED6101" w:rsidRDefault="001A30C1" w:rsidP="0001356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D6101">
        <w:rPr>
          <w:lang w:val="fr-CH"/>
        </w:rPr>
        <w:lastRenderedPageBreak/>
        <w:t>Commission économique pour l’Europe</w:t>
      </w:r>
    </w:p>
    <w:p w:rsidR="00013569" w:rsidRPr="00ED6101" w:rsidRDefault="00013569" w:rsidP="0001356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1A30C1" w:rsidRPr="00ED6101" w:rsidRDefault="001A30C1" w:rsidP="0001356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ED6101">
        <w:rPr>
          <w:b w:val="0"/>
          <w:bCs/>
          <w:lang w:val="fr-CH"/>
        </w:rPr>
        <w:t>Comité des transports intérieurs</w:t>
      </w:r>
    </w:p>
    <w:p w:rsidR="001A30C1" w:rsidRPr="00ED6101" w:rsidRDefault="001A30C1" w:rsidP="00013569">
      <w:pPr>
        <w:pStyle w:val="H1"/>
        <w:spacing w:line="120" w:lineRule="exact"/>
        <w:rPr>
          <w:b w:val="0"/>
          <w:sz w:val="10"/>
          <w:lang w:val="fr-CH"/>
        </w:rPr>
      </w:pPr>
    </w:p>
    <w:p w:rsidR="00013569" w:rsidRPr="00ED6101" w:rsidRDefault="00013569" w:rsidP="0001356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D6101">
        <w:rPr>
          <w:lang w:val="fr-CH"/>
        </w:rPr>
        <w:t>Soixante-dix-huitième session</w:t>
      </w:r>
    </w:p>
    <w:p w:rsidR="00013569" w:rsidRPr="00ED6101" w:rsidRDefault="00ED6101" w:rsidP="00013569">
      <w:pPr>
        <w:rPr>
          <w:lang w:val="fr-CH"/>
        </w:rPr>
      </w:pPr>
      <w:r>
        <w:rPr>
          <w:lang w:val="fr-CH"/>
        </w:rPr>
        <w:t>Genève, 23-26 </w:t>
      </w:r>
      <w:r w:rsidR="00013569" w:rsidRPr="00ED6101">
        <w:rPr>
          <w:lang w:val="fr-CH"/>
        </w:rPr>
        <w:t>février 2016</w:t>
      </w:r>
    </w:p>
    <w:p w:rsidR="00013569" w:rsidRPr="00ED6101" w:rsidRDefault="00ED6101" w:rsidP="00013569">
      <w:pPr>
        <w:rPr>
          <w:lang w:val="fr-CH"/>
        </w:rPr>
      </w:pPr>
      <w:r>
        <w:rPr>
          <w:lang w:val="fr-CH"/>
        </w:rPr>
        <w:t>Point 5 </w:t>
      </w:r>
      <w:r w:rsidR="00013569" w:rsidRPr="00ED6101">
        <w:rPr>
          <w:lang w:val="fr-CH"/>
        </w:rPr>
        <w:t>f) de l’ordre du jour provisoire</w:t>
      </w:r>
    </w:p>
    <w:p w:rsidR="00013569" w:rsidRPr="00ED6101" w:rsidRDefault="00013569" w:rsidP="0001356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D6101">
        <w:rPr>
          <w:lang w:val="fr-CH"/>
        </w:rPr>
        <w:t xml:space="preserve">Questions stratégiques à caractère modal </w:t>
      </w:r>
      <w:r w:rsidRPr="00ED6101">
        <w:rPr>
          <w:lang w:val="fr-CH"/>
        </w:rPr>
        <w:br/>
        <w:t>et thématique</w:t>
      </w:r>
      <w:r w:rsidR="0045443D" w:rsidRPr="00ED6101">
        <w:rPr>
          <w:lang w:val="fr-CH"/>
        </w:rPr>
        <w:t> :</w:t>
      </w:r>
      <w:r w:rsidRPr="00ED6101">
        <w:rPr>
          <w:lang w:val="fr-CH"/>
        </w:rPr>
        <w:t xml:space="preserve"> Transport intermodal et logistique</w:t>
      </w:r>
    </w:p>
    <w:p w:rsidR="00013569" w:rsidRPr="00ED6101" w:rsidRDefault="00013569" w:rsidP="00013569">
      <w:pPr>
        <w:spacing w:line="120" w:lineRule="exact"/>
        <w:rPr>
          <w:sz w:val="10"/>
          <w:lang w:val="fr-CH"/>
        </w:rPr>
      </w:pPr>
    </w:p>
    <w:p w:rsidR="00013569" w:rsidRPr="00ED6101" w:rsidRDefault="00013569" w:rsidP="00013569">
      <w:pPr>
        <w:spacing w:line="120" w:lineRule="exact"/>
        <w:rPr>
          <w:sz w:val="10"/>
          <w:lang w:val="fr-CH"/>
        </w:rPr>
      </w:pPr>
    </w:p>
    <w:p w:rsidR="00013569" w:rsidRPr="00ED6101" w:rsidRDefault="00013569" w:rsidP="00013569">
      <w:pPr>
        <w:spacing w:line="120" w:lineRule="exact"/>
        <w:rPr>
          <w:sz w:val="10"/>
          <w:lang w:val="fr-CH"/>
        </w:rPr>
      </w:pPr>
    </w:p>
    <w:p w:rsidR="00013569" w:rsidRPr="00ED6101" w:rsidRDefault="00013569" w:rsidP="000135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6101">
        <w:rPr>
          <w:lang w:val="fr-CH"/>
        </w:rPr>
        <w:tab/>
      </w:r>
      <w:r w:rsidRPr="00ED6101">
        <w:rPr>
          <w:lang w:val="fr-CH"/>
        </w:rPr>
        <w:tab/>
        <w:t>Transport intermodal et logistique</w:t>
      </w:r>
    </w:p>
    <w:p w:rsidR="00013569" w:rsidRPr="00ED6101" w:rsidRDefault="00013569" w:rsidP="00013569">
      <w:pPr>
        <w:pStyle w:val="SingleTxt"/>
        <w:spacing w:after="0" w:line="120" w:lineRule="exact"/>
        <w:rPr>
          <w:b/>
          <w:sz w:val="10"/>
          <w:lang w:val="fr-CH"/>
        </w:rPr>
      </w:pPr>
    </w:p>
    <w:p w:rsidR="00013569" w:rsidRPr="00ED6101" w:rsidRDefault="00013569" w:rsidP="00013569">
      <w:pPr>
        <w:pStyle w:val="SingleTxt"/>
        <w:spacing w:after="0" w:line="120" w:lineRule="exact"/>
        <w:rPr>
          <w:b/>
          <w:sz w:val="10"/>
          <w:lang w:val="fr-CH"/>
        </w:rPr>
      </w:pPr>
    </w:p>
    <w:p w:rsidR="00013569" w:rsidRPr="00ED6101" w:rsidRDefault="00013569" w:rsidP="000135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6101">
        <w:rPr>
          <w:lang w:val="fr-CH"/>
        </w:rPr>
        <w:tab/>
      </w:r>
      <w:r w:rsidRPr="00ED6101">
        <w:rPr>
          <w:lang w:val="fr-CH"/>
        </w:rPr>
        <w:tab/>
        <w:t xml:space="preserve">Étude relative aux plans directeurs nationaux </w:t>
      </w:r>
      <w:r w:rsidRPr="00ED6101">
        <w:rPr>
          <w:lang w:val="fr-CH"/>
        </w:rPr>
        <w:br/>
        <w:t>sur le transport de marchandises et la logistique</w:t>
      </w:r>
    </w:p>
    <w:p w:rsidR="00013569" w:rsidRPr="00ED6101" w:rsidRDefault="00013569" w:rsidP="00013569">
      <w:pPr>
        <w:pStyle w:val="SingleTxt"/>
        <w:spacing w:after="0" w:line="120" w:lineRule="exact"/>
        <w:rPr>
          <w:b/>
          <w:sz w:val="10"/>
          <w:lang w:val="fr-CH"/>
        </w:rPr>
      </w:pPr>
    </w:p>
    <w:p w:rsidR="00013569" w:rsidRPr="00ED6101" w:rsidRDefault="00013569" w:rsidP="00013569">
      <w:pPr>
        <w:pStyle w:val="SingleTxt"/>
        <w:spacing w:after="0" w:line="120" w:lineRule="exact"/>
        <w:rPr>
          <w:b/>
          <w:sz w:val="10"/>
          <w:lang w:val="fr-CH"/>
        </w:rPr>
      </w:pPr>
    </w:p>
    <w:p w:rsidR="00013569" w:rsidRPr="00ED6101" w:rsidRDefault="00013569" w:rsidP="000135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6101">
        <w:rPr>
          <w:lang w:val="fr-CH"/>
        </w:rPr>
        <w:tab/>
      </w:r>
      <w:r w:rsidRPr="00ED6101">
        <w:rPr>
          <w:lang w:val="fr-CH"/>
        </w:rPr>
        <w:tab/>
        <w:t xml:space="preserve">Note du secrétariat </w:t>
      </w:r>
    </w:p>
    <w:p w:rsidR="001A30C1" w:rsidRPr="00ED6101" w:rsidRDefault="001A30C1" w:rsidP="00013569">
      <w:pPr>
        <w:pStyle w:val="SingleTxt"/>
        <w:spacing w:after="0" w:line="120" w:lineRule="exact"/>
        <w:rPr>
          <w:sz w:val="10"/>
          <w:lang w:val="fr-CH"/>
        </w:rPr>
      </w:pPr>
    </w:p>
    <w:p w:rsidR="00013569" w:rsidRPr="00ED6101" w:rsidRDefault="00013569" w:rsidP="00013569">
      <w:pPr>
        <w:pStyle w:val="SingleTxt"/>
        <w:spacing w:after="0" w:line="120" w:lineRule="exact"/>
        <w:rPr>
          <w:sz w:val="10"/>
          <w:lang w:val="fr-CH"/>
        </w:rPr>
      </w:pPr>
    </w:p>
    <w:p w:rsidR="00013569" w:rsidRPr="00ED6101" w:rsidRDefault="00013569" w:rsidP="00013569">
      <w:pPr>
        <w:pStyle w:val="SingleTxt"/>
        <w:spacing w:after="0" w:line="120" w:lineRule="exact"/>
        <w:rPr>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013569" w:rsidRPr="00ED6101" w:rsidTr="00013569">
        <w:tc>
          <w:tcPr>
            <w:tcW w:w="10051" w:type="dxa"/>
            <w:tcBorders>
              <w:top w:val="single" w:sz="2" w:space="0" w:color="auto"/>
            </w:tcBorders>
            <w:shd w:val="clear" w:color="auto" w:fill="auto"/>
          </w:tcPr>
          <w:p w:rsidR="00013569" w:rsidRPr="00ED6101" w:rsidRDefault="00013569" w:rsidP="00013569">
            <w:pPr>
              <w:tabs>
                <w:tab w:val="left" w:pos="240"/>
              </w:tabs>
              <w:spacing w:before="240" w:after="120"/>
              <w:rPr>
                <w:i/>
                <w:sz w:val="24"/>
                <w:lang w:val="fr-CH"/>
              </w:rPr>
            </w:pPr>
            <w:r w:rsidRPr="00ED6101">
              <w:rPr>
                <w:i/>
                <w:sz w:val="24"/>
                <w:lang w:val="fr-CH"/>
              </w:rPr>
              <w:tab/>
              <w:t>Résumé</w:t>
            </w:r>
          </w:p>
        </w:tc>
      </w:tr>
      <w:tr w:rsidR="00013569" w:rsidRPr="00ED6101" w:rsidTr="00013569">
        <w:tc>
          <w:tcPr>
            <w:tcW w:w="10051" w:type="dxa"/>
            <w:shd w:val="clear" w:color="auto" w:fill="auto"/>
          </w:tcPr>
          <w:p w:rsidR="00013569" w:rsidRPr="00ED6101" w:rsidRDefault="00013569" w:rsidP="00013569">
            <w:pPr>
              <w:pStyle w:val="SingleTxt"/>
              <w:rPr>
                <w:lang w:val="fr-CH"/>
              </w:rPr>
            </w:pPr>
            <w:r w:rsidRPr="00ED6101">
              <w:rPr>
                <w:lang w:val="fr-CH"/>
              </w:rPr>
              <w:tab/>
              <w:t>Le présent document donne un aperçu de la première étape de l’élaboration de lignes directrices pour la préparation de plans directeurs nationaux sur le transport de marchandises et la logistique. Il fournit des indications sur la meilleure façon d’établir ces lignes directrices et propose une approche de l’élaboration d’un ensemble de mesures et de mécanismes politiques qui pourraient être utilisés pour l’établissement de ces plans directeurs.</w:t>
            </w:r>
          </w:p>
        </w:tc>
      </w:tr>
      <w:tr w:rsidR="00013569" w:rsidRPr="00ED6101" w:rsidTr="00013569">
        <w:tc>
          <w:tcPr>
            <w:tcW w:w="10051" w:type="dxa"/>
            <w:shd w:val="clear" w:color="auto" w:fill="auto"/>
          </w:tcPr>
          <w:p w:rsidR="00013569" w:rsidRPr="00ED6101" w:rsidRDefault="00013569" w:rsidP="00013569">
            <w:pPr>
              <w:pStyle w:val="SingleTxt"/>
              <w:rPr>
                <w:lang w:val="fr-CH"/>
              </w:rPr>
            </w:pPr>
            <w:r w:rsidRPr="00ED6101">
              <w:rPr>
                <w:lang w:val="fr-CH"/>
              </w:rPr>
              <w:tab/>
              <w:t xml:space="preserve">Sur la base de ce document, le Comité souhaitera peut-être </w:t>
            </w:r>
            <w:r w:rsidRPr="00ED6101">
              <w:rPr>
                <w:b/>
                <w:lang w:val="fr-CH"/>
              </w:rPr>
              <w:t>approuver</w:t>
            </w:r>
            <w:r w:rsidRPr="00ED6101">
              <w:rPr>
                <w:lang w:val="fr-CH"/>
              </w:rPr>
              <w:t xml:space="preserve"> la demande du Groupe de travail du transport intermodal et de la logistique visant à ce que des lignes directrices plus détaillées soient établies en recourant à un appui extérieur et en prenant en considération les observations communiquées par les États membres et les institutions intergouvernementales concernées.</w:t>
            </w:r>
          </w:p>
        </w:tc>
      </w:tr>
      <w:tr w:rsidR="00013569" w:rsidRPr="00ED6101" w:rsidTr="00013569">
        <w:tc>
          <w:tcPr>
            <w:tcW w:w="10051" w:type="dxa"/>
            <w:tcBorders>
              <w:bottom w:val="single" w:sz="2" w:space="0" w:color="auto"/>
            </w:tcBorders>
            <w:shd w:val="clear" w:color="auto" w:fill="auto"/>
          </w:tcPr>
          <w:p w:rsidR="00013569" w:rsidRPr="00ED6101" w:rsidRDefault="00013569" w:rsidP="00013569">
            <w:pPr>
              <w:pStyle w:val="SingleTxt"/>
              <w:rPr>
                <w:lang w:val="fr-CH"/>
              </w:rPr>
            </w:pPr>
          </w:p>
        </w:tc>
      </w:tr>
    </w:tbl>
    <w:p w:rsidR="00013569" w:rsidRPr="00ED6101" w:rsidRDefault="00013569" w:rsidP="001A30C1">
      <w:pPr>
        <w:pStyle w:val="SingleTxt"/>
        <w:rPr>
          <w:lang w:val="fr-CH"/>
        </w:rPr>
      </w:pPr>
    </w:p>
    <w:p w:rsidR="00013569" w:rsidRPr="00ED6101" w:rsidRDefault="00013569">
      <w:pPr>
        <w:spacing w:line="240" w:lineRule="auto"/>
        <w:rPr>
          <w:lang w:val="fr-CH"/>
        </w:rPr>
      </w:pPr>
      <w:r w:rsidRPr="00ED6101">
        <w:rPr>
          <w:lang w:val="fr-CH"/>
        </w:rPr>
        <w:br w:type="page"/>
      </w:r>
    </w:p>
    <w:p w:rsidR="00013569" w:rsidRPr="00ED6101" w:rsidRDefault="00013569" w:rsidP="000135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6101">
        <w:rPr>
          <w:lang w:val="fr-CH"/>
        </w:rPr>
        <w:lastRenderedPageBreak/>
        <w:tab/>
        <w:t>I.</w:t>
      </w:r>
      <w:r w:rsidRPr="00ED6101">
        <w:rPr>
          <w:lang w:val="fr-CH"/>
        </w:rPr>
        <w:tab/>
        <w:t xml:space="preserve">Mandat </w:t>
      </w:r>
    </w:p>
    <w:p w:rsidR="00013569" w:rsidRPr="00ED6101" w:rsidRDefault="00013569" w:rsidP="00013569">
      <w:pPr>
        <w:pStyle w:val="SingleTxt"/>
        <w:spacing w:after="0" w:line="120" w:lineRule="exact"/>
        <w:rPr>
          <w:sz w:val="10"/>
          <w:lang w:val="fr-CH"/>
        </w:rPr>
      </w:pPr>
    </w:p>
    <w:p w:rsidR="00013569" w:rsidRPr="00ED6101" w:rsidRDefault="00013569" w:rsidP="00013569">
      <w:pPr>
        <w:pStyle w:val="SingleTxt"/>
        <w:spacing w:after="0" w:line="120" w:lineRule="exact"/>
        <w:rPr>
          <w:sz w:val="10"/>
          <w:lang w:val="fr-CH"/>
        </w:rPr>
      </w:pPr>
    </w:p>
    <w:p w:rsidR="00013569" w:rsidRPr="00ED6101" w:rsidRDefault="00013569" w:rsidP="00492AFE">
      <w:pPr>
        <w:pStyle w:val="SingleTxt"/>
        <w:numPr>
          <w:ilvl w:val="0"/>
          <w:numId w:val="6"/>
        </w:numPr>
        <w:tabs>
          <w:tab w:val="clear" w:pos="475"/>
          <w:tab w:val="num" w:pos="1742"/>
        </w:tabs>
        <w:ind w:left="1267"/>
        <w:rPr>
          <w:spacing w:val="3"/>
          <w:lang w:val="fr-CH"/>
        </w:rPr>
      </w:pPr>
      <w:r w:rsidRPr="00ED6101">
        <w:rPr>
          <w:spacing w:val="3"/>
          <w:lang w:val="fr-CH"/>
        </w:rPr>
        <w:t>Lors de sa cinquante et unième session, le Groupe de travail du transport intermodal et de la logistique (WP.24) a abordé la question des chaînes de transport modernes, des plans directeurs logistiques nationaux et du rôle des gouvernements dans la conception et la gestion du transport intermodal de marchandises. Le secrétariat a, en collaboration avec un groupe d’experts virtuel sur les chaînes de transport et la logistique ainsi que sur la base de contributions du Groupement européen du transport combiné (GETC) et de l’Autriche (documents informels n</w:t>
      </w:r>
      <w:r w:rsidRPr="00ED6101">
        <w:rPr>
          <w:spacing w:val="3"/>
          <w:vertAlign w:val="superscript"/>
          <w:lang w:val="fr-CH"/>
        </w:rPr>
        <w:t>os</w:t>
      </w:r>
      <w:r w:rsidRPr="00ED6101">
        <w:rPr>
          <w:spacing w:val="3"/>
          <w:lang w:val="fr-CH"/>
        </w:rPr>
        <w:t> 5 et 6 (2008) du WP.24), élaboré une étude sur la conception et la gestion du transport intermodal de marchandises et le rôle des gouvernements (ECE/TRANS/WP.24/2008/4).</w:t>
      </w:r>
    </w:p>
    <w:p w:rsidR="00013569" w:rsidRPr="00ED6101" w:rsidRDefault="00013569" w:rsidP="00013569">
      <w:pPr>
        <w:pStyle w:val="SingleTxt"/>
        <w:numPr>
          <w:ilvl w:val="0"/>
          <w:numId w:val="6"/>
        </w:numPr>
        <w:tabs>
          <w:tab w:val="clear" w:pos="475"/>
          <w:tab w:val="num" w:pos="1742"/>
        </w:tabs>
        <w:ind w:left="1267"/>
        <w:rPr>
          <w:lang w:val="fr-CH"/>
        </w:rPr>
      </w:pPr>
      <w:r w:rsidRPr="00ED6101">
        <w:rPr>
          <w:lang w:val="fr-CH"/>
        </w:rPr>
        <w:t>À sa cinquante-septième session, le Groupe de travail a convenu qu’il fallait aller plus loin et établir un document officiel portant de manière plus approfondie sur</w:t>
      </w:r>
      <w:r w:rsidR="0045443D" w:rsidRPr="00ED6101">
        <w:rPr>
          <w:lang w:val="fr-CH"/>
        </w:rPr>
        <w:t> : a) </w:t>
      </w:r>
      <w:r w:rsidRPr="00ED6101">
        <w:rPr>
          <w:lang w:val="fr-CH"/>
        </w:rPr>
        <w:t>des lignes directrices sur la façon d’établir un plan directeur national pour le transport de march</w:t>
      </w:r>
      <w:r w:rsidR="0045443D" w:rsidRPr="00ED6101">
        <w:rPr>
          <w:lang w:val="fr-CH"/>
        </w:rPr>
        <w:t>andises et la logistique; et b) </w:t>
      </w:r>
      <w:r w:rsidRPr="00ED6101">
        <w:rPr>
          <w:lang w:val="fr-CH"/>
        </w:rPr>
        <w:t>l’élaboration d’un ensemble de mesures et de mécanismes politiques qui, selon les conditions nationales, pourraient être utilisés à cette fin.</w:t>
      </w:r>
    </w:p>
    <w:p w:rsidR="00013569" w:rsidRPr="00ED6101" w:rsidRDefault="00013569" w:rsidP="00492AFE">
      <w:pPr>
        <w:pStyle w:val="SingleTxt"/>
        <w:numPr>
          <w:ilvl w:val="0"/>
          <w:numId w:val="6"/>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267"/>
        <w:rPr>
          <w:lang w:val="fr-CH"/>
        </w:rPr>
      </w:pPr>
      <w:r w:rsidRPr="00ED6101">
        <w:rPr>
          <w:lang w:val="fr-CH"/>
        </w:rPr>
        <w:t>Le présent document a été élaboré conformément aux exigences énoncées ci-dessus et a été approuvé par le Groupe de travail à sa cinquante-huitième session, en 2015, moyennant la décision énoncée ci-après</w:t>
      </w:r>
      <w:r w:rsidR="0045443D" w:rsidRPr="00ED6101">
        <w:rPr>
          <w:lang w:val="fr-CH"/>
        </w:rPr>
        <w:t> :</w:t>
      </w:r>
      <w:r w:rsidR="00492AFE">
        <w:rPr>
          <w:lang w:val="fr-CH"/>
        </w:rPr>
        <w:t xml:space="preserve"> « </w:t>
      </w:r>
      <w:r w:rsidRPr="00ED6101">
        <w:rPr>
          <w:lang w:val="fr-CH"/>
        </w:rPr>
        <w:t>Le Groupe de travail a pris note des lignes directrices détaillées établies par le secrétariat (voir document ECE/TRANS/WP.24/2015/5) et l’a prié de soumettre au Comité des transports intérieurs une version actualisée de ce document. Le Groupe de travail a demandé que des lignes directrices plus détaillées soient élaborées sur la base du document ECE/TRANS/WP.24/2015/5 établi par le secrétariat, en recourant à un appui extérieur et en prenant en considération les observations communiquées par les États membres et les institutions intergouvernementales concernées.</w:t>
      </w:r>
      <w:r w:rsidR="00492AFE">
        <w:rPr>
          <w:lang w:val="fr-CH"/>
        </w:rPr>
        <w:t> ».</w:t>
      </w:r>
    </w:p>
    <w:p w:rsidR="00013569" w:rsidRPr="00ED6101" w:rsidRDefault="00013569" w:rsidP="00013569">
      <w:pPr>
        <w:pStyle w:val="SingleTxt"/>
        <w:spacing w:after="0" w:line="120" w:lineRule="exact"/>
        <w:rPr>
          <w:b/>
          <w:sz w:val="10"/>
          <w:lang w:val="fr-CH"/>
        </w:rPr>
      </w:pPr>
    </w:p>
    <w:p w:rsidR="0045443D" w:rsidRPr="00ED6101" w:rsidRDefault="0045443D" w:rsidP="00013569">
      <w:pPr>
        <w:pStyle w:val="SingleTxt"/>
        <w:spacing w:after="0" w:line="120" w:lineRule="exact"/>
        <w:rPr>
          <w:b/>
          <w:sz w:val="10"/>
          <w:lang w:val="fr-CH"/>
        </w:rPr>
      </w:pPr>
    </w:p>
    <w:p w:rsidR="00013569" w:rsidRPr="00ED6101" w:rsidRDefault="00013569" w:rsidP="000135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6101">
        <w:rPr>
          <w:lang w:val="fr-CH"/>
        </w:rPr>
        <w:tab/>
        <w:t>II.</w:t>
      </w:r>
      <w:r w:rsidRPr="00ED6101">
        <w:rPr>
          <w:lang w:val="fr-CH"/>
        </w:rPr>
        <w:tab/>
        <w:t>Contexte</w:t>
      </w:r>
    </w:p>
    <w:p w:rsidR="00013569" w:rsidRPr="00ED6101" w:rsidRDefault="00013569" w:rsidP="00013569">
      <w:pPr>
        <w:pStyle w:val="SingleTxt"/>
        <w:spacing w:after="0" w:line="120" w:lineRule="exact"/>
        <w:rPr>
          <w:sz w:val="10"/>
          <w:lang w:val="fr-CH"/>
        </w:rPr>
      </w:pPr>
    </w:p>
    <w:p w:rsidR="00013569" w:rsidRPr="00ED6101" w:rsidRDefault="00013569" w:rsidP="00013569">
      <w:pPr>
        <w:pStyle w:val="SingleTxt"/>
        <w:spacing w:after="0" w:line="120" w:lineRule="exact"/>
        <w:rPr>
          <w:sz w:val="10"/>
          <w:lang w:val="fr-CH"/>
        </w:rPr>
      </w:pPr>
    </w:p>
    <w:p w:rsidR="00013569" w:rsidRPr="00ED6101" w:rsidRDefault="00013569" w:rsidP="00013569">
      <w:pPr>
        <w:pStyle w:val="SingleTxt"/>
        <w:numPr>
          <w:ilvl w:val="0"/>
          <w:numId w:val="6"/>
        </w:numPr>
        <w:tabs>
          <w:tab w:val="clear" w:pos="475"/>
          <w:tab w:val="num" w:pos="1742"/>
        </w:tabs>
        <w:ind w:left="1267"/>
        <w:rPr>
          <w:lang w:val="fr-CH"/>
        </w:rPr>
      </w:pPr>
      <w:r w:rsidRPr="00ED6101">
        <w:rPr>
          <w:lang w:val="fr-CH"/>
        </w:rPr>
        <w:t>Afin de mieux comprendre le fonctionnement des plans directeurs logistiques nationaux, le secrétariat a passé en revue un échantillon de 20 de ces plans établis dans la région de la CEE afin d’en tirer des informations. Il encourage les États membres à revoir la liste qui figure en annexe et de lui faire parvenir le cas échéant d’autres plans pour étoffer encore sa base de données. Ces plans ont généralement été élaborés selon des processus différents et ils diffèrent beaucoup les uns des autres. C’est ainsi, par exemple, que leur longueur varie entre 3</w:t>
      </w:r>
      <w:r w:rsidR="0045443D" w:rsidRPr="00ED6101">
        <w:rPr>
          <w:lang w:val="fr-CH"/>
        </w:rPr>
        <w:t> pages et 190 </w:t>
      </w:r>
      <w:r w:rsidRPr="00ED6101">
        <w:rPr>
          <w:lang w:val="fr-CH"/>
        </w:rPr>
        <w:t>pages, qu’ils ont été élaborés à des moments différents compris entre 2006 et 2013 et, qui plus est, qu’ils portent sur des modes de transport différents.</w:t>
      </w:r>
    </w:p>
    <w:p w:rsidR="00013569" w:rsidRPr="00ED6101" w:rsidRDefault="00013569" w:rsidP="00013569">
      <w:pPr>
        <w:pStyle w:val="SingleTxt"/>
        <w:numPr>
          <w:ilvl w:val="0"/>
          <w:numId w:val="6"/>
        </w:numPr>
        <w:tabs>
          <w:tab w:val="clear" w:pos="475"/>
          <w:tab w:val="num" w:pos="1742"/>
        </w:tabs>
        <w:ind w:left="1267"/>
        <w:rPr>
          <w:lang w:val="fr-CH"/>
        </w:rPr>
      </w:pPr>
      <w:r w:rsidRPr="00ED6101">
        <w:rPr>
          <w:lang w:val="fr-CH"/>
        </w:rPr>
        <w:t>Même si tous les plans concernent la logistique et les mouvements de marchandises, ils le font souvent de manières très différentes. L’annexe met en évidence les différents sujets qui sont traités dans chacun de ces plans. Il sera donc nécessaire d’examiner attentivement ces documents afin d’identifier les meilleures pratiques avant de commencer à établir de nouveaux plans.</w:t>
      </w:r>
    </w:p>
    <w:p w:rsidR="00013569" w:rsidRPr="00ED6101" w:rsidRDefault="00013569" w:rsidP="0001356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b/>
          <w:sz w:val="10"/>
          <w:lang w:val="fr-CH"/>
        </w:rPr>
      </w:pPr>
    </w:p>
    <w:p w:rsidR="00013569" w:rsidRPr="00ED6101" w:rsidRDefault="00013569" w:rsidP="0001356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b/>
          <w:sz w:val="10"/>
          <w:lang w:val="fr-CH"/>
        </w:rPr>
      </w:pPr>
    </w:p>
    <w:p w:rsidR="00013569" w:rsidRPr="00ED6101" w:rsidRDefault="00013569" w:rsidP="000135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lang w:val="fr-CH"/>
        </w:rPr>
      </w:pPr>
      <w:r w:rsidRPr="00ED6101">
        <w:rPr>
          <w:b/>
          <w:spacing w:val="-2"/>
          <w:sz w:val="28"/>
          <w:lang w:val="fr-CH"/>
        </w:rPr>
        <w:tab/>
        <w:t>III.</w:t>
      </w:r>
      <w:r w:rsidRPr="00ED6101">
        <w:rPr>
          <w:b/>
          <w:spacing w:val="-2"/>
          <w:sz w:val="28"/>
          <w:lang w:val="fr-CH"/>
        </w:rPr>
        <w:tab/>
        <w:t xml:space="preserve">Cadre d’orientation sur la façon d’établir un plan </w:t>
      </w:r>
      <w:r w:rsidRPr="00ED6101">
        <w:rPr>
          <w:b/>
          <w:spacing w:val="-2"/>
          <w:sz w:val="28"/>
          <w:lang w:val="fr-CH"/>
        </w:rPr>
        <w:br/>
        <w:t xml:space="preserve">directeur national pour le transport de marchandises </w:t>
      </w:r>
      <w:r w:rsidRPr="00ED6101">
        <w:rPr>
          <w:b/>
          <w:spacing w:val="-2"/>
          <w:sz w:val="28"/>
          <w:lang w:val="fr-CH"/>
        </w:rPr>
        <w:br/>
        <w:t>et la logistique</w:t>
      </w:r>
    </w:p>
    <w:p w:rsidR="00013569" w:rsidRPr="00ED6101" w:rsidRDefault="00013569" w:rsidP="0001356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fr-CH"/>
        </w:rPr>
      </w:pPr>
    </w:p>
    <w:p w:rsidR="00013569" w:rsidRPr="00ED6101" w:rsidRDefault="00013569" w:rsidP="0001356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fr-CH"/>
        </w:rPr>
      </w:pPr>
    </w:p>
    <w:p w:rsidR="00013569" w:rsidRPr="00ED6101" w:rsidRDefault="00013569" w:rsidP="00013569">
      <w:pPr>
        <w:numPr>
          <w:ilvl w:val="0"/>
          <w:numId w:val="6"/>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CH"/>
        </w:rPr>
      </w:pPr>
      <w:r w:rsidRPr="00ED6101">
        <w:rPr>
          <w:lang w:val="fr-CH"/>
        </w:rPr>
        <w:t xml:space="preserve">L’annexe montre clairement qu’il n’existe pas de solution unique en matière d’élaboration de plans directeurs mais qu’il peut y avoir une série de principes </w:t>
      </w:r>
      <w:r w:rsidRPr="00ED6101">
        <w:rPr>
          <w:lang w:val="fr-CH"/>
        </w:rPr>
        <w:lastRenderedPageBreak/>
        <w:t xml:space="preserve">généraux à suivre pour faire en sorte que les plans répondent aux besoins des différents États membres. Il peut par exemple arriver que l’intégration entre les modes de transport oblige à inclure le transport de passagers dans le plan directeur, comme c’est le cas dans certains des plans passés en revue. </w:t>
      </w:r>
    </w:p>
    <w:p w:rsidR="00013569" w:rsidRPr="00ED6101" w:rsidRDefault="00013569" w:rsidP="00013569">
      <w:pPr>
        <w:numPr>
          <w:ilvl w:val="0"/>
          <w:numId w:val="6"/>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CH"/>
        </w:rPr>
      </w:pPr>
      <w:r w:rsidRPr="00ED6101">
        <w:rPr>
          <w:lang w:val="fr-CH"/>
        </w:rPr>
        <w:t xml:space="preserve">Pour pouvoir élaborer des plans nationaux appropriés il est fondamental d’avoir tout d’abord une connaissance détaillée de l’organisation actuelle du marché du transport de marchandises et de la logistique dans le contexte national. Il s’agit de commencer par s’interroger sur l’histoire du développement du secteur du transport, sur la manière dont il est organisé, sur le cadre réglementaire qui lui est applicable et sur ses principaux acteurs. Ce n’est qu’en connaissant la structure réelle du secteur que l’on peut prendre une décision pertinente sur la manière d’aller de l’avant. </w:t>
      </w:r>
    </w:p>
    <w:p w:rsidR="00013569" w:rsidRPr="00ED6101" w:rsidRDefault="00013569" w:rsidP="00013569">
      <w:pPr>
        <w:numPr>
          <w:ilvl w:val="0"/>
          <w:numId w:val="6"/>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CH"/>
        </w:rPr>
      </w:pPr>
      <w:r w:rsidRPr="00ED6101">
        <w:rPr>
          <w:lang w:val="fr-CH"/>
        </w:rPr>
        <w:t>Pour comprendre comment fonctionne le secteur, il est fondamental de prendre l’avis de ceux qui y participent. Il est donc fortement recommandé aux États membres de procéder à un échange de vues avec le secteur sur son fonctionnement actuel et sur son évolution souhaitable. Cela pourrait se faire au moyen d’une enquête, d’un atelier ou d’auditions spéciales, en impliquant tous les domaines du secteur, ceux qui y travaillent, ses fournisseurs et ses consommateurs, ainsi que ceux qui ont un rôle réglementaire et/ou de surveillance du marché. Il est important que cela se fasse, car un plan national ne saurait être efficace qu’avec la participation et le soutien de toutes les parties prenantes intéressées.</w:t>
      </w:r>
    </w:p>
    <w:p w:rsidR="00013569" w:rsidRPr="00ED6101" w:rsidRDefault="00013569" w:rsidP="0045443D">
      <w:pPr>
        <w:numPr>
          <w:ilvl w:val="0"/>
          <w:numId w:val="6"/>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CH"/>
        </w:rPr>
      </w:pPr>
      <w:r w:rsidRPr="00ED6101">
        <w:rPr>
          <w:lang w:val="fr-CH"/>
        </w:rPr>
        <w:t>Il s’agit, à ce stade, de décider s’il faut inclure ou non le transport des passagers dans le plan, comme évoqué au p</w:t>
      </w:r>
      <w:r w:rsidR="0045443D" w:rsidRPr="00ED6101">
        <w:rPr>
          <w:lang w:val="fr-CH"/>
        </w:rPr>
        <w:t>aragraphe </w:t>
      </w:r>
      <w:r w:rsidRPr="00ED6101">
        <w:rPr>
          <w:lang w:val="fr-CH"/>
        </w:rPr>
        <w:t xml:space="preserve">6 ci-dessus. Il faut aussi prendre une décision concernant l’horizon temporal du plan. S’il est trop court (moins de </w:t>
      </w:r>
      <w:r w:rsidR="0045443D" w:rsidRPr="00ED6101">
        <w:rPr>
          <w:lang w:val="fr-CH"/>
        </w:rPr>
        <w:t xml:space="preserve">cinq </w:t>
      </w:r>
      <w:r w:rsidRPr="00ED6101">
        <w:rPr>
          <w:lang w:val="fr-CH"/>
        </w:rPr>
        <w:t xml:space="preserve">ans) le plan risque d’être difficile à mettre en œuvre et ses effets difficiles à mesurer. Il exclurait aussi les investissements, car leur impact ne serait pas identifiable. Un plan trop long (plus de </w:t>
      </w:r>
      <w:r w:rsidR="0045443D" w:rsidRPr="00ED6101">
        <w:rPr>
          <w:lang w:val="fr-CH"/>
        </w:rPr>
        <w:t xml:space="preserve">vingt-cinq </w:t>
      </w:r>
      <w:r w:rsidRPr="00ED6101">
        <w:rPr>
          <w:lang w:val="fr-CH"/>
        </w:rPr>
        <w:t>ans) risque de devenir obsolète et de passer à côté de changements technologiques ou politiques plus larges.</w:t>
      </w:r>
      <w:r w:rsidR="0045443D" w:rsidRPr="00ED6101">
        <w:rPr>
          <w:lang w:val="fr-CH"/>
        </w:rPr>
        <w:t xml:space="preserve"> </w:t>
      </w:r>
    </w:p>
    <w:p w:rsidR="00013569" w:rsidRPr="00ED6101" w:rsidRDefault="00013569" w:rsidP="00013569">
      <w:pPr>
        <w:numPr>
          <w:ilvl w:val="0"/>
          <w:numId w:val="6"/>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CH"/>
        </w:rPr>
      </w:pPr>
      <w:r w:rsidRPr="00ED6101">
        <w:rPr>
          <w:lang w:val="fr-CH"/>
        </w:rPr>
        <w:t>Dans cette phase, après avoir pris l’avis du secteur, il importe de commencer à définir les objectifs principaux du plan national et la manière dont ils doivent s’inscrire dans la politique générale des transports. Ce faisant, il convient de prendre en considération des objectifs tels que (liste non exhaustive)</w:t>
      </w:r>
      <w:r w:rsidR="0045443D" w:rsidRPr="00ED6101">
        <w:rPr>
          <w:lang w:val="fr-CH"/>
        </w:rPr>
        <w:t> :</w:t>
      </w:r>
    </w:p>
    <w:p w:rsidR="00013569" w:rsidRPr="00ED6101" w:rsidRDefault="00013569" w:rsidP="0045443D">
      <w:pPr>
        <w:pStyle w:val="Bullet1"/>
        <w:rPr>
          <w:lang w:val="fr-CH"/>
        </w:rPr>
      </w:pPr>
      <w:r w:rsidRPr="00ED6101">
        <w:rPr>
          <w:lang w:val="fr-CH"/>
        </w:rPr>
        <w:t>Le transfert modal;</w:t>
      </w:r>
    </w:p>
    <w:p w:rsidR="00013569" w:rsidRPr="00ED6101" w:rsidRDefault="00013569" w:rsidP="0045443D">
      <w:pPr>
        <w:pStyle w:val="Bullet1"/>
        <w:rPr>
          <w:lang w:val="fr-CH"/>
        </w:rPr>
      </w:pPr>
      <w:r w:rsidRPr="00ED6101">
        <w:rPr>
          <w:lang w:val="fr-CH"/>
        </w:rPr>
        <w:t>L’utilisation optimale des transports;</w:t>
      </w:r>
    </w:p>
    <w:p w:rsidR="00013569" w:rsidRPr="00ED6101" w:rsidRDefault="00013569" w:rsidP="0045443D">
      <w:pPr>
        <w:pStyle w:val="Bullet1"/>
        <w:rPr>
          <w:lang w:val="fr-CH"/>
        </w:rPr>
      </w:pPr>
      <w:r w:rsidRPr="00ED6101">
        <w:rPr>
          <w:lang w:val="fr-CH"/>
        </w:rPr>
        <w:t>L’optimisation de l’efficience logistique;</w:t>
      </w:r>
    </w:p>
    <w:p w:rsidR="00013569" w:rsidRPr="00ED6101" w:rsidRDefault="00013569" w:rsidP="0045443D">
      <w:pPr>
        <w:pStyle w:val="Bullet1"/>
        <w:rPr>
          <w:lang w:val="fr-CH"/>
        </w:rPr>
      </w:pPr>
      <w:r w:rsidRPr="00ED6101">
        <w:rPr>
          <w:lang w:val="fr-CH"/>
        </w:rPr>
        <w:t>L’amélioration de la technologie;</w:t>
      </w:r>
    </w:p>
    <w:p w:rsidR="00013569" w:rsidRPr="00ED6101" w:rsidRDefault="00013569" w:rsidP="0045443D">
      <w:pPr>
        <w:pStyle w:val="Bullet1"/>
        <w:rPr>
          <w:lang w:val="fr-CH"/>
        </w:rPr>
      </w:pPr>
      <w:r w:rsidRPr="00ED6101">
        <w:rPr>
          <w:lang w:val="fr-CH"/>
        </w:rPr>
        <w:t>La réduction de l’impact du transport de marchandises sur l’environnement</w:t>
      </w:r>
      <w:r w:rsidR="0045443D" w:rsidRPr="00ED6101">
        <w:rPr>
          <w:lang w:val="fr-CH"/>
        </w:rPr>
        <w:t>;</w:t>
      </w:r>
    </w:p>
    <w:p w:rsidR="00013569" w:rsidRPr="00ED6101" w:rsidRDefault="00013569" w:rsidP="0045443D">
      <w:pPr>
        <w:pStyle w:val="Bullet1"/>
        <w:rPr>
          <w:lang w:val="fr-CH"/>
        </w:rPr>
      </w:pPr>
      <w:r w:rsidRPr="00ED6101">
        <w:rPr>
          <w:lang w:val="fr-CH"/>
        </w:rPr>
        <w:t>L’optimisation du transport de marchandises au niveau national et local (logistique urbaine).</w:t>
      </w:r>
    </w:p>
    <w:p w:rsidR="00013569" w:rsidRPr="00ED6101" w:rsidRDefault="00013569" w:rsidP="00013569">
      <w:pPr>
        <w:numPr>
          <w:ilvl w:val="0"/>
          <w:numId w:val="6"/>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CH"/>
        </w:rPr>
      </w:pPr>
      <w:r w:rsidRPr="00ED6101">
        <w:rPr>
          <w:lang w:val="fr-CH"/>
        </w:rPr>
        <w:t>Chacun de ces objectifs doit être précisé en détail et basé sur le principe SMART (objectifs spécifiques, mesurables, réalisables, pertinents et opportuns). En vertu de ce principe, il est important que des indicateurs appropriés soient mis en place pour surveiller la mise en œuvre de ces objectifs. Ainsi, par exemple, un objectif visant à transférer le fret à des modes de transport plus durables pourrait avoir comme indicateur l’évolution des parts de marché des différents modes de transport. D’une manière générale, ces indicateurs devraient autant que possible être des indicateurs de réalisations, de résultats et/ou d’impact, définis comme suit</w:t>
      </w:r>
      <w:r w:rsidR="0045443D" w:rsidRPr="00ED6101">
        <w:rPr>
          <w:lang w:val="fr-CH"/>
        </w:rPr>
        <w:t> :</w:t>
      </w:r>
    </w:p>
    <w:p w:rsidR="00013569" w:rsidRPr="00ED6101" w:rsidRDefault="00013569" w:rsidP="0045443D">
      <w:pPr>
        <w:pStyle w:val="Bullet1"/>
        <w:rPr>
          <w:lang w:val="fr-CH"/>
        </w:rPr>
      </w:pPr>
      <w:r w:rsidRPr="00ED6101">
        <w:rPr>
          <w:lang w:val="fr-CH"/>
        </w:rPr>
        <w:lastRenderedPageBreak/>
        <w:t>Les indicateurs de réalisations mesurent les réalisations physiques, telles que le nombre de kilomètres de route construits, démontrant les progrès réalisés dans la mise en œuvre d’une mesure du programme;</w:t>
      </w:r>
    </w:p>
    <w:p w:rsidR="00013569" w:rsidRPr="00ED6101" w:rsidRDefault="00013569" w:rsidP="0045443D">
      <w:pPr>
        <w:pStyle w:val="Bullet1"/>
        <w:rPr>
          <w:lang w:val="fr-CH"/>
        </w:rPr>
      </w:pPr>
      <w:r w:rsidRPr="00ED6101">
        <w:rPr>
          <w:lang w:val="fr-CH"/>
        </w:rPr>
        <w:t>Les indicateurs de résultats mesurent les effets immédiats pour les bénéficiaires directs des programmes financés (par exemple la diminution du temps de parcours); et</w:t>
      </w:r>
    </w:p>
    <w:p w:rsidR="00013569" w:rsidRPr="00ED6101" w:rsidRDefault="00013569" w:rsidP="0045443D">
      <w:pPr>
        <w:pStyle w:val="Bullet1"/>
        <w:rPr>
          <w:lang w:val="fr-CH"/>
        </w:rPr>
      </w:pPr>
      <w:r w:rsidRPr="00ED6101">
        <w:rPr>
          <w:lang w:val="fr-CH"/>
        </w:rPr>
        <w:t xml:space="preserve">Les indicateurs d’impact déterminent dans quelle mesure les résultats obtenus contribuent à atteindre les objectifs généraux et spécifiques (par exemple l’accroissement du transport de marchandises). </w:t>
      </w:r>
    </w:p>
    <w:p w:rsidR="00013569" w:rsidRPr="00ED6101" w:rsidRDefault="00013569" w:rsidP="00013569">
      <w:pPr>
        <w:numPr>
          <w:ilvl w:val="0"/>
          <w:numId w:val="6"/>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CH"/>
        </w:rPr>
      </w:pPr>
      <w:r w:rsidRPr="00ED6101">
        <w:rPr>
          <w:lang w:val="fr-CH"/>
        </w:rPr>
        <w:t xml:space="preserve">Une fois fixés les principaux objectifs du plan national et précisé le moyen de suivre les progrès réalisés, il est important de définir ce que doivent faire les autorités nationales pour atteindre ces objectifs. Il s’agira essentiellement de mesures de nature politique mais probablement aussi de certaines actions d’investissement. Pour savoir quelles mesures peuvent être prises il faut tout d’abord consulter la base de données sur les politiques de transport intermodal qui est accessible sur le site Web de la CEE. Cela devrait donner des indications sur ce qui a été fait dans d’autres États membres. </w:t>
      </w:r>
    </w:p>
    <w:p w:rsidR="00013569" w:rsidRPr="00D13678" w:rsidRDefault="00013569" w:rsidP="00013569">
      <w:pPr>
        <w:numPr>
          <w:ilvl w:val="0"/>
          <w:numId w:val="6"/>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pacing w:val="2"/>
          <w:lang w:val="fr-CH"/>
        </w:rPr>
      </w:pPr>
      <w:r w:rsidRPr="00D13678">
        <w:rPr>
          <w:spacing w:val="2"/>
          <w:lang w:val="fr-CH"/>
        </w:rPr>
        <w:t>Ces mesures de nature politique devront être identifiées et la raison d’une telle initiative politique discutée en détail, de même que les résultats attendus de ces mesures. Ces recommandations doivent ensuite faire partie intégrante du plan lui-même.</w:t>
      </w:r>
      <w:r w:rsidR="0045443D" w:rsidRPr="00D13678">
        <w:rPr>
          <w:spacing w:val="2"/>
          <w:lang w:val="fr-CH"/>
        </w:rPr>
        <w:t xml:space="preserve"> </w:t>
      </w:r>
    </w:p>
    <w:p w:rsidR="00013569" w:rsidRPr="00ED6101" w:rsidRDefault="00013569" w:rsidP="00013569">
      <w:pPr>
        <w:numPr>
          <w:ilvl w:val="0"/>
          <w:numId w:val="6"/>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CH"/>
        </w:rPr>
      </w:pPr>
      <w:r w:rsidRPr="00ED6101">
        <w:rPr>
          <w:lang w:val="fr-CH"/>
        </w:rPr>
        <w:t xml:space="preserve">Un certain nombre d’années après la mise en œuvre des mesures politiques et des indicateurs, l’administration nationale devra tirer les leçons de cet exercice pour actualiser le plan national comme il convient. </w:t>
      </w:r>
    </w:p>
    <w:p w:rsidR="00013569" w:rsidRPr="00ED6101" w:rsidRDefault="00013569" w:rsidP="00013569">
      <w:pPr>
        <w:numPr>
          <w:ilvl w:val="0"/>
          <w:numId w:val="6"/>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CH"/>
        </w:rPr>
      </w:pPr>
      <w:r w:rsidRPr="00ED6101">
        <w:rPr>
          <w:lang w:val="fr-CH"/>
        </w:rPr>
        <w:t>Ces idées initiales peuvent être résumées dans la figure présentée ci-dessous.</w:t>
      </w:r>
    </w:p>
    <w:p w:rsidR="00013569" w:rsidRPr="00ED6101" w:rsidRDefault="00013569" w:rsidP="00013569">
      <w:pPr>
        <w:pStyle w:val="SingleTxt"/>
        <w:spacing w:after="0" w:line="120" w:lineRule="exact"/>
        <w:rPr>
          <w:sz w:val="10"/>
          <w:lang w:val="fr-CH"/>
        </w:rPr>
      </w:pPr>
    </w:p>
    <w:p w:rsidR="0045443D" w:rsidRPr="00ED6101" w:rsidRDefault="0045443D" w:rsidP="00013569">
      <w:pPr>
        <w:pStyle w:val="SingleTxt"/>
        <w:spacing w:after="0" w:line="120" w:lineRule="exact"/>
        <w:rPr>
          <w:sz w:val="10"/>
          <w:lang w:val="fr-CH"/>
        </w:rPr>
      </w:pPr>
    </w:p>
    <w:p w:rsidR="00013569" w:rsidRPr="00ED6101" w:rsidRDefault="00013569" w:rsidP="000135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6101">
        <w:rPr>
          <w:b w:val="0"/>
          <w:lang w:val="fr-CH"/>
        </w:rPr>
        <w:lastRenderedPageBreak/>
        <w:tab/>
      </w:r>
      <w:r w:rsidRPr="00ED6101">
        <w:rPr>
          <w:b w:val="0"/>
          <w:lang w:val="fr-CH"/>
        </w:rPr>
        <w:tab/>
        <w:t>Figure 1</w:t>
      </w:r>
      <w:r w:rsidRPr="00ED6101">
        <w:rPr>
          <w:lang w:val="fr-CH"/>
        </w:rPr>
        <w:t xml:space="preserve"> </w:t>
      </w:r>
      <w:r w:rsidRPr="00ED6101">
        <w:rPr>
          <w:lang w:val="fr-CH"/>
        </w:rPr>
        <w:br/>
        <w:t>Processus d’élaboration des plans nationaux</w:t>
      </w:r>
    </w:p>
    <w:p w:rsidR="00013569" w:rsidRPr="00ED6101" w:rsidRDefault="00013569" w:rsidP="0045443D">
      <w:pPr>
        <w:pStyle w:val="SingleTxt"/>
        <w:keepNext/>
        <w:spacing w:after="0" w:line="120" w:lineRule="exact"/>
        <w:rPr>
          <w:sz w:val="10"/>
          <w:lang w:val="fr-CH"/>
        </w:rPr>
      </w:pPr>
    </w:p>
    <w:p w:rsidR="00013569" w:rsidRPr="00ED6101" w:rsidRDefault="00013569" w:rsidP="0045443D">
      <w:pPr>
        <w:pStyle w:val="SingleTxt"/>
        <w:keepNext/>
        <w:spacing w:after="0" w:line="120" w:lineRule="exact"/>
        <w:rPr>
          <w:sz w:val="10"/>
          <w:lang w:val="fr-CH"/>
        </w:rPr>
      </w:pPr>
    </w:p>
    <w:p w:rsidR="00013569" w:rsidRPr="00ED6101" w:rsidRDefault="0045443D" w:rsidP="00013569">
      <w:pPr>
        <w:pStyle w:val="SingleTxt"/>
        <w:spacing w:after="0" w:line="240" w:lineRule="auto"/>
        <w:rPr>
          <w:b/>
          <w:lang w:val="fr-CH"/>
        </w:rPr>
      </w:pPr>
      <w:r w:rsidRPr="00ED6101">
        <w:rPr>
          <w:noProof/>
          <w:w w:val="100"/>
          <w:sz w:val="24"/>
          <w:szCs w:val="24"/>
          <w:lang w:val="en-US"/>
        </w:rPr>
        <mc:AlternateContent>
          <mc:Choice Requires="wps">
            <w:drawing>
              <wp:anchor distT="0" distB="0" distL="114300" distR="114300" simplePos="0" relativeHeight="251671552" behindDoc="0" locked="0" layoutInCell="1" allowOverlap="1" wp14:anchorId="7A034D88" wp14:editId="6BC265FF">
                <wp:simplePos x="0" y="0"/>
                <wp:positionH relativeFrom="column">
                  <wp:posOffset>2749179</wp:posOffset>
                </wp:positionH>
                <wp:positionV relativeFrom="paragraph">
                  <wp:posOffset>1111885</wp:posOffset>
                </wp:positionV>
                <wp:extent cx="1310640" cy="306070"/>
                <wp:effectExtent l="0" t="0" r="3810" b="0"/>
                <wp:wrapNone/>
                <wp:docPr id="18" name="Text Box 18"/>
                <wp:cNvGraphicFramePr/>
                <a:graphic xmlns:a="http://schemas.openxmlformats.org/drawingml/2006/main">
                  <a:graphicData uri="http://schemas.microsoft.com/office/word/2010/wordprocessingShape">
                    <wps:wsp>
                      <wps:cNvSpPr txBox="1"/>
                      <wps:spPr>
                        <a:xfrm>
                          <a:off x="0" y="0"/>
                          <a:ext cx="1310640" cy="306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569" w:rsidRPr="00FB0A0F" w:rsidRDefault="00013569" w:rsidP="00013569">
                            <w:pPr>
                              <w:spacing w:line="240" w:lineRule="auto"/>
                              <w:jc w:val="center"/>
                              <w:rPr>
                                <w:color w:val="FFFFFF" w:themeColor="background1"/>
                                <w:sz w:val="18"/>
                                <w:szCs w:val="18"/>
                                <w:lang w:val="fr-CH"/>
                              </w:rPr>
                            </w:pPr>
                            <w:r w:rsidRPr="00FB0A0F">
                              <w:rPr>
                                <w:b/>
                                <w:color w:val="FFFFFF" w:themeColor="background1"/>
                                <w:sz w:val="18"/>
                                <w:szCs w:val="18"/>
                                <w:lang w:val="fr-CH"/>
                              </w:rPr>
                              <w:t>Plans directeurs nationaux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16.45pt;margin-top:87.55pt;width:103.2pt;height:2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" filled="f" stroked="f" strokeweight=".5pt">
                <v:textbox inset="0,0,0,0">
                  <w:txbxContent>
                    <w:p w:rsidR="00013569" w:rsidRPr="00FB0A0F" w:rsidRDefault="00013569" w:rsidP="00013569">
                      <w:pPr>
                        <w:spacing w:line="240" w:lineRule="auto"/>
                        <w:jc w:val="center"/>
                        <w:rPr>
                          <w:color w:val="FFFFFF" w:themeColor="background1"/>
                          <w:sz w:val="18"/>
                          <w:szCs w:val="18"/>
                          <w:lang w:val="fr-CH"/>
                        </w:rPr>
                      </w:pPr>
                      <w:r w:rsidRPr="00FB0A0F">
                        <w:rPr>
                          <w:b/>
                          <w:color w:val="FFFFFF" w:themeColor="background1"/>
                          <w:sz w:val="18"/>
                          <w:szCs w:val="18"/>
                          <w:lang w:val="fr-CH"/>
                        </w:rPr>
                        <w:t>Plans directeurs nationaux</w:t>
                      </w:r>
                    </w:p>
                  </w:txbxContent>
                </v:textbox>
              </v:shape>
            </w:pict>
          </mc:Fallback>
        </mc:AlternateContent>
      </w:r>
      <w:r w:rsidRPr="00ED6101">
        <w:rPr>
          <w:noProof/>
          <w:w w:val="100"/>
          <w:sz w:val="24"/>
          <w:szCs w:val="24"/>
          <w:lang w:val="en-US"/>
        </w:rPr>
        <mc:AlternateContent>
          <mc:Choice Requires="wps">
            <w:drawing>
              <wp:anchor distT="0" distB="0" distL="114300" distR="114300" simplePos="0" relativeHeight="251672576" behindDoc="0" locked="0" layoutInCell="1" allowOverlap="1" wp14:anchorId="1BCFD0C3" wp14:editId="0E889CB0">
                <wp:simplePos x="0" y="0"/>
                <wp:positionH relativeFrom="column">
                  <wp:posOffset>2758069</wp:posOffset>
                </wp:positionH>
                <wp:positionV relativeFrom="paragraph">
                  <wp:posOffset>3398520</wp:posOffset>
                </wp:positionV>
                <wp:extent cx="1310640" cy="221615"/>
                <wp:effectExtent l="0" t="0" r="3810" b="6985"/>
                <wp:wrapNone/>
                <wp:docPr id="19" name="Text Box 19"/>
                <wp:cNvGraphicFramePr/>
                <a:graphic xmlns:a="http://schemas.openxmlformats.org/drawingml/2006/main">
                  <a:graphicData uri="http://schemas.microsoft.com/office/word/2010/wordprocessingShape">
                    <wps:wsp>
                      <wps:cNvSpPr txBox="1"/>
                      <wps:spPr>
                        <a:xfrm>
                          <a:off x="0" y="0"/>
                          <a:ext cx="1310640" cy="221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569" w:rsidRPr="00D13678" w:rsidRDefault="00013569" w:rsidP="00013569">
                            <w:pPr>
                              <w:spacing w:line="240" w:lineRule="auto"/>
                              <w:jc w:val="center"/>
                              <w:rPr>
                                <w:color w:val="FFFFFF" w:themeColor="background1"/>
                                <w:sz w:val="18"/>
                                <w:szCs w:val="18"/>
                                <w:lang w:val="fr-CH"/>
                              </w:rPr>
                            </w:pPr>
                            <w:r w:rsidRPr="00D13678">
                              <w:rPr>
                                <w:b/>
                                <w:color w:val="FFFFFF" w:themeColor="background1"/>
                                <w:sz w:val="18"/>
                                <w:szCs w:val="18"/>
                                <w:lang w:val="fr-CH"/>
                              </w:rPr>
                              <w:t>Cycle de production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217.15pt;margin-top:267.6pt;width:103.2pt;height:1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" filled="f" stroked="f" strokeweight=".5pt">
                <v:textbox inset="0,0,0,0">
                  <w:txbxContent>
                    <w:p w:rsidR="00013569" w:rsidRPr="00D13678" w:rsidRDefault="00013569" w:rsidP="00013569">
                      <w:pPr>
                        <w:spacing w:line="240" w:lineRule="auto"/>
                        <w:jc w:val="center"/>
                        <w:rPr>
                          <w:color w:val="FFFFFF" w:themeColor="background1"/>
                          <w:sz w:val="18"/>
                          <w:szCs w:val="18"/>
                          <w:lang w:val="fr-CH"/>
                        </w:rPr>
                      </w:pPr>
                      <w:r w:rsidRPr="00D13678">
                        <w:rPr>
                          <w:b/>
                          <w:color w:val="FFFFFF" w:themeColor="background1"/>
                          <w:sz w:val="18"/>
                          <w:szCs w:val="18"/>
                          <w:lang w:val="fr-CH"/>
                        </w:rPr>
                        <w:t>Cycle de production</w:t>
                      </w:r>
                    </w:p>
                  </w:txbxContent>
                </v:textbox>
              </v:shape>
            </w:pict>
          </mc:Fallback>
        </mc:AlternateContent>
      </w:r>
      <w:r w:rsidRPr="00ED6101">
        <w:rPr>
          <w:noProof/>
          <w:w w:val="100"/>
          <w:sz w:val="24"/>
          <w:szCs w:val="24"/>
          <w:lang w:val="en-US"/>
        </w:rPr>
        <mc:AlternateContent>
          <mc:Choice Requires="wps">
            <w:drawing>
              <wp:anchor distT="0" distB="0" distL="114300" distR="114300" simplePos="0" relativeHeight="251659264" behindDoc="0" locked="0" layoutInCell="1" allowOverlap="1" wp14:anchorId="29EFC93B" wp14:editId="6F07A63C">
                <wp:simplePos x="0" y="0"/>
                <wp:positionH relativeFrom="column">
                  <wp:posOffset>3071495</wp:posOffset>
                </wp:positionH>
                <wp:positionV relativeFrom="paragraph">
                  <wp:posOffset>170180</wp:posOffset>
                </wp:positionV>
                <wp:extent cx="647700" cy="508635"/>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647700" cy="508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569" w:rsidRPr="00D13678" w:rsidRDefault="00013569" w:rsidP="00013569">
                            <w:pPr>
                              <w:spacing w:line="240" w:lineRule="auto"/>
                              <w:jc w:val="center"/>
                              <w:rPr>
                                <w:color w:val="FFFFFF" w:themeColor="background1"/>
                                <w:sz w:val="16"/>
                                <w:szCs w:val="16"/>
                                <w:lang w:val="fr-CH"/>
                              </w:rPr>
                            </w:pPr>
                            <w:r w:rsidRPr="00D13678">
                              <w:rPr>
                                <w:color w:val="FFFFFF" w:themeColor="background1"/>
                                <w:sz w:val="16"/>
                                <w:szCs w:val="16"/>
                                <w:lang w:val="fr-CH"/>
                              </w:rPr>
                              <w:t>Analyse des structures actuelles du marché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41.85pt;margin-top:13.4pt;width:51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" filled="f" stroked="f" strokeweight=".5pt">
                <v:textbox inset="0,0,0,0">
                  <w:txbxContent>
                    <w:p w:rsidR="00013569" w:rsidRPr="00D13678" w:rsidRDefault="00013569" w:rsidP="00013569">
                      <w:pPr>
                        <w:spacing w:line="240" w:lineRule="auto"/>
                        <w:jc w:val="center"/>
                        <w:rPr>
                          <w:color w:val="FFFFFF" w:themeColor="background1"/>
                          <w:sz w:val="16"/>
                          <w:szCs w:val="16"/>
                          <w:lang w:val="fr-CH"/>
                        </w:rPr>
                      </w:pPr>
                      <w:r w:rsidRPr="00D13678">
                        <w:rPr>
                          <w:color w:val="FFFFFF" w:themeColor="background1"/>
                          <w:sz w:val="16"/>
                          <w:szCs w:val="16"/>
                          <w:lang w:val="fr-CH"/>
                        </w:rPr>
                        <w:t>Analyse des structures actuelles du marché</w:t>
                      </w:r>
                    </w:p>
                  </w:txbxContent>
                </v:textbox>
              </v:shape>
            </w:pict>
          </mc:Fallback>
        </mc:AlternateContent>
      </w:r>
      <w:r w:rsidRPr="00ED6101">
        <w:rPr>
          <w:noProof/>
          <w:w w:val="100"/>
          <w:sz w:val="24"/>
          <w:szCs w:val="24"/>
          <w:lang w:val="en-US"/>
        </w:rPr>
        <mc:AlternateContent>
          <mc:Choice Requires="wps">
            <w:drawing>
              <wp:anchor distT="0" distB="0" distL="114300" distR="114300" simplePos="0" relativeHeight="251660288" behindDoc="0" locked="0" layoutInCell="1" allowOverlap="1" wp14:anchorId="138148C8" wp14:editId="61D1D33B">
                <wp:simplePos x="0" y="0"/>
                <wp:positionH relativeFrom="column">
                  <wp:posOffset>4071356</wp:posOffset>
                </wp:positionH>
                <wp:positionV relativeFrom="paragraph">
                  <wp:posOffset>419735</wp:posOffset>
                </wp:positionV>
                <wp:extent cx="646981" cy="525780"/>
                <wp:effectExtent l="0" t="0" r="1270" b="7620"/>
                <wp:wrapNone/>
                <wp:docPr id="7" name="Text Box 7"/>
                <wp:cNvGraphicFramePr/>
                <a:graphic xmlns:a="http://schemas.openxmlformats.org/drawingml/2006/main">
                  <a:graphicData uri="http://schemas.microsoft.com/office/word/2010/wordprocessingShape">
                    <wps:wsp>
                      <wps:cNvSpPr txBox="1"/>
                      <wps:spPr>
                        <a:xfrm>
                          <a:off x="0" y="0"/>
                          <a:ext cx="646981"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569" w:rsidRPr="00D13678" w:rsidRDefault="00013569" w:rsidP="00013569">
                            <w:pPr>
                              <w:spacing w:line="240" w:lineRule="auto"/>
                              <w:jc w:val="center"/>
                              <w:rPr>
                                <w:color w:val="FFFFFF" w:themeColor="background1"/>
                                <w:sz w:val="16"/>
                                <w:szCs w:val="16"/>
                                <w:lang w:val="fr-CH"/>
                              </w:rPr>
                            </w:pPr>
                            <w:r w:rsidRPr="00D13678">
                              <w:rPr>
                                <w:color w:val="FFFFFF" w:themeColor="background1"/>
                                <w:sz w:val="16"/>
                                <w:szCs w:val="16"/>
                                <w:lang w:val="fr-CH"/>
                              </w:rPr>
                              <w:t>Identification des intervenants du secteur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20.6pt;margin-top:33.05pt;width:50.95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" filled="f" stroked="f" strokeweight=".5pt">
                <v:textbox inset="0,0,0,0">
                  <w:txbxContent>
                    <w:p w:rsidR="00013569" w:rsidRPr="00D13678" w:rsidRDefault="00013569" w:rsidP="00013569">
                      <w:pPr>
                        <w:spacing w:line="240" w:lineRule="auto"/>
                        <w:jc w:val="center"/>
                        <w:rPr>
                          <w:color w:val="FFFFFF" w:themeColor="background1"/>
                          <w:sz w:val="16"/>
                          <w:szCs w:val="16"/>
                          <w:lang w:val="fr-CH"/>
                        </w:rPr>
                      </w:pPr>
                      <w:r w:rsidRPr="00D13678">
                        <w:rPr>
                          <w:color w:val="FFFFFF" w:themeColor="background1"/>
                          <w:sz w:val="16"/>
                          <w:szCs w:val="16"/>
                          <w:lang w:val="fr-CH"/>
                        </w:rPr>
                        <w:t>Identification des intervenants du secteur</w:t>
                      </w:r>
                    </w:p>
                  </w:txbxContent>
                </v:textbox>
              </v:shape>
            </w:pict>
          </mc:Fallback>
        </mc:AlternateContent>
      </w:r>
      <w:r w:rsidRPr="00ED6101">
        <w:rPr>
          <w:noProof/>
          <w:w w:val="100"/>
          <w:sz w:val="24"/>
          <w:szCs w:val="24"/>
          <w:lang w:val="en-US"/>
        </w:rPr>
        <mc:AlternateContent>
          <mc:Choice Requires="wps">
            <w:drawing>
              <wp:anchor distT="0" distB="0" distL="114300" distR="114300" simplePos="0" relativeHeight="251661312" behindDoc="0" locked="0" layoutInCell="1" allowOverlap="1" wp14:anchorId="49A16F93" wp14:editId="51423EE1">
                <wp:simplePos x="0" y="0"/>
                <wp:positionH relativeFrom="column">
                  <wp:posOffset>4803140</wp:posOffset>
                </wp:positionH>
                <wp:positionV relativeFrom="paragraph">
                  <wp:posOffset>1180094</wp:posOffset>
                </wp:positionV>
                <wp:extent cx="647700"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477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569" w:rsidRPr="00D13678" w:rsidRDefault="00013569" w:rsidP="00013569">
                            <w:pPr>
                              <w:spacing w:line="240" w:lineRule="auto"/>
                              <w:jc w:val="center"/>
                              <w:rPr>
                                <w:color w:val="FFFFFF" w:themeColor="background1"/>
                                <w:sz w:val="16"/>
                                <w:szCs w:val="16"/>
                                <w:lang w:val="fr-CH"/>
                              </w:rPr>
                            </w:pPr>
                            <w:r w:rsidRPr="00D13678">
                              <w:rPr>
                                <w:color w:val="FFFFFF" w:themeColor="background1"/>
                                <w:sz w:val="16"/>
                                <w:szCs w:val="16"/>
                                <w:lang w:val="fr-CH"/>
                              </w:rPr>
                              <w:t>Consultation des parties prenantes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78.2pt;margin-top:92.9pt;width:5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" filled="f" stroked="f" strokeweight=".5pt">
                <v:textbox inset="0,0,0,0">
                  <w:txbxContent>
                    <w:p w:rsidR="00013569" w:rsidRPr="00D13678" w:rsidRDefault="00013569" w:rsidP="00013569">
                      <w:pPr>
                        <w:spacing w:line="240" w:lineRule="auto"/>
                        <w:jc w:val="center"/>
                        <w:rPr>
                          <w:color w:val="FFFFFF" w:themeColor="background1"/>
                          <w:sz w:val="16"/>
                          <w:szCs w:val="16"/>
                          <w:lang w:val="fr-CH"/>
                        </w:rPr>
                      </w:pPr>
                      <w:r w:rsidRPr="00D13678">
                        <w:rPr>
                          <w:color w:val="FFFFFF" w:themeColor="background1"/>
                          <w:sz w:val="16"/>
                          <w:szCs w:val="16"/>
                          <w:lang w:val="fr-CH"/>
                        </w:rPr>
                        <w:t>Consultation des parties prenantes</w:t>
                      </w:r>
                    </w:p>
                  </w:txbxContent>
                </v:textbox>
              </v:shape>
            </w:pict>
          </mc:Fallback>
        </mc:AlternateContent>
      </w:r>
      <w:r w:rsidRPr="00ED6101">
        <w:rPr>
          <w:noProof/>
          <w:w w:val="100"/>
          <w:sz w:val="24"/>
          <w:szCs w:val="24"/>
          <w:lang w:val="en-US"/>
        </w:rPr>
        <mc:AlternateContent>
          <mc:Choice Requires="wps">
            <w:drawing>
              <wp:anchor distT="0" distB="0" distL="114300" distR="114300" simplePos="0" relativeHeight="251662336" behindDoc="0" locked="0" layoutInCell="1" allowOverlap="1" wp14:anchorId="75732DD4" wp14:editId="5EB21407">
                <wp:simplePos x="0" y="0"/>
                <wp:positionH relativeFrom="column">
                  <wp:posOffset>5076190</wp:posOffset>
                </wp:positionH>
                <wp:positionV relativeFrom="paragraph">
                  <wp:posOffset>2171436</wp:posOffset>
                </wp:positionV>
                <wp:extent cx="647700" cy="457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477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569" w:rsidRPr="00D13678" w:rsidRDefault="00013569" w:rsidP="00013569">
                            <w:pPr>
                              <w:spacing w:line="240" w:lineRule="auto"/>
                              <w:jc w:val="center"/>
                              <w:rPr>
                                <w:color w:val="FFFFFF" w:themeColor="background1"/>
                                <w:sz w:val="16"/>
                                <w:szCs w:val="16"/>
                                <w:lang w:val="fr-CH"/>
                              </w:rPr>
                            </w:pPr>
                            <w:r w:rsidRPr="00D13678">
                              <w:rPr>
                                <w:color w:val="FFFFFF" w:themeColor="background1"/>
                                <w:sz w:val="16"/>
                                <w:szCs w:val="16"/>
                                <w:lang w:val="fr-CH"/>
                              </w:rPr>
                              <w:t>Inclusion des secteurs des transports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99.7pt;margin-top:171pt;width:5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" filled="f" stroked="f" strokeweight=".5pt">
                <v:textbox inset="0,0,0,0">
                  <w:txbxContent>
                    <w:p w:rsidR="00013569" w:rsidRPr="00D13678" w:rsidRDefault="00013569" w:rsidP="00013569">
                      <w:pPr>
                        <w:spacing w:line="240" w:lineRule="auto"/>
                        <w:jc w:val="center"/>
                        <w:rPr>
                          <w:color w:val="FFFFFF" w:themeColor="background1"/>
                          <w:sz w:val="16"/>
                          <w:szCs w:val="16"/>
                          <w:lang w:val="fr-CH"/>
                        </w:rPr>
                      </w:pPr>
                      <w:r w:rsidRPr="00D13678">
                        <w:rPr>
                          <w:color w:val="FFFFFF" w:themeColor="background1"/>
                          <w:sz w:val="16"/>
                          <w:szCs w:val="16"/>
                          <w:lang w:val="fr-CH"/>
                        </w:rPr>
                        <w:t>Inclusion des secteurs des transports</w:t>
                      </w:r>
                    </w:p>
                  </w:txbxContent>
                </v:textbox>
              </v:shape>
            </w:pict>
          </mc:Fallback>
        </mc:AlternateContent>
      </w:r>
      <w:r w:rsidRPr="00ED6101">
        <w:rPr>
          <w:noProof/>
          <w:w w:val="100"/>
          <w:sz w:val="24"/>
          <w:szCs w:val="24"/>
          <w:lang w:val="en-US"/>
        </w:rPr>
        <mc:AlternateContent>
          <mc:Choice Requires="wps">
            <w:drawing>
              <wp:anchor distT="0" distB="0" distL="114300" distR="114300" simplePos="0" relativeHeight="251663360" behindDoc="0" locked="0" layoutInCell="1" allowOverlap="1" wp14:anchorId="70B72DAD" wp14:editId="3E603D95">
                <wp:simplePos x="0" y="0"/>
                <wp:positionH relativeFrom="column">
                  <wp:posOffset>4803140</wp:posOffset>
                </wp:positionH>
                <wp:positionV relativeFrom="paragraph">
                  <wp:posOffset>3161929</wp:posOffset>
                </wp:positionV>
                <wp:extent cx="647700" cy="457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77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569" w:rsidRPr="00D13678" w:rsidRDefault="00013569" w:rsidP="00013569">
                            <w:pPr>
                              <w:spacing w:line="240" w:lineRule="auto"/>
                              <w:jc w:val="center"/>
                              <w:rPr>
                                <w:color w:val="FFFFFF" w:themeColor="background1"/>
                                <w:sz w:val="16"/>
                                <w:szCs w:val="16"/>
                                <w:lang w:val="fr-CH"/>
                              </w:rPr>
                            </w:pPr>
                            <w:r w:rsidRPr="00D13678">
                              <w:rPr>
                                <w:color w:val="FFFFFF" w:themeColor="background1"/>
                                <w:sz w:val="16"/>
                                <w:szCs w:val="16"/>
                                <w:lang w:val="fr-CH"/>
                              </w:rPr>
                              <w:t>Identification de l’horizon temporel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78.2pt;margin-top:248.95pt;width:51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" filled="f" stroked="f" strokeweight=".5pt">
                <v:textbox inset="0,0,0,0">
                  <w:txbxContent>
                    <w:p w:rsidR="00013569" w:rsidRPr="00D13678" w:rsidRDefault="00013569" w:rsidP="00013569">
                      <w:pPr>
                        <w:spacing w:line="240" w:lineRule="auto"/>
                        <w:jc w:val="center"/>
                        <w:rPr>
                          <w:color w:val="FFFFFF" w:themeColor="background1"/>
                          <w:sz w:val="16"/>
                          <w:szCs w:val="16"/>
                          <w:lang w:val="fr-CH"/>
                        </w:rPr>
                      </w:pPr>
                      <w:r w:rsidRPr="00D13678">
                        <w:rPr>
                          <w:color w:val="FFFFFF" w:themeColor="background1"/>
                          <w:sz w:val="16"/>
                          <w:szCs w:val="16"/>
                          <w:lang w:val="fr-CH"/>
                        </w:rPr>
                        <w:t>Identification de l’horizon temporel</w:t>
                      </w:r>
                    </w:p>
                  </w:txbxContent>
                </v:textbox>
              </v:shape>
            </w:pict>
          </mc:Fallback>
        </mc:AlternateContent>
      </w:r>
      <w:r w:rsidRPr="00ED6101">
        <w:rPr>
          <w:noProof/>
          <w:w w:val="100"/>
          <w:sz w:val="24"/>
          <w:szCs w:val="24"/>
          <w:lang w:val="en-US"/>
        </w:rPr>
        <mc:AlternateContent>
          <mc:Choice Requires="wps">
            <w:drawing>
              <wp:anchor distT="0" distB="0" distL="114300" distR="114300" simplePos="0" relativeHeight="251664384" behindDoc="0" locked="0" layoutInCell="1" allowOverlap="1" wp14:anchorId="0D276103" wp14:editId="3AC16870">
                <wp:simplePos x="0" y="0"/>
                <wp:positionH relativeFrom="column">
                  <wp:posOffset>4080510</wp:posOffset>
                </wp:positionH>
                <wp:positionV relativeFrom="paragraph">
                  <wp:posOffset>3884031</wp:posOffset>
                </wp:positionV>
                <wp:extent cx="647700" cy="457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477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569" w:rsidRPr="00D13678" w:rsidRDefault="00013569" w:rsidP="00013569">
                            <w:pPr>
                              <w:spacing w:line="240" w:lineRule="auto"/>
                              <w:jc w:val="center"/>
                              <w:rPr>
                                <w:color w:val="FFFFFF" w:themeColor="background1"/>
                                <w:sz w:val="16"/>
                                <w:szCs w:val="16"/>
                                <w:lang w:val="fr-CH"/>
                              </w:rPr>
                            </w:pPr>
                            <w:r w:rsidRPr="00D13678">
                              <w:rPr>
                                <w:color w:val="FFFFFF" w:themeColor="background1"/>
                                <w:sz w:val="16"/>
                                <w:szCs w:val="16"/>
                                <w:lang w:val="fr-CH"/>
                              </w:rPr>
                              <w:t>Établissement des objectifs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321.3pt;margin-top:305.85pt;width:5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" filled="f" stroked="f" strokeweight=".5pt">
                <v:textbox inset="0,0,0,0">
                  <w:txbxContent>
                    <w:p w:rsidR="00013569" w:rsidRPr="00D13678" w:rsidRDefault="00013569" w:rsidP="00013569">
                      <w:pPr>
                        <w:spacing w:line="240" w:lineRule="auto"/>
                        <w:jc w:val="center"/>
                        <w:rPr>
                          <w:color w:val="FFFFFF" w:themeColor="background1"/>
                          <w:sz w:val="16"/>
                          <w:szCs w:val="16"/>
                          <w:lang w:val="fr-CH"/>
                        </w:rPr>
                      </w:pPr>
                      <w:r w:rsidRPr="00D13678">
                        <w:rPr>
                          <w:color w:val="FFFFFF" w:themeColor="background1"/>
                          <w:sz w:val="16"/>
                          <w:szCs w:val="16"/>
                          <w:lang w:val="fr-CH"/>
                        </w:rPr>
                        <w:t>Établissement des objectifs</w:t>
                      </w:r>
                    </w:p>
                  </w:txbxContent>
                </v:textbox>
              </v:shape>
            </w:pict>
          </mc:Fallback>
        </mc:AlternateContent>
      </w:r>
      <w:r w:rsidRPr="00ED6101">
        <w:rPr>
          <w:noProof/>
          <w:w w:val="100"/>
          <w:sz w:val="24"/>
          <w:szCs w:val="24"/>
          <w:lang w:val="en-US"/>
        </w:rPr>
        <mc:AlternateContent>
          <mc:Choice Requires="wps">
            <w:drawing>
              <wp:anchor distT="0" distB="0" distL="114300" distR="114300" simplePos="0" relativeHeight="251665408" behindDoc="0" locked="0" layoutInCell="1" allowOverlap="1" wp14:anchorId="28D05AF1" wp14:editId="5C3DA99D">
                <wp:simplePos x="0" y="0"/>
                <wp:positionH relativeFrom="column">
                  <wp:posOffset>3075305</wp:posOffset>
                </wp:positionH>
                <wp:positionV relativeFrom="paragraph">
                  <wp:posOffset>4085326</wp:posOffset>
                </wp:positionV>
                <wp:extent cx="647700" cy="457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477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569" w:rsidRPr="00D13678" w:rsidRDefault="00013569" w:rsidP="00013569">
                            <w:pPr>
                              <w:spacing w:line="240" w:lineRule="auto"/>
                              <w:jc w:val="center"/>
                              <w:rPr>
                                <w:color w:val="FFFFFF" w:themeColor="background1"/>
                                <w:sz w:val="16"/>
                                <w:szCs w:val="16"/>
                                <w:lang w:val="fr-CH"/>
                              </w:rPr>
                            </w:pPr>
                            <w:r w:rsidRPr="00D13678">
                              <w:rPr>
                                <w:color w:val="FFFFFF" w:themeColor="background1"/>
                                <w:sz w:val="16"/>
                                <w:szCs w:val="16"/>
                                <w:lang w:val="fr-CH"/>
                              </w:rPr>
                              <w:t>Définition des indicateurs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242.15pt;margin-top:321.7pt;width:51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" filled="f" stroked="f" strokeweight=".5pt">
                <v:textbox inset="0,0,0,0">
                  <w:txbxContent>
                    <w:p w:rsidR="00013569" w:rsidRPr="00D13678" w:rsidRDefault="00013569" w:rsidP="00013569">
                      <w:pPr>
                        <w:spacing w:line="240" w:lineRule="auto"/>
                        <w:jc w:val="center"/>
                        <w:rPr>
                          <w:color w:val="FFFFFF" w:themeColor="background1"/>
                          <w:sz w:val="16"/>
                          <w:szCs w:val="16"/>
                          <w:lang w:val="fr-CH"/>
                        </w:rPr>
                      </w:pPr>
                      <w:r w:rsidRPr="00D13678">
                        <w:rPr>
                          <w:color w:val="FFFFFF" w:themeColor="background1"/>
                          <w:sz w:val="16"/>
                          <w:szCs w:val="16"/>
                          <w:lang w:val="fr-CH"/>
                        </w:rPr>
                        <w:t>Définition des indicateurs</w:t>
                      </w:r>
                    </w:p>
                  </w:txbxContent>
                </v:textbox>
              </v:shape>
            </w:pict>
          </mc:Fallback>
        </mc:AlternateContent>
      </w:r>
      <w:r w:rsidRPr="00ED6101">
        <w:rPr>
          <w:noProof/>
          <w:w w:val="100"/>
          <w:sz w:val="24"/>
          <w:szCs w:val="24"/>
          <w:lang w:val="en-US"/>
        </w:rPr>
        <mc:AlternateContent>
          <mc:Choice Requires="wps">
            <w:drawing>
              <wp:anchor distT="0" distB="0" distL="114300" distR="114300" simplePos="0" relativeHeight="251667456" behindDoc="0" locked="0" layoutInCell="1" allowOverlap="1" wp14:anchorId="44A0D29D" wp14:editId="68BC9E0F">
                <wp:simplePos x="0" y="0"/>
                <wp:positionH relativeFrom="column">
                  <wp:posOffset>1348740</wp:posOffset>
                </wp:positionH>
                <wp:positionV relativeFrom="paragraph">
                  <wp:posOffset>3172724</wp:posOffset>
                </wp:positionV>
                <wp:extent cx="647700" cy="457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477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569" w:rsidRPr="00D13678" w:rsidRDefault="00013569" w:rsidP="00013569">
                            <w:pPr>
                              <w:spacing w:line="240" w:lineRule="auto"/>
                              <w:jc w:val="center"/>
                              <w:rPr>
                                <w:color w:val="FFFFFF" w:themeColor="background1"/>
                                <w:sz w:val="16"/>
                                <w:szCs w:val="16"/>
                                <w:lang w:val="fr-CH"/>
                              </w:rPr>
                            </w:pPr>
                            <w:r w:rsidRPr="00D13678">
                              <w:rPr>
                                <w:color w:val="FFFFFF" w:themeColor="background1"/>
                                <w:sz w:val="16"/>
                                <w:szCs w:val="16"/>
                                <w:lang w:val="fr-CH"/>
                              </w:rPr>
                              <w:t>Finalisation des plans nationaux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106.2pt;margin-top:249.8pt;width:51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" filled="f" stroked="f" strokeweight=".5pt">
                <v:textbox inset="0,0,0,0">
                  <w:txbxContent>
                    <w:p w:rsidR="00013569" w:rsidRPr="00D13678" w:rsidRDefault="00013569" w:rsidP="00013569">
                      <w:pPr>
                        <w:spacing w:line="240" w:lineRule="auto"/>
                        <w:jc w:val="center"/>
                        <w:rPr>
                          <w:color w:val="FFFFFF" w:themeColor="background1"/>
                          <w:sz w:val="16"/>
                          <w:szCs w:val="16"/>
                          <w:lang w:val="fr-CH"/>
                        </w:rPr>
                      </w:pPr>
                      <w:r w:rsidRPr="00D13678">
                        <w:rPr>
                          <w:color w:val="FFFFFF" w:themeColor="background1"/>
                          <w:sz w:val="16"/>
                          <w:szCs w:val="16"/>
                          <w:lang w:val="fr-CH"/>
                        </w:rPr>
                        <w:t>Finalisation des plans nationaux</w:t>
                      </w:r>
                    </w:p>
                  </w:txbxContent>
                </v:textbox>
              </v:shape>
            </w:pict>
          </mc:Fallback>
        </mc:AlternateContent>
      </w:r>
      <w:r w:rsidRPr="00ED6101">
        <w:rPr>
          <w:noProof/>
          <w:w w:val="100"/>
          <w:sz w:val="24"/>
          <w:szCs w:val="24"/>
          <w:lang w:val="en-US"/>
        </w:rPr>
        <mc:AlternateContent>
          <mc:Choice Requires="wps">
            <w:drawing>
              <wp:anchor distT="0" distB="0" distL="114300" distR="114300" simplePos="0" relativeHeight="251668480" behindDoc="0" locked="0" layoutInCell="1" allowOverlap="1" wp14:anchorId="27089B2A" wp14:editId="10355B73">
                <wp:simplePos x="0" y="0"/>
                <wp:positionH relativeFrom="column">
                  <wp:posOffset>1072515</wp:posOffset>
                </wp:positionH>
                <wp:positionV relativeFrom="paragraph">
                  <wp:posOffset>2183394</wp:posOffset>
                </wp:positionV>
                <wp:extent cx="647700" cy="4572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477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569" w:rsidRPr="00D13678" w:rsidRDefault="00013569" w:rsidP="00013569">
                            <w:pPr>
                              <w:spacing w:line="240" w:lineRule="auto"/>
                              <w:jc w:val="center"/>
                              <w:rPr>
                                <w:color w:val="FFFFFF" w:themeColor="background1"/>
                                <w:sz w:val="16"/>
                                <w:szCs w:val="16"/>
                                <w:lang w:val="fr-CH"/>
                              </w:rPr>
                            </w:pPr>
                            <w:r w:rsidRPr="00D13678">
                              <w:rPr>
                                <w:color w:val="FFFFFF" w:themeColor="background1"/>
                                <w:sz w:val="16"/>
                                <w:szCs w:val="16"/>
                                <w:lang w:val="fr-CH"/>
                              </w:rPr>
                              <w:t>Surveillance des résultats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84.45pt;margin-top:171.9pt;width:51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" filled="f" stroked="f" strokeweight=".5pt">
                <v:textbox inset="0,0,0,0">
                  <w:txbxContent>
                    <w:p w:rsidR="00013569" w:rsidRPr="00D13678" w:rsidRDefault="00013569" w:rsidP="00013569">
                      <w:pPr>
                        <w:spacing w:line="240" w:lineRule="auto"/>
                        <w:jc w:val="center"/>
                        <w:rPr>
                          <w:color w:val="FFFFFF" w:themeColor="background1"/>
                          <w:sz w:val="16"/>
                          <w:szCs w:val="16"/>
                          <w:lang w:val="fr-CH"/>
                        </w:rPr>
                      </w:pPr>
                      <w:r w:rsidRPr="00D13678">
                        <w:rPr>
                          <w:color w:val="FFFFFF" w:themeColor="background1"/>
                          <w:sz w:val="16"/>
                          <w:szCs w:val="16"/>
                          <w:lang w:val="fr-CH"/>
                        </w:rPr>
                        <w:t>Surveillance des résultats</w:t>
                      </w:r>
                    </w:p>
                  </w:txbxContent>
                </v:textbox>
              </v:shape>
            </w:pict>
          </mc:Fallback>
        </mc:AlternateContent>
      </w:r>
      <w:r w:rsidRPr="00ED6101">
        <w:rPr>
          <w:noProof/>
          <w:w w:val="100"/>
          <w:sz w:val="24"/>
          <w:szCs w:val="24"/>
          <w:lang w:val="en-US"/>
        </w:rPr>
        <mc:AlternateContent>
          <mc:Choice Requires="wps">
            <w:drawing>
              <wp:anchor distT="0" distB="0" distL="114300" distR="114300" simplePos="0" relativeHeight="251669504" behindDoc="0" locked="0" layoutInCell="1" allowOverlap="1" wp14:anchorId="6A01FF4D" wp14:editId="69AC1379">
                <wp:simplePos x="0" y="0"/>
                <wp:positionH relativeFrom="column">
                  <wp:posOffset>1341755</wp:posOffset>
                </wp:positionH>
                <wp:positionV relativeFrom="paragraph">
                  <wp:posOffset>1192266</wp:posOffset>
                </wp:positionV>
                <wp:extent cx="647700" cy="457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477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569" w:rsidRPr="00D13678" w:rsidRDefault="00013569" w:rsidP="00013569">
                            <w:pPr>
                              <w:spacing w:line="240" w:lineRule="auto"/>
                              <w:jc w:val="center"/>
                              <w:rPr>
                                <w:color w:val="FFFFFF" w:themeColor="background1"/>
                                <w:sz w:val="16"/>
                                <w:szCs w:val="16"/>
                                <w:lang w:val="fr-CH"/>
                              </w:rPr>
                            </w:pPr>
                            <w:r w:rsidRPr="00D13678">
                              <w:rPr>
                                <w:color w:val="FFFFFF" w:themeColor="background1"/>
                                <w:sz w:val="16"/>
                                <w:szCs w:val="16"/>
                                <w:lang w:val="fr-CH"/>
                              </w:rPr>
                              <w:t>Leçons tirées et meilleures pratiques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105.65pt;margin-top:93.9pt;width:51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" filled="f" stroked="f" strokeweight=".5pt">
                <v:textbox inset="0,0,0,0">
                  <w:txbxContent>
                    <w:p w:rsidR="00013569" w:rsidRPr="00D13678" w:rsidRDefault="00013569" w:rsidP="00013569">
                      <w:pPr>
                        <w:spacing w:line="240" w:lineRule="auto"/>
                        <w:jc w:val="center"/>
                        <w:rPr>
                          <w:color w:val="FFFFFF" w:themeColor="background1"/>
                          <w:sz w:val="16"/>
                          <w:szCs w:val="16"/>
                          <w:lang w:val="fr-CH"/>
                        </w:rPr>
                      </w:pPr>
                      <w:r w:rsidRPr="00D13678">
                        <w:rPr>
                          <w:color w:val="FFFFFF" w:themeColor="background1"/>
                          <w:sz w:val="16"/>
                          <w:szCs w:val="16"/>
                          <w:lang w:val="fr-CH"/>
                        </w:rPr>
                        <w:t>Leçons tirées et meilleures pratiques</w:t>
                      </w:r>
                    </w:p>
                  </w:txbxContent>
                </v:textbox>
              </v:shape>
            </w:pict>
          </mc:Fallback>
        </mc:AlternateContent>
      </w:r>
      <w:r w:rsidRPr="00ED6101">
        <w:rPr>
          <w:noProof/>
          <w:w w:val="100"/>
          <w:sz w:val="24"/>
          <w:szCs w:val="24"/>
          <w:lang w:val="en-US"/>
        </w:rPr>
        <mc:AlternateContent>
          <mc:Choice Requires="wps">
            <w:drawing>
              <wp:anchor distT="0" distB="0" distL="114300" distR="114300" simplePos="0" relativeHeight="251670528" behindDoc="0" locked="0" layoutInCell="1" allowOverlap="1" wp14:anchorId="0973F562" wp14:editId="40995DB5">
                <wp:simplePos x="0" y="0"/>
                <wp:positionH relativeFrom="column">
                  <wp:posOffset>2079625</wp:posOffset>
                </wp:positionH>
                <wp:positionV relativeFrom="paragraph">
                  <wp:posOffset>468259</wp:posOffset>
                </wp:positionV>
                <wp:extent cx="647700" cy="4572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477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569" w:rsidRPr="00D13678" w:rsidRDefault="00013569" w:rsidP="00013569">
                            <w:pPr>
                              <w:spacing w:line="240" w:lineRule="auto"/>
                              <w:jc w:val="center"/>
                              <w:rPr>
                                <w:color w:val="FFFFFF" w:themeColor="background1"/>
                                <w:sz w:val="16"/>
                                <w:szCs w:val="16"/>
                                <w:lang w:val="fr-CH"/>
                              </w:rPr>
                            </w:pPr>
                            <w:r w:rsidRPr="00D13678">
                              <w:rPr>
                                <w:color w:val="FFFFFF" w:themeColor="background1"/>
                                <w:sz w:val="16"/>
                                <w:szCs w:val="16"/>
                                <w:lang w:val="fr-CH"/>
                              </w:rPr>
                              <w:t>Actualisation du plan national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163.75pt;margin-top:36.85pt;width:51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" filled="f" stroked="f" strokeweight=".5pt">
                <v:textbox inset="0,0,0,0">
                  <w:txbxContent>
                    <w:p w:rsidR="00013569" w:rsidRPr="00D13678" w:rsidRDefault="00013569" w:rsidP="00013569">
                      <w:pPr>
                        <w:spacing w:line="240" w:lineRule="auto"/>
                        <w:jc w:val="center"/>
                        <w:rPr>
                          <w:color w:val="FFFFFF" w:themeColor="background1"/>
                          <w:sz w:val="16"/>
                          <w:szCs w:val="16"/>
                          <w:lang w:val="fr-CH"/>
                        </w:rPr>
                      </w:pPr>
                      <w:r w:rsidRPr="00D13678">
                        <w:rPr>
                          <w:color w:val="FFFFFF" w:themeColor="background1"/>
                          <w:sz w:val="16"/>
                          <w:szCs w:val="16"/>
                          <w:lang w:val="fr-CH"/>
                        </w:rPr>
                        <w:t>Actualisation du plan national</w:t>
                      </w:r>
                    </w:p>
                  </w:txbxContent>
                </v:textbox>
              </v:shape>
            </w:pict>
          </mc:Fallback>
        </mc:AlternateContent>
      </w:r>
      <w:r w:rsidRPr="00ED6101">
        <w:rPr>
          <w:noProof/>
          <w:w w:val="100"/>
          <w:sz w:val="24"/>
          <w:szCs w:val="24"/>
          <w:lang w:val="en-US"/>
        </w:rPr>
        <mc:AlternateContent>
          <mc:Choice Requires="wps">
            <w:drawing>
              <wp:anchor distT="0" distB="0" distL="114300" distR="114300" simplePos="0" relativeHeight="251666432" behindDoc="0" locked="0" layoutInCell="1" allowOverlap="1" wp14:anchorId="56ACCFEE" wp14:editId="3EB1BBDF">
                <wp:simplePos x="0" y="0"/>
                <wp:positionH relativeFrom="column">
                  <wp:posOffset>2053590</wp:posOffset>
                </wp:positionH>
                <wp:positionV relativeFrom="paragraph">
                  <wp:posOffset>3906520</wp:posOffset>
                </wp:positionV>
                <wp:extent cx="713105" cy="501650"/>
                <wp:effectExtent l="0" t="0" r="10795" b="12700"/>
                <wp:wrapNone/>
                <wp:docPr id="13" name="Text Box 13"/>
                <wp:cNvGraphicFramePr/>
                <a:graphic xmlns:a="http://schemas.openxmlformats.org/drawingml/2006/main">
                  <a:graphicData uri="http://schemas.microsoft.com/office/word/2010/wordprocessingShape">
                    <wps:wsp>
                      <wps:cNvSpPr txBox="1"/>
                      <wps:spPr>
                        <a:xfrm>
                          <a:off x="0" y="0"/>
                          <a:ext cx="713105" cy="50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569" w:rsidRPr="00D13678" w:rsidRDefault="00013569" w:rsidP="00013569">
                            <w:pPr>
                              <w:spacing w:line="240" w:lineRule="auto"/>
                              <w:jc w:val="center"/>
                              <w:rPr>
                                <w:color w:val="FFFFFF" w:themeColor="background1"/>
                                <w:sz w:val="16"/>
                                <w:szCs w:val="16"/>
                                <w:lang w:val="fr-CH"/>
                              </w:rPr>
                            </w:pPr>
                            <w:r w:rsidRPr="00D13678">
                              <w:rPr>
                                <w:color w:val="FFFFFF" w:themeColor="background1"/>
                                <w:sz w:val="16"/>
                                <w:szCs w:val="16"/>
                                <w:lang w:val="fr-CH"/>
                              </w:rPr>
                              <w:t>Choix des mesures de politique générale</w:t>
                            </w:r>
                          </w:p>
                          <w:p w:rsidR="00013569" w:rsidRPr="00D13678" w:rsidRDefault="00013569" w:rsidP="00013569">
                            <w:pPr>
                              <w:spacing w:line="240" w:lineRule="auto"/>
                              <w:jc w:val="center"/>
                              <w:rPr>
                                <w:color w:val="FFFFFF" w:themeColor="background1"/>
                                <w:sz w:val="16"/>
                                <w:szCs w:val="16"/>
                                <w:lang w:val="fr-CH"/>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161.7pt;margin-top:307.6pt;width:56.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" filled="f" stroked="f" strokeweight=".5pt">
                <v:textbox inset="0,0,0,0">
                  <w:txbxContent>
                    <w:p w:rsidR="00013569" w:rsidRPr="00D13678" w:rsidRDefault="00013569" w:rsidP="00013569">
                      <w:pPr>
                        <w:spacing w:line="240" w:lineRule="auto"/>
                        <w:jc w:val="center"/>
                        <w:rPr>
                          <w:color w:val="FFFFFF" w:themeColor="background1"/>
                          <w:sz w:val="16"/>
                          <w:szCs w:val="16"/>
                          <w:lang w:val="fr-CH"/>
                        </w:rPr>
                      </w:pPr>
                      <w:r w:rsidRPr="00D13678">
                        <w:rPr>
                          <w:color w:val="FFFFFF" w:themeColor="background1"/>
                          <w:sz w:val="16"/>
                          <w:szCs w:val="16"/>
                          <w:lang w:val="fr-CH"/>
                        </w:rPr>
                        <w:t>Choix des mesures de politique générale</w:t>
                      </w:r>
                    </w:p>
                    <w:p w:rsidR="00013569" w:rsidRPr="00D13678" w:rsidRDefault="00013569" w:rsidP="00013569">
                      <w:pPr>
                        <w:spacing w:line="240" w:lineRule="auto"/>
                        <w:jc w:val="center"/>
                        <w:rPr>
                          <w:color w:val="FFFFFF" w:themeColor="background1"/>
                          <w:sz w:val="16"/>
                          <w:szCs w:val="16"/>
                          <w:lang w:val="fr-CH"/>
                        </w:rPr>
                      </w:pPr>
                    </w:p>
                  </w:txbxContent>
                </v:textbox>
              </v:shape>
            </w:pict>
          </mc:Fallback>
        </mc:AlternateContent>
      </w:r>
      <w:r w:rsidR="00013569" w:rsidRPr="00ED6101">
        <w:rPr>
          <w:b/>
          <w:noProof/>
          <w:lang w:val="en-US"/>
        </w:rPr>
        <w:drawing>
          <wp:inline distT="0" distB="0" distL="0" distR="0" wp14:anchorId="43812EC1" wp14:editId="4DEB8CA9">
            <wp:extent cx="5540115" cy="5058889"/>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3550" cy="5062026"/>
                    </a:xfrm>
                    <a:prstGeom prst="rect">
                      <a:avLst/>
                    </a:prstGeom>
                    <a:noFill/>
                    <a:ln>
                      <a:noFill/>
                    </a:ln>
                  </pic:spPr>
                </pic:pic>
              </a:graphicData>
            </a:graphic>
          </wp:inline>
        </w:drawing>
      </w:r>
    </w:p>
    <w:p w:rsidR="00013569" w:rsidRPr="00ED6101" w:rsidRDefault="00013569" w:rsidP="00013569">
      <w:pPr>
        <w:pStyle w:val="SingleTxt"/>
        <w:spacing w:after="0" w:line="120" w:lineRule="exact"/>
        <w:rPr>
          <w:b/>
          <w:sz w:val="10"/>
          <w:lang w:val="fr-CH"/>
        </w:rPr>
      </w:pPr>
    </w:p>
    <w:p w:rsidR="00013569" w:rsidRPr="00ED6101" w:rsidRDefault="00013569" w:rsidP="00013569">
      <w:pPr>
        <w:pStyle w:val="SingleTxt"/>
        <w:spacing w:after="0" w:line="120" w:lineRule="exact"/>
        <w:rPr>
          <w:b/>
          <w:sz w:val="10"/>
          <w:lang w:val="fr-CH"/>
        </w:rPr>
      </w:pPr>
    </w:p>
    <w:p w:rsidR="00013569" w:rsidRPr="00ED6101" w:rsidRDefault="00013569" w:rsidP="00013569">
      <w:pPr>
        <w:pStyle w:val="SingleTxt"/>
        <w:spacing w:after="0" w:line="120" w:lineRule="exact"/>
        <w:rPr>
          <w:b/>
          <w:sz w:val="10"/>
          <w:lang w:val="fr-CH"/>
        </w:rPr>
      </w:pPr>
    </w:p>
    <w:p w:rsidR="00013569" w:rsidRPr="00ED6101" w:rsidRDefault="00013569" w:rsidP="000135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6101">
        <w:rPr>
          <w:lang w:val="fr-CH"/>
        </w:rPr>
        <w:tab/>
        <w:t>IV.</w:t>
      </w:r>
      <w:r w:rsidRPr="00ED6101">
        <w:rPr>
          <w:lang w:val="fr-CH"/>
        </w:rPr>
        <w:tab/>
        <w:t xml:space="preserve">Élaboration d’un ensemble de mesures et mécanismes </w:t>
      </w:r>
      <w:r w:rsidR="009E165F">
        <w:rPr>
          <w:lang w:val="fr-CH"/>
        </w:rPr>
        <w:br/>
      </w:r>
      <w:r w:rsidRPr="00ED6101">
        <w:rPr>
          <w:lang w:val="fr-CH"/>
        </w:rPr>
        <w:t xml:space="preserve">politiques susceptibles d’être utilisés pour l’établissement </w:t>
      </w:r>
      <w:r w:rsidR="0045443D" w:rsidRPr="00ED6101">
        <w:rPr>
          <w:lang w:val="fr-CH"/>
        </w:rPr>
        <w:br/>
      </w:r>
      <w:r w:rsidRPr="00ED6101">
        <w:rPr>
          <w:lang w:val="fr-CH"/>
        </w:rPr>
        <w:t>de plans nationaux</w:t>
      </w:r>
    </w:p>
    <w:p w:rsidR="00013569" w:rsidRPr="00ED6101" w:rsidRDefault="00013569" w:rsidP="00013569">
      <w:pPr>
        <w:pStyle w:val="SingleTxt"/>
        <w:spacing w:after="0" w:line="120" w:lineRule="exact"/>
        <w:rPr>
          <w:sz w:val="10"/>
          <w:lang w:val="fr-CH"/>
        </w:rPr>
      </w:pPr>
    </w:p>
    <w:p w:rsidR="00013569" w:rsidRPr="00ED6101" w:rsidRDefault="00013569" w:rsidP="00013569">
      <w:pPr>
        <w:pStyle w:val="SingleTxt"/>
        <w:spacing w:after="0" w:line="120" w:lineRule="exact"/>
        <w:rPr>
          <w:sz w:val="10"/>
          <w:lang w:val="fr-CH"/>
        </w:rPr>
      </w:pPr>
    </w:p>
    <w:p w:rsidR="00013569" w:rsidRPr="00ED6101" w:rsidRDefault="00013569" w:rsidP="00013569">
      <w:pPr>
        <w:pStyle w:val="SingleTxt"/>
        <w:numPr>
          <w:ilvl w:val="0"/>
          <w:numId w:val="6"/>
        </w:numPr>
        <w:tabs>
          <w:tab w:val="clear" w:pos="475"/>
          <w:tab w:val="num" w:pos="1742"/>
        </w:tabs>
        <w:ind w:left="1267"/>
        <w:rPr>
          <w:lang w:val="fr-CH"/>
        </w:rPr>
      </w:pPr>
      <w:r w:rsidRPr="00ED6101">
        <w:rPr>
          <w:lang w:val="fr-CH"/>
        </w:rPr>
        <w:t>La première étape de l’identification de mesures politiques susceptibles d’être utilisés dans des plans directeurs nationaux consiste à examiner la base de données en ligne de la CEE sur les mesures politiques intermodales. Il faudra y ajouter d’autres sources de données pour déterminer lesquelles des mesures prises ont été fructueuses. Sur la base des informations actuellement disponibles sur l’outil en ligne de la CEE concernant les mesures destinées à promouvoir le transport intermodal, le tableau ci-desso</w:t>
      </w:r>
      <w:r w:rsidR="00ED6101" w:rsidRPr="00ED6101">
        <w:rPr>
          <w:lang w:val="fr-CH"/>
        </w:rPr>
        <w:t>us indique combien parmi les 16 </w:t>
      </w:r>
      <w:r w:rsidRPr="00ED6101">
        <w:rPr>
          <w:lang w:val="fr-CH"/>
        </w:rPr>
        <w:t xml:space="preserve">États membres qui ont communiqué des informations pratiquent une quelconque forme d’incitation financière. </w:t>
      </w:r>
    </w:p>
    <w:p w:rsidR="00013569" w:rsidRDefault="00013569" w:rsidP="00013569">
      <w:pPr>
        <w:pStyle w:val="SingleTxt"/>
        <w:numPr>
          <w:ilvl w:val="0"/>
          <w:numId w:val="6"/>
        </w:numPr>
        <w:tabs>
          <w:tab w:val="clear" w:pos="475"/>
          <w:tab w:val="num" w:pos="1742"/>
        </w:tabs>
        <w:ind w:left="1267"/>
        <w:rPr>
          <w:lang w:val="fr-CH"/>
        </w:rPr>
      </w:pPr>
      <w:r w:rsidRPr="00ED6101">
        <w:rPr>
          <w:lang w:val="fr-CH"/>
        </w:rPr>
        <w:t>Ce tableau est donné à titre d’exemple, car outre les incitations financières d’autres mesures de politique générale devront être examiné</w:t>
      </w:r>
      <w:r w:rsidR="009E165F">
        <w:rPr>
          <w:lang w:val="fr-CH"/>
        </w:rPr>
        <w:t>e</w:t>
      </w:r>
      <w:r w:rsidRPr="00ED6101">
        <w:rPr>
          <w:lang w:val="fr-CH"/>
        </w:rPr>
        <w:t>s et mises en œuvre sur le plan national.</w:t>
      </w:r>
    </w:p>
    <w:p w:rsidR="00013569" w:rsidRPr="00ED6101" w:rsidRDefault="00013569" w:rsidP="000135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6101">
        <w:rPr>
          <w:lang w:val="fr-CH"/>
        </w:rPr>
        <w:lastRenderedPageBreak/>
        <w:tab/>
      </w:r>
      <w:r w:rsidRPr="00ED6101">
        <w:rPr>
          <w:lang w:val="fr-CH"/>
        </w:rPr>
        <w:tab/>
      </w:r>
      <w:r w:rsidRPr="00ED6101">
        <w:rPr>
          <w:b w:val="0"/>
          <w:lang w:val="fr-CH"/>
        </w:rPr>
        <w:t>Tableau 1</w:t>
      </w:r>
      <w:r w:rsidRPr="00ED6101">
        <w:rPr>
          <w:lang w:val="fr-CH"/>
        </w:rPr>
        <w:t xml:space="preserve"> </w:t>
      </w:r>
      <w:r w:rsidRPr="00ED6101">
        <w:rPr>
          <w:lang w:val="fr-CH"/>
        </w:rPr>
        <w:br/>
        <w:t xml:space="preserve">Incitations financières visant à promouvoir le transport intermodal </w:t>
      </w:r>
    </w:p>
    <w:p w:rsidR="00013569" w:rsidRPr="00ED6101" w:rsidRDefault="00013569" w:rsidP="00ED6101">
      <w:pPr>
        <w:pStyle w:val="SingleTxt"/>
        <w:keepNext/>
        <w:spacing w:after="0" w:line="120" w:lineRule="exact"/>
        <w:rPr>
          <w:sz w:val="10"/>
          <w:lang w:val="fr-CH"/>
        </w:rPr>
      </w:pPr>
    </w:p>
    <w:p w:rsidR="00013569" w:rsidRPr="00ED6101" w:rsidRDefault="00013569" w:rsidP="00ED6101">
      <w:pPr>
        <w:pStyle w:val="SingleTxt"/>
        <w:keepNext/>
        <w:spacing w:after="0" w:line="120" w:lineRule="exact"/>
        <w:rPr>
          <w:sz w:val="10"/>
          <w:lang w:val="fr-CH"/>
        </w:rPr>
      </w:pPr>
    </w:p>
    <w:tbl>
      <w:tblPr>
        <w:tblW w:w="7488" w:type="dxa"/>
        <w:tblInd w:w="1260" w:type="dxa"/>
        <w:tblLayout w:type="fixed"/>
        <w:tblCellMar>
          <w:left w:w="0" w:type="dxa"/>
          <w:right w:w="0" w:type="dxa"/>
        </w:tblCellMar>
        <w:tblLook w:val="0000" w:firstRow="0" w:lastRow="0" w:firstColumn="0" w:lastColumn="0" w:noHBand="0" w:noVBand="0"/>
      </w:tblPr>
      <w:tblGrid>
        <w:gridCol w:w="450"/>
        <w:gridCol w:w="5670"/>
        <w:gridCol w:w="1368"/>
      </w:tblGrid>
      <w:tr w:rsidR="00013569" w:rsidRPr="00D13678" w:rsidTr="00D13678">
        <w:trPr>
          <w:tblHeader/>
        </w:trPr>
        <w:tc>
          <w:tcPr>
            <w:tcW w:w="6120" w:type="dxa"/>
            <w:gridSpan w:val="2"/>
            <w:tcBorders>
              <w:top w:val="single" w:sz="4" w:space="0" w:color="auto"/>
              <w:bottom w:val="single" w:sz="12" w:space="0" w:color="auto"/>
            </w:tcBorders>
            <w:shd w:val="clear" w:color="auto" w:fill="auto"/>
            <w:vAlign w:val="bottom"/>
          </w:tcPr>
          <w:p w:rsidR="00013569" w:rsidRPr="00D13678" w:rsidRDefault="00013569" w:rsidP="00D13678">
            <w:pPr>
              <w:tabs>
                <w:tab w:val="left" w:pos="288"/>
                <w:tab w:val="left" w:pos="576"/>
                <w:tab w:val="left" w:pos="864"/>
                <w:tab w:val="left" w:pos="1152"/>
              </w:tabs>
              <w:suppressAutoHyphens/>
              <w:spacing w:before="80" w:after="80" w:line="160" w:lineRule="exact"/>
              <w:ind w:right="43"/>
              <w:rPr>
                <w:i/>
                <w:sz w:val="14"/>
                <w:lang w:val="fr-CH"/>
              </w:rPr>
            </w:pPr>
            <w:r w:rsidRPr="00D13678">
              <w:rPr>
                <w:i/>
                <w:sz w:val="14"/>
                <w:lang w:val="fr-CH"/>
              </w:rPr>
              <w:t>Mesures de soutien (sect. 6 et 7 de la base de données)</w:t>
            </w:r>
          </w:p>
        </w:tc>
        <w:tc>
          <w:tcPr>
            <w:tcW w:w="1368" w:type="dxa"/>
            <w:tcBorders>
              <w:top w:val="single" w:sz="4" w:space="0" w:color="auto"/>
              <w:bottom w:val="single" w:sz="12" w:space="0" w:color="auto"/>
            </w:tcBorders>
            <w:shd w:val="clear" w:color="auto" w:fill="auto"/>
            <w:vAlign w:val="bottom"/>
          </w:tcPr>
          <w:p w:rsidR="00013569" w:rsidRPr="00D13678" w:rsidRDefault="00013569" w:rsidP="00BF39E2">
            <w:pPr>
              <w:tabs>
                <w:tab w:val="left" w:pos="288"/>
                <w:tab w:val="left" w:pos="576"/>
                <w:tab w:val="left" w:pos="864"/>
                <w:tab w:val="left" w:pos="1152"/>
              </w:tabs>
              <w:suppressAutoHyphens/>
              <w:spacing w:before="80" w:after="80" w:line="160" w:lineRule="exact"/>
              <w:ind w:right="45"/>
              <w:jc w:val="right"/>
              <w:rPr>
                <w:i/>
                <w:sz w:val="14"/>
                <w:lang w:val="fr-CH"/>
              </w:rPr>
            </w:pPr>
            <w:r w:rsidRPr="00D13678">
              <w:rPr>
                <w:i/>
                <w:sz w:val="14"/>
                <w:lang w:val="fr-CH"/>
              </w:rPr>
              <w:t>Nombre des pays prenant des mesures</w:t>
            </w:r>
          </w:p>
        </w:tc>
      </w:tr>
      <w:tr w:rsidR="00D13678" w:rsidRPr="00D13678" w:rsidTr="00D13678">
        <w:trPr>
          <w:trHeight w:hRule="exact" w:val="115"/>
          <w:tblHeader/>
        </w:trPr>
        <w:tc>
          <w:tcPr>
            <w:tcW w:w="450" w:type="dxa"/>
            <w:tcBorders>
              <w:top w:val="single" w:sz="12" w:space="0" w:color="auto"/>
            </w:tcBorders>
            <w:shd w:val="clear" w:color="auto" w:fill="auto"/>
            <w:vAlign w:val="bottom"/>
          </w:tcPr>
          <w:p w:rsidR="00D13678" w:rsidRPr="00D13678" w:rsidRDefault="00D13678" w:rsidP="00D13678">
            <w:pPr>
              <w:tabs>
                <w:tab w:val="left" w:pos="288"/>
                <w:tab w:val="left" w:pos="576"/>
                <w:tab w:val="left" w:pos="864"/>
                <w:tab w:val="left" w:pos="1152"/>
              </w:tabs>
              <w:suppressAutoHyphens/>
              <w:spacing w:before="40" w:after="40" w:line="210" w:lineRule="exact"/>
              <w:ind w:right="43"/>
              <w:rPr>
                <w:sz w:val="17"/>
                <w:lang w:val="fr-CH"/>
              </w:rPr>
            </w:pPr>
          </w:p>
        </w:tc>
        <w:tc>
          <w:tcPr>
            <w:tcW w:w="5670" w:type="dxa"/>
            <w:tcBorders>
              <w:top w:val="single" w:sz="12" w:space="0" w:color="auto"/>
            </w:tcBorders>
            <w:shd w:val="clear" w:color="auto" w:fill="auto"/>
            <w:vAlign w:val="bottom"/>
          </w:tcPr>
          <w:p w:rsidR="00D13678" w:rsidRPr="00D13678" w:rsidRDefault="00D13678" w:rsidP="00D13678">
            <w:pPr>
              <w:tabs>
                <w:tab w:val="left" w:pos="288"/>
                <w:tab w:val="left" w:pos="576"/>
                <w:tab w:val="left" w:pos="864"/>
                <w:tab w:val="left" w:pos="1152"/>
              </w:tabs>
              <w:suppressAutoHyphens/>
              <w:spacing w:before="40" w:after="40" w:line="210" w:lineRule="exact"/>
              <w:ind w:right="43"/>
              <w:rPr>
                <w:sz w:val="17"/>
                <w:lang w:val="fr-CH"/>
              </w:rPr>
            </w:pPr>
          </w:p>
        </w:tc>
        <w:tc>
          <w:tcPr>
            <w:tcW w:w="1368" w:type="dxa"/>
            <w:tcBorders>
              <w:top w:val="single" w:sz="12" w:space="0" w:color="auto"/>
            </w:tcBorders>
            <w:shd w:val="clear" w:color="auto" w:fill="auto"/>
            <w:vAlign w:val="bottom"/>
          </w:tcPr>
          <w:p w:rsidR="00D13678" w:rsidRPr="00D13678" w:rsidRDefault="00D13678" w:rsidP="00BF39E2">
            <w:pPr>
              <w:tabs>
                <w:tab w:val="left" w:pos="288"/>
                <w:tab w:val="left" w:pos="576"/>
                <w:tab w:val="left" w:pos="864"/>
                <w:tab w:val="left" w:pos="1152"/>
              </w:tabs>
              <w:suppressAutoHyphens/>
              <w:spacing w:before="40" w:after="40" w:line="210" w:lineRule="exact"/>
              <w:ind w:left="43" w:right="45"/>
              <w:jc w:val="right"/>
              <w:rPr>
                <w:sz w:val="17"/>
                <w:lang w:val="fr-CH"/>
              </w:rPr>
            </w:pPr>
          </w:p>
        </w:tc>
      </w:tr>
      <w:tr w:rsidR="00013569" w:rsidRPr="00D13678" w:rsidTr="009E165F">
        <w:tc>
          <w:tcPr>
            <w:tcW w:w="450" w:type="dxa"/>
            <w:tcBorders>
              <w:bottom w:val="single" w:sz="4" w:space="0" w:color="auto"/>
            </w:tcBorders>
            <w:shd w:val="clear" w:color="auto" w:fill="auto"/>
          </w:tcPr>
          <w:p w:rsidR="00013569" w:rsidRPr="00D13678" w:rsidRDefault="00013569" w:rsidP="009E165F">
            <w:pPr>
              <w:tabs>
                <w:tab w:val="left" w:pos="288"/>
                <w:tab w:val="left" w:pos="576"/>
                <w:tab w:val="left" w:pos="864"/>
                <w:tab w:val="left" w:pos="1152"/>
              </w:tabs>
              <w:suppressAutoHyphens/>
              <w:spacing w:before="40" w:after="80" w:line="210" w:lineRule="exact"/>
              <w:ind w:right="43"/>
              <w:rPr>
                <w:sz w:val="17"/>
                <w:lang w:val="fr-CH"/>
              </w:rPr>
            </w:pPr>
            <w:r w:rsidRPr="00D13678">
              <w:rPr>
                <w:sz w:val="17"/>
                <w:lang w:val="fr-CH"/>
              </w:rPr>
              <w:t>6.</w:t>
            </w:r>
          </w:p>
        </w:tc>
        <w:tc>
          <w:tcPr>
            <w:tcW w:w="5670" w:type="dxa"/>
            <w:tcBorders>
              <w:bottom w:val="single" w:sz="4" w:space="0" w:color="auto"/>
            </w:tcBorders>
            <w:shd w:val="clear" w:color="auto" w:fill="auto"/>
          </w:tcPr>
          <w:p w:rsidR="00013569" w:rsidRPr="00D13678" w:rsidRDefault="00013569" w:rsidP="009E165F">
            <w:pPr>
              <w:tabs>
                <w:tab w:val="left" w:pos="288"/>
                <w:tab w:val="left" w:pos="576"/>
                <w:tab w:val="left" w:pos="864"/>
                <w:tab w:val="left" w:pos="1152"/>
              </w:tabs>
              <w:suppressAutoHyphens/>
              <w:spacing w:before="40" w:after="80" w:line="210" w:lineRule="exact"/>
              <w:ind w:right="43"/>
              <w:rPr>
                <w:sz w:val="17"/>
                <w:lang w:val="fr-CH"/>
              </w:rPr>
            </w:pPr>
            <w:r w:rsidRPr="00D13678">
              <w:rPr>
                <w:sz w:val="17"/>
                <w:lang w:val="fr-CH"/>
              </w:rPr>
              <w:t>Mesures de soutien financières et fiscales</w:t>
            </w:r>
          </w:p>
        </w:tc>
        <w:tc>
          <w:tcPr>
            <w:tcW w:w="1368" w:type="dxa"/>
            <w:tcBorders>
              <w:bottom w:val="single" w:sz="4" w:space="0" w:color="auto"/>
            </w:tcBorders>
            <w:shd w:val="clear" w:color="auto" w:fill="auto"/>
            <w:vAlign w:val="bottom"/>
          </w:tcPr>
          <w:p w:rsidR="00013569" w:rsidRPr="00D13678" w:rsidRDefault="00013569" w:rsidP="009E165F">
            <w:pPr>
              <w:tabs>
                <w:tab w:val="left" w:pos="288"/>
                <w:tab w:val="left" w:pos="576"/>
                <w:tab w:val="left" w:pos="864"/>
                <w:tab w:val="left" w:pos="1152"/>
              </w:tabs>
              <w:suppressAutoHyphens/>
              <w:spacing w:before="40" w:after="80" w:line="210" w:lineRule="exact"/>
              <w:ind w:left="43" w:right="45"/>
              <w:jc w:val="right"/>
              <w:rPr>
                <w:sz w:val="17"/>
                <w:lang w:val="fr-CH"/>
              </w:rPr>
            </w:pPr>
          </w:p>
        </w:tc>
      </w:tr>
      <w:tr w:rsidR="00013569" w:rsidRPr="00D13678" w:rsidTr="009E165F">
        <w:tc>
          <w:tcPr>
            <w:tcW w:w="450" w:type="dxa"/>
            <w:tcBorders>
              <w:top w:val="single" w:sz="4" w:space="0" w:color="auto"/>
            </w:tcBorders>
            <w:shd w:val="clear" w:color="auto" w:fill="auto"/>
          </w:tcPr>
          <w:p w:rsidR="00013569" w:rsidRPr="00D13678" w:rsidRDefault="00013569" w:rsidP="009E165F">
            <w:pPr>
              <w:tabs>
                <w:tab w:val="left" w:pos="288"/>
                <w:tab w:val="left" w:pos="576"/>
                <w:tab w:val="left" w:pos="864"/>
                <w:tab w:val="left" w:pos="1152"/>
              </w:tabs>
              <w:suppressAutoHyphens/>
              <w:spacing w:before="40" w:after="40" w:line="210" w:lineRule="exact"/>
              <w:ind w:right="43"/>
              <w:rPr>
                <w:sz w:val="17"/>
                <w:lang w:val="fr-CH"/>
              </w:rPr>
            </w:pPr>
            <w:r w:rsidRPr="00D13678">
              <w:rPr>
                <w:sz w:val="17"/>
                <w:lang w:val="fr-CH"/>
              </w:rPr>
              <w:t>6.1</w:t>
            </w:r>
          </w:p>
        </w:tc>
        <w:tc>
          <w:tcPr>
            <w:tcW w:w="5670" w:type="dxa"/>
            <w:tcBorders>
              <w:top w:val="single" w:sz="4" w:space="0" w:color="auto"/>
            </w:tcBorders>
            <w:shd w:val="clear" w:color="auto" w:fill="auto"/>
          </w:tcPr>
          <w:p w:rsidR="00013569" w:rsidRPr="00D13678" w:rsidRDefault="00013569" w:rsidP="009E165F">
            <w:pPr>
              <w:tabs>
                <w:tab w:val="left" w:pos="288"/>
                <w:tab w:val="left" w:pos="576"/>
                <w:tab w:val="left" w:pos="864"/>
                <w:tab w:val="left" w:pos="1152"/>
              </w:tabs>
              <w:suppressAutoHyphens/>
              <w:spacing w:before="40" w:after="40" w:line="210" w:lineRule="exact"/>
              <w:ind w:right="43"/>
              <w:rPr>
                <w:sz w:val="17"/>
                <w:lang w:val="fr-CH"/>
              </w:rPr>
            </w:pPr>
            <w:r w:rsidRPr="00D13678">
              <w:rPr>
                <w:sz w:val="17"/>
                <w:lang w:val="fr-CH"/>
              </w:rPr>
              <w:t>Soutien financier à des investissements (installations, matériel roulant, systèmes, etc.)</w:t>
            </w:r>
          </w:p>
        </w:tc>
        <w:tc>
          <w:tcPr>
            <w:tcW w:w="1368" w:type="dxa"/>
            <w:tcBorders>
              <w:top w:val="single" w:sz="4" w:space="0" w:color="auto"/>
            </w:tcBorders>
            <w:shd w:val="clear" w:color="auto" w:fill="auto"/>
            <w:vAlign w:val="bottom"/>
          </w:tcPr>
          <w:p w:rsidR="00013569" w:rsidRPr="00D13678" w:rsidRDefault="00013569" w:rsidP="009E165F">
            <w:pPr>
              <w:tabs>
                <w:tab w:val="left" w:pos="288"/>
                <w:tab w:val="left" w:pos="576"/>
                <w:tab w:val="left" w:pos="864"/>
                <w:tab w:val="left" w:pos="1152"/>
              </w:tabs>
              <w:suppressAutoHyphens/>
              <w:spacing w:before="40" w:after="40" w:line="210" w:lineRule="exact"/>
              <w:ind w:left="43" w:right="45"/>
              <w:jc w:val="right"/>
              <w:rPr>
                <w:sz w:val="17"/>
                <w:lang w:val="fr-CH"/>
              </w:rPr>
            </w:pPr>
            <w:r w:rsidRPr="00D13678">
              <w:rPr>
                <w:sz w:val="17"/>
                <w:lang w:val="fr-CH"/>
              </w:rPr>
              <w:t>13</w:t>
            </w:r>
          </w:p>
        </w:tc>
      </w:tr>
      <w:tr w:rsidR="00013569" w:rsidRPr="00D13678" w:rsidTr="009E165F">
        <w:tc>
          <w:tcPr>
            <w:tcW w:w="450" w:type="dxa"/>
            <w:shd w:val="clear" w:color="auto" w:fill="auto"/>
          </w:tcPr>
          <w:p w:rsidR="00013569" w:rsidRPr="00D13678" w:rsidRDefault="00013569" w:rsidP="009E165F">
            <w:pPr>
              <w:tabs>
                <w:tab w:val="left" w:pos="288"/>
                <w:tab w:val="left" w:pos="576"/>
                <w:tab w:val="left" w:pos="864"/>
                <w:tab w:val="left" w:pos="1152"/>
              </w:tabs>
              <w:suppressAutoHyphens/>
              <w:spacing w:before="40" w:after="40" w:line="210" w:lineRule="exact"/>
              <w:ind w:right="43"/>
              <w:rPr>
                <w:sz w:val="17"/>
                <w:lang w:val="fr-CH"/>
              </w:rPr>
            </w:pPr>
            <w:r w:rsidRPr="00D13678">
              <w:rPr>
                <w:sz w:val="17"/>
                <w:lang w:val="fr-CH"/>
              </w:rPr>
              <w:t>6.2</w:t>
            </w:r>
          </w:p>
        </w:tc>
        <w:tc>
          <w:tcPr>
            <w:tcW w:w="5670" w:type="dxa"/>
            <w:shd w:val="clear" w:color="auto" w:fill="auto"/>
          </w:tcPr>
          <w:p w:rsidR="00013569" w:rsidRPr="00D13678" w:rsidRDefault="00013569" w:rsidP="009E165F">
            <w:pPr>
              <w:tabs>
                <w:tab w:val="left" w:pos="288"/>
                <w:tab w:val="left" w:pos="576"/>
                <w:tab w:val="left" w:pos="864"/>
                <w:tab w:val="left" w:pos="1152"/>
              </w:tabs>
              <w:suppressAutoHyphens/>
              <w:spacing w:before="40" w:after="40" w:line="210" w:lineRule="exact"/>
              <w:ind w:right="43"/>
              <w:rPr>
                <w:sz w:val="17"/>
                <w:lang w:val="fr-CH"/>
              </w:rPr>
            </w:pPr>
            <w:r w:rsidRPr="00D13678">
              <w:rPr>
                <w:sz w:val="17"/>
                <w:lang w:val="fr-CH"/>
              </w:rPr>
              <w:t xml:space="preserve">Soutien financier à des activités (activités initiales, spéciales, etc.) </w:t>
            </w:r>
          </w:p>
        </w:tc>
        <w:tc>
          <w:tcPr>
            <w:tcW w:w="1368" w:type="dxa"/>
            <w:shd w:val="clear" w:color="auto" w:fill="auto"/>
            <w:vAlign w:val="bottom"/>
          </w:tcPr>
          <w:p w:rsidR="00013569" w:rsidRPr="00D13678" w:rsidRDefault="00013569" w:rsidP="009E165F">
            <w:pPr>
              <w:tabs>
                <w:tab w:val="left" w:pos="288"/>
                <w:tab w:val="left" w:pos="576"/>
                <w:tab w:val="left" w:pos="864"/>
                <w:tab w:val="left" w:pos="1152"/>
              </w:tabs>
              <w:suppressAutoHyphens/>
              <w:spacing w:before="40" w:after="40" w:line="210" w:lineRule="exact"/>
              <w:ind w:left="43" w:right="45"/>
              <w:jc w:val="right"/>
              <w:rPr>
                <w:sz w:val="17"/>
                <w:lang w:val="fr-CH"/>
              </w:rPr>
            </w:pPr>
            <w:r w:rsidRPr="00D13678">
              <w:rPr>
                <w:sz w:val="17"/>
                <w:lang w:val="fr-CH"/>
              </w:rPr>
              <w:t>11</w:t>
            </w:r>
          </w:p>
        </w:tc>
      </w:tr>
      <w:tr w:rsidR="00013569" w:rsidRPr="00D13678" w:rsidTr="009E165F">
        <w:tc>
          <w:tcPr>
            <w:tcW w:w="450" w:type="dxa"/>
            <w:tcBorders>
              <w:bottom w:val="single" w:sz="4" w:space="0" w:color="auto"/>
            </w:tcBorders>
            <w:shd w:val="clear" w:color="auto" w:fill="auto"/>
          </w:tcPr>
          <w:p w:rsidR="00013569" w:rsidRPr="00D13678" w:rsidRDefault="00013569" w:rsidP="009E165F">
            <w:pPr>
              <w:tabs>
                <w:tab w:val="left" w:pos="288"/>
                <w:tab w:val="left" w:pos="576"/>
                <w:tab w:val="left" w:pos="864"/>
                <w:tab w:val="left" w:pos="1152"/>
              </w:tabs>
              <w:suppressAutoHyphens/>
              <w:spacing w:before="40" w:after="40" w:line="210" w:lineRule="exact"/>
              <w:ind w:right="43"/>
              <w:rPr>
                <w:sz w:val="17"/>
                <w:lang w:val="fr-CH"/>
              </w:rPr>
            </w:pPr>
            <w:r w:rsidRPr="00D13678">
              <w:rPr>
                <w:sz w:val="17"/>
                <w:lang w:val="fr-CH"/>
              </w:rPr>
              <w:t>6.3</w:t>
            </w:r>
          </w:p>
        </w:tc>
        <w:tc>
          <w:tcPr>
            <w:tcW w:w="5670" w:type="dxa"/>
            <w:tcBorders>
              <w:bottom w:val="single" w:sz="4" w:space="0" w:color="auto"/>
            </w:tcBorders>
            <w:shd w:val="clear" w:color="auto" w:fill="auto"/>
          </w:tcPr>
          <w:p w:rsidR="00013569" w:rsidRPr="00D13678" w:rsidRDefault="00013569" w:rsidP="009E165F">
            <w:pPr>
              <w:tabs>
                <w:tab w:val="left" w:pos="288"/>
                <w:tab w:val="left" w:pos="576"/>
                <w:tab w:val="left" w:pos="864"/>
                <w:tab w:val="left" w:pos="1152"/>
              </w:tabs>
              <w:suppressAutoHyphens/>
              <w:spacing w:before="40" w:after="40" w:line="210" w:lineRule="exact"/>
              <w:ind w:right="43"/>
              <w:rPr>
                <w:sz w:val="17"/>
                <w:lang w:val="fr-CH"/>
              </w:rPr>
            </w:pPr>
            <w:r w:rsidRPr="00D13678">
              <w:rPr>
                <w:sz w:val="17"/>
                <w:lang w:val="fr-CH"/>
              </w:rPr>
              <w:t>Mesures de soutien fiscales (taxe sur les véhicules, exemption de la redevance d’utilisation de l’infrastructure routière, etc.)</w:t>
            </w:r>
          </w:p>
        </w:tc>
        <w:tc>
          <w:tcPr>
            <w:tcW w:w="1368" w:type="dxa"/>
            <w:tcBorders>
              <w:bottom w:val="single" w:sz="4" w:space="0" w:color="auto"/>
            </w:tcBorders>
            <w:shd w:val="clear" w:color="auto" w:fill="auto"/>
            <w:vAlign w:val="bottom"/>
          </w:tcPr>
          <w:p w:rsidR="00013569" w:rsidRPr="00D13678" w:rsidRDefault="00013569" w:rsidP="009E165F">
            <w:pPr>
              <w:tabs>
                <w:tab w:val="left" w:pos="288"/>
                <w:tab w:val="left" w:pos="576"/>
                <w:tab w:val="left" w:pos="864"/>
                <w:tab w:val="left" w:pos="1152"/>
              </w:tabs>
              <w:suppressAutoHyphens/>
              <w:spacing w:before="40" w:after="40" w:line="210" w:lineRule="exact"/>
              <w:ind w:left="43" w:right="45"/>
              <w:jc w:val="right"/>
              <w:rPr>
                <w:sz w:val="17"/>
                <w:lang w:val="fr-CH"/>
              </w:rPr>
            </w:pPr>
            <w:r w:rsidRPr="00D13678">
              <w:rPr>
                <w:sz w:val="17"/>
                <w:lang w:val="fr-CH"/>
              </w:rPr>
              <w:t>12</w:t>
            </w:r>
          </w:p>
        </w:tc>
      </w:tr>
      <w:tr w:rsidR="00013569" w:rsidRPr="00D13678" w:rsidTr="009E165F">
        <w:tc>
          <w:tcPr>
            <w:tcW w:w="450" w:type="dxa"/>
            <w:tcBorders>
              <w:top w:val="single" w:sz="4" w:space="0" w:color="auto"/>
              <w:bottom w:val="single" w:sz="4" w:space="0" w:color="auto"/>
            </w:tcBorders>
            <w:shd w:val="clear" w:color="auto" w:fill="auto"/>
          </w:tcPr>
          <w:p w:rsidR="00013569" w:rsidRPr="00D13678" w:rsidRDefault="00013569" w:rsidP="009E165F">
            <w:pPr>
              <w:tabs>
                <w:tab w:val="left" w:pos="288"/>
                <w:tab w:val="left" w:pos="576"/>
                <w:tab w:val="left" w:pos="864"/>
                <w:tab w:val="left" w:pos="1152"/>
              </w:tabs>
              <w:suppressAutoHyphens/>
              <w:spacing w:before="40" w:after="80" w:line="210" w:lineRule="exact"/>
              <w:ind w:right="43"/>
              <w:rPr>
                <w:sz w:val="17"/>
                <w:lang w:val="fr-CH"/>
              </w:rPr>
            </w:pPr>
            <w:r w:rsidRPr="00D13678">
              <w:rPr>
                <w:sz w:val="17"/>
                <w:lang w:val="fr-CH"/>
              </w:rPr>
              <w:t>7.</w:t>
            </w:r>
          </w:p>
        </w:tc>
        <w:tc>
          <w:tcPr>
            <w:tcW w:w="5670" w:type="dxa"/>
            <w:tcBorders>
              <w:top w:val="single" w:sz="4" w:space="0" w:color="auto"/>
              <w:bottom w:val="single" w:sz="4" w:space="0" w:color="auto"/>
            </w:tcBorders>
            <w:shd w:val="clear" w:color="auto" w:fill="auto"/>
          </w:tcPr>
          <w:p w:rsidR="00013569" w:rsidRPr="00D13678" w:rsidRDefault="00013569" w:rsidP="009E165F">
            <w:pPr>
              <w:tabs>
                <w:tab w:val="left" w:pos="288"/>
                <w:tab w:val="left" w:pos="576"/>
                <w:tab w:val="left" w:pos="864"/>
                <w:tab w:val="left" w:pos="1152"/>
              </w:tabs>
              <w:suppressAutoHyphens/>
              <w:spacing w:before="40" w:after="80" w:line="210" w:lineRule="exact"/>
              <w:ind w:right="43"/>
              <w:rPr>
                <w:sz w:val="17"/>
                <w:lang w:val="fr-CH"/>
              </w:rPr>
            </w:pPr>
            <w:r w:rsidRPr="00D13678">
              <w:rPr>
                <w:sz w:val="17"/>
                <w:lang w:val="fr-CH"/>
              </w:rPr>
              <w:t>Mesures de soutien réglementaires</w:t>
            </w:r>
          </w:p>
        </w:tc>
        <w:tc>
          <w:tcPr>
            <w:tcW w:w="1368" w:type="dxa"/>
            <w:tcBorders>
              <w:top w:val="single" w:sz="4" w:space="0" w:color="auto"/>
              <w:bottom w:val="single" w:sz="4" w:space="0" w:color="auto"/>
            </w:tcBorders>
            <w:shd w:val="clear" w:color="auto" w:fill="auto"/>
            <w:vAlign w:val="bottom"/>
          </w:tcPr>
          <w:p w:rsidR="00013569" w:rsidRPr="00D13678" w:rsidRDefault="00013569" w:rsidP="009E165F">
            <w:pPr>
              <w:tabs>
                <w:tab w:val="left" w:pos="288"/>
                <w:tab w:val="left" w:pos="576"/>
                <w:tab w:val="left" w:pos="864"/>
                <w:tab w:val="left" w:pos="1152"/>
              </w:tabs>
              <w:suppressAutoHyphens/>
              <w:spacing w:before="40" w:after="80" w:line="210" w:lineRule="exact"/>
              <w:ind w:left="43" w:right="45"/>
              <w:jc w:val="right"/>
              <w:rPr>
                <w:sz w:val="17"/>
                <w:lang w:val="fr-CH"/>
              </w:rPr>
            </w:pPr>
          </w:p>
        </w:tc>
      </w:tr>
      <w:tr w:rsidR="00013569" w:rsidRPr="00D13678" w:rsidTr="009E165F">
        <w:tc>
          <w:tcPr>
            <w:tcW w:w="450" w:type="dxa"/>
            <w:tcBorders>
              <w:top w:val="single" w:sz="4" w:space="0" w:color="auto"/>
            </w:tcBorders>
            <w:shd w:val="clear" w:color="auto" w:fill="auto"/>
          </w:tcPr>
          <w:p w:rsidR="00013569" w:rsidRPr="00D13678" w:rsidRDefault="00013569" w:rsidP="009E165F">
            <w:pPr>
              <w:tabs>
                <w:tab w:val="left" w:pos="288"/>
                <w:tab w:val="left" w:pos="576"/>
                <w:tab w:val="left" w:pos="864"/>
                <w:tab w:val="left" w:pos="1152"/>
              </w:tabs>
              <w:suppressAutoHyphens/>
              <w:spacing w:before="40" w:after="40" w:line="210" w:lineRule="exact"/>
              <w:ind w:right="43"/>
              <w:rPr>
                <w:sz w:val="17"/>
                <w:lang w:val="fr-CH"/>
              </w:rPr>
            </w:pPr>
            <w:r w:rsidRPr="00D13678">
              <w:rPr>
                <w:sz w:val="17"/>
                <w:lang w:val="fr-CH"/>
              </w:rPr>
              <w:t>7.1</w:t>
            </w:r>
          </w:p>
        </w:tc>
        <w:tc>
          <w:tcPr>
            <w:tcW w:w="5670" w:type="dxa"/>
            <w:tcBorders>
              <w:top w:val="single" w:sz="4" w:space="0" w:color="auto"/>
            </w:tcBorders>
            <w:shd w:val="clear" w:color="auto" w:fill="auto"/>
          </w:tcPr>
          <w:p w:rsidR="00013569" w:rsidRPr="00D13678" w:rsidRDefault="00013569" w:rsidP="009E165F">
            <w:pPr>
              <w:tabs>
                <w:tab w:val="left" w:pos="288"/>
                <w:tab w:val="left" w:pos="576"/>
                <w:tab w:val="left" w:pos="864"/>
                <w:tab w:val="left" w:pos="1152"/>
              </w:tabs>
              <w:suppressAutoHyphens/>
              <w:spacing w:before="40" w:after="40" w:line="210" w:lineRule="exact"/>
              <w:ind w:right="43"/>
              <w:rPr>
                <w:sz w:val="17"/>
                <w:lang w:val="fr-CH"/>
              </w:rPr>
            </w:pPr>
            <w:r w:rsidRPr="00D13678">
              <w:rPr>
                <w:sz w:val="17"/>
                <w:lang w:val="fr-CH"/>
              </w:rPr>
              <w:t>Exemption de restrictions et d’interdictions de circulation</w:t>
            </w:r>
          </w:p>
        </w:tc>
        <w:tc>
          <w:tcPr>
            <w:tcW w:w="1368" w:type="dxa"/>
            <w:tcBorders>
              <w:top w:val="single" w:sz="4" w:space="0" w:color="auto"/>
            </w:tcBorders>
            <w:shd w:val="clear" w:color="auto" w:fill="auto"/>
            <w:vAlign w:val="bottom"/>
          </w:tcPr>
          <w:p w:rsidR="00013569" w:rsidRPr="00D13678" w:rsidRDefault="00013569" w:rsidP="009E165F">
            <w:pPr>
              <w:tabs>
                <w:tab w:val="left" w:pos="288"/>
                <w:tab w:val="left" w:pos="576"/>
                <w:tab w:val="left" w:pos="864"/>
                <w:tab w:val="left" w:pos="1152"/>
              </w:tabs>
              <w:suppressAutoHyphens/>
              <w:spacing w:before="40" w:after="40" w:line="210" w:lineRule="exact"/>
              <w:ind w:left="43" w:right="45"/>
              <w:jc w:val="right"/>
              <w:rPr>
                <w:sz w:val="17"/>
                <w:lang w:val="fr-CH"/>
              </w:rPr>
            </w:pPr>
            <w:r w:rsidRPr="00D13678">
              <w:rPr>
                <w:sz w:val="17"/>
                <w:lang w:val="fr-CH"/>
              </w:rPr>
              <w:t>10</w:t>
            </w:r>
          </w:p>
        </w:tc>
      </w:tr>
      <w:tr w:rsidR="00013569" w:rsidRPr="00D13678" w:rsidTr="009E165F">
        <w:tc>
          <w:tcPr>
            <w:tcW w:w="450" w:type="dxa"/>
            <w:shd w:val="clear" w:color="auto" w:fill="auto"/>
          </w:tcPr>
          <w:p w:rsidR="00013569" w:rsidRPr="00D13678" w:rsidRDefault="00013569" w:rsidP="009E165F">
            <w:pPr>
              <w:tabs>
                <w:tab w:val="left" w:pos="288"/>
                <w:tab w:val="left" w:pos="576"/>
                <w:tab w:val="left" w:pos="864"/>
                <w:tab w:val="left" w:pos="1152"/>
              </w:tabs>
              <w:suppressAutoHyphens/>
              <w:spacing w:before="40" w:after="40" w:line="210" w:lineRule="exact"/>
              <w:ind w:right="43"/>
              <w:rPr>
                <w:sz w:val="17"/>
                <w:lang w:val="fr-CH"/>
              </w:rPr>
            </w:pPr>
            <w:r w:rsidRPr="00D13678">
              <w:rPr>
                <w:sz w:val="17"/>
                <w:lang w:val="fr-CH"/>
              </w:rPr>
              <w:t>7.2</w:t>
            </w:r>
          </w:p>
        </w:tc>
        <w:tc>
          <w:tcPr>
            <w:tcW w:w="5670" w:type="dxa"/>
            <w:shd w:val="clear" w:color="auto" w:fill="auto"/>
          </w:tcPr>
          <w:p w:rsidR="00013569" w:rsidRPr="00D13678" w:rsidRDefault="00013569" w:rsidP="009E165F">
            <w:pPr>
              <w:tabs>
                <w:tab w:val="left" w:pos="288"/>
                <w:tab w:val="left" w:pos="576"/>
                <w:tab w:val="left" w:pos="864"/>
                <w:tab w:val="left" w:pos="1152"/>
              </w:tabs>
              <w:suppressAutoHyphens/>
              <w:spacing w:before="40" w:after="40" w:line="210" w:lineRule="exact"/>
              <w:ind w:right="43"/>
              <w:rPr>
                <w:sz w:val="17"/>
                <w:lang w:val="fr-CH"/>
              </w:rPr>
            </w:pPr>
            <w:r w:rsidRPr="00D13678">
              <w:rPr>
                <w:sz w:val="17"/>
                <w:lang w:val="fr-CH"/>
              </w:rPr>
              <w:t>Libéralisation des parcours initiaux et terminaux</w:t>
            </w:r>
          </w:p>
        </w:tc>
        <w:tc>
          <w:tcPr>
            <w:tcW w:w="1368" w:type="dxa"/>
            <w:shd w:val="clear" w:color="auto" w:fill="auto"/>
            <w:vAlign w:val="bottom"/>
          </w:tcPr>
          <w:p w:rsidR="00013569" w:rsidRPr="00D13678" w:rsidRDefault="00013569" w:rsidP="009E165F">
            <w:pPr>
              <w:tabs>
                <w:tab w:val="left" w:pos="288"/>
                <w:tab w:val="left" w:pos="576"/>
                <w:tab w:val="left" w:pos="864"/>
                <w:tab w:val="left" w:pos="1152"/>
              </w:tabs>
              <w:suppressAutoHyphens/>
              <w:spacing w:before="40" w:after="40" w:line="210" w:lineRule="exact"/>
              <w:ind w:left="43" w:right="45"/>
              <w:jc w:val="right"/>
              <w:rPr>
                <w:sz w:val="17"/>
                <w:lang w:val="fr-CH"/>
              </w:rPr>
            </w:pPr>
            <w:r w:rsidRPr="00D13678">
              <w:rPr>
                <w:sz w:val="17"/>
                <w:lang w:val="fr-CH"/>
              </w:rPr>
              <w:t>9</w:t>
            </w:r>
          </w:p>
        </w:tc>
      </w:tr>
      <w:tr w:rsidR="00013569" w:rsidRPr="00D13678" w:rsidTr="009E165F">
        <w:tc>
          <w:tcPr>
            <w:tcW w:w="450" w:type="dxa"/>
            <w:shd w:val="clear" w:color="auto" w:fill="auto"/>
          </w:tcPr>
          <w:p w:rsidR="00013569" w:rsidRPr="00D13678" w:rsidRDefault="00013569" w:rsidP="009E165F">
            <w:pPr>
              <w:tabs>
                <w:tab w:val="left" w:pos="288"/>
                <w:tab w:val="left" w:pos="576"/>
                <w:tab w:val="left" w:pos="864"/>
                <w:tab w:val="left" w:pos="1152"/>
              </w:tabs>
              <w:suppressAutoHyphens/>
              <w:spacing w:before="40" w:after="40" w:line="210" w:lineRule="exact"/>
              <w:ind w:right="43"/>
              <w:rPr>
                <w:sz w:val="17"/>
                <w:lang w:val="fr-CH"/>
              </w:rPr>
            </w:pPr>
            <w:r w:rsidRPr="00D13678">
              <w:rPr>
                <w:sz w:val="17"/>
                <w:lang w:val="fr-CH"/>
              </w:rPr>
              <w:t>7.3</w:t>
            </w:r>
          </w:p>
        </w:tc>
        <w:tc>
          <w:tcPr>
            <w:tcW w:w="5670" w:type="dxa"/>
            <w:shd w:val="clear" w:color="auto" w:fill="auto"/>
          </w:tcPr>
          <w:p w:rsidR="00013569" w:rsidRPr="00D13678" w:rsidRDefault="00013569" w:rsidP="009E165F">
            <w:pPr>
              <w:tabs>
                <w:tab w:val="left" w:pos="288"/>
                <w:tab w:val="left" w:pos="576"/>
                <w:tab w:val="left" w:pos="864"/>
                <w:tab w:val="left" w:pos="1152"/>
              </w:tabs>
              <w:suppressAutoHyphens/>
              <w:spacing w:before="40" w:after="40" w:line="210" w:lineRule="exact"/>
              <w:ind w:right="43"/>
              <w:rPr>
                <w:sz w:val="17"/>
                <w:lang w:val="fr-CH"/>
              </w:rPr>
            </w:pPr>
            <w:r w:rsidRPr="00D13678">
              <w:rPr>
                <w:sz w:val="17"/>
                <w:lang w:val="fr-CH"/>
              </w:rPr>
              <w:t>Limites de poids supérieures pour les véhicules routiers affectés au transport d’unités de transport intermodales</w:t>
            </w:r>
          </w:p>
        </w:tc>
        <w:tc>
          <w:tcPr>
            <w:tcW w:w="1368" w:type="dxa"/>
            <w:shd w:val="clear" w:color="auto" w:fill="auto"/>
            <w:vAlign w:val="bottom"/>
          </w:tcPr>
          <w:p w:rsidR="00013569" w:rsidRPr="00D13678" w:rsidRDefault="00013569" w:rsidP="009E165F">
            <w:pPr>
              <w:tabs>
                <w:tab w:val="left" w:pos="288"/>
                <w:tab w:val="left" w:pos="576"/>
                <w:tab w:val="left" w:pos="864"/>
                <w:tab w:val="left" w:pos="1152"/>
              </w:tabs>
              <w:suppressAutoHyphens/>
              <w:spacing w:before="40" w:after="40" w:line="210" w:lineRule="exact"/>
              <w:ind w:left="43" w:right="45"/>
              <w:jc w:val="right"/>
              <w:rPr>
                <w:sz w:val="17"/>
                <w:lang w:val="fr-CH"/>
              </w:rPr>
            </w:pPr>
            <w:r w:rsidRPr="00D13678">
              <w:rPr>
                <w:sz w:val="17"/>
                <w:lang w:val="fr-CH"/>
              </w:rPr>
              <w:t>13</w:t>
            </w:r>
          </w:p>
        </w:tc>
      </w:tr>
      <w:tr w:rsidR="00013569" w:rsidRPr="00D13678" w:rsidTr="009E165F">
        <w:tc>
          <w:tcPr>
            <w:tcW w:w="450" w:type="dxa"/>
            <w:shd w:val="clear" w:color="auto" w:fill="auto"/>
          </w:tcPr>
          <w:p w:rsidR="00013569" w:rsidRPr="00D13678" w:rsidRDefault="00013569" w:rsidP="009E165F">
            <w:pPr>
              <w:tabs>
                <w:tab w:val="left" w:pos="288"/>
                <w:tab w:val="left" w:pos="576"/>
                <w:tab w:val="left" w:pos="864"/>
                <w:tab w:val="left" w:pos="1152"/>
              </w:tabs>
              <w:suppressAutoHyphens/>
              <w:spacing w:before="40" w:after="40" w:line="210" w:lineRule="exact"/>
              <w:ind w:right="43"/>
              <w:rPr>
                <w:sz w:val="17"/>
                <w:lang w:val="fr-CH"/>
              </w:rPr>
            </w:pPr>
            <w:r w:rsidRPr="00D13678">
              <w:rPr>
                <w:sz w:val="17"/>
                <w:lang w:val="fr-CH"/>
              </w:rPr>
              <w:t>7.4</w:t>
            </w:r>
          </w:p>
        </w:tc>
        <w:tc>
          <w:tcPr>
            <w:tcW w:w="5670" w:type="dxa"/>
            <w:shd w:val="clear" w:color="auto" w:fill="auto"/>
          </w:tcPr>
          <w:p w:rsidR="00013569" w:rsidRPr="00D13678" w:rsidRDefault="00013569" w:rsidP="009E165F">
            <w:pPr>
              <w:tabs>
                <w:tab w:val="left" w:pos="288"/>
                <w:tab w:val="left" w:pos="576"/>
                <w:tab w:val="left" w:pos="864"/>
                <w:tab w:val="left" w:pos="1152"/>
              </w:tabs>
              <w:suppressAutoHyphens/>
              <w:spacing w:before="40" w:after="40" w:line="210" w:lineRule="exact"/>
              <w:ind w:right="43"/>
              <w:rPr>
                <w:sz w:val="17"/>
                <w:lang w:val="fr-CH"/>
              </w:rPr>
            </w:pPr>
            <w:r w:rsidRPr="00D13678">
              <w:rPr>
                <w:sz w:val="17"/>
                <w:lang w:val="fr-CH"/>
              </w:rPr>
              <w:t>Simplification du contrôle des documents</w:t>
            </w:r>
          </w:p>
        </w:tc>
        <w:tc>
          <w:tcPr>
            <w:tcW w:w="1368" w:type="dxa"/>
            <w:shd w:val="clear" w:color="auto" w:fill="auto"/>
            <w:vAlign w:val="bottom"/>
          </w:tcPr>
          <w:p w:rsidR="00013569" w:rsidRPr="00D13678" w:rsidRDefault="00013569" w:rsidP="009E165F">
            <w:pPr>
              <w:tabs>
                <w:tab w:val="left" w:pos="288"/>
                <w:tab w:val="left" w:pos="576"/>
                <w:tab w:val="left" w:pos="864"/>
                <w:tab w:val="left" w:pos="1152"/>
              </w:tabs>
              <w:suppressAutoHyphens/>
              <w:spacing w:before="40" w:after="40" w:line="210" w:lineRule="exact"/>
              <w:ind w:left="43" w:right="45"/>
              <w:jc w:val="right"/>
              <w:rPr>
                <w:sz w:val="17"/>
                <w:lang w:val="fr-CH"/>
              </w:rPr>
            </w:pPr>
            <w:r w:rsidRPr="00D13678">
              <w:rPr>
                <w:sz w:val="17"/>
                <w:lang w:val="fr-CH"/>
              </w:rPr>
              <w:t>7</w:t>
            </w:r>
          </w:p>
        </w:tc>
      </w:tr>
      <w:tr w:rsidR="00013569" w:rsidRPr="00D13678" w:rsidTr="009E165F">
        <w:tc>
          <w:tcPr>
            <w:tcW w:w="450" w:type="dxa"/>
            <w:shd w:val="clear" w:color="auto" w:fill="auto"/>
          </w:tcPr>
          <w:p w:rsidR="00013569" w:rsidRPr="00D13678" w:rsidRDefault="00013569" w:rsidP="009E165F">
            <w:pPr>
              <w:tabs>
                <w:tab w:val="left" w:pos="288"/>
                <w:tab w:val="left" w:pos="576"/>
                <w:tab w:val="left" w:pos="864"/>
                <w:tab w:val="left" w:pos="1152"/>
              </w:tabs>
              <w:suppressAutoHyphens/>
              <w:spacing w:before="40" w:after="40" w:line="210" w:lineRule="exact"/>
              <w:ind w:right="43"/>
              <w:rPr>
                <w:sz w:val="17"/>
                <w:lang w:val="fr-CH"/>
              </w:rPr>
            </w:pPr>
            <w:r w:rsidRPr="00D13678">
              <w:rPr>
                <w:sz w:val="17"/>
                <w:lang w:val="fr-CH"/>
              </w:rPr>
              <w:t>7.5</w:t>
            </w:r>
          </w:p>
        </w:tc>
        <w:tc>
          <w:tcPr>
            <w:tcW w:w="5670" w:type="dxa"/>
            <w:shd w:val="clear" w:color="auto" w:fill="auto"/>
          </w:tcPr>
          <w:p w:rsidR="00013569" w:rsidRPr="00D13678" w:rsidRDefault="00013569" w:rsidP="009E165F">
            <w:pPr>
              <w:tabs>
                <w:tab w:val="left" w:pos="288"/>
                <w:tab w:val="left" w:pos="576"/>
                <w:tab w:val="left" w:pos="864"/>
                <w:tab w:val="left" w:pos="1152"/>
              </w:tabs>
              <w:suppressAutoHyphens/>
              <w:spacing w:before="40" w:after="40" w:line="210" w:lineRule="exact"/>
              <w:ind w:right="43"/>
              <w:rPr>
                <w:sz w:val="17"/>
                <w:lang w:val="fr-CH"/>
              </w:rPr>
            </w:pPr>
            <w:r w:rsidRPr="00D13678">
              <w:rPr>
                <w:sz w:val="17"/>
                <w:lang w:val="fr-CH"/>
              </w:rPr>
              <w:t>Systèmes de «</w:t>
            </w:r>
            <w:r w:rsidR="009E165F">
              <w:rPr>
                <w:sz w:val="17"/>
                <w:lang w:val="fr-CH"/>
              </w:rPr>
              <w:t> </w:t>
            </w:r>
            <w:r w:rsidRPr="00D13678">
              <w:rPr>
                <w:sz w:val="17"/>
                <w:lang w:val="fr-CH"/>
              </w:rPr>
              <w:t>bonus</w:t>
            </w:r>
            <w:r w:rsidR="009E165F">
              <w:rPr>
                <w:sz w:val="17"/>
                <w:lang w:val="fr-CH"/>
              </w:rPr>
              <w:t> </w:t>
            </w:r>
            <w:r w:rsidRPr="00D13678">
              <w:rPr>
                <w:sz w:val="17"/>
                <w:lang w:val="fr-CH"/>
              </w:rPr>
              <w:t>» pour le transport intermodal</w:t>
            </w:r>
          </w:p>
        </w:tc>
        <w:tc>
          <w:tcPr>
            <w:tcW w:w="1368" w:type="dxa"/>
            <w:shd w:val="clear" w:color="auto" w:fill="auto"/>
            <w:vAlign w:val="bottom"/>
          </w:tcPr>
          <w:p w:rsidR="00013569" w:rsidRPr="00D13678" w:rsidRDefault="00013569" w:rsidP="009E165F">
            <w:pPr>
              <w:tabs>
                <w:tab w:val="left" w:pos="288"/>
                <w:tab w:val="left" w:pos="576"/>
                <w:tab w:val="left" w:pos="864"/>
                <w:tab w:val="left" w:pos="1152"/>
              </w:tabs>
              <w:suppressAutoHyphens/>
              <w:spacing w:before="40" w:after="40" w:line="210" w:lineRule="exact"/>
              <w:ind w:left="43" w:right="45"/>
              <w:jc w:val="right"/>
              <w:rPr>
                <w:sz w:val="17"/>
                <w:lang w:val="fr-CH"/>
              </w:rPr>
            </w:pPr>
            <w:r w:rsidRPr="00D13678">
              <w:rPr>
                <w:sz w:val="17"/>
                <w:lang w:val="fr-CH"/>
              </w:rPr>
              <w:t>6</w:t>
            </w:r>
          </w:p>
        </w:tc>
      </w:tr>
      <w:tr w:rsidR="00013569" w:rsidRPr="00D13678" w:rsidTr="009E165F">
        <w:tc>
          <w:tcPr>
            <w:tcW w:w="450" w:type="dxa"/>
            <w:shd w:val="clear" w:color="auto" w:fill="auto"/>
          </w:tcPr>
          <w:p w:rsidR="00013569" w:rsidRPr="00D13678" w:rsidRDefault="00013569" w:rsidP="009E165F">
            <w:pPr>
              <w:tabs>
                <w:tab w:val="left" w:pos="288"/>
                <w:tab w:val="left" w:pos="576"/>
                <w:tab w:val="left" w:pos="864"/>
                <w:tab w:val="left" w:pos="1152"/>
              </w:tabs>
              <w:suppressAutoHyphens/>
              <w:spacing w:before="40" w:after="40" w:line="210" w:lineRule="exact"/>
              <w:ind w:right="43"/>
              <w:rPr>
                <w:sz w:val="17"/>
                <w:lang w:val="fr-CH"/>
              </w:rPr>
            </w:pPr>
            <w:r w:rsidRPr="00D13678">
              <w:rPr>
                <w:sz w:val="17"/>
                <w:lang w:val="fr-CH"/>
              </w:rPr>
              <w:t>7.6</w:t>
            </w:r>
          </w:p>
        </w:tc>
        <w:tc>
          <w:tcPr>
            <w:tcW w:w="5670" w:type="dxa"/>
            <w:shd w:val="clear" w:color="auto" w:fill="auto"/>
          </w:tcPr>
          <w:p w:rsidR="00013569" w:rsidRPr="00D13678" w:rsidRDefault="00013569" w:rsidP="009E165F">
            <w:pPr>
              <w:tabs>
                <w:tab w:val="left" w:pos="288"/>
                <w:tab w:val="left" w:pos="576"/>
                <w:tab w:val="left" w:pos="864"/>
                <w:tab w:val="left" w:pos="1152"/>
              </w:tabs>
              <w:suppressAutoHyphens/>
              <w:spacing w:before="40" w:after="40" w:line="210" w:lineRule="exact"/>
              <w:ind w:right="43"/>
              <w:rPr>
                <w:sz w:val="17"/>
                <w:lang w:val="fr-CH"/>
              </w:rPr>
            </w:pPr>
            <w:r w:rsidRPr="00D13678">
              <w:rPr>
                <w:sz w:val="17"/>
                <w:lang w:val="fr-CH"/>
              </w:rPr>
              <w:t>Application rigoureuse des réglementations relatives au transport routier</w:t>
            </w:r>
          </w:p>
        </w:tc>
        <w:tc>
          <w:tcPr>
            <w:tcW w:w="1368" w:type="dxa"/>
            <w:shd w:val="clear" w:color="auto" w:fill="auto"/>
            <w:vAlign w:val="bottom"/>
          </w:tcPr>
          <w:p w:rsidR="00013569" w:rsidRPr="00D13678" w:rsidRDefault="00013569" w:rsidP="009E165F">
            <w:pPr>
              <w:tabs>
                <w:tab w:val="left" w:pos="288"/>
                <w:tab w:val="left" w:pos="576"/>
                <w:tab w:val="left" w:pos="864"/>
                <w:tab w:val="left" w:pos="1152"/>
              </w:tabs>
              <w:suppressAutoHyphens/>
              <w:spacing w:before="40" w:after="40" w:line="210" w:lineRule="exact"/>
              <w:ind w:left="43" w:right="45"/>
              <w:jc w:val="right"/>
              <w:rPr>
                <w:sz w:val="17"/>
                <w:lang w:val="fr-CH"/>
              </w:rPr>
            </w:pPr>
            <w:r w:rsidRPr="00D13678">
              <w:rPr>
                <w:sz w:val="17"/>
                <w:lang w:val="fr-CH"/>
              </w:rPr>
              <w:t>10</w:t>
            </w:r>
          </w:p>
        </w:tc>
      </w:tr>
      <w:tr w:rsidR="00013569" w:rsidRPr="00D13678" w:rsidTr="009E165F">
        <w:tc>
          <w:tcPr>
            <w:tcW w:w="450" w:type="dxa"/>
            <w:tcBorders>
              <w:bottom w:val="single" w:sz="12" w:space="0" w:color="auto"/>
            </w:tcBorders>
            <w:shd w:val="clear" w:color="auto" w:fill="auto"/>
          </w:tcPr>
          <w:p w:rsidR="00013569" w:rsidRPr="00D13678" w:rsidRDefault="00013569" w:rsidP="009E165F">
            <w:pPr>
              <w:tabs>
                <w:tab w:val="left" w:pos="288"/>
                <w:tab w:val="left" w:pos="576"/>
                <w:tab w:val="left" w:pos="864"/>
                <w:tab w:val="left" w:pos="1152"/>
              </w:tabs>
              <w:suppressAutoHyphens/>
              <w:spacing w:before="40" w:after="40" w:line="210" w:lineRule="exact"/>
              <w:ind w:right="43"/>
              <w:rPr>
                <w:sz w:val="17"/>
                <w:lang w:val="fr-CH"/>
              </w:rPr>
            </w:pPr>
            <w:r w:rsidRPr="00D13678">
              <w:rPr>
                <w:sz w:val="17"/>
                <w:lang w:val="fr-CH"/>
              </w:rPr>
              <w:t>7.7</w:t>
            </w:r>
          </w:p>
        </w:tc>
        <w:tc>
          <w:tcPr>
            <w:tcW w:w="5670" w:type="dxa"/>
            <w:tcBorders>
              <w:bottom w:val="single" w:sz="12" w:space="0" w:color="auto"/>
            </w:tcBorders>
            <w:shd w:val="clear" w:color="auto" w:fill="auto"/>
          </w:tcPr>
          <w:p w:rsidR="00013569" w:rsidRPr="00D13678" w:rsidRDefault="00013569" w:rsidP="009E165F">
            <w:pPr>
              <w:tabs>
                <w:tab w:val="left" w:pos="288"/>
                <w:tab w:val="left" w:pos="576"/>
                <w:tab w:val="left" w:pos="864"/>
                <w:tab w:val="left" w:pos="1152"/>
              </w:tabs>
              <w:suppressAutoHyphens/>
              <w:spacing w:before="40" w:after="40" w:line="210" w:lineRule="exact"/>
              <w:ind w:right="43"/>
              <w:rPr>
                <w:sz w:val="17"/>
                <w:lang w:val="fr-CH"/>
              </w:rPr>
            </w:pPr>
            <w:r w:rsidRPr="00D13678">
              <w:rPr>
                <w:sz w:val="17"/>
                <w:lang w:val="fr-CH"/>
              </w:rPr>
              <w:t>Autres mesures de soutien réglementaires</w:t>
            </w:r>
          </w:p>
        </w:tc>
        <w:tc>
          <w:tcPr>
            <w:tcW w:w="1368" w:type="dxa"/>
            <w:tcBorders>
              <w:bottom w:val="single" w:sz="12" w:space="0" w:color="auto"/>
            </w:tcBorders>
            <w:shd w:val="clear" w:color="auto" w:fill="auto"/>
            <w:vAlign w:val="bottom"/>
          </w:tcPr>
          <w:p w:rsidR="00013569" w:rsidRPr="00D13678" w:rsidRDefault="00013569" w:rsidP="009E165F">
            <w:pPr>
              <w:tabs>
                <w:tab w:val="left" w:pos="288"/>
                <w:tab w:val="left" w:pos="576"/>
                <w:tab w:val="left" w:pos="864"/>
                <w:tab w:val="left" w:pos="1152"/>
              </w:tabs>
              <w:suppressAutoHyphens/>
              <w:spacing w:before="40" w:after="40" w:line="210" w:lineRule="exact"/>
              <w:ind w:left="43" w:right="45"/>
              <w:jc w:val="right"/>
              <w:rPr>
                <w:sz w:val="17"/>
                <w:lang w:val="fr-CH"/>
              </w:rPr>
            </w:pPr>
            <w:r w:rsidRPr="00D13678">
              <w:rPr>
                <w:sz w:val="17"/>
                <w:lang w:val="fr-CH"/>
              </w:rPr>
              <w:t>7</w:t>
            </w:r>
          </w:p>
        </w:tc>
      </w:tr>
    </w:tbl>
    <w:p w:rsidR="00013569" w:rsidRPr="00ED6101" w:rsidRDefault="00013569" w:rsidP="00013569">
      <w:pPr>
        <w:pStyle w:val="SingleTxt"/>
        <w:spacing w:after="0" w:line="120" w:lineRule="exact"/>
        <w:rPr>
          <w:sz w:val="10"/>
          <w:lang w:val="fr-CH"/>
        </w:rPr>
      </w:pPr>
    </w:p>
    <w:p w:rsidR="00013569" w:rsidRPr="00ED6101" w:rsidRDefault="00013569" w:rsidP="00013569">
      <w:pPr>
        <w:pStyle w:val="SingleTxt"/>
        <w:spacing w:after="0" w:line="120" w:lineRule="exact"/>
        <w:rPr>
          <w:sz w:val="10"/>
          <w:lang w:val="fr-CH"/>
        </w:rPr>
      </w:pPr>
    </w:p>
    <w:p w:rsidR="00013569" w:rsidRPr="00ED6101" w:rsidRDefault="00013569" w:rsidP="00013569">
      <w:pPr>
        <w:pStyle w:val="SingleTxt"/>
        <w:numPr>
          <w:ilvl w:val="0"/>
          <w:numId w:val="6"/>
        </w:numPr>
        <w:tabs>
          <w:tab w:val="clear" w:pos="475"/>
          <w:tab w:val="num" w:pos="1742"/>
        </w:tabs>
        <w:ind w:left="1267"/>
        <w:rPr>
          <w:lang w:val="fr-CH"/>
        </w:rPr>
      </w:pPr>
      <w:r w:rsidRPr="00ED6101">
        <w:rPr>
          <w:lang w:val="fr-CH"/>
        </w:rPr>
        <w:t>Une fois identifiées les mesures de politique générale, il convient de mettre en évidence les avantages et les inconvénients de chacune de ces options pour faire en sorte que ceux qui choisissent de les mettre en œuvre aient conscience des éventuels pièges. Chaque mesure doit être décrite en précisant au minimum ce qui suit</w:t>
      </w:r>
      <w:r w:rsidR="0045443D" w:rsidRPr="00ED6101">
        <w:rPr>
          <w:lang w:val="fr-CH"/>
        </w:rPr>
        <w:t> :</w:t>
      </w:r>
    </w:p>
    <w:p w:rsidR="00013569" w:rsidRPr="00ED6101" w:rsidRDefault="00013569" w:rsidP="00ED6101">
      <w:pPr>
        <w:pStyle w:val="Bullet1"/>
        <w:rPr>
          <w:lang w:val="fr-CH"/>
        </w:rPr>
      </w:pPr>
      <w:r w:rsidRPr="00ED6101">
        <w:rPr>
          <w:lang w:val="fr-CH"/>
        </w:rPr>
        <w:t>Titre de la mesure politique;</w:t>
      </w:r>
    </w:p>
    <w:p w:rsidR="00013569" w:rsidRPr="00ED6101" w:rsidRDefault="00013569" w:rsidP="00ED6101">
      <w:pPr>
        <w:pStyle w:val="Bullet1"/>
        <w:rPr>
          <w:lang w:val="fr-CH"/>
        </w:rPr>
      </w:pPr>
      <w:r w:rsidRPr="00ED6101">
        <w:rPr>
          <w:lang w:val="fr-CH"/>
        </w:rPr>
        <w:t>Description;</w:t>
      </w:r>
    </w:p>
    <w:p w:rsidR="00013569" w:rsidRPr="00ED6101" w:rsidRDefault="00013569" w:rsidP="00ED6101">
      <w:pPr>
        <w:pStyle w:val="Bullet1"/>
        <w:rPr>
          <w:lang w:val="fr-CH"/>
        </w:rPr>
      </w:pPr>
      <w:r w:rsidRPr="00ED6101">
        <w:rPr>
          <w:lang w:val="fr-CH"/>
        </w:rPr>
        <w:t>Avantages;</w:t>
      </w:r>
    </w:p>
    <w:p w:rsidR="00013569" w:rsidRPr="00ED6101" w:rsidRDefault="00013569" w:rsidP="00ED6101">
      <w:pPr>
        <w:pStyle w:val="Bullet1"/>
        <w:rPr>
          <w:lang w:val="fr-CH"/>
        </w:rPr>
      </w:pPr>
      <w:r w:rsidRPr="00ED6101">
        <w:rPr>
          <w:lang w:val="fr-CH"/>
        </w:rPr>
        <w:t>Inconvénients;</w:t>
      </w:r>
    </w:p>
    <w:p w:rsidR="00013569" w:rsidRPr="00ED6101" w:rsidRDefault="00013569" w:rsidP="00ED6101">
      <w:pPr>
        <w:pStyle w:val="Bullet1"/>
        <w:rPr>
          <w:lang w:val="fr-CH"/>
        </w:rPr>
      </w:pPr>
      <w:r w:rsidRPr="00ED6101">
        <w:rPr>
          <w:lang w:val="fr-CH"/>
        </w:rPr>
        <w:t>Coût probable;</w:t>
      </w:r>
    </w:p>
    <w:p w:rsidR="00013569" w:rsidRPr="00ED6101" w:rsidRDefault="00013569" w:rsidP="00ED6101">
      <w:pPr>
        <w:pStyle w:val="Bullet1"/>
        <w:rPr>
          <w:lang w:val="fr-CH"/>
        </w:rPr>
      </w:pPr>
      <w:r w:rsidRPr="00ED6101">
        <w:rPr>
          <w:lang w:val="fr-CH"/>
        </w:rPr>
        <w:t>Délais probables de mise en œuvre;</w:t>
      </w:r>
    </w:p>
    <w:p w:rsidR="00013569" w:rsidRPr="00ED6101" w:rsidRDefault="00013569" w:rsidP="00ED6101">
      <w:pPr>
        <w:pStyle w:val="Bullet1"/>
        <w:rPr>
          <w:lang w:val="fr-CH"/>
        </w:rPr>
      </w:pPr>
      <w:r w:rsidRPr="00ED6101">
        <w:rPr>
          <w:lang w:val="fr-CH"/>
        </w:rPr>
        <w:t>Lieu où cette politique a été mise en œuvre et résultats obtenus;</w:t>
      </w:r>
    </w:p>
    <w:p w:rsidR="00013569" w:rsidRPr="00ED6101" w:rsidRDefault="00013569" w:rsidP="00ED6101">
      <w:pPr>
        <w:pStyle w:val="Bullet1"/>
        <w:rPr>
          <w:lang w:val="fr-CH"/>
        </w:rPr>
      </w:pPr>
      <w:r w:rsidRPr="00ED6101">
        <w:rPr>
          <w:lang w:val="fr-CH"/>
        </w:rPr>
        <w:t>Qui est susceptible de ressentir l’impact de cette politique et de quelle manière;</w:t>
      </w:r>
    </w:p>
    <w:p w:rsidR="00013569" w:rsidRPr="00ED6101" w:rsidRDefault="00013569" w:rsidP="00ED6101">
      <w:pPr>
        <w:pStyle w:val="Bullet1"/>
        <w:rPr>
          <w:lang w:val="fr-CH"/>
        </w:rPr>
      </w:pPr>
      <w:r w:rsidRPr="00ED6101">
        <w:rPr>
          <w:lang w:val="fr-CH"/>
        </w:rPr>
        <w:t>Compatibilité avec d’autres mesures politiques.</w:t>
      </w:r>
    </w:p>
    <w:p w:rsidR="00013569" w:rsidRPr="00ED6101" w:rsidRDefault="00013569" w:rsidP="00013569">
      <w:pPr>
        <w:numPr>
          <w:ilvl w:val="0"/>
          <w:numId w:val="6"/>
        </w:numPr>
        <w:tabs>
          <w:tab w:val="left" w:pos="1267"/>
          <w:tab w:val="num"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lang w:val="fr-CH"/>
        </w:rPr>
      </w:pPr>
      <w:r w:rsidRPr="00ED6101">
        <w:rPr>
          <w:lang w:val="fr-CH"/>
        </w:rPr>
        <w:t>Un inventaire complet doit être établi et revu en fonction de ces critères pour permettre aux États membres de discerner clairement ce qui est nécessaire.</w:t>
      </w:r>
    </w:p>
    <w:p w:rsidR="00013569" w:rsidRPr="00ED6101" w:rsidRDefault="00013569" w:rsidP="00013569">
      <w:pPr>
        <w:pStyle w:val="SingleTxt"/>
        <w:spacing w:after="0" w:line="120" w:lineRule="exact"/>
        <w:rPr>
          <w:sz w:val="10"/>
          <w:lang w:val="fr-CH"/>
        </w:rPr>
      </w:pPr>
    </w:p>
    <w:p w:rsidR="00013569" w:rsidRPr="00ED6101" w:rsidRDefault="00013569" w:rsidP="00013569">
      <w:pPr>
        <w:pStyle w:val="SingleTxt"/>
        <w:spacing w:after="0" w:line="120" w:lineRule="exact"/>
        <w:rPr>
          <w:sz w:val="10"/>
          <w:lang w:val="fr-CH"/>
        </w:rPr>
      </w:pPr>
    </w:p>
    <w:p w:rsidR="00013569" w:rsidRPr="00ED6101" w:rsidRDefault="00013569" w:rsidP="000135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6101">
        <w:rPr>
          <w:lang w:val="fr-CH"/>
        </w:rPr>
        <w:tab/>
        <w:t>V.</w:t>
      </w:r>
      <w:r w:rsidRPr="00ED6101">
        <w:rPr>
          <w:lang w:val="fr-CH"/>
        </w:rPr>
        <w:tab/>
        <w:t xml:space="preserve">Prochaines étapes </w:t>
      </w:r>
    </w:p>
    <w:p w:rsidR="00013569" w:rsidRDefault="00013569" w:rsidP="00013569">
      <w:pPr>
        <w:pStyle w:val="SingleTxt"/>
        <w:spacing w:after="0" w:line="120" w:lineRule="exact"/>
        <w:rPr>
          <w:sz w:val="10"/>
          <w:lang w:val="fr-CH"/>
        </w:rPr>
      </w:pPr>
    </w:p>
    <w:p w:rsidR="00ED6101" w:rsidRPr="00ED6101" w:rsidRDefault="00ED6101" w:rsidP="00013569">
      <w:pPr>
        <w:pStyle w:val="SingleTxt"/>
        <w:spacing w:after="0" w:line="120" w:lineRule="exact"/>
        <w:rPr>
          <w:sz w:val="10"/>
          <w:lang w:val="fr-CH"/>
        </w:rPr>
      </w:pPr>
    </w:p>
    <w:p w:rsidR="00013569" w:rsidRPr="00ED6101" w:rsidRDefault="00013569" w:rsidP="00013569">
      <w:pPr>
        <w:pStyle w:val="SingleTxt"/>
        <w:numPr>
          <w:ilvl w:val="0"/>
          <w:numId w:val="6"/>
        </w:numPr>
        <w:tabs>
          <w:tab w:val="clear" w:pos="475"/>
          <w:tab w:val="num" w:pos="1742"/>
        </w:tabs>
        <w:ind w:left="1267"/>
        <w:rPr>
          <w:lang w:val="fr-CH"/>
        </w:rPr>
      </w:pPr>
      <w:r w:rsidRPr="00ED6101">
        <w:rPr>
          <w:lang w:val="fr-CH"/>
        </w:rPr>
        <w:t xml:space="preserve">Les informations contenues dans le présent document peuvent être considérées comme la première étape de l’élaboration de lignes directrices pour la préparation de plans nationaux sur le transport intermodal et la logistique. Le Groupe de travail a estimé qu’il était nécessaire d’élaborer une boîte à outils au service des politiques nationales concernées. La promotion du transport intermodal de marchandises constitue un élément important des actions pour le développement durable. Par conséquent, le Comité est invité à examiner et approuver la proposition du Groupe de </w:t>
      </w:r>
      <w:r w:rsidRPr="00ED6101">
        <w:rPr>
          <w:lang w:val="fr-CH"/>
        </w:rPr>
        <w:lastRenderedPageBreak/>
        <w:t>travail et à le prier d’entreprendre l’élaboration de lignes directrices détaillées sur la base du document ECE/TRANS/WP.24/2015/5, en recourant si possible à un appui extérieur et en prenant en considération les observations communiquées par les États membres et les institutions intergouvernementales concernées.</w:t>
      </w:r>
    </w:p>
    <w:p w:rsidR="00013569" w:rsidRPr="00ED6101" w:rsidRDefault="00013569">
      <w:pPr>
        <w:spacing w:line="240" w:lineRule="auto"/>
        <w:rPr>
          <w:lang w:val="fr-CH"/>
        </w:rPr>
      </w:pPr>
      <w:r w:rsidRPr="00ED6101">
        <w:rPr>
          <w:lang w:val="fr-CH"/>
        </w:rPr>
        <w:br w:type="page"/>
      </w:r>
    </w:p>
    <w:p w:rsidR="00013569" w:rsidRPr="00ED6101" w:rsidRDefault="00013569" w:rsidP="00ED610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D6101">
        <w:rPr>
          <w:lang w:val="fr-CH"/>
        </w:rPr>
        <w:lastRenderedPageBreak/>
        <w:t>Annexe</w:t>
      </w:r>
    </w:p>
    <w:p w:rsidR="00013569" w:rsidRPr="00ED6101" w:rsidRDefault="00013569" w:rsidP="00013569">
      <w:pPr>
        <w:spacing w:line="120" w:lineRule="exact"/>
        <w:rPr>
          <w:sz w:val="10"/>
          <w:lang w:val="fr-CH"/>
        </w:rPr>
      </w:pPr>
    </w:p>
    <w:p w:rsidR="00013569" w:rsidRPr="00ED6101" w:rsidRDefault="00013569" w:rsidP="00ED61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6101">
        <w:rPr>
          <w:lang w:val="fr-CH"/>
        </w:rPr>
        <w:tab/>
      </w:r>
      <w:r w:rsidRPr="00ED6101">
        <w:rPr>
          <w:lang w:val="fr-CH"/>
        </w:rPr>
        <w:tab/>
        <w:t>Liste des plans directeurs nationaux passés en revue</w:t>
      </w:r>
    </w:p>
    <w:p w:rsidR="00013569" w:rsidRPr="00ED6101" w:rsidRDefault="00013569" w:rsidP="0001356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fr-CH"/>
        </w:rPr>
      </w:pPr>
    </w:p>
    <w:p w:rsidR="00013569" w:rsidRPr="00ED6101" w:rsidRDefault="00013569" w:rsidP="0001356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fr-CH"/>
        </w:rPr>
      </w:pPr>
    </w:p>
    <w:tbl>
      <w:tblPr>
        <w:tblW w:w="10026" w:type="dxa"/>
        <w:tblLayout w:type="fixed"/>
        <w:tblCellMar>
          <w:left w:w="0" w:type="dxa"/>
          <w:right w:w="0" w:type="dxa"/>
        </w:tblCellMar>
        <w:tblLook w:val="04A0" w:firstRow="1" w:lastRow="0" w:firstColumn="1" w:lastColumn="0" w:noHBand="0" w:noVBand="1"/>
      </w:tblPr>
      <w:tblGrid>
        <w:gridCol w:w="1355"/>
        <w:gridCol w:w="8671"/>
      </w:tblGrid>
      <w:tr w:rsidR="00013569" w:rsidRPr="00ED6101" w:rsidTr="00ED6101">
        <w:trPr>
          <w:trHeight w:val="300"/>
          <w:tblHeader/>
        </w:trPr>
        <w:tc>
          <w:tcPr>
            <w:tcW w:w="1355" w:type="dxa"/>
            <w:tcBorders>
              <w:top w:val="single" w:sz="4" w:space="0" w:color="auto"/>
              <w:bottom w:val="single" w:sz="12" w:space="0" w:color="auto"/>
            </w:tcBorders>
            <w:shd w:val="clear" w:color="auto" w:fill="auto"/>
            <w:noWrap/>
            <w:vAlign w:val="bottom"/>
            <w:hideMark/>
          </w:tcPr>
          <w:p w:rsidR="00013569" w:rsidRPr="00ED6101" w:rsidRDefault="00013569" w:rsidP="00ED6101">
            <w:pPr>
              <w:suppressAutoHyphens/>
              <w:spacing w:before="80" w:after="80" w:line="160" w:lineRule="exact"/>
              <w:ind w:right="43"/>
              <w:rPr>
                <w:i/>
                <w:sz w:val="14"/>
                <w:lang w:val="fr-CH"/>
              </w:rPr>
            </w:pPr>
            <w:r w:rsidRPr="00ED6101">
              <w:rPr>
                <w:i/>
                <w:sz w:val="14"/>
                <w:lang w:val="fr-CH"/>
              </w:rPr>
              <w:t xml:space="preserve">Pays </w:t>
            </w:r>
          </w:p>
        </w:tc>
        <w:tc>
          <w:tcPr>
            <w:tcW w:w="8671" w:type="dxa"/>
            <w:tcBorders>
              <w:top w:val="single" w:sz="4" w:space="0" w:color="auto"/>
              <w:bottom w:val="single" w:sz="12" w:space="0" w:color="auto"/>
            </w:tcBorders>
            <w:shd w:val="clear" w:color="auto" w:fill="auto"/>
            <w:noWrap/>
            <w:vAlign w:val="bottom"/>
            <w:hideMark/>
          </w:tcPr>
          <w:p w:rsidR="00013569" w:rsidRPr="00ED6101" w:rsidRDefault="00013569" w:rsidP="00ED6101">
            <w:pPr>
              <w:suppressAutoHyphens/>
              <w:spacing w:before="80" w:after="80" w:line="160" w:lineRule="exact"/>
              <w:ind w:right="117"/>
              <w:rPr>
                <w:i/>
                <w:sz w:val="14"/>
                <w:lang w:val="fr-CH"/>
              </w:rPr>
            </w:pPr>
            <w:r w:rsidRPr="00ED6101">
              <w:rPr>
                <w:i/>
                <w:sz w:val="14"/>
                <w:lang w:val="fr-CH"/>
              </w:rPr>
              <w:t>Principaux domaines concernés</w:t>
            </w:r>
            <w:r w:rsidR="0045443D" w:rsidRPr="00ED6101">
              <w:rPr>
                <w:i/>
                <w:sz w:val="14"/>
                <w:lang w:val="fr-CH"/>
              </w:rPr>
              <w:t> :</w:t>
            </w:r>
          </w:p>
        </w:tc>
      </w:tr>
      <w:tr w:rsidR="00ED6101" w:rsidRPr="00ED6101" w:rsidTr="00ED6101">
        <w:trPr>
          <w:trHeight w:hRule="exact" w:val="115"/>
          <w:tblHeader/>
        </w:trPr>
        <w:tc>
          <w:tcPr>
            <w:tcW w:w="1355" w:type="dxa"/>
            <w:tcBorders>
              <w:top w:val="single" w:sz="12" w:space="0" w:color="auto"/>
            </w:tcBorders>
            <w:shd w:val="clear" w:color="auto" w:fill="auto"/>
            <w:vAlign w:val="bottom"/>
          </w:tcPr>
          <w:p w:rsidR="00ED6101" w:rsidRPr="00ED6101" w:rsidRDefault="00ED6101" w:rsidP="00ED6101">
            <w:pPr>
              <w:tabs>
                <w:tab w:val="left" w:pos="288"/>
                <w:tab w:val="left" w:pos="576"/>
                <w:tab w:val="left" w:pos="864"/>
                <w:tab w:val="left" w:pos="1152"/>
              </w:tabs>
              <w:suppressAutoHyphens/>
              <w:spacing w:before="40" w:after="80"/>
              <w:ind w:right="43"/>
              <w:rPr>
                <w:lang w:val="fr-CH"/>
              </w:rPr>
            </w:pPr>
          </w:p>
        </w:tc>
        <w:tc>
          <w:tcPr>
            <w:tcW w:w="8671" w:type="dxa"/>
            <w:tcBorders>
              <w:top w:val="single" w:sz="12" w:space="0" w:color="auto"/>
            </w:tcBorders>
            <w:shd w:val="clear" w:color="auto" w:fill="auto"/>
            <w:vAlign w:val="bottom"/>
          </w:tcPr>
          <w:p w:rsidR="00ED6101" w:rsidRPr="00ED6101" w:rsidRDefault="00ED6101" w:rsidP="00ED6101">
            <w:pPr>
              <w:tabs>
                <w:tab w:val="left" w:pos="288"/>
                <w:tab w:val="left" w:pos="576"/>
                <w:tab w:val="left" w:pos="864"/>
                <w:tab w:val="left" w:pos="1152"/>
              </w:tabs>
              <w:suppressAutoHyphens/>
              <w:spacing w:before="40" w:after="80"/>
              <w:ind w:right="117"/>
              <w:rPr>
                <w:spacing w:val="2"/>
                <w:lang w:val="fr-CH"/>
              </w:rPr>
            </w:pPr>
          </w:p>
        </w:tc>
      </w:tr>
      <w:tr w:rsidR="00013569" w:rsidRPr="00ED6101" w:rsidTr="00ED6101">
        <w:tc>
          <w:tcPr>
            <w:tcW w:w="1355" w:type="dxa"/>
            <w:shd w:val="clear" w:color="auto" w:fill="auto"/>
          </w:tcPr>
          <w:p w:rsidR="00013569" w:rsidRPr="00ED6101" w:rsidRDefault="00013569" w:rsidP="00ED6101">
            <w:pPr>
              <w:tabs>
                <w:tab w:val="left" w:pos="288"/>
                <w:tab w:val="left" w:pos="576"/>
                <w:tab w:val="left" w:pos="864"/>
                <w:tab w:val="left" w:pos="1152"/>
              </w:tabs>
              <w:suppressAutoHyphens/>
              <w:spacing w:before="40" w:after="80"/>
              <w:ind w:right="43"/>
              <w:rPr>
                <w:lang w:val="fr-CH"/>
              </w:rPr>
            </w:pPr>
            <w:r w:rsidRPr="00ED6101">
              <w:rPr>
                <w:lang w:val="fr-CH"/>
              </w:rPr>
              <w:t xml:space="preserve">Allemagne </w:t>
            </w:r>
            <w:r w:rsidR="00ED6101">
              <w:rPr>
                <w:lang w:val="fr-CH"/>
              </w:rPr>
              <w:br/>
            </w:r>
            <w:r w:rsidRPr="00ED6101">
              <w:rPr>
                <w:lang w:val="fr-CH"/>
              </w:rPr>
              <w:t xml:space="preserve">(2008) </w:t>
            </w:r>
          </w:p>
        </w:tc>
        <w:tc>
          <w:tcPr>
            <w:tcW w:w="8671" w:type="dxa"/>
            <w:shd w:val="clear" w:color="auto" w:fill="auto"/>
          </w:tcPr>
          <w:p w:rsidR="00013569" w:rsidRPr="00ED6101" w:rsidRDefault="00013569" w:rsidP="00ED6101">
            <w:pPr>
              <w:tabs>
                <w:tab w:val="left" w:pos="288"/>
                <w:tab w:val="left" w:pos="576"/>
                <w:tab w:val="left" w:pos="864"/>
                <w:tab w:val="left" w:pos="1152"/>
              </w:tabs>
              <w:suppressAutoHyphens/>
              <w:spacing w:before="40" w:after="80"/>
              <w:ind w:right="117"/>
              <w:rPr>
                <w:spacing w:val="2"/>
                <w:lang w:val="fr-CH"/>
              </w:rPr>
            </w:pPr>
            <w:r w:rsidRPr="00ED6101">
              <w:rPr>
                <w:spacing w:val="2"/>
                <w:lang w:val="fr-CH"/>
              </w:rPr>
              <w:t>Utilisation optimale des infrastructures pour rendre le transport plus efficace; réduction des trajets non nécessaires pour assurer la mobilité; report modal vers le rail et les voies navigables; modernisation des artères et des pôles de transport; transport respectueux de l’environnement et du climat; conditions de travail et formation de qualité dans le secteur du transport de marchandises.</w:t>
            </w:r>
          </w:p>
        </w:tc>
      </w:tr>
      <w:tr w:rsidR="00013569" w:rsidRPr="00ED6101" w:rsidTr="00ED6101">
        <w:tc>
          <w:tcPr>
            <w:tcW w:w="1355" w:type="dxa"/>
            <w:shd w:val="clear" w:color="auto" w:fill="auto"/>
          </w:tcPr>
          <w:p w:rsidR="00013569" w:rsidRPr="00ED6101" w:rsidRDefault="00013569" w:rsidP="00ED6101">
            <w:pPr>
              <w:tabs>
                <w:tab w:val="left" w:pos="288"/>
                <w:tab w:val="left" w:pos="576"/>
                <w:tab w:val="left" w:pos="864"/>
                <w:tab w:val="left" w:pos="1152"/>
              </w:tabs>
              <w:suppressAutoHyphens/>
              <w:spacing w:before="40" w:after="80"/>
              <w:ind w:right="43"/>
              <w:rPr>
                <w:lang w:val="fr-CH"/>
              </w:rPr>
            </w:pPr>
            <w:r w:rsidRPr="00ED6101">
              <w:rPr>
                <w:lang w:val="fr-CH"/>
              </w:rPr>
              <w:t xml:space="preserve">Arménie </w:t>
            </w:r>
            <w:r w:rsidR="00ED6101">
              <w:rPr>
                <w:lang w:val="fr-CH"/>
              </w:rPr>
              <w:br/>
            </w:r>
            <w:r w:rsidRPr="00ED6101">
              <w:rPr>
                <w:lang w:val="fr-CH"/>
              </w:rPr>
              <w:t xml:space="preserve">(2011) </w:t>
            </w:r>
          </w:p>
        </w:tc>
        <w:tc>
          <w:tcPr>
            <w:tcW w:w="8671" w:type="dxa"/>
            <w:shd w:val="clear" w:color="auto" w:fill="auto"/>
          </w:tcPr>
          <w:p w:rsidR="00013569" w:rsidRPr="00ED6101" w:rsidRDefault="00013569" w:rsidP="00ED6101">
            <w:pPr>
              <w:tabs>
                <w:tab w:val="left" w:pos="288"/>
                <w:tab w:val="left" w:pos="576"/>
                <w:tab w:val="left" w:pos="864"/>
                <w:tab w:val="left" w:pos="1152"/>
              </w:tabs>
              <w:suppressAutoHyphens/>
              <w:spacing w:before="40" w:after="80"/>
              <w:ind w:right="117"/>
              <w:rPr>
                <w:lang w:val="fr-CH"/>
              </w:rPr>
            </w:pPr>
            <w:r w:rsidRPr="00ED6101">
              <w:rPr>
                <w:lang w:val="fr-CH"/>
              </w:rPr>
              <w:t>Amélioration des capacités de réglementation et de contrôle; réduction des coûts du transport; entretien des actifs routiers; extension du réseau ferroviaire; amélioration du transport urbain; technologies de l’information; sécurité routière; facilitation du commerce.</w:t>
            </w:r>
          </w:p>
        </w:tc>
      </w:tr>
      <w:tr w:rsidR="00013569" w:rsidRPr="00ED6101" w:rsidTr="00ED6101">
        <w:tc>
          <w:tcPr>
            <w:tcW w:w="1355" w:type="dxa"/>
            <w:shd w:val="clear" w:color="auto" w:fill="auto"/>
            <w:hideMark/>
          </w:tcPr>
          <w:p w:rsidR="00013569" w:rsidRPr="00ED6101" w:rsidRDefault="00013569" w:rsidP="00ED6101">
            <w:pPr>
              <w:tabs>
                <w:tab w:val="left" w:pos="288"/>
                <w:tab w:val="left" w:pos="576"/>
                <w:tab w:val="left" w:pos="864"/>
                <w:tab w:val="left" w:pos="1152"/>
              </w:tabs>
              <w:suppressAutoHyphens/>
              <w:spacing w:before="40" w:after="80"/>
              <w:ind w:right="43"/>
              <w:rPr>
                <w:lang w:val="fr-CH"/>
              </w:rPr>
            </w:pPr>
            <w:r w:rsidRPr="00ED6101">
              <w:rPr>
                <w:lang w:val="fr-CH"/>
              </w:rPr>
              <w:t xml:space="preserve">Azerbaïdjan </w:t>
            </w:r>
            <w:r w:rsidR="00ED6101">
              <w:rPr>
                <w:lang w:val="fr-CH"/>
              </w:rPr>
              <w:br/>
            </w:r>
            <w:r w:rsidRPr="00ED6101">
              <w:rPr>
                <w:lang w:val="fr-CH"/>
              </w:rPr>
              <w:t xml:space="preserve">(2009) </w:t>
            </w:r>
          </w:p>
        </w:tc>
        <w:tc>
          <w:tcPr>
            <w:tcW w:w="8671" w:type="dxa"/>
            <w:shd w:val="clear" w:color="auto" w:fill="auto"/>
            <w:hideMark/>
          </w:tcPr>
          <w:p w:rsidR="00013569" w:rsidRPr="00ED6101" w:rsidRDefault="00013569" w:rsidP="00ED6101">
            <w:pPr>
              <w:tabs>
                <w:tab w:val="left" w:pos="288"/>
                <w:tab w:val="left" w:pos="576"/>
                <w:tab w:val="left" w:pos="864"/>
                <w:tab w:val="left" w:pos="1152"/>
              </w:tabs>
              <w:suppressAutoHyphens/>
              <w:spacing w:before="40" w:after="80"/>
              <w:ind w:right="117"/>
              <w:rPr>
                <w:lang w:val="fr-CH"/>
              </w:rPr>
            </w:pPr>
            <w:r w:rsidRPr="00ED6101">
              <w:rPr>
                <w:lang w:val="fr-CH"/>
              </w:rPr>
              <w:t>Adoption d’un plan détaillé des infrastructures de transport; réforme des programmes d’étude en matière de transport et de logistique; création d’un corridor pilote avec zones économiques spéciales, installations pour le transport de marchandises multimodal, centres de logistique, etc.; simplification des lois et règlements douaniers; amélioration de la transparence des règles et règlements; promotion de l’harmonisation des procédures, formulaires et données nécessaires au franchissement des frontières; élaboration et compilation d’indicateurs de performance logistique permettant d’évaluer le succès des politiques, lois et règlements du Gouvernement.</w:t>
            </w:r>
          </w:p>
        </w:tc>
      </w:tr>
      <w:tr w:rsidR="00013569" w:rsidRPr="00ED6101" w:rsidTr="00ED6101">
        <w:tc>
          <w:tcPr>
            <w:tcW w:w="1355" w:type="dxa"/>
            <w:shd w:val="clear" w:color="auto" w:fill="auto"/>
            <w:hideMark/>
          </w:tcPr>
          <w:p w:rsidR="00013569" w:rsidRPr="00ED6101" w:rsidRDefault="00013569" w:rsidP="00ED6101">
            <w:pPr>
              <w:tabs>
                <w:tab w:val="left" w:pos="288"/>
                <w:tab w:val="left" w:pos="576"/>
                <w:tab w:val="left" w:pos="864"/>
                <w:tab w:val="left" w:pos="1152"/>
              </w:tabs>
              <w:suppressAutoHyphens/>
              <w:spacing w:before="40" w:after="80"/>
              <w:ind w:right="43"/>
              <w:rPr>
                <w:lang w:val="fr-CH"/>
              </w:rPr>
            </w:pPr>
            <w:proofErr w:type="spellStart"/>
            <w:r w:rsidRPr="00ED6101">
              <w:rPr>
                <w:lang w:val="fr-CH"/>
              </w:rPr>
              <w:t>Bélarus</w:t>
            </w:r>
            <w:proofErr w:type="spellEnd"/>
            <w:r w:rsidRPr="00ED6101">
              <w:rPr>
                <w:lang w:val="fr-CH"/>
              </w:rPr>
              <w:t xml:space="preserve"> </w:t>
            </w:r>
            <w:r w:rsidR="00ED6101">
              <w:rPr>
                <w:lang w:val="fr-CH"/>
              </w:rPr>
              <w:br/>
            </w:r>
            <w:r w:rsidRPr="00ED6101">
              <w:rPr>
                <w:lang w:val="fr-CH"/>
              </w:rPr>
              <w:t xml:space="preserve">(2013) </w:t>
            </w:r>
          </w:p>
        </w:tc>
        <w:tc>
          <w:tcPr>
            <w:tcW w:w="8671" w:type="dxa"/>
            <w:shd w:val="clear" w:color="auto" w:fill="auto"/>
            <w:hideMark/>
          </w:tcPr>
          <w:p w:rsidR="00013569" w:rsidRPr="00ED6101" w:rsidRDefault="00013569" w:rsidP="00ED6101">
            <w:pPr>
              <w:tabs>
                <w:tab w:val="left" w:pos="288"/>
                <w:tab w:val="left" w:pos="576"/>
                <w:tab w:val="left" w:pos="864"/>
                <w:tab w:val="left" w:pos="1152"/>
              </w:tabs>
              <w:suppressAutoHyphens/>
              <w:spacing w:before="40" w:after="80"/>
              <w:ind w:right="117"/>
              <w:rPr>
                <w:lang w:val="fr-CH"/>
              </w:rPr>
            </w:pPr>
            <w:r w:rsidRPr="00ED6101">
              <w:rPr>
                <w:lang w:val="fr-CH"/>
              </w:rPr>
              <w:t>Développement de la logistique; construction de centres de logistique; projet international «</w:t>
            </w:r>
            <w:r w:rsidR="00ED6101" w:rsidRPr="00ED6101">
              <w:rPr>
                <w:lang w:val="fr-CH"/>
              </w:rPr>
              <w:t> </w:t>
            </w:r>
            <w:r w:rsidRPr="00ED6101">
              <w:rPr>
                <w:lang w:val="fr-CH"/>
              </w:rPr>
              <w:t>Logistique de la Côte d’ambre</w:t>
            </w:r>
            <w:r w:rsidR="00ED6101" w:rsidRPr="00ED6101">
              <w:rPr>
                <w:lang w:val="fr-CH"/>
              </w:rPr>
              <w:t> </w:t>
            </w:r>
            <w:r w:rsidRPr="00ED6101">
              <w:rPr>
                <w:lang w:val="fr-CH"/>
              </w:rPr>
              <w:t>»; amélioration de la durabilité du transport.</w:t>
            </w:r>
          </w:p>
        </w:tc>
      </w:tr>
      <w:tr w:rsidR="00013569" w:rsidRPr="00ED6101" w:rsidTr="00ED6101">
        <w:tc>
          <w:tcPr>
            <w:tcW w:w="1355" w:type="dxa"/>
            <w:shd w:val="clear" w:color="auto" w:fill="auto"/>
            <w:hideMark/>
          </w:tcPr>
          <w:p w:rsidR="00013569" w:rsidRPr="00ED6101" w:rsidRDefault="00013569" w:rsidP="00ED6101">
            <w:pPr>
              <w:tabs>
                <w:tab w:val="left" w:pos="288"/>
                <w:tab w:val="left" w:pos="576"/>
                <w:tab w:val="left" w:pos="864"/>
                <w:tab w:val="left" w:pos="1152"/>
              </w:tabs>
              <w:suppressAutoHyphens/>
              <w:spacing w:before="40" w:after="80"/>
              <w:ind w:right="43"/>
              <w:rPr>
                <w:lang w:val="fr-CH"/>
              </w:rPr>
            </w:pPr>
            <w:r w:rsidRPr="00ED6101">
              <w:rPr>
                <w:lang w:val="fr-CH"/>
              </w:rPr>
              <w:t xml:space="preserve">Bulgarie </w:t>
            </w:r>
            <w:r w:rsidR="00ED6101">
              <w:rPr>
                <w:lang w:val="fr-CH"/>
              </w:rPr>
              <w:br/>
            </w:r>
            <w:r w:rsidRPr="00ED6101">
              <w:rPr>
                <w:lang w:val="fr-CH"/>
              </w:rPr>
              <w:t xml:space="preserve">(2010) </w:t>
            </w:r>
          </w:p>
        </w:tc>
        <w:tc>
          <w:tcPr>
            <w:tcW w:w="8671" w:type="dxa"/>
            <w:shd w:val="clear" w:color="auto" w:fill="auto"/>
            <w:hideMark/>
          </w:tcPr>
          <w:p w:rsidR="00013569" w:rsidRPr="00ED6101" w:rsidRDefault="00013569" w:rsidP="00ED6101">
            <w:pPr>
              <w:tabs>
                <w:tab w:val="left" w:pos="288"/>
                <w:tab w:val="left" w:pos="576"/>
                <w:tab w:val="left" w:pos="864"/>
                <w:tab w:val="left" w:pos="1152"/>
              </w:tabs>
              <w:suppressAutoHyphens/>
              <w:spacing w:before="40" w:after="80"/>
              <w:ind w:right="117"/>
              <w:rPr>
                <w:lang w:val="fr-CH"/>
              </w:rPr>
            </w:pPr>
            <w:r w:rsidRPr="00ED6101">
              <w:rPr>
                <w:lang w:val="fr-CH"/>
              </w:rPr>
              <w:t>Politique européenne des transports</w:t>
            </w:r>
            <w:r w:rsidR="0045443D" w:rsidRPr="00ED6101">
              <w:rPr>
                <w:lang w:val="fr-CH"/>
              </w:rPr>
              <w:t> :</w:t>
            </w:r>
            <w:r w:rsidRPr="00ED6101">
              <w:rPr>
                <w:lang w:val="fr-CH"/>
              </w:rPr>
              <w:t xml:space="preserve"> écologisation des transports, transport ferroviaire, transport routier et systèmes de transport intelligents, transport par voie navigable, transport aérien, transport intermodal, transport urbain, livre vert sur le futur RTE. Entretien, modernisation et développement du transport; réduction de l’impact négatif du secteur du transport sur l’environnement et la santé humaine; infrastructures; intégration du système de transport bulgare dans le système de transport européen; mise en place d’un environnement compétitif harmonisé et transparent pour les entreprises du secteur du transport; financement suffisant pour le développement et le fonctionnement du secteur du transport; captation efficace de fonds de l’UE; sécurité et fiabilité du système de transport; mise à disposition de moyens de transport de qualité et accessibles dans toutes les régions du pays.</w:t>
            </w:r>
          </w:p>
        </w:tc>
      </w:tr>
      <w:tr w:rsidR="00013569" w:rsidRPr="00ED6101" w:rsidTr="00ED6101">
        <w:tc>
          <w:tcPr>
            <w:tcW w:w="1355" w:type="dxa"/>
            <w:shd w:val="clear" w:color="auto" w:fill="auto"/>
            <w:hideMark/>
          </w:tcPr>
          <w:p w:rsidR="00013569" w:rsidRPr="00ED6101" w:rsidRDefault="00013569" w:rsidP="00ED6101">
            <w:pPr>
              <w:tabs>
                <w:tab w:val="left" w:pos="288"/>
                <w:tab w:val="left" w:pos="576"/>
                <w:tab w:val="left" w:pos="864"/>
                <w:tab w:val="left" w:pos="1152"/>
              </w:tabs>
              <w:suppressAutoHyphens/>
              <w:spacing w:before="40" w:after="80"/>
              <w:ind w:right="43"/>
              <w:rPr>
                <w:lang w:val="fr-CH"/>
              </w:rPr>
            </w:pPr>
            <w:r w:rsidRPr="00ED6101">
              <w:rPr>
                <w:lang w:val="fr-CH"/>
              </w:rPr>
              <w:t xml:space="preserve">Danemark </w:t>
            </w:r>
            <w:r w:rsidR="00ED6101">
              <w:rPr>
                <w:lang w:val="fr-CH"/>
              </w:rPr>
              <w:br/>
            </w:r>
            <w:r w:rsidRPr="00ED6101">
              <w:rPr>
                <w:lang w:val="fr-CH"/>
              </w:rPr>
              <w:t xml:space="preserve">(2010) </w:t>
            </w:r>
          </w:p>
        </w:tc>
        <w:tc>
          <w:tcPr>
            <w:tcW w:w="8671" w:type="dxa"/>
            <w:shd w:val="clear" w:color="auto" w:fill="auto"/>
            <w:hideMark/>
          </w:tcPr>
          <w:p w:rsidR="00013569" w:rsidRPr="00ED6101" w:rsidRDefault="00013569" w:rsidP="00ED6101">
            <w:pPr>
              <w:tabs>
                <w:tab w:val="left" w:pos="288"/>
                <w:tab w:val="left" w:pos="576"/>
                <w:tab w:val="left" w:pos="864"/>
                <w:tab w:val="left" w:pos="1152"/>
              </w:tabs>
              <w:suppressAutoHyphens/>
              <w:spacing w:before="40" w:after="80"/>
              <w:ind w:right="117"/>
              <w:rPr>
                <w:lang w:val="fr-CH"/>
              </w:rPr>
            </w:pPr>
            <w:r w:rsidRPr="00ED6101">
              <w:rPr>
                <w:lang w:val="fr-CH"/>
              </w:rPr>
              <w:t>Utilisation optimale des infrastructures pour rendre le transport plus efficace; initiative pour la logistique urbaine; report modal vers le rail et les voies navigables; modernisation des artères et des pôles de transports.</w:t>
            </w:r>
          </w:p>
        </w:tc>
      </w:tr>
      <w:tr w:rsidR="00013569" w:rsidRPr="00ED6101" w:rsidTr="00ED6101">
        <w:tc>
          <w:tcPr>
            <w:tcW w:w="1355" w:type="dxa"/>
            <w:shd w:val="clear" w:color="auto" w:fill="auto"/>
          </w:tcPr>
          <w:p w:rsidR="00013569" w:rsidRPr="00ED6101" w:rsidRDefault="00013569" w:rsidP="00ED6101">
            <w:pPr>
              <w:tabs>
                <w:tab w:val="left" w:pos="288"/>
                <w:tab w:val="left" w:pos="576"/>
                <w:tab w:val="left" w:pos="864"/>
                <w:tab w:val="left" w:pos="1152"/>
              </w:tabs>
              <w:suppressAutoHyphens/>
              <w:spacing w:before="40" w:after="80"/>
              <w:ind w:right="43"/>
              <w:rPr>
                <w:lang w:val="fr-CH"/>
              </w:rPr>
            </w:pPr>
            <w:r w:rsidRPr="00ED6101">
              <w:rPr>
                <w:lang w:val="fr-CH"/>
              </w:rPr>
              <w:t xml:space="preserve">Espagne </w:t>
            </w:r>
            <w:r w:rsidR="00ED6101">
              <w:rPr>
                <w:lang w:val="fr-CH"/>
              </w:rPr>
              <w:br/>
            </w:r>
            <w:r w:rsidRPr="00ED6101">
              <w:rPr>
                <w:lang w:val="fr-CH"/>
              </w:rPr>
              <w:t>(2013)</w:t>
            </w:r>
          </w:p>
        </w:tc>
        <w:tc>
          <w:tcPr>
            <w:tcW w:w="8671" w:type="dxa"/>
            <w:shd w:val="clear" w:color="auto" w:fill="auto"/>
          </w:tcPr>
          <w:p w:rsidR="00013569" w:rsidRPr="00ED6101" w:rsidRDefault="00013569" w:rsidP="00ED6101">
            <w:pPr>
              <w:tabs>
                <w:tab w:val="left" w:pos="288"/>
                <w:tab w:val="left" w:pos="576"/>
                <w:tab w:val="left" w:pos="864"/>
                <w:tab w:val="left" w:pos="1152"/>
              </w:tabs>
              <w:suppressAutoHyphens/>
              <w:spacing w:before="40" w:after="80"/>
              <w:ind w:right="117"/>
              <w:rPr>
                <w:lang w:val="fr-CH"/>
              </w:rPr>
            </w:pPr>
            <w:r w:rsidRPr="00ED6101">
              <w:rPr>
                <w:lang w:val="fr-CH"/>
              </w:rPr>
              <w:t>Programme national de développement du transport mettant l’accent sur l’amélioration des systèmes logistiques et des services de transport. Investissements en faveur du transport. Principaux secteurs à impliquer</w:t>
            </w:r>
            <w:r w:rsidR="0045443D" w:rsidRPr="00ED6101">
              <w:rPr>
                <w:lang w:val="fr-CH"/>
              </w:rPr>
              <w:t> :</w:t>
            </w:r>
            <w:r w:rsidRPr="00ED6101">
              <w:rPr>
                <w:lang w:val="fr-CH"/>
              </w:rPr>
              <w:t xml:space="preserve"> les transports ferroviaire, routier et par voie navigable.</w:t>
            </w:r>
          </w:p>
        </w:tc>
      </w:tr>
      <w:tr w:rsidR="00013569" w:rsidRPr="00ED6101" w:rsidTr="00ED6101">
        <w:tc>
          <w:tcPr>
            <w:tcW w:w="1355" w:type="dxa"/>
            <w:shd w:val="clear" w:color="auto" w:fill="auto"/>
            <w:hideMark/>
          </w:tcPr>
          <w:p w:rsidR="00013569" w:rsidRPr="00ED6101" w:rsidRDefault="00013569" w:rsidP="00ED6101">
            <w:pPr>
              <w:tabs>
                <w:tab w:val="left" w:pos="288"/>
                <w:tab w:val="left" w:pos="576"/>
                <w:tab w:val="left" w:pos="864"/>
                <w:tab w:val="left" w:pos="1152"/>
              </w:tabs>
              <w:suppressAutoHyphens/>
              <w:spacing w:before="40" w:after="80"/>
              <w:ind w:right="43"/>
              <w:rPr>
                <w:lang w:val="fr-CH"/>
              </w:rPr>
            </w:pPr>
            <w:r w:rsidRPr="00ED6101">
              <w:rPr>
                <w:lang w:val="fr-CH"/>
              </w:rPr>
              <w:t xml:space="preserve">Estonie </w:t>
            </w:r>
            <w:r w:rsidR="00ED6101">
              <w:rPr>
                <w:lang w:val="fr-CH"/>
              </w:rPr>
              <w:br/>
            </w:r>
            <w:r w:rsidRPr="00ED6101">
              <w:rPr>
                <w:lang w:val="fr-CH"/>
              </w:rPr>
              <w:t xml:space="preserve">(2009) </w:t>
            </w:r>
          </w:p>
        </w:tc>
        <w:tc>
          <w:tcPr>
            <w:tcW w:w="8671" w:type="dxa"/>
            <w:shd w:val="clear" w:color="auto" w:fill="auto"/>
            <w:hideMark/>
          </w:tcPr>
          <w:p w:rsidR="00013569" w:rsidRPr="00ED6101" w:rsidRDefault="00013569" w:rsidP="00ED6101">
            <w:pPr>
              <w:tabs>
                <w:tab w:val="left" w:pos="288"/>
                <w:tab w:val="left" w:pos="576"/>
                <w:tab w:val="left" w:pos="864"/>
                <w:tab w:val="left" w:pos="1152"/>
              </w:tabs>
              <w:suppressAutoHyphens/>
              <w:spacing w:before="40" w:after="80"/>
              <w:ind w:right="117"/>
              <w:rPr>
                <w:lang w:val="fr-CH"/>
              </w:rPr>
            </w:pPr>
            <w:r w:rsidRPr="00ED6101">
              <w:rPr>
                <w:lang w:val="fr-CH"/>
              </w:rPr>
              <w:t>Prix du carburant et réforme fiscale; intégration régionale et mondiale du système de transport encourageant des modes efficaces; planification et politique du transport urbain; efficacité des véhicules et émissions; normes de construction des systèmes routier, ferroviaire et maritime et modification en prévision des changements climatiques (élévation du niveau de la mer, fréquence et gravité accrues des phénomènes météorologiques); évaluation des besoins de renforcement des capacités en matière de transport et analyse en vue d’une planification intégrée.</w:t>
            </w:r>
          </w:p>
        </w:tc>
      </w:tr>
      <w:tr w:rsidR="00013569" w:rsidRPr="00ED6101" w:rsidTr="00ED6101">
        <w:tc>
          <w:tcPr>
            <w:tcW w:w="1355" w:type="dxa"/>
            <w:shd w:val="clear" w:color="auto" w:fill="auto"/>
            <w:hideMark/>
          </w:tcPr>
          <w:p w:rsidR="00013569" w:rsidRPr="00ED6101" w:rsidRDefault="00013569" w:rsidP="00ED6101">
            <w:pPr>
              <w:tabs>
                <w:tab w:val="left" w:pos="288"/>
                <w:tab w:val="left" w:pos="576"/>
                <w:tab w:val="left" w:pos="864"/>
                <w:tab w:val="left" w:pos="1152"/>
              </w:tabs>
              <w:suppressAutoHyphens/>
              <w:spacing w:before="40" w:after="80"/>
              <w:ind w:right="43"/>
              <w:rPr>
                <w:lang w:val="fr-CH"/>
              </w:rPr>
            </w:pPr>
            <w:r w:rsidRPr="00ED6101">
              <w:rPr>
                <w:lang w:val="fr-CH"/>
              </w:rPr>
              <w:t xml:space="preserve">Grèce </w:t>
            </w:r>
            <w:r w:rsidRPr="00ED6101">
              <w:rPr>
                <w:lang w:val="fr-CH"/>
              </w:rPr>
              <w:br/>
              <w:t xml:space="preserve">(2012) </w:t>
            </w:r>
          </w:p>
        </w:tc>
        <w:tc>
          <w:tcPr>
            <w:tcW w:w="8671" w:type="dxa"/>
            <w:shd w:val="clear" w:color="auto" w:fill="auto"/>
            <w:hideMark/>
          </w:tcPr>
          <w:p w:rsidR="00013569" w:rsidRPr="00ED6101" w:rsidRDefault="00013569" w:rsidP="00ED6101">
            <w:pPr>
              <w:tabs>
                <w:tab w:val="left" w:pos="288"/>
                <w:tab w:val="left" w:pos="576"/>
                <w:tab w:val="left" w:pos="864"/>
                <w:tab w:val="left" w:pos="1152"/>
              </w:tabs>
              <w:suppressAutoHyphens/>
              <w:spacing w:before="40" w:after="80"/>
              <w:ind w:right="117"/>
              <w:rPr>
                <w:lang w:val="fr-CH"/>
              </w:rPr>
            </w:pPr>
            <w:r w:rsidRPr="00ED6101">
              <w:rPr>
                <w:lang w:val="fr-CH"/>
              </w:rPr>
              <w:t>Sécurité routière, mobilité durable, développement, cohésion sociale, employabilité, efficacité du système de transport; utilisation optimale des données relatives aux routes, au trafic et aux itinéraires; continuité des services STI de gestion de la circulation et du fret; application des STI à la sécurité et à la sûreté routières; interconnexion entre le véhicule et l’infrastructure.</w:t>
            </w:r>
          </w:p>
        </w:tc>
      </w:tr>
      <w:tr w:rsidR="00013569" w:rsidRPr="00ED6101" w:rsidTr="00ED6101">
        <w:tc>
          <w:tcPr>
            <w:tcW w:w="1355" w:type="dxa"/>
            <w:shd w:val="clear" w:color="auto" w:fill="auto"/>
            <w:hideMark/>
          </w:tcPr>
          <w:p w:rsidR="00013569" w:rsidRPr="00ED6101" w:rsidRDefault="00013569" w:rsidP="00ED6101">
            <w:pPr>
              <w:keepNext/>
              <w:tabs>
                <w:tab w:val="left" w:pos="288"/>
                <w:tab w:val="left" w:pos="576"/>
                <w:tab w:val="left" w:pos="864"/>
                <w:tab w:val="left" w:pos="1152"/>
              </w:tabs>
              <w:suppressAutoHyphens/>
              <w:spacing w:before="40" w:after="80"/>
              <w:ind w:right="43"/>
              <w:rPr>
                <w:lang w:val="fr-CH"/>
              </w:rPr>
            </w:pPr>
            <w:r w:rsidRPr="00ED6101">
              <w:rPr>
                <w:lang w:val="fr-CH"/>
              </w:rPr>
              <w:lastRenderedPageBreak/>
              <w:t xml:space="preserve">Italie </w:t>
            </w:r>
            <w:r w:rsidRPr="00ED6101">
              <w:rPr>
                <w:lang w:val="fr-CH"/>
              </w:rPr>
              <w:br/>
              <w:t xml:space="preserve">(2010) </w:t>
            </w:r>
          </w:p>
        </w:tc>
        <w:tc>
          <w:tcPr>
            <w:tcW w:w="8671" w:type="dxa"/>
            <w:shd w:val="clear" w:color="auto" w:fill="auto"/>
            <w:hideMark/>
          </w:tcPr>
          <w:p w:rsidR="00013569" w:rsidRPr="00ED6101" w:rsidRDefault="00013569" w:rsidP="00ED6101">
            <w:pPr>
              <w:tabs>
                <w:tab w:val="left" w:pos="288"/>
                <w:tab w:val="left" w:pos="576"/>
                <w:tab w:val="left" w:pos="864"/>
                <w:tab w:val="left" w:pos="1152"/>
              </w:tabs>
              <w:suppressAutoHyphens/>
              <w:spacing w:before="40" w:after="80"/>
              <w:ind w:right="117"/>
              <w:rPr>
                <w:lang w:val="fr-CH"/>
              </w:rPr>
            </w:pPr>
            <w:r w:rsidRPr="00ED6101">
              <w:rPr>
                <w:lang w:val="fr-CH"/>
              </w:rPr>
              <w:t>Comparaison internationale. Franchissement des frontières. Intégration modale</w:t>
            </w:r>
            <w:r w:rsidR="0045443D" w:rsidRPr="00ED6101">
              <w:rPr>
                <w:lang w:val="fr-CH"/>
              </w:rPr>
              <w:t> :</w:t>
            </w:r>
            <w:r w:rsidRPr="00ED6101">
              <w:rPr>
                <w:lang w:val="fr-CH"/>
              </w:rPr>
              <w:t xml:space="preserve"> </w:t>
            </w:r>
            <w:proofErr w:type="spellStart"/>
            <w:r w:rsidRPr="00ED6101">
              <w:rPr>
                <w:lang w:val="fr-CH"/>
              </w:rPr>
              <w:t>intermodalité</w:t>
            </w:r>
            <w:proofErr w:type="spellEnd"/>
            <w:r w:rsidRPr="00ED6101">
              <w:rPr>
                <w:lang w:val="fr-CH"/>
              </w:rPr>
              <w:t xml:space="preserve"> et </w:t>
            </w:r>
            <w:proofErr w:type="spellStart"/>
            <w:r w:rsidRPr="00ED6101">
              <w:rPr>
                <w:lang w:val="fr-CH"/>
              </w:rPr>
              <w:t>comodalité</w:t>
            </w:r>
            <w:proofErr w:type="spellEnd"/>
            <w:r w:rsidRPr="00ED6101">
              <w:rPr>
                <w:lang w:val="fr-CH"/>
              </w:rPr>
              <w:t>. Ports</w:t>
            </w:r>
            <w:r w:rsidR="0045443D" w:rsidRPr="00ED6101">
              <w:rPr>
                <w:lang w:val="fr-CH"/>
              </w:rPr>
              <w:t> :</w:t>
            </w:r>
            <w:r w:rsidRPr="00ED6101">
              <w:rPr>
                <w:lang w:val="fr-CH"/>
              </w:rPr>
              <w:t xml:space="preserve"> ce qui est bon pour les ports est bon pour le pays? Transport routier</w:t>
            </w:r>
            <w:r w:rsidR="0045443D" w:rsidRPr="00ED6101">
              <w:rPr>
                <w:lang w:val="fr-CH"/>
              </w:rPr>
              <w:t> :</w:t>
            </w:r>
            <w:r w:rsidRPr="00ED6101">
              <w:rPr>
                <w:lang w:val="fr-CH"/>
              </w:rPr>
              <w:t xml:space="preserve"> synthèse. Transport aérien. Transport par voie navigable. Domaines d’intervention prioritaire pour les plateformes logistiques. Sous-traitance de la logistique et de la chaîne de distribution. Logistique urbaine. Premier pas pour renouveler les véhicules. Plateforme télématique pour le transport de marchandises, la logistique et l’environnement. Formation en matière de transport et de logistique. Prochaines étapes, suivi et analyse des impacts.</w:t>
            </w:r>
          </w:p>
        </w:tc>
      </w:tr>
      <w:tr w:rsidR="00013569" w:rsidRPr="00ED6101" w:rsidTr="00ED6101">
        <w:tc>
          <w:tcPr>
            <w:tcW w:w="1355" w:type="dxa"/>
            <w:shd w:val="clear" w:color="auto" w:fill="auto"/>
            <w:hideMark/>
          </w:tcPr>
          <w:p w:rsidR="00013569" w:rsidRPr="00ED6101" w:rsidRDefault="00013569" w:rsidP="00ED6101">
            <w:pPr>
              <w:tabs>
                <w:tab w:val="left" w:pos="288"/>
                <w:tab w:val="left" w:pos="576"/>
                <w:tab w:val="left" w:pos="864"/>
                <w:tab w:val="left" w:pos="1152"/>
              </w:tabs>
              <w:suppressAutoHyphens/>
              <w:spacing w:before="40" w:after="80"/>
              <w:ind w:right="43"/>
              <w:rPr>
                <w:lang w:val="fr-CH"/>
              </w:rPr>
            </w:pPr>
            <w:r w:rsidRPr="00ED6101">
              <w:rPr>
                <w:lang w:val="fr-CH"/>
              </w:rPr>
              <w:t xml:space="preserve">Kazakhstan </w:t>
            </w:r>
            <w:r w:rsidR="00ED6101">
              <w:rPr>
                <w:lang w:val="fr-CH"/>
              </w:rPr>
              <w:br/>
            </w:r>
            <w:r w:rsidRPr="00ED6101">
              <w:rPr>
                <w:lang w:val="fr-CH"/>
              </w:rPr>
              <w:t xml:space="preserve">(2009) </w:t>
            </w:r>
          </w:p>
        </w:tc>
        <w:tc>
          <w:tcPr>
            <w:tcW w:w="8671" w:type="dxa"/>
            <w:shd w:val="clear" w:color="auto" w:fill="auto"/>
            <w:hideMark/>
          </w:tcPr>
          <w:p w:rsidR="00013569" w:rsidRPr="00ED6101" w:rsidRDefault="00013569" w:rsidP="00ED6101">
            <w:pPr>
              <w:tabs>
                <w:tab w:val="left" w:pos="288"/>
                <w:tab w:val="left" w:pos="576"/>
                <w:tab w:val="left" w:pos="864"/>
                <w:tab w:val="left" w:pos="1152"/>
              </w:tabs>
              <w:suppressAutoHyphens/>
              <w:spacing w:before="40" w:after="80"/>
              <w:ind w:right="117"/>
              <w:rPr>
                <w:lang w:val="fr-CH"/>
              </w:rPr>
            </w:pPr>
            <w:r w:rsidRPr="00ED6101">
              <w:rPr>
                <w:lang w:val="fr-CH"/>
              </w:rPr>
              <w:t>Secteur du transport</w:t>
            </w:r>
            <w:r w:rsidR="0045443D" w:rsidRPr="00ED6101">
              <w:rPr>
                <w:lang w:val="fr-CH"/>
              </w:rPr>
              <w:t> :</w:t>
            </w:r>
            <w:r w:rsidRPr="00ED6101">
              <w:rPr>
                <w:lang w:val="fr-CH"/>
              </w:rPr>
              <w:t xml:space="preserve"> transport ferroviaire; transport routier; transport aérien; transport par oléoduc/gazoduc; contraintes en matière d’infrastructure physique et d’installations de transport; révision des corridors de transport en Asie centrale; analyse des structures démographiques et économiques;</w:t>
            </w:r>
            <w:r w:rsidR="00D13678">
              <w:rPr>
                <w:lang w:val="fr-CH"/>
              </w:rPr>
              <w:t xml:space="preserve"> identification des endroits clef</w:t>
            </w:r>
            <w:r w:rsidR="00921E40">
              <w:rPr>
                <w:lang w:val="fr-CH"/>
              </w:rPr>
              <w:t>s</w:t>
            </w:r>
            <w:r w:rsidRPr="00ED6101">
              <w:rPr>
                <w:lang w:val="fr-CH"/>
              </w:rPr>
              <w:t xml:space="preserve"> qui méritent une attention particulière.</w:t>
            </w:r>
          </w:p>
        </w:tc>
      </w:tr>
      <w:tr w:rsidR="00013569" w:rsidRPr="00ED6101" w:rsidTr="00ED6101">
        <w:tc>
          <w:tcPr>
            <w:tcW w:w="1355" w:type="dxa"/>
            <w:shd w:val="clear" w:color="auto" w:fill="auto"/>
            <w:hideMark/>
          </w:tcPr>
          <w:p w:rsidR="00013569" w:rsidRPr="00ED6101" w:rsidRDefault="00013569" w:rsidP="00ED6101">
            <w:pPr>
              <w:tabs>
                <w:tab w:val="left" w:pos="288"/>
                <w:tab w:val="left" w:pos="576"/>
                <w:tab w:val="left" w:pos="864"/>
                <w:tab w:val="left" w:pos="1152"/>
              </w:tabs>
              <w:suppressAutoHyphens/>
              <w:spacing w:before="40" w:after="80"/>
              <w:ind w:right="43"/>
              <w:rPr>
                <w:lang w:val="fr-CH"/>
              </w:rPr>
            </w:pPr>
            <w:r w:rsidRPr="00ED6101">
              <w:rPr>
                <w:lang w:val="fr-CH"/>
              </w:rPr>
              <w:t xml:space="preserve">Moldova </w:t>
            </w:r>
            <w:r w:rsidR="00ED6101">
              <w:rPr>
                <w:lang w:val="fr-CH"/>
              </w:rPr>
              <w:br/>
            </w:r>
            <w:r w:rsidRPr="00ED6101">
              <w:rPr>
                <w:lang w:val="fr-CH"/>
              </w:rPr>
              <w:t xml:space="preserve">(2012) </w:t>
            </w:r>
          </w:p>
        </w:tc>
        <w:tc>
          <w:tcPr>
            <w:tcW w:w="8671" w:type="dxa"/>
            <w:shd w:val="clear" w:color="auto" w:fill="auto"/>
            <w:hideMark/>
          </w:tcPr>
          <w:p w:rsidR="00013569" w:rsidRPr="00ED6101" w:rsidRDefault="00013569" w:rsidP="00ED6101">
            <w:pPr>
              <w:tabs>
                <w:tab w:val="left" w:pos="288"/>
                <w:tab w:val="left" w:pos="576"/>
                <w:tab w:val="left" w:pos="864"/>
                <w:tab w:val="left" w:pos="1152"/>
              </w:tabs>
              <w:suppressAutoHyphens/>
              <w:spacing w:before="40" w:after="80"/>
              <w:ind w:right="117"/>
              <w:rPr>
                <w:lang w:val="fr-CH"/>
              </w:rPr>
            </w:pPr>
            <w:r w:rsidRPr="00ED6101">
              <w:rPr>
                <w:lang w:val="fr-CH"/>
              </w:rPr>
              <w:t>Développement de la logistique, facilitation du commerce, besoins en matière d’infrastructure et modernisation.</w:t>
            </w:r>
          </w:p>
        </w:tc>
      </w:tr>
      <w:tr w:rsidR="00013569" w:rsidRPr="00ED6101" w:rsidTr="00ED6101">
        <w:tc>
          <w:tcPr>
            <w:tcW w:w="1355" w:type="dxa"/>
            <w:shd w:val="clear" w:color="auto" w:fill="auto"/>
            <w:hideMark/>
          </w:tcPr>
          <w:p w:rsidR="00013569" w:rsidRPr="00ED6101" w:rsidRDefault="00013569" w:rsidP="00ED6101">
            <w:pPr>
              <w:tabs>
                <w:tab w:val="left" w:pos="288"/>
                <w:tab w:val="left" w:pos="576"/>
                <w:tab w:val="left" w:pos="864"/>
                <w:tab w:val="left" w:pos="1152"/>
              </w:tabs>
              <w:suppressAutoHyphens/>
              <w:spacing w:before="40" w:after="80"/>
              <w:ind w:right="43"/>
              <w:rPr>
                <w:lang w:val="fr-CH"/>
              </w:rPr>
            </w:pPr>
            <w:r w:rsidRPr="00ED6101">
              <w:rPr>
                <w:lang w:val="fr-CH"/>
              </w:rPr>
              <w:t xml:space="preserve">Norvège </w:t>
            </w:r>
            <w:r w:rsidR="00ED6101">
              <w:rPr>
                <w:lang w:val="fr-CH"/>
              </w:rPr>
              <w:br/>
            </w:r>
            <w:r w:rsidRPr="00ED6101">
              <w:rPr>
                <w:lang w:val="fr-CH"/>
              </w:rPr>
              <w:t xml:space="preserve">(2007) </w:t>
            </w:r>
          </w:p>
        </w:tc>
        <w:tc>
          <w:tcPr>
            <w:tcW w:w="8671" w:type="dxa"/>
            <w:shd w:val="clear" w:color="auto" w:fill="auto"/>
            <w:hideMark/>
          </w:tcPr>
          <w:p w:rsidR="00013569" w:rsidRPr="00ED6101" w:rsidRDefault="00013569" w:rsidP="00ED6101">
            <w:pPr>
              <w:tabs>
                <w:tab w:val="left" w:pos="288"/>
                <w:tab w:val="left" w:pos="576"/>
                <w:tab w:val="left" w:pos="864"/>
                <w:tab w:val="left" w:pos="1152"/>
              </w:tabs>
              <w:suppressAutoHyphens/>
              <w:spacing w:before="40" w:after="80"/>
              <w:ind w:right="117"/>
              <w:rPr>
                <w:lang w:val="fr-CH"/>
              </w:rPr>
            </w:pPr>
            <w:r w:rsidRPr="00ED6101">
              <w:rPr>
                <w:lang w:val="fr-CH"/>
              </w:rPr>
              <w:t>Politique de fret électronique; architecture de référence pour le transport intermodal et l’intégration des systèmes informatiques pertinents – y compris des systèmes existants – dans les activités commerciales et au-delà; coopération des différents secteurs en vue d’élaborer et de démontrer la pertinence de solutions de transport intermodal dans une série d’activités commerciales; intégration des services complexes dans les chaînes de transport intégrées.</w:t>
            </w:r>
          </w:p>
        </w:tc>
      </w:tr>
      <w:tr w:rsidR="00013569" w:rsidRPr="00ED6101" w:rsidTr="00ED6101">
        <w:tc>
          <w:tcPr>
            <w:tcW w:w="1355" w:type="dxa"/>
            <w:shd w:val="clear" w:color="auto" w:fill="auto"/>
          </w:tcPr>
          <w:p w:rsidR="00013569" w:rsidRPr="00ED6101" w:rsidRDefault="00013569" w:rsidP="00ED6101">
            <w:pPr>
              <w:tabs>
                <w:tab w:val="left" w:pos="288"/>
                <w:tab w:val="left" w:pos="576"/>
                <w:tab w:val="left" w:pos="864"/>
                <w:tab w:val="left" w:pos="1152"/>
              </w:tabs>
              <w:suppressAutoHyphens/>
              <w:spacing w:before="40" w:after="80"/>
              <w:ind w:right="43"/>
              <w:rPr>
                <w:lang w:val="fr-CH"/>
              </w:rPr>
            </w:pPr>
            <w:r w:rsidRPr="00ED6101">
              <w:rPr>
                <w:lang w:val="fr-CH"/>
              </w:rPr>
              <w:t xml:space="preserve">Ouzbékistan </w:t>
            </w:r>
            <w:r w:rsidR="00ED6101">
              <w:rPr>
                <w:lang w:val="fr-CH"/>
              </w:rPr>
              <w:br/>
            </w:r>
            <w:r w:rsidRPr="00ED6101">
              <w:rPr>
                <w:lang w:val="fr-CH"/>
              </w:rPr>
              <w:t xml:space="preserve">(2010) </w:t>
            </w:r>
          </w:p>
        </w:tc>
        <w:tc>
          <w:tcPr>
            <w:tcW w:w="8671" w:type="dxa"/>
            <w:shd w:val="clear" w:color="auto" w:fill="auto"/>
          </w:tcPr>
          <w:p w:rsidR="00013569" w:rsidRPr="00ED6101" w:rsidRDefault="00013569" w:rsidP="00ED6101">
            <w:pPr>
              <w:tabs>
                <w:tab w:val="left" w:pos="288"/>
                <w:tab w:val="left" w:pos="576"/>
                <w:tab w:val="left" w:pos="864"/>
                <w:tab w:val="left" w:pos="1152"/>
              </w:tabs>
              <w:suppressAutoHyphens/>
              <w:spacing w:before="40" w:after="80"/>
              <w:ind w:right="117"/>
              <w:rPr>
                <w:lang w:val="fr-CH"/>
              </w:rPr>
            </w:pPr>
            <w:r w:rsidRPr="00ED6101">
              <w:rPr>
                <w:lang w:val="fr-CH"/>
              </w:rPr>
              <w:t>Chemins de fer; routes; réforme institutionnelle; financement et durabilité des routes; installations transfrontalières; participation du secteur privé; sécurité routière; réformes et restructuration des chemins de fer; financement des frais récurrents; centres logistiques.</w:t>
            </w:r>
          </w:p>
        </w:tc>
      </w:tr>
      <w:tr w:rsidR="00013569" w:rsidRPr="00ED6101" w:rsidTr="00ED6101">
        <w:tc>
          <w:tcPr>
            <w:tcW w:w="1355" w:type="dxa"/>
            <w:shd w:val="clear" w:color="auto" w:fill="auto"/>
            <w:hideMark/>
          </w:tcPr>
          <w:p w:rsidR="00013569" w:rsidRPr="00ED6101" w:rsidRDefault="00013569" w:rsidP="00ED6101">
            <w:pPr>
              <w:tabs>
                <w:tab w:val="left" w:pos="288"/>
                <w:tab w:val="left" w:pos="576"/>
                <w:tab w:val="left" w:pos="864"/>
                <w:tab w:val="left" w:pos="1152"/>
              </w:tabs>
              <w:suppressAutoHyphens/>
              <w:spacing w:before="40" w:after="80"/>
              <w:ind w:right="43"/>
              <w:rPr>
                <w:lang w:val="fr-CH"/>
              </w:rPr>
            </w:pPr>
            <w:r w:rsidRPr="00ED6101">
              <w:rPr>
                <w:lang w:val="fr-CH"/>
              </w:rPr>
              <w:t xml:space="preserve">Portugal </w:t>
            </w:r>
            <w:r w:rsidR="00ED6101">
              <w:rPr>
                <w:lang w:val="fr-CH"/>
              </w:rPr>
              <w:br/>
            </w:r>
            <w:r w:rsidRPr="00ED6101">
              <w:rPr>
                <w:lang w:val="fr-CH"/>
              </w:rPr>
              <w:t>(2007)</w:t>
            </w:r>
          </w:p>
        </w:tc>
        <w:tc>
          <w:tcPr>
            <w:tcW w:w="8671" w:type="dxa"/>
            <w:shd w:val="clear" w:color="auto" w:fill="auto"/>
            <w:hideMark/>
          </w:tcPr>
          <w:p w:rsidR="00013569" w:rsidRPr="00ED6101" w:rsidRDefault="00013569" w:rsidP="00ED6101">
            <w:pPr>
              <w:tabs>
                <w:tab w:val="left" w:pos="288"/>
                <w:tab w:val="left" w:pos="576"/>
                <w:tab w:val="left" w:pos="864"/>
                <w:tab w:val="left" w:pos="1152"/>
              </w:tabs>
              <w:suppressAutoHyphens/>
              <w:spacing w:before="40" w:after="80"/>
              <w:ind w:right="117"/>
              <w:rPr>
                <w:lang w:val="fr-CH"/>
              </w:rPr>
            </w:pPr>
            <w:r w:rsidRPr="00ED6101">
              <w:rPr>
                <w:lang w:val="fr-CH"/>
              </w:rPr>
              <w:t>Contribution au développement de l’économie nationale et d’espaces territoriaux spécifiques; accroissement de la compétitivité; développement de l’</w:t>
            </w:r>
            <w:proofErr w:type="spellStart"/>
            <w:r w:rsidRPr="00ED6101">
              <w:rPr>
                <w:lang w:val="fr-CH"/>
              </w:rPr>
              <w:t>intermodalité</w:t>
            </w:r>
            <w:proofErr w:type="spellEnd"/>
            <w:r w:rsidRPr="00ED6101">
              <w:rPr>
                <w:lang w:val="fr-CH"/>
              </w:rPr>
              <w:t>; promotion de la logistique; attraction de nouveaux investissements.</w:t>
            </w:r>
          </w:p>
        </w:tc>
      </w:tr>
      <w:tr w:rsidR="00013569" w:rsidRPr="00ED6101" w:rsidTr="00ED6101">
        <w:tc>
          <w:tcPr>
            <w:tcW w:w="1355" w:type="dxa"/>
            <w:shd w:val="clear" w:color="auto" w:fill="auto"/>
          </w:tcPr>
          <w:p w:rsidR="00013569" w:rsidRPr="00ED6101" w:rsidRDefault="00013569" w:rsidP="00ED6101">
            <w:pPr>
              <w:tabs>
                <w:tab w:val="left" w:pos="288"/>
                <w:tab w:val="left" w:pos="576"/>
                <w:tab w:val="left" w:pos="864"/>
                <w:tab w:val="left" w:pos="1152"/>
              </w:tabs>
              <w:suppressAutoHyphens/>
              <w:spacing w:before="40" w:after="80"/>
              <w:ind w:right="43"/>
              <w:rPr>
                <w:lang w:val="fr-CH"/>
              </w:rPr>
            </w:pPr>
            <w:r w:rsidRPr="00ED6101">
              <w:rPr>
                <w:lang w:val="fr-CH"/>
              </w:rPr>
              <w:t xml:space="preserve">République </w:t>
            </w:r>
            <w:r w:rsidR="00ED6101">
              <w:rPr>
                <w:lang w:val="fr-CH"/>
              </w:rPr>
              <w:br/>
            </w:r>
            <w:r w:rsidRPr="00ED6101">
              <w:rPr>
                <w:lang w:val="fr-CH"/>
              </w:rPr>
              <w:t xml:space="preserve">tchèque </w:t>
            </w:r>
            <w:r w:rsidR="00ED6101">
              <w:rPr>
                <w:lang w:val="fr-CH"/>
              </w:rPr>
              <w:br/>
            </w:r>
            <w:r w:rsidRPr="00ED6101">
              <w:rPr>
                <w:lang w:val="fr-CH"/>
              </w:rPr>
              <w:t xml:space="preserve">(2013) </w:t>
            </w:r>
          </w:p>
        </w:tc>
        <w:tc>
          <w:tcPr>
            <w:tcW w:w="8671" w:type="dxa"/>
            <w:shd w:val="clear" w:color="auto" w:fill="auto"/>
          </w:tcPr>
          <w:p w:rsidR="00013569" w:rsidRPr="00ED6101" w:rsidRDefault="00013569" w:rsidP="00ED6101">
            <w:pPr>
              <w:tabs>
                <w:tab w:val="left" w:pos="288"/>
                <w:tab w:val="left" w:pos="576"/>
                <w:tab w:val="left" w:pos="864"/>
                <w:tab w:val="left" w:pos="1152"/>
              </w:tabs>
              <w:suppressAutoHyphens/>
              <w:spacing w:before="40" w:after="80"/>
              <w:ind w:right="117"/>
              <w:rPr>
                <w:lang w:val="fr-CH"/>
              </w:rPr>
            </w:pPr>
            <w:r w:rsidRPr="00ED6101">
              <w:rPr>
                <w:lang w:val="fr-CH"/>
              </w:rPr>
              <w:t>Transport de marchandises dans le cadre du processus logistique; service public en matière de transport de passagers; protection des droits des passagers; création de conditions propices au développement du transport touristique, à son bon fonctionnement et à sa sécurité; financement du transport; recherche, développement et innovation technologiques, technologies spatiales; réduction de l’impact sur la santé publique et l’environnement; instruments financiers; instruments législatifs; questions sociales, emploi, éducation, qualification.</w:t>
            </w:r>
          </w:p>
        </w:tc>
      </w:tr>
      <w:tr w:rsidR="00013569" w:rsidRPr="00ED6101" w:rsidTr="00ED6101">
        <w:tc>
          <w:tcPr>
            <w:tcW w:w="1355" w:type="dxa"/>
            <w:shd w:val="clear" w:color="auto" w:fill="auto"/>
            <w:hideMark/>
          </w:tcPr>
          <w:p w:rsidR="00013569" w:rsidRPr="00ED6101" w:rsidRDefault="00013569" w:rsidP="00ED6101">
            <w:pPr>
              <w:tabs>
                <w:tab w:val="left" w:pos="288"/>
                <w:tab w:val="left" w:pos="576"/>
                <w:tab w:val="left" w:pos="864"/>
                <w:tab w:val="left" w:pos="1152"/>
              </w:tabs>
              <w:suppressAutoHyphens/>
              <w:spacing w:before="40" w:after="80"/>
              <w:ind w:right="43"/>
              <w:rPr>
                <w:lang w:val="fr-CH"/>
              </w:rPr>
            </w:pPr>
            <w:r w:rsidRPr="00ED6101">
              <w:rPr>
                <w:lang w:val="fr-CH"/>
              </w:rPr>
              <w:t xml:space="preserve">Suède </w:t>
            </w:r>
            <w:r w:rsidRPr="00ED6101">
              <w:rPr>
                <w:lang w:val="fr-CH"/>
              </w:rPr>
              <w:br/>
              <w:t xml:space="preserve">(2012) </w:t>
            </w:r>
          </w:p>
        </w:tc>
        <w:tc>
          <w:tcPr>
            <w:tcW w:w="8671" w:type="dxa"/>
            <w:shd w:val="clear" w:color="auto" w:fill="auto"/>
            <w:hideMark/>
          </w:tcPr>
          <w:p w:rsidR="00013569" w:rsidRPr="00ED6101" w:rsidRDefault="00013569" w:rsidP="00ED6101">
            <w:pPr>
              <w:tabs>
                <w:tab w:val="left" w:pos="288"/>
                <w:tab w:val="left" w:pos="576"/>
                <w:tab w:val="left" w:pos="864"/>
                <w:tab w:val="left" w:pos="1152"/>
              </w:tabs>
              <w:suppressAutoHyphens/>
              <w:spacing w:before="40" w:after="80"/>
              <w:ind w:right="117"/>
              <w:rPr>
                <w:lang w:val="fr-CH"/>
              </w:rPr>
            </w:pPr>
            <w:r w:rsidRPr="00ED6101">
              <w:rPr>
                <w:lang w:val="fr-CH"/>
              </w:rPr>
              <w:t>Services d’information fluviale pour le transport par voie navigable; STI/TAF pour le transport ferroviaire; plan d’action STI pour le transport routier; service de transports maritimes en ligne pour le cabotage et le transport intercontinental; SESAR pour le trafic aérien.</w:t>
            </w:r>
          </w:p>
        </w:tc>
      </w:tr>
      <w:tr w:rsidR="00013569" w:rsidRPr="00ED6101" w:rsidTr="00ED6101">
        <w:tc>
          <w:tcPr>
            <w:tcW w:w="1355" w:type="dxa"/>
            <w:shd w:val="clear" w:color="auto" w:fill="auto"/>
            <w:hideMark/>
          </w:tcPr>
          <w:p w:rsidR="00013569" w:rsidRPr="00ED6101" w:rsidRDefault="00013569" w:rsidP="00ED6101">
            <w:pPr>
              <w:tabs>
                <w:tab w:val="left" w:pos="288"/>
                <w:tab w:val="left" w:pos="576"/>
                <w:tab w:val="left" w:pos="864"/>
                <w:tab w:val="left" w:pos="1152"/>
              </w:tabs>
              <w:suppressAutoHyphens/>
              <w:spacing w:before="40" w:after="80"/>
              <w:ind w:right="43"/>
              <w:rPr>
                <w:lang w:val="fr-CH"/>
              </w:rPr>
            </w:pPr>
            <w:r w:rsidRPr="00ED6101">
              <w:rPr>
                <w:lang w:val="fr-CH"/>
              </w:rPr>
              <w:t xml:space="preserve">Tadjikistan </w:t>
            </w:r>
            <w:r w:rsidR="00ED6101">
              <w:rPr>
                <w:lang w:val="fr-CH"/>
              </w:rPr>
              <w:br/>
            </w:r>
            <w:r w:rsidRPr="00ED6101">
              <w:rPr>
                <w:lang w:val="fr-CH"/>
              </w:rPr>
              <w:t xml:space="preserve">(2009) </w:t>
            </w:r>
          </w:p>
        </w:tc>
        <w:tc>
          <w:tcPr>
            <w:tcW w:w="8671" w:type="dxa"/>
            <w:shd w:val="clear" w:color="auto" w:fill="auto"/>
            <w:hideMark/>
          </w:tcPr>
          <w:p w:rsidR="00013569" w:rsidRPr="00ED6101" w:rsidRDefault="00013569" w:rsidP="00ED6101">
            <w:pPr>
              <w:tabs>
                <w:tab w:val="left" w:pos="288"/>
                <w:tab w:val="left" w:pos="576"/>
                <w:tab w:val="left" w:pos="864"/>
                <w:tab w:val="left" w:pos="1152"/>
              </w:tabs>
              <w:suppressAutoHyphens/>
              <w:spacing w:before="40" w:after="80"/>
              <w:ind w:right="117"/>
              <w:rPr>
                <w:lang w:val="fr-CH"/>
              </w:rPr>
            </w:pPr>
            <w:r w:rsidRPr="00ED6101">
              <w:rPr>
                <w:lang w:val="fr-CH"/>
              </w:rPr>
              <w:t>Insuffisances et carences en matière d’infrastructure de transport; difficultés opérationnelles; défis institutionnels; cadre stratégique; réformes institutionnelles; améliorations opérationnelles; investissement dans les infrastructures matérielles.</w:t>
            </w:r>
          </w:p>
        </w:tc>
      </w:tr>
      <w:tr w:rsidR="00013569" w:rsidRPr="00ED6101" w:rsidTr="00ED6101">
        <w:tc>
          <w:tcPr>
            <w:tcW w:w="1355" w:type="dxa"/>
            <w:shd w:val="clear" w:color="auto" w:fill="auto"/>
            <w:hideMark/>
          </w:tcPr>
          <w:p w:rsidR="00013569" w:rsidRPr="00ED6101" w:rsidRDefault="00013569" w:rsidP="00ED6101">
            <w:pPr>
              <w:tabs>
                <w:tab w:val="left" w:pos="288"/>
                <w:tab w:val="left" w:pos="576"/>
                <w:tab w:val="left" w:pos="864"/>
                <w:tab w:val="left" w:pos="1152"/>
              </w:tabs>
              <w:suppressAutoHyphens/>
              <w:spacing w:before="40" w:after="80"/>
              <w:ind w:right="43"/>
              <w:rPr>
                <w:lang w:val="fr-CH"/>
              </w:rPr>
            </w:pPr>
            <w:r w:rsidRPr="00ED6101">
              <w:rPr>
                <w:lang w:val="fr-CH"/>
              </w:rPr>
              <w:t xml:space="preserve">Turquie </w:t>
            </w:r>
            <w:r w:rsidR="00ED6101">
              <w:rPr>
                <w:lang w:val="fr-CH"/>
              </w:rPr>
              <w:br/>
            </w:r>
            <w:r w:rsidRPr="00ED6101">
              <w:rPr>
                <w:lang w:val="fr-CH"/>
              </w:rPr>
              <w:t xml:space="preserve">(2009) </w:t>
            </w:r>
          </w:p>
        </w:tc>
        <w:tc>
          <w:tcPr>
            <w:tcW w:w="8671" w:type="dxa"/>
            <w:shd w:val="clear" w:color="auto" w:fill="auto"/>
            <w:hideMark/>
          </w:tcPr>
          <w:p w:rsidR="00013569" w:rsidRPr="00ED6101" w:rsidRDefault="00013569" w:rsidP="00ED6101">
            <w:pPr>
              <w:tabs>
                <w:tab w:val="left" w:pos="288"/>
                <w:tab w:val="left" w:pos="576"/>
                <w:tab w:val="left" w:pos="864"/>
                <w:tab w:val="left" w:pos="1152"/>
              </w:tabs>
              <w:suppressAutoHyphens/>
              <w:spacing w:before="40" w:after="80"/>
              <w:ind w:right="117"/>
              <w:rPr>
                <w:lang w:val="fr-CH"/>
              </w:rPr>
            </w:pPr>
            <w:r w:rsidRPr="00ED6101">
              <w:rPr>
                <w:lang w:val="fr-CH"/>
              </w:rPr>
              <w:t xml:space="preserve">Transport de marchandises traditionnel; opérations de transport intermodal; marchés potentiels pour le transport par conteneurs; semi-remorques dans le transport intermodal; conteneur pour le transport intérieur européen; promotion des opérations de transport intermodal et de la logistique; prévision de transport pour les liaisons Europe-Asie; opérations de </w:t>
            </w:r>
            <w:proofErr w:type="spellStart"/>
            <w:r w:rsidRPr="00ED6101">
              <w:rPr>
                <w:lang w:val="fr-CH"/>
              </w:rPr>
              <w:t>transroulage</w:t>
            </w:r>
            <w:proofErr w:type="spellEnd"/>
            <w:r w:rsidRPr="00ED6101">
              <w:rPr>
                <w:lang w:val="fr-CH"/>
              </w:rPr>
              <w:t xml:space="preserve"> (</w:t>
            </w:r>
            <w:proofErr w:type="spellStart"/>
            <w:r w:rsidRPr="00ED6101">
              <w:rPr>
                <w:lang w:val="fr-CH"/>
              </w:rPr>
              <w:t>ro-la</w:t>
            </w:r>
            <w:proofErr w:type="spellEnd"/>
            <w:r w:rsidRPr="00ED6101">
              <w:rPr>
                <w:lang w:val="fr-CH"/>
              </w:rPr>
              <w:t>).</w:t>
            </w:r>
          </w:p>
        </w:tc>
      </w:tr>
      <w:tr w:rsidR="00013569" w:rsidRPr="00ED6101" w:rsidTr="00ED6101">
        <w:tc>
          <w:tcPr>
            <w:tcW w:w="1355" w:type="dxa"/>
            <w:tcBorders>
              <w:bottom w:val="single" w:sz="12" w:space="0" w:color="auto"/>
            </w:tcBorders>
            <w:shd w:val="clear" w:color="auto" w:fill="auto"/>
            <w:hideMark/>
          </w:tcPr>
          <w:p w:rsidR="00013569" w:rsidRPr="00ED6101" w:rsidRDefault="00013569" w:rsidP="00ED6101">
            <w:pPr>
              <w:tabs>
                <w:tab w:val="left" w:pos="288"/>
                <w:tab w:val="left" w:pos="576"/>
                <w:tab w:val="left" w:pos="864"/>
                <w:tab w:val="left" w:pos="1152"/>
              </w:tabs>
              <w:suppressAutoHyphens/>
              <w:spacing w:before="40" w:after="80"/>
              <w:ind w:right="43"/>
              <w:rPr>
                <w:lang w:val="fr-CH"/>
              </w:rPr>
            </w:pPr>
            <w:r w:rsidRPr="00ED6101">
              <w:rPr>
                <w:lang w:val="fr-CH"/>
              </w:rPr>
              <w:t xml:space="preserve">Ukraine </w:t>
            </w:r>
            <w:r w:rsidR="00ED6101">
              <w:rPr>
                <w:lang w:val="fr-CH"/>
              </w:rPr>
              <w:br/>
            </w:r>
            <w:r w:rsidRPr="00ED6101">
              <w:rPr>
                <w:lang w:val="fr-CH"/>
              </w:rPr>
              <w:t xml:space="preserve">(2012) </w:t>
            </w:r>
          </w:p>
        </w:tc>
        <w:tc>
          <w:tcPr>
            <w:tcW w:w="8671" w:type="dxa"/>
            <w:tcBorders>
              <w:bottom w:val="single" w:sz="12" w:space="0" w:color="auto"/>
            </w:tcBorders>
            <w:shd w:val="clear" w:color="auto" w:fill="auto"/>
            <w:noWrap/>
            <w:hideMark/>
          </w:tcPr>
          <w:p w:rsidR="00013569" w:rsidRPr="00921E40" w:rsidRDefault="00013569" w:rsidP="00ED6101">
            <w:pPr>
              <w:tabs>
                <w:tab w:val="left" w:pos="288"/>
                <w:tab w:val="left" w:pos="576"/>
                <w:tab w:val="left" w:pos="864"/>
                <w:tab w:val="left" w:pos="1152"/>
              </w:tabs>
              <w:suppressAutoHyphens/>
              <w:spacing w:before="40" w:after="80"/>
              <w:ind w:right="117"/>
              <w:rPr>
                <w:spacing w:val="2"/>
                <w:lang w:val="fr-CH"/>
              </w:rPr>
            </w:pPr>
            <w:r w:rsidRPr="00921E40">
              <w:rPr>
                <w:spacing w:val="2"/>
                <w:lang w:val="fr-CH"/>
              </w:rPr>
              <w:t>Programme national de développement de l’infrastructure mettant l’accent sur le système logistique paneuropéen. Initiatives visant à faciliter le commerce. Investissements en faveur du transport par voie navigable et du transport ferroviaire, respectueux de l’environnement et économiques.</w:t>
            </w:r>
          </w:p>
        </w:tc>
      </w:tr>
    </w:tbl>
    <w:p w:rsidR="00013569" w:rsidRPr="00ED6101" w:rsidRDefault="00013569" w:rsidP="00013569">
      <w:pPr>
        <w:pStyle w:val="SingleTxt"/>
        <w:spacing w:after="0" w:line="240" w:lineRule="auto"/>
        <w:rPr>
          <w:lang w:val="fr-CH"/>
        </w:rPr>
      </w:pPr>
      <w:r w:rsidRPr="00ED6101">
        <w:rPr>
          <w:noProof/>
          <w:w w:val="100"/>
          <w:lang w:val="en-US"/>
        </w:rPr>
        <mc:AlternateContent>
          <mc:Choice Requires="wps">
            <w:drawing>
              <wp:anchor distT="0" distB="0" distL="114300" distR="114300" simplePos="0" relativeHeight="251673600" behindDoc="0" locked="0" layoutInCell="1" allowOverlap="1" wp14:anchorId="60801479" wp14:editId="2C9E4112">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73600;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13569" w:rsidRPr="00ED6101" w:rsidSect="001A30C1">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592" w:rsidRDefault="00EC6592" w:rsidP="00F3330B">
      <w:pPr>
        <w:spacing w:line="240" w:lineRule="auto"/>
      </w:pPr>
      <w:r>
        <w:separator/>
      </w:r>
    </w:p>
  </w:endnote>
  <w:endnote w:type="continuationSeparator" w:id="0">
    <w:p w:rsidR="00EC6592" w:rsidRDefault="00EC6592"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1A30C1" w:rsidTr="001A30C1">
      <w:trPr>
        <w:jc w:val="center"/>
      </w:trPr>
      <w:tc>
        <w:tcPr>
          <w:tcW w:w="5088" w:type="dxa"/>
          <w:shd w:val="clear" w:color="auto" w:fill="auto"/>
        </w:tcPr>
        <w:p w:rsidR="001A30C1" w:rsidRPr="001A30C1" w:rsidRDefault="001A30C1" w:rsidP="001A30C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A713F">
            <w:rPr>
              <w:b w:val="0"/>
              <w:w w:val="103"/>
              <w:sz w:val="14"/>
            </w:rPr>
            <w:t>GE.15-21992</w:t>
          </w:r>
          <w:r>
            <w:rPr>
              <w:b w:val="0"/>
              <w:w w:val="103"/>
              <w:sz w:val="14"/>
            </w:rPr>
            <w:fldChar w:fldCharType="end"/>
          </w:r>
        </w:p>
      </w:tc>
      <w:tc>
        <w:tcPr>
          <w:tcW w:w="5089" w:type="dxa"/>
          <w:shd w:val="clear" w:color="auto" w:fill="auto"/>
        </w:tcPr>
        <w:p w:rsidR="001A30C1" w:rsidRPr="001A30C1" w:rsidRDefault="001A30C1" w:rsidP="001A30C1">
          <w:pPr>
            <w:pStyle w:val="Footer"/>
            <w:rPr>
              <w:w w:val="103"/>
            </w:rPr>
          </w:pPr>
          <w:r>
            <w:rPr>
              <w:w w:val="103"/>
            </w:rPr>
            <w:fldChar w:fldCharType="begin"/>
          </w:r>
          <w:r>
            <w:rPr>
              <w:w w:val="103"/>
            </w:rPr>
            <w:instrText xml:space="preserve"> PAGE  \* Arabic  \* MERGEFORMAT </w:instrText>
          </w:r>
          <w:r>
            <w:rPr>
              <w:w w:val="103"/>
            </w:rPr>
            <w:fldChar w:fldCharType="separate"/>
          </w:r>
          <w:r w:rsidR="00B477C0">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477C0">
            <w:rPr>
              <w:noProof/>
              <w:w w:val="103"/>
            </w:rPr>
            <w:t>9</w:t>
          </w:r>
          <w:r>
            <w:rPr>
              <w:w w:val="103"/>
            </w:rPr>
            <w:fldChar w:fldCharType="end"/>
          </w:r>
        </w:p>
      </w:tc>
    </w:tr>
  </w:tbl>
  <w:p w:rsidR="001A30C1" w:rsidRPr="001A30C1" w:rsidRDefault="001A30C1" w:rsidP="001A3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1A30C1" w:rsidTr="001A30C1">
      <w:trPr>
        <w:jc w:val="center"/>
      </w:trPr>
      <w:tc>
        <w:tcPr>
          <w:tcW w:w="5088" w:type="dxa"/>
          <w:shd w:val="clear" w:color="auto" w:fill="auto"/>
        </w:tcPr>
        <w:p w:rsidR="001A30C1" w:rsidRPr="001A30C1" w:rsidRDefault="001A30C1" w:rsidP="001A30C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477C0">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477C0">
            <w:rPr>
              <w:noProof/>
              <w:w w:val="103"/>
            </w:rPr>
            <w:t>9</w:t>
          </w:r>
          <w:r>
            <w:rPr>
              <w:w w:val="103"/>
            </w:rPr>
            <w:fldChar w:fldCharType="end"/>
          </w:r>
        </w:p>
      </w:tc>
      <w:tc>
        <w:tcPr>
          <w:tcW w:w="5089" w:type="dxa"/>
          <w:shd w:val="clear" w:color="auto" w:fill="auto"/>
        </w:tcPr>
        <w:p w:rsidR="001A30C1" w:rsidRPr="001A30C1" w:rsidRDefault="001A30C1" w:rsidP="001A30C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A713F">
            <w:rPr>
              <w:b w:val="0"/>
              <w:w w:val="103"/>
              <w:sz w:val="14"/>
            </w:rPr>
            <w:t>GE.15-21992</w:t>
          </w:r>
          <w:r>
            <w:rPr>
              <w:b w:val="0"/>
              <w:w w:val="103"/>
              <w:sz w:val="14"/>
            </w:rPr>
            <w:fldChar w:fldCharType="end"/>
          </w:r>
        </w:p>
      </w:tc>
    </w:tr>
  </w:tbl>
  <w:p w:rsidR="001A30C1" w:rsidRPr="001A30C1" w:rsidRDefault="001A30C1" w:rsidP="001A30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C1" w:rsidRDefault="001A30C1">
    <w:pPr>
      <w:pStyle w:val="Footer"/>
    </w:pPr>
    <w:r>
      <w:rPr>
        <w:noProof/>
      </w:rPr>
      <w:drawing>
        <wp:anchor distT="0" distB="0" distL="114300" distR="114300" simplePos="0" relativeHeight="251658240" behindDoc="0" locked="0" layoutInCell="1" allowOverlap="1" wp14:anchorId="6E9B912E" wp14:editId="611D8CBE">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016/1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1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1A30C1" w:rsidTr="001A30C1">
      <w:tc>
        <w:tcPr>
          <w:tcW w:w="3859" w:type="dxa"/>
        </w:tcPr>
        <w:p w:rsidR="001A30C1" w:rsidRDefault="001A30C1" w:rsidP="001A30C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A713F">
            <w:rPr>
              <w:b w:val="0"/>
              <w:sz w:val="20"/>
            </w:rPr>
            <w:t>GE.15-21992 (F)</w:t>
          </w:r>
          <w:r>
            <w:rPr>
              <w:b w:val="0"/>
              <w:sz w:val="20"/>
            </w:rPr>
            <w:fldChar w:fldCharType="end"/>
          </w:r>
          <w:r>
            <w:rPr>
              <w:b w:val="0"/>
              <w:sz w:val="20"/>
            </w:rPr>
            <w:t xml:space="preserve">    210116    210116</w:t>
          </w:r>
        </w:p>
        <w:p w:rsidR="001A30C1" w:rsidRPr="001A30C1" w:rsidRDefault="001A30C1" w:rsidP="001A30C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A713F">
            <w:rPr>
              <w:rFonts w:ascii="Barcode 3 of 9 by request" w:hAnsi="Barcode 3 of 9 by request"/>
              <w:b w:val="0"/>
              <w:spacing w:val="0"/>
              <w:w w:val="100"/>
              <w:sz w:val="24"/>
            </w:rPr>
            <w:t>*1521992*</w:t>
          </w:r>
          <w:r>
            <w:rPr>
              <w:rFonts w:ascii="Barcode 3 of 9 by request" w:hAnsi="Barcode 3 of 9 by request"/>
              <w:b w:val="0"/>
              <w:spacing w:val="0"/>
              <w:w w:val="100"/>
              <w:sz w:val="24"/>
            </w:rPr>
            <w:fldChar w:fldCharType="end"/>
          </w:r>
        </w:p>
      </w:tc>
      <w:tc>
        <w:tcPr>
          <w:tcW w:w="5089" w:type="dxa"/>
        </w:tcPr>
        <w:p w:rsidR="001A30C1" w:rsidRDefault="001A30C1" w:rsidP="001A30C1">
          <w:pPr>
            <w:pStyle w:val="Footer"/>
            <w:spacing w:line="240" w:lineRule="atLeast"/>
            <w:jc w:val="right"/>
            <w:rPr>
              <w:b w:val="0"/>
              <w:sz w:val="20"/>
            </w:rPr>
          </w:pPr>
          <w:r>
            <w:rPr>
              <w:b w:val="0"/>
              <w:noProof/>
              <w:sz w:val="20"/>
            </w:rPr>
            <w:drawing>
              <wp:inline distT="0" distB="0" distL="0" distR="0" wp14:anchorId="45AD389A" wp14:editId="2161552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1A30C1" w:rsidRPr="001A30C1" w:rsidRDefault="001A30C1" w:rsidP="001A30C1">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592" w:rsidRPr="003E47D8" w:rsidRDefault="00EC6592" w:rsidP="003E47D8">
      <w:pPr>
        <w:pStyle w:val="Footer"/>
        <w:spacing w:after="80"/>
        <w:rPr>
          <w:sz w:val="16"/>
        </w:rPr>
      </w:pPr>
      <w:r w:rsidRPr="003E47D8">
        <w:rPr>
          <w:sz w:val="16"/>
        </w:rPr>
        <w:t>__________________</w:t>
      </w:r>
    </w:p>
  </w:footnote>
  <w:footnote w:type="continuationSeparator" w:id="0">
    <w:p w:rsidR="00EC6592" w:rsidRPr="003E47D8" w:rsidRDefault="00EC6592"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1A30C1" w:rsidTr="001A30C1">
      <w:trPr>
        <w:trHeight w:hRule="exact" w:val="864"/>
        <w:jc w:val="center"/>
      </w:trPr>
      <w:tc>
        <w:tcPr>
          <w:tcW w:w="4882" w:type="dxa"/>
          <w:shd w:val="clear" w:color="auto" w:fill="auto"/>
          <w:vAlign w:val="bottom"/>
        </w:tcPr>
        <w:p w:rsidR="001A30C1" w:rsidRPr="001A30C1" w:rsidRDefault="001A30C1" w:rsidP="001A30C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A713F">
            <w:rPr>
              <w:b/>
              <w:color w:val="000000"/>
            </w:rPr>
            <w:t>ECE/TRANS/2016/19</w:t>
          </w:r>
          <w:r>
            <w:rPr>
              <w:b/>
              <w:color w:val="000000"/>
            </w:rPr>
            <w:fldChar w:fldCharType="end"/>
          </w:r>
        </w:p>
      </w:tc>
      <w:tc>
        <w:tcPr>
          <w:tcW w:w="5089" w:type="dxa"/>
          <w:shd w:val="clear" w:color="auto" w:fill="auto"/>
          <w:vAlign w:val="bottom"/>
        </w:tcPr>
        <w:p w:rsidR="001A30C1" w:rsidRDefault="001A30C1" w:rsidP="001A30C1">
          <w:pPr>
            <w:pStyle w:val="Header"/>
          </w:pPr>
        </w:p>
      </w:tc>
    </w:tr>
  </w:tbl>
  <w:p w:rsidR="001A30C1" w:rsidRPr="001A30C1" w:rsidRDefault="001A30C1" w:rsidP="001A30C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1A30C1" w:rsidTr="001A30C1">
      <w:trPr>
        <w:trHeight w:hRule="exact" w:val="864"/>
        <w:jc w:val="center"/>
      </w:trPr>
      <w:tc>
        <w:tcPr>
          <w:tcW w:w="4882" w:type="dxa"/>
          <w:shd w:val="clear" w:color="auto" w:fill="auto"/>
          <w:vAlign w:val="bottom"/>
        </w:tcPr>
        <w:p w:rsidR="001A30C1" w:rsidRDefault="001A30C1" w:rsidP="001A30C1">
          <w:pPr>
            <w:pStyle w:val="Header"/>
          </w:pPr>
        </w:p>
      </w:tc>
      <w:tc>
        <w:tcPr>
          <w:tcW w:w="5089" w:type="dxa"/>
          <w:shd w:val="clear" w:color="auto" w:fill="auto"/>
          <w:vAlign w:val="bottom"/>
        </w:tcPr>
        <w:p w:rsidR="001A30C1" w:rsidRPr="001A30C1" w:rsidRDefault="001A30C1" w:rsidP="001A30C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A713F">
            <w:rPr>
              <w:b/>
              <w:color w:val="000000"/>
            </w:rPr>
            <w:t>ECE/TRANS/2016/19</w:t>
          </w:r>
          <w:r>
            <w:rPr>
              <w:b/>
              <w:color w:val="000000"/>
            </w:rPr>
            <w:fldChar w:fldCharType="end"/>
          </w:r>
        </w:p>
      </w:tc>
    </w:tr>
  </w:tbl>
  <w:p w:rsidR="001A30C1" w:rsidRPr="001A30C1" w:rsidRDefault="001A30C1" w:rsidP="001A30C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A30C1" w:rsidRPr="00ED6101" w:rsidTr="001A30C1">
      <w:trPr>
        <w:trHeight w:hRule="exact" w:val="864"/>
      </w:trPr>
      <w:tc>
        <w:tcPr>
          <w:tcW w:w="1267" w:type="dxa"/>
          <w:tcBorders>
            <w:bottom w:val="single" w:sz="4" w:space="0" w:color="auto"/>
          </w:tcBorders>
          <w:shd w:val="clear" w:color="auto" w:fill="auto"/>
          <w:vAlign w:val="bottom"/>
        </w:tcPr>
        <w:p w:rsidR="001A30C1" w:rsidRPr="00ED6101" w:rsidRDefault="001A30C1" w:rsidP="001A30C1">
          <w:pPr>
            <w:pStyle w:val="Header"/>
            <w:spacing w:after="120"/>
            <w:rPr>
              <w:lang w:val="fr-CH"/>
            </w:rPr>
          </w:pPr>
        </w:p>
      </w:tc>
      <w:tc>
        <w:tcPr>
          <w:tcW w:w="2059" w:type="dxa"/>
          <w:tcBorders>
            <w:bottom w:val="single" w:sz="4" w:space="0" w:color="auto"/>
          </w:tcBorders>
          <w:shd w:val="clear" w:color="auto" w:fill="auto"/>
          <w:vAlign w:val="bottom"/>
        </w:tcPr>
        <w:p w:rsidR="001A30C1" w:rsidRPr="00ED6101" w:rsidRDefault="001A30C1" w:rsidP="001A30C1">
          <w:pPr>
            <w:pStyle w:val="HCH"/>
            <w:spacing w:after="80"/>
            <w:rPr>
              <w:b w:val="0"/>
              <w:color w:val="010000"/>
              <w:spacing w:val="2"/>
              <w:w w:val="96"/>
              <w:lang w:val="fr-CH"/>
            </w:rPr>
          </w:pPr>
          <w:r w:rsidRPr="00ED6101">
            <w:rPr>
              <w:b w:val="0"/>
              <w:color w:val="010000"/>
              <w:spacing w:val="2"/>
              <w:w w:val="96"/>
              <w:lang w:val="fr-CH"/>
            </w:rPr>
            <w:t>Nations Unies</w:t>
          </w:r>
        </w:p>
      </w:tc>
      <w:tc>
        <w:tcPr>
          <w:tcW w:w="58" w:type="dxa"/>
          <w:tcBorders>
            <w:bottom w:val="single" w:sz="4" w:space="0" w:color="auto"/>
          </w:tcBorders>
          <w:shd w:val="clear" w:color="auto" w:fill="auto"/>
          <w:vAlign w:val="bottom"/>
        </w:tcPr>
        <w:p w:rsidR="001A30C1" w:rsidRPr="00ED6101" w:rsidRDefault="001A30C1" w:rsidP="001A30C1">
          <w:pPr>
            <w:pStyle w:val="Header"/>
            <w:spacing w:after="120"/>
            <w:rPr>
              <w:lang w:val="fr-CH"/>
            </w:rPr>
          </w:pPr>
        </w:p>
      </w:tc>
      <w:tc>
        <w:tcPr>
          <w:tcW w:w="6653" w:type="dxa"/>
          <w:gridSpan w:val="4"/>
          <w:tcBorders>
            <w:bottom w:val="single" w:sz="4" w:space="0" w:color="auto"/>
          </w:tcBorders>
          <w:shd w:val="clear" w:color="auto" w:fill="auto"/>
          <w:vAlign w:val="bottom"/>
        </w:tcPr>
        <w:p w:rsidR="001A30C1" w:rsidRPr="00ED6101" w:rsidRDefault="001A30C1" w:rsidP="001A30C1">
          <w:pPr>
            <w:spacing w:after="80" w:line="240" w:lineRule="auto"/>
            <w:jc w:val="right"/>
            <w:rPr>
              <w:position w:val="-4"/>
              <w:lang w:val="fr-CH"/>
            </w:rPr>
          </w:pPr>
          <w:r w:rsidRPr="00ED6101">
            <w:rPr>
              <w:position w:val="-4"/>
              <w:sz w:val="40"/>
              <w:lang w:val="fr-CH"/>
            </w:rPr>
            <w:t>ECE</w:t>
          </w:r>
          <w:r w:rsidRPr="00ED6101">
            <w:rPr>
              <w:position w:val="-4"/>
              <w:lang w:val="fr-CH"/>
            </w:rPr>
            <w:t>/TRANS/2016/19</w:t>
          </w:r>
        </w:p>
      </w:tc>
    </w:tr>
    <w:tr w:rsidR="001A30C1" w:rsidRPr="00ED6101" w:rsidTr="001A30C1">
      <w:trPr>
        <w:gridAfter w:val="1"/>
        <w:wAfter w:w="18" w:type="dxa"/>
        <w:trHeight w:hRule="exact" w:val="2880"/>
      </w:trPr>
      <w:tc>
        <w:tcPr>
          <w:tcW w:w="1267" w:type="dxa"/>
          <w:tcBorders>
            <w:top w:val="single" w:sz="4" w:space="0" w:color="auto"/>
            <w:bottom w:val="single" w:sz="12" w:space="0" w:color="auto"/>
          </w:tcBorders>
          <w:shd w:val="clear" w:color="auto" w:fill="auto"/>
        </w:tcPr>
        <w:p w:rsidR="001A30C1" w:rsidRPr="00ED6101" w:rsidRDefault="001A30C1" w:rsidP="001A30C1">
          <w:pPr>
            <w:pStyle w:val="Header"/>
            <w:spacing w:before="120" w:line="240" w:lineRule="auto"/>
            <w:ind w:left="-72"/>
            <w:jc w:val="center"/>
            <w:rPr>
              <w:lang w:val="fr-CH"/>
            </w:rPr>
          </w:pPr>
          <w:r w:rsidRPr="00ED6101">
            <w:rPr>
              <w:lang w:val="fr-CH"/>
            </w:rPr>
            <w:t xml:space="preserve">  </w:t>
          </w:r>
          <w:r w:rsidRPr="00ED6101">
            <w:rPr>
              <w:noProof/>
            </w:rPr>
            <w:drawing>
              <wp:inline distT="0" distB="0" distL="0" distR="0" wp14:anchorId="36D2AF1D" wp14:editId="4B94C8B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A30C1" w:rsidRPr="00ED6101" w:rsidRDefault="001A30C1" w:rsidP="001A30C1">
          <w:pPr>
            <w:pStyle w:val="XLarge"/>
            <w:spacing w:before="109"/>
            <w:rPr>
              <w:lang w:val="fr-CH"/>
            </w:rPr>
          </w:pPr>
          <w:r w:rsidRPr="00ED6101">
            <w:rPr>
              <w:lang w:val="fr-CH"/>
            </w:rPr>
            <w:t>Conseil économique et social</w:t>
          </w:r>
        </w:p>
      </w:tc>
      <w:tc>
        <w:tcPr>
          <w:tcW w:w="245" w:type="dxa"/>
          <w:tcBorders>
            <w:top w:val="single" w:sz="4" w:space="0" w:color="auto"/>
            <w:bottom w:val="single" w:sz="12" w:space="0" w:color="auto"/>
          </w:tcBorders>
          <w:shd w:val="clear" w:color="auto" w:fill="auto"/>
        </w:tcPr>
        <w:p w:rsidR="001A30C1" w:rsidRPr="00ED6101" w:rsidRDefault="001A30C1" w:rsidP="001A30C1">
          <w:pPr>
            <w:pStyle w:val="Header"/>
            <w:spacing w:before="109"/>
            <w:rPr>
              <w:lang w:val="fr-CH"/>
            </w:rPr>
          </w:pPr>
        </w:p>
      </w:tc>
      <w:tc>
        <w:tcPr>
          <w:tcW w:w="3280" w:type="dxa"/>
          <w:tcBorders>
            <w:top w:val="single" w:sz="4" w:space="0" w:color="auto"/>
            <w:bottom w:val="single" w:sz="12" w:space="0" w:color="auto"/>
          </w:tcBorders>
          <w:shd w:val="clear" w:color="auto" w:fill="auto"/>
        </w:tcPr>
        <w:p w:rsidR="001A30C1" w:rsidRPr="00ED6101" w:rsidRDefault="001A30C1" w:rsidP="001A30C1">
          <w:pPr>
            <w:pStyle w:val="Distribution"/>
            <w:rPr>
              <w:color w:val="000000"/>
              <w:lang w:val="fr-CH"/>
            </w:rPr>
          </w:pPr>
          <w:proofErr w:type="spellStart"/>
          <w:r w:rsidRPr="00ED6101">
            <w:rPr>
              <w:color w:val="000000"/>
              <w:lang w:val="fr-CH"/>
            </w:rPr>
            <w:t>Distr</w:t>
          </w:r>
          <w:proofErr w:type="spellEnd"/>
          <w:r w:rsidRPr="00ED6101">
            <w:rPr>
              <w:color w:val="000000"/>
              <w:lang w:val="fr-CH"/>
            </w:rPr>
            <w:t>. générale</w:t>
          </w:r>
        </w:p>
        <w:p w:rsidR="001A30C1" w:rsidRPr="00ED6101" w:rsidRDefault="001A30C1" w:rsidP="001A30C1">
          <w:pPr>
            <w:pStyle w:val="Publication"/>
            <w:rPr>
              <w:color w:val="000000"/>
              <w:lang w:val="fr-CH"/>
            </w:rPr>
          </w:pPr>
          <w:r w:rsidRPr="00ED6101">
            <w:rPr>
              <w:color w:val="000000"/>
              <w:lang w:val="fr-CH"/>
            </w:rPr>
            <w:t>15 décembre 2015</w:t>
          </w:r>
        </w:p>
        <w:p w:rsidR="001A30C1" w:rsidRPr="00ED6101" w:rsidRDefault="001A30C1" w:rsidP="001A30C1">
          <w:pPr>
            <w:rPr>
              <w:lang w:val="fr-CH"/>
            </w:rPr>
          </w:pPr>
          <w:r w:rsidRPr="00ED6101">
            <w:rPr>
              <w:lang w:val="fr-CH"/>
            </w:rPr>
            <w:t>Français</w:t>
          </w:r>
        </w:p>
        <w:p w:rsidR="001A30C1" w:rsidRPr="00ED6101" w:rsidRDefault="001A30C1" w:rsidP="001A30C1">
          <w:pPr>
            <w:pStyle w:val="Original"/>
            <w:rPr>
              <w:color w:val="000000"/>
              <w:lang w:val="fr-CH"/>
            </w:rPr>
          </w:pPr>
          <w:r w:rsidRPr="00ED6101">
            <w:rPr>
              <w:color w:val="000000"/>
              <w:lang w:val="fr-CH"/>
            </w:rPr>
            <w:t>Original</w:t>
          </w:r>
          <w:r w:rsidR="0045443D" w:rsidRPr="00ED6101">
            <w:rPr>
              <w:color w:val="000000"/>
              <w:lang w:val="fr-CH"/>
            </w:rPr>
            <w:t> :</w:t>
          </w:r>
          <w:r w:rsidRPr="00ED6101">
            <w:rPr>
              <w:color w:val="000000"/>
              <w:lang w:val="fr-CH"/>
            </w:rPr>
            <w:t xml:space="preserve"> anglais</w:t>
          </w:r>
        </w:p>
      </w:tc>
    </w:tr>
  </w:tbl>
  <w:p w:rsidR="001A30C1" w:rsidRPr="00ED6101" w:rsidRDefault="001A30C1" w:rsidP="001A30C1">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40969"/>
    <w:multiLevelType w:val="hybridMultilevel"/>
    <w:tmpl w:val="7C86A606"/>
    <w:lvl w:ilvl="0" w:tplc="04090001">
      <w:start w:val="1"/>
      <w:numFmt w:val="bullet"/>
      <w:lvlText w:val=""/>
      <w:lvlJc w:val="left"/>
      <w:pPr>
        <w:ind w:left="2333" w:hanging="360"/>
      </w:pPr>
      <w:rPr>
        <w:rFonts w:ascii="Symbol" w:hAnsi="Symbol" w:hint="default"/>
      </w:rPr>
    </w:lvl>
    <w:lvl w:ilvl="1" w:tplc="04090003" w:tentative="1">
      <w:start w:val="1"/>
      <w:numFmt w:val="bullet"/>
      <w:lvlText w:val="o"/>
      <w:lvlJc w:val="left"/>
      <w:pPr>
        <w:ind w:left="3053" w:hanging="360"/>
      </w:pPr>
      <w:rPr>
        <w:rFonts w:ascii="Courier New" w:hAnsi="Courier New" w:cs="Courier New" w:hint="default"/>
      </w:rPr>
    </w:lvl>
    <w:lvl w:ilvl="2" w:tplc="04090005" w:tentative="1">
      <w:start w:val="1"/>
      <w:numFmt w:val="bullet"/>
      <w:lvlText w:val=""/>
      <w:lvlJc w:val="left"/>
      <w:pPr>
        <w:ind w:left="3773" w:hanging="360"/>
      </w:pPr>
      <w:rPr>
        <w:rFonts w:ascii="Wingdings" w:hAnsi="Wingdings" w:hint="default"/>
      </w:rPr>
    </w:lvl>
    <w:lvl w:ilvl="3" w:tplc="04090001" w:tentative="1">
      <w:start w:val="1"/>
      <w:numFmt w:val="bullet"/>
      <w:lvlText w:val=""/>
      <w:lvlJc w:val="left"/>
      <w:pPr>
        <w:ind w:left="4493" w:hanging="360"/>
      </w:pPr>
      <w:rPr>
        <w:rFonts w:ascii="Symbol" w:hAnsi="Symbol" w:hint="default"/>
      </w:rPr>
    </w:lvl>
    <w:lvl w:ilvl="4" w:tplc="04090003" w:tentative="1">
      <w:start w:val="1"/>
      <w:numFmt w:val="bullet"/>
      <w:lvlText w:val="o"/>
      <w:lvlJc w:val="left"/>
      <w:pPr>
        <w:ind w:left="5213" w:hanging="360"/>
      </w:pPr>
      <w:rPr>
        <w:rFonts w:ascii="Courier New" w:hAnsi="Courier New" w:cs="Courier New" w:hint="default"/>
      </w:rPr>
    </w:lvl>
    <w:lvl w:ilvl="5" w:tplc="04090005" w:tentative="1">
      <w:start w:val="1"/>
      <w:numFmt w:val="bullet"/>
      <w:lvlText w:val=""/>
      <w:lvlJc w:val="left"/>
      <w:pPr>
        <w:ind w:left="5933" w:hanging="360"/>
      </w:pPr>
      <w:rPr>
        <w:rFonts w:ascii="Wingdings" w:hAnsi="Wingdings" w:hint="default"/>
      </w:rPr>
    </w:lvl>
    <w:lvl w:ilvl="6" w:tplc="04090001" w:tentative="1">
      <w:start w:val="1"/>
      <w:numFmt w:val="bullet"/>
      <w:lvlText w:val=""/>
      <w:lvlJc w:val="left"/>
      <w:pPr>
        <w:ind w:left="6653" w:hanging="360"/>
      </w:pPr>
      <w:rPr>
        <w:rFonts w:ascii="Symbol" w:hAnsi="Symbol" w:hint="default"/>
      </w:rPr>
    </w:lvl>
    <w:lvl w:ilvl="7" w:tplc="04090003" w:tentative="1">
      <w:start w:val="1"/>
      <w:numFmt w:val="bullet"/>
      <w:lvlText w:val="o"/>
      <w:lvlJc w:val="left"/>
      <w:pPr>
        <w:ind w:left="7373" w:hanging="360"/>
      </w:pPr>
      <w:rPr>
        <w:rFonts w:ascii="Courier New" w:hAnsi="Courier New" w:cs="Courier New" w:hint="default"/>
      </w:rPr>
    </w:lvl>
    <w:lvl w:ilvl="8" w:tplc="04090005" w:tentative="1">
      <w:start w:val="1"/>
      <w:numFmt w:val="bullet"/>
      <w:lvlText w:val=""/>
      <w:lvlJc w:val="left"/>
      <w:pPr>
        <w:ind w:left="8093" w:hanging="360"/>
      </w:pPr>
      <w:rPr>
        <w:rFonts w:ascii="Wingdings" w:hAnsi="Wingdings" w:hint="default"/>
      </w:rPr>
    </w:lvl>
  </w:abstractNum>
  <w:abstractNum w:abstractNumId="5">
    <w:nsid w:val="43C35FFD"/>
    <w:multiLevelType w:val="singleLevel"/>
    <w:tmpl w:val="9042CEC8"/>
    <w:lvl w:ilvl="0">
      <w:start w:val="1"/>
      <w:numFmt w:val="decimal"/>
      <w:lvlRestart w:val="0"/>
      <w:lvlText w:val="%1."/>
      <w:lvlJc w:val="left"/>
      <w:pPr>
        <w:tabs>
          <w:tab w:val="num" w:pos="475"/>
        </w:tabs>
        <w:ind w:left="0" w:firstLine="0"/>
      </w:pPr>
      <w:rPr>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FC4BB9"/>
    <w:multiLevelType w:val="hybridMultilevel"/>
    <w:tmpl w:val="98FEE496"/>
    <w:lvl w:ilvl="0" w:tplc="04090001">
      <w:start w:val="1"/>
      <w:numFmt w:val="bullet"/>
      <w:lvlText w:val=""/>
      <w:lvlJc w:val="left"/>
      <w:pPr>
        <w:ind w:left="2333" w:hanging="360"/>
      </w:pPr>
      <w:rPr>
        <w:rFonts w:ascii="Symbol" w:hAnsi="Symbol" w:hint="default"/>
      </w:rPr>
    </w:lvl>
    <w:lvl w:ilvl="1" w:tplc="04090003" w:tentative="1">
      <w:start w:val="1"/>
      <w:numFmt w:val="bullet"/>
      <w:lvlText w:val="o"/>
      <w:lvlJc w:val="left"/>
      <w:pPr>
        <w:ind w:left="3053" w:hanging="360"/>
      </w:pPr>
      <w:rPr>
        <w:rFonts w:ascii="Courier New" w:hAnsi="Courier New" w:cs="Courier New" w:hint="default"/>
      </w:rPr>
    </w:lvl>
    <w:lvl w:ilvl="2" w:tplc="04090005" w:tentative="1">
      <w:start w:val="1"/>
      <w:numFmt w:val="bullet"/>
      <w:lvlText w:val=""/>
      <w:lvlJc w:val="left"/>
      <w:pPr>
        <w:ind w:left="3773" w:hanging="360"/>
      </w:pPr>
      <w:rPr>
        <w:rFonts w:ascii="Wingdings" w:hAnsi="Wingdings" w:hint="default"/>
      </w:rPr>
    </w:lvl>
    <w:lvl w:ilvl="3" w:tplc="04090001" w:tentative="1">
      <w:start w:val="1"/>
      <w:numFmt w:val="bullet"/>
      <w:lvlText w:val=""/>
      <w:lvlJc w:val="left"/>
      <w:pPr>
        <w:ind w:left="4493" w:hanging="360"/>
      </w:pPr>
      <w:rPr>
        <w:rFonts w:ascii="Symbol" w:hAnsi="Symbol" w:hint="default"/>
      </w:rPr>
    </w:lvl>
    <w:lvl w:ilvl="4" w:tplc="04090003" w:tentative="1">
      <w:start w:val="1"/>
      <w:numFmt w:val="bullet"/>
      <w:lvlText w:val="o"/>
      <w:lvlJc w:val="left"/>
      <w:pPr>
        <w:ind w:left="5213" w:hanging="360"/>
      </w:pPr>
      <w:rPr>
        <w:rFonts w:ascii="Courier New" w:hAnsi="Courier New" w:cs="Courier New" w:hint="default"/>
      </w:rPr>
    </w:lvl>
    <w:lvl w:ilvl="5" w:tplc="04090005" w:tentative="1">
      <w:start w:val="1"/>
      <w:numFmt w:val="bullet"/>
      <w:lvlText w:val=""/>
      <w:lvlJc w:val="left"/>
      <w:pPr>
        <w:ind w:left="5933" w:hanging="360"/>
      </w:pPr>
      <w:rPr>
        <w:rFonts w:ascii="Wingdings" w:hAnsi="Wingdings" w:hint="default"/>
      </w:rPr>
    </w:lvl>
    <w:lvl w:ilvl="6" w:tplc="04090001" w:tentative="1">
      <w:start w:val="1"/>
      <w:numFmt w:val="bullet"/>
      <w:lvlText w:val=""/>
      <w:lvlJc w:val="left"/>
      <w:pPr>
        <w:ind w:left="6653" w:hanging="360"/>
      </w:pPr>
      <w:rPr>
        <w:rFonts w:ascii="Symbol" w:hAnsi="Symbol" w:hint="default"/>
      </w:rPr>
    </w:lvl>
    <w:lvl w:ilvl="7" w:tplc="04090003" w:tentative="1">
      <w:start w:val="1"/>
      <w:numFmt w:val="bullet"/>
      <w:lvlText w:val="o"/>
      <w:lvlJc w:val="left"/>
      <w:pPr>
        <w:ind w:left="7373" w:hanging="360"/>
      </w:pPr>
      <w:rPr>
        <w:rFonts w:ascii="Courier New" w:hAnsi="Courier New" w:cs="Courier New" w:hint="default"/>
      </w:rPr>
    </w:lvl>
    <w:lvl w:ilvl="8" w:tplc="04090005" w:tentative="1">
      <w:start w:val="1"/>
      <w:numFmt w:val="bullet"/>
      <w:lvlText w:val=""/>
      <w:lvlJc w:val="left"/>
      <w:pPr>
        <w:ind w:left="8093" w:hanging="360"/>
      </w:pPr>
      <w:rPr>
        <w:rFonts w:ascii="Wingdings" w:hAnsi="Wingdings" w:hint="default"/>
      </w:rPr>
    </w:lvl>
  </w:abstractNum>
  <w:abstractNum w:abstractNumId="8">
    <w:nsid w:val="759E0AFB"/>
    <w:multiLevelType w:val="hybridMultilevel"/>
    <w:tmpl w:val="EC3AF496"/>
    <w:lvl w:ilvl="0" w:tplc="04090001">
      <w:start w:val="1"/>
      <w:numFmt w:val="bullet"/>
      <w:lvlText w:val=""/>
      <w:lvlJc w:val="left"/>
      <w:pPr>
        <w:ind w:left="2333" w:hanging="360"/>
      </w:pPr>
      <w:rPr>
        <w:rFonts w:ascii="Symbol" w:hAnsi="Symbol" w:hint="default"/>
      </w:rPr>
    </w:lvl>
    <w:lvl w:ilvl="1" w:tplc="04090003" w:tentative="1">
      <w:start w:val="1"/>
      <w:numFmt w:val="bullet"/>
      <w:lvlText w:val="o"/>
      <w:lvlJc w:val="left"/>
      <w:pPr>
        <w:ind w:left="3053" w:hanging="360"/>
      </w:pPr>
      <w:rPr>
        <w:rFonts w:ascii="Courier New" w:hAnsi="Courier New" w:cs="Courier New" w:hint="default"/>
      </w:rPr>
    </w:lvl>
    <w:lvl w:ilvl="2" w:tplc="04090005" w:tentative="1">
      <w:start w:val="1"/>
      <w:numFmt w:val="bullet"/>
      <w:lvlText w:val=""/>
      <w:lvlJc w:val="left"/>
      <w:pPr>
        <w:ind w:left="3773" w:hanging="360"/>
      </w:pPr>
      <w:rPr>
        <w:rFonts w:ascii="Wingdings" w:hAnsi="Wingdings" w:hint="default"/>
      </w:rPr>
    </w:lvl>
    <w:lvl w:ilvl="3" w:tplc="04090001" w:tentative="1">
      <w:start w:val="1"/>
      <w:numFmt w:val="bullet"/>
      <w:lvlText w:val=""/>
      <w:lvlJc w:val="left"/>
      <w:pPr>
        <w:ind w:left="4493" w:hanging="360"/>
      </w:pPr>
      <w:rPr>
        <w:rFonts w:ascii="Symbol" w:hAnsi="Symbol" w:hint="default"/>
      </w:rPr>
    </w:lvl>
    <w:lvl w:ilvl="4" w:tplc="04090003" w:tentative="1">
      <w:start w:val="1"/>
      <w:numFmt w:val="bullet"/>
      <w:lvlText w:val="o"/>
      <w:lvlJc w:val="left"/>
      <w:pPr>
        <w:ind w:left="5213" w:hanging="360"/>
      </w:pPr>
      <w:rPr>
        <w:rFonts w:ascii="Courier New" w:hAnsi="Courier New" w:cs="Courier New" w:hint="default"/>
      </w:rPr>
    </w:lvl>
    <w:lvl w:ilvl="5" w:tplc="04090005" w:tentative="1">
      <w:start w:val="1"/>
      <w:numFmt w:val="bullet"/>
      <w:lvlText w:val=""/>
      <w:lvlJc w:val="left"/>
      <w:pPr>
        <w:ind w:left="5933" w:hanging="360"/>
      </w:pPr>
      <w:rPr>
        <w:rFonts w:ascii="Wingdings" w:hAnsi="Wingdings" w:hint="default"/>
      </w:rPr>
    </w:lvl>
    <w:lvl w:ilvl="6" w:tplc="04090001" w:tentative="1">
      <w:start w:val="1"/>
      <w:numFmt w:val="bullet"/>
      <w:lvlText w:val=""/>
      <w:lvlJc w:val="left"/>
      <w:pPr>
        <w:ind w:left="6653" w:hanging="360"/>
      </w:pPr>
      <w:rPr>
        <w:rFonts w:ascii="Symbol" w:hAnsi="Symbol" w:hint="default"/>
      </w:rPr>
    </w:lvl>
    <w:lvl w:ilvl="7" w:tplc="04090003" w:tentative="1">
      <w:start w:val="1"/>
      <w:numFmt w:val="bullet"/>
      <w:lvlText w:val="o"/>
      <w:lvlJc w:val="left"/>
      <w:pPr>
        <w:ind w:left="7373" w:hanging="360"/>
      </w:pPr>
      <w:rPr>
        <w:rFonts w:ascii="Courier New" w:hAnsi="Courier New" w:cs="Courier New" w:hint="default"/>
      </w:rPr>
    </w:lvl>
    <w:lvl w:ilvl="8" w:tplc="04090005" w:tentative="1">
      <w:start w:val="1"/>
      <w:numFmt w:val="bullet"/>
      <w:lvlText w:val=""/>
      <w:lvlJc w:val="left"/>
      <w:pPr>
        <w:ind w:left="8093"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SortMethod w:val="0003"/>
  <w:revisionView w:markup="0"/>
  <w:defaultTabStop w:val="475"/>
  <w:hyphenationZone w:val="425"/>
  <w:doNotHyphenateCaps/>
  <w:evenAndOddHeaders/>
  <w:characterSpacingControl w:val="doNotCompress"/>
  <w:hdrShapeDefaults>
    <o:shapedefaults v:ext="edit" spidmax="1433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1992*"/>
    <w:docVar w:name="CreationDt" w:val="1/21/2016 12:20 PM"/>
    <w:docVar w:name="DocCategory" w:val="Doc"/>
    <w:docVar w:name="DocType" w:val="Final"/>
    <w:docVar w:name="DutyStation" w:val="Geneva"/>
    <w:docVar w:name="FooterJN" w:val="GE.15-21992"/>
    <w:docVar w:name="jobn" w:val="GE.15-21992 (F)"/>
    <w:docVar w:name="jobnDT" w:val="GE.15-21992 (F)   210116"/>
    <w:docVar w:name="jobnDTDT" w:val="GE.15-21992 (F)   210116   210116"/>
    <w:docVar w:name="JobNo" w:val="GE.1521992F"/>
    <w:docVar w:name="JobNo2" w:val="GE.1528454F"/>
    <w:docVar w:name="LocalDrive" w:val="0"/>
    <w:docVar w:name="OandT" w:val="N.Morin"/>
    <w:docVar w:name="PaperSize" w:val="A4"/>
    <w:docVar w:name="sss1" w:val="ECE/TRANS/2016/19"/>
    <w:docVar w:name="sss2" w:val="-"/>
    <w:docVar w:name="Symbol1" w:val="ECE/TRANS/2016/19"/>
    <w:docVar w:name="Symbol2" w:val="-"/>
  </w:docVars>
  <w:rsids>
    <w:rsidRoot w:val="00EC6592"/>
    <w:rsid w:val="000015B8"/>
    <w:rsid w:val="000046A5"/>
    <w:rsid w:val="000055FB"/>
    <w:rsid w:val="00010C97"/>
    <w:rsid w:val="00013569"/>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13F"/>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30C1"/>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466E0"/>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0671"/>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43D"/>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AFE"/>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027"/>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1E40"/>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165F"/>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477C0"/>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39E2"/>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3678"/>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663"/>
    <w:rsid w:val="00D6375A"/>
    <w:rsid w:val="00D63C25"/>
    <w:rsid w:val="00D64A77"/>
    <w:rsid w:val="00D66AB5"/>
    <w:rsid w:val="00D67265"/>
    <w:rsid w:val="00D676A0"/>
    <w:rsid w:val="00D70856"/>
    <w:rsid w:val="00D73117"/>
    <w:rsid w:val="00D73D86"/>
    <w:rsid w:val="00D8335C"/>
    <w:rsid w:val="00D9068D"/>
    <w:rsid w:val="00D92AA3"/>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6592"/>
    <w:rsid w:val="00EC7853"/>
    <w:rsid w:val="00ED047D"/>
    <w:rsid w:val="00ED0A59"/>
    <w:rsid w:val="00ED297E"/>
    <w:rsid w:val="00ED4626"/>
    <w:rsid w:val="00ED5B3C"/>
    <w:rsid w:val="00ED6101"/>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A30C1"/>
    <w:rPr>
      <w:sz w:val="16"/>
      <w:szCs w:val="16"/>
    </w:rPr>
  </w:style>
  <w:style w:type="paragraph" w:styleId="CommentText">
    <w:name w:val="annotation text"/>
    <w:basedOn w:val="Normal"/>
    <w:link w:val="CommentTextChar"/>
    <w:uiPriority w:val="99"/>
    <w:semiHidden/>
    <w:unhideWhenUsed/>
    <w:rsid w:val="001A30C1"/>
    <w:pPr>
      <w:spacing w:line="240" w:lineRule="auto"/>
    </w:pPr>
    <w:rPr>
      <w:szCs w:val="20"/>
    </w:rPr>
  </w:style>
  <w:style w:type="character" w:customStyle="1" w:styleId="CommentTextChar">
    <w:name w:val="Comment Text Char"/>
    <w:basedOn w:val="DefaultParagraphFont"/>
    <w:link w:val="CommentText"/>
    <w:uiPriority w:val="99"/>
    <w:semiHidden/>
    <w:rsid w:val="001A30C1"/>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A30C1"/>
    <w:rPr>
      <w:b/>
      <w:bCs/>
    </w:rPr>
  </w:style>
  <w:style w:type="character" w:customStyle="1" w:styleId="CommentSubjectChar">
    <w:name w:val="Comment Subject Char"/>
    <w:basedOn w:val="CommentTextChar"/>
    <w:link w:val="CommentSubject"/>
    <w:uiPriority w:val="99"/>
    <w:semiHidden/>
    <w:rsid w:val="001A30C1"/>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A30C1"/>
    <w:rPr>
      <w:sz w:val="16"/>
      <w:szCs w:val="16"/>
    </w:rPr>
  </w:style>
  <w:style w:type="paragraph" w:styleId="CommentText">
    <w:name w:val="annotation text"/>
    <w:basedOn w:val="Normal"/>
    <w:link w:val="CommentTextChar"/>
    <w:uiPriority w:val="99"/>
    <w:semiHidden/>
    <w:unhideWhenUsed/>
    <w:rsid w:val="001A30C1"/>
    <w:pPr>
      <w:spacing w:line="240" w:lineRule="auto"/>
    </w:pPr>
    <w:rPr>
      <w:szCs w:val="20"/>
    </w:rPr>
  </w:style>
  <w:style w:type="character" w:customStyle="1" w:styleId="CommentTextChar">
    <w:name w:val="Comment Text Char"/>
    <w:basedOn w:val="DefaultParagraphFont"/>
    <w:link w:val="CommentText"/>
    <w:uiPriority w:val="99"/>
    <w:semiHidden/>
    <w:rsid w:val="001A30C1"/>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A30C1"/>
    <w:rPr>
      <w:b/>
      <w:bCs/>
    </w:rPr>
  </w:style>
  <w:style w:type="character" w:customStyle="1" w:styleId="CommentSubjectChar">
    <w:name w:val="Comment Subject Char"/>
    <w:basedOn w:val="CommentTextChar"/>
    <w:link w:val="CommentSubject"/>
    <w:uiPriority w:val="99"/>
    <w:semiHidden/>
    <w:rsid w:val="001A30C1"/>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2A2B8-2E51-4688-A0BD-D8C4DD4A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3264</Words>
  <Characters>18610</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Anastasia Barinova</cp:lastModifiedBy>
  <cp:revision>2</cp:revision>
  <cp:lastPrinted>2016-01-21T15:21:00Z</cp:lastPrinted>
  <dcterms:created xsi:type="dcterms:W3CDTF">2016-01-22T16:02:00Z</dcterms:created>
  <dcterms:modified xsi:type="dcterms:W3CDTF">2016-01-22T16:02:00Z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1521992F</vt:lpwstr>
  </property>
  <property fmtid="{D5CDD505-2E9C-101B-9397-08002B2CF9AE}" pid="3" name="ODSRefJobNo">
    <vt:lpwstr>1528454F</vt:lpwstr>
  </property>
  <property fmtid="{D5CDD505-2E9C-101B-9397-08002B2CF9AE}" pid="4" name="Symbol1">
    <vt:lpwstr>ECE/TRANS/2016/19</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15 décembre 2015</vt:lpwstr>
  </property>
  <property fmtid="{D5CDD505-2E9C-101B-9397-08002B2CF9AE}" pid="12" name="Original">
    <vt:lpwstr>anglais</vt:lpwstr>
  </property>
  <property fmtid="{D5CDD505-2E9C-101B-9397-08002B2CF9AE}" pid="13" name="Release Date">
    <vt:lpwstr>210116</vt:lpwstr>
  </property>
</Properties>
</file>