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BD78B8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6722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BD78B8" w:rsidRDefault="00B67221" w:rsidP="00B67221">
            <w:pPr>
              <w:jc w:val="right"/>
              <w:rPr>
                <w:lang w:val="en-US"/>
              </w:rPr>
            </w:pPr>
            <w:r w:rsidRPr="00BD78B8">
              <w:rPr>
                <w:sz w:val="40"/>
                <w:lang w:val="en-US"/>
              </w:rPr>
              <w:t>ECE</w:t>
            </w:r>
            <w:r w:rsidRPr="00BD78B8">
              <w:rPr>
                <w:lang w:val="en-US"/>
              </w:rPr>
              <w:t>/TRANS/WP.15/AC.2/59/Add.1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67221" w:rsidP="00892A2F">
            <w:pPr>
              <w:spacing w:before="240"/>
            </w:pPr>
            <w:r>
              <w:t>Distr. générale</w:t>
            </w:r>
          </w:p>
          <w:p w:rsidR="00B67221" w:rsidRDefault="00B67221" w:rsidP="00B67221">
            <w:pPr>
              <w:spacing w:line="240" w:lineRule="exact"/>
            </w:pPr>
            <w:r>
              <w:t>13 juin 2016</w:t>
            </w:r>
          </w:p>
          <w:p w:rsidR="00B67221" w:rsidRDefault="00B67221" w:rsidP="00B67221">
            <w:pPr>
              <w:spacing w:line="240" w:lineRule="exact"/>
            </w:pPr>
            <w:r>
              <w:t>Français</w:t>
            </w:r>
          </w:p>
          <w:p w:rsidR="00B67221" w:rsidRPr="00DB58B5" w:rsidRDefault="00B67221" w:rsidP="00B6722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B716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67221" w:rsidRPr="009E01B8" w:rsidRDefault="00B67221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B67221" w:rsidRPr="004812F5" w:rsidRDefault="00B67221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0B716E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0B716E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0B716E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B67221" w:rsidRPr="00234E40" w:rsidRDefault="00B67221" w:rsidP="00AF0CB5">
      <w:pPr>
        <w:spacing w:before="120"/>
        <w:rPr>
          <w:b/>
        </w:rPr>
      </w:pPr>
      <w:r>
        <w:rPr>
          <w:b/>
        </w:rPr>
        <w:t xml:space="preserve">Vingt-neuvième </w:t>
      </w:r>
      <w:r w:rsidRPr="00234E40">
        <w:rPr>
          <w:b/>
        </w:rPr>
        <w:t>session</w:t>
      </w:r>
    </w:p>
    <w:p w:rsidR="00B67221" w:rsidRDefault="00B67221" w:rsidP="00AF0CB5">
      <w:r>
        <w:t>Genève, 22-26 août 2016</w:t>
      </w:r>
    </w:p>
    <w:p w:rsidR="00B67221" w:rsidRDefault="00B67221" w:rsidP="00AF0CB5">
      <w:r>
        <w:t>Point 1</w:t>
      </w:r>
      <w:r w:rsidRPr="00B93E72">
        <w:t xml:space="preserve"> de l</w:t>
      </w:r>
      <w:r w:rsidR="000B716E">
        <w:t>’</w:t>
      </w:r>
      <w:r w:rsidRPr="00B93E72">
        <w:t>ordre du jour provisoire</w:t>
      </w:r>
    </w:p>
    <w:p w:rsidR="00B67221" w:rsidRDefault="00B67221" w:rsidP="00AF0CB5">
      <w:r w:rsidRPr="009B02ED">
        <w:rPr>
          <w:b/>
          <w:lang w:val="fr-FR"/>
        </w:rPr>
        <w:t>Adoption de l</w:t>
      </w:r>
      <w:r w:rsidR="000B716E">
        <w:rPr>
          <w:b/>
          <w:lang w:val="fr-FR"/>
        </w:rPr>
        <w:t>’</w:t>
      </w:r>
      <w:r w:rsidRPr="009B02ED">
        <w:rPr>
          <w:b/>
          <w:lang w:val="fr-FR"/>
        </w:rPr>
        <w:t>ordre du jour</w:t>
      </w:r>
    </w:p>
    <w:p w:rsidR="00B67221" w:rsidRPr="009B02ED" w:rsidRDefault="00B67221" w:rsidP="00B6722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B02ED">
        <w:rPr>
          <w:lang w:val="fr-FR"/>
        </w:rPr>
        <w:t>Ordre du jour provisoire de la vingt-neuvième session</w:t>
      </w:r>
      <w:r w:rsidRPr="00B67221">
        <w:rPr>
          <w:rStyle w:val="FootnoteReference"/>
          <w:b w:val="0"/>
        </w:rPr>
        <w:footnoteReference w:id="2"/>
      </w:r>
    </w:p>
    <w:p w:rsidR="00B67221" w:rsidRPr="009B02ED" w:rsidRDefault="00B67221" w:rsidP="00B67221">
      <w:pPr>
        <w:pStyle w:val="H23G"/>
        <w:rPr>
          <w:lang w:val="fr-FR"/>
        </w:rPr>
      </w:pPr>
      <w:r w:rsidRPr="009B02ED">
        <w:rPr>
          <w:lang w:val="fr-FR"/>
        </w:rPr>
        <w:tab/>
      </w:r>
      <w:r w:rsidRPr="009B02ED">
        <w:rPr>
          <w:lang w:val="fr-FR"/>
        </w:rPr>
        <w:tab/>
        <w:t>Additif</w:t>
      </w:r>
    </w:p>
    <w:p w:rsidR="00B67221" w:rsidRPr="009B02ED" w:rsidRDefault="00B67221" w:rsidP="00B67221">
      <w:pPr>
        <w:pStyle w:val="H1G"/>
        <w:rPr>
          <w:lang w:val="fr-FR"/>
        </w:rPr>
      </w:pPr>
      <w:r w:rsidRPr="009B02ED">
        <w:rPr>
          <w:lang w:val="fr-FR"/>
        </w:rPr>
        <w:tab/>
      </w:r>
      <w:r w:rsidRPr="009B02ED">
        <w:rPr>
          <w:lang w:val="fr-FR"/>
        </w:rPr>
        <w:tab/>
        <w:t>Liste des documents classés par point de l</w:t>
      </w:r>
      <w:r w:rsidR="000B716E">
        <w:rPr>
          <w:lang w:val="fr-FR"/>
        </w:rPr>
        <w:t>’</w:t>
      </w:r>
      <w:r w:rsidRPr="009B02ED">
        <w:rPr>
          <w:lang w:val="fr-FR"/>
        </w:rPr>
        <w:t>ordre du jour et annotations</w:t>
      </w:r>
    </w:p>
    <w:p w:rsidR="00F9573C" w:rsidRDefault="00B67221" w:rsidP="00B67221">
      <w:pPr>
        <w:pStyle w:val="H23G"/>
      </w:pPr>
      <w:r w:rsidRPr="009B02ED">
        <w:rPr>
          <w:lang w:val="fr-FR"/>
        </w:rPr>
        <w:tab/>
        <w:t>1.</w:t>
      </w:r>
      <w:r w:rsidRPr="009B02ED">
        <w:rPr>
          <w:lang w:val="fr-FR"/>
        </w:rPr>
        <w:tab/>
        <w:t>Adoption de l</w:t>
      </w:r>
      <w:r w:rsidR="000B716E">
        <w:rPr>
          <w:lang w:val="fr-FR"/>
        </w:rPr>
        <w:t>’</w:t>
      </w:r>
      <w:r w:rsidRPr="009B02ED">
        <w:rPr>
          <w:lang w:val="fr-FR"/>
        </w:rPr>
        <w:t>ordre du jour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29"/>
      </w:tblGrid>
      <w:tr w:rsidR="0049019F" w:rsidRPr="000854E1" w:rsidTr="00140ED7">
        <w:tc>
          <w:tcPr>
            <w:tcW w:w="3542" w:type="dxa"/>
            <w:shd w:val="clear" w:color="auto" w:fill="auto"/>
          </w:tcPr>
          <w:p w:rsidR="0049019F" w:rsidRPr="000854E1" w:rsidRDefault="0049019F" w:rsidP="00A25B56">
            <w:pPr>
              <w:spacing w:after="120"/>
              <w:rPr>
                <w:lang w:val="en-US"/>
              </w:rPr>
            </w:pPr>
            <w:r w:rsidRPr="009B02ED">
              <w:rPr>
                <w:lang w:val="fr-FR"/>
              </w:rPr>
              <w:t xml:space="preserve">ECE/TRANS/WP.15/AC.2/59 </w:t>
            </w:r>
            <w:r>
              <w:rPr>
                <w:lang w:val="fr-FR"/>
              </w:rPr>
              <w:br/>
            </w:r>
            <w:r w:rsidRPr="009B02ED">
              <w:rPr>
                <w:lang w:val="fr-FR"/>
              </w:rPr>
              <w:t>(secrétariat)</w:t>
            </w:r>
          </w:p>
        </w:tc>
        <w:tc>
          <w:tcPr>
            <w:tcW w:w="3829" w:type="dxa"/>
            <w:shd w:val="clear" w:color="auto" w:fill="auto"/>
          </w:tcPr>
          <w:p w:rsidR="0049019F" w:rsidRPr="000854E1" w:rsidRDefault="006422BC" w:rsidP="00A25B56">
            <w:pPr>
              <w:spacing w:after="120"/>
            </w:pPr>
            <w:r w:rsidRPr="0049019F">
              <w:rPr>
                <w:lang w:val="fr-FR"/>
              </w:rPr>
              <w:t>Ordre du jour provisoire</w:t>
            </w:r>
          </w:p>
        </w:tc>
      </w:tr>
      <w:tr w:rsidR="0049019F" w:rsidRPr="000854E1" w:rsidTr="00140ED7">
        <w:tc>
          <w:tcPr>
            <w:tcW w:w="3542" w:type="dxa"/>
            <w:shd w:val="clear" w:color="auto" w:fill="auto"/>
          </w:tcPr>
          <w:p w:rsidR="0049019F" w:rsidRPr="009B02ED" w:rsidRDefault="0049019F" w:rsidP="00A25B56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ECE/TRANS/WP.15/AC.2/59/Add.1 (secrétariat)</w:t>
            </w:r>
          </w:p>
        </w:tc>
        <w:tc>
          <w:tcPr>
            <w:tcW w:w="3829" w:type="dxa"/>
            <w:shd w:val="clear" w:color="auto" w:fill="auto"/>
          </w:tcPr>
          <w:p w:rsidR="0049019F" w:rsidRPr="009B02ED" w:rsidRDefault="0049019F" w:rsidP="00A25B56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 xml:space="preserve">Liste des documents classés par point </w:t>
            </w:r>
            <w:r w:rsidR="00A07971">
              <w:rPr>
                <w:lang w:val="fr-FR"/>
              </w:rPr>
              <w:br/>
            </w:r>
            <w:r w:rsidRPr="009B02ED">
              <w:rPr>
                <w:lang w:val="fr-FR"/>
              </w:rPr>
              <w:t>de l</w:t>
            </w:r>
            <w:r w:rsidR="000B716E">
              <w:rPr>
                <w:lang w:val="fr-FR"/>
              </w:rPr>
              <w:t>’</w:t>
            </w:r>
            <w:r w:rsidRPr="009B02ED">
              <w:rPr>
                <w:lang w:val="fr-FR"/>
              </w:rPr>
              <w:t>ordre du jour et annotations</w:t>
            </w:r>
          </w:p>
        </w:tc>
      </w:tr>
      <w:tr w:rsidR="0049019F" w:rsidRPr="000854E1" w:rsidTr="00140ED7">
        <w:tc>
          <w:tcPr>
            <w:tcW w:w="3542" w:type="dxa"/>
            <w:shd w:val="clear" w:color="auto" w:fill="auto"/>
          </w:tcPr>
          <w:p w:rsidR="0049019F" w:rsidRPr="009B02ED" w:rsidRDefault="0049019F" w:rsidP="00A25B56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Documents de référence</w:t>
            </w:r>
          </w:p>
        </w:tc>
        <w:tc>
          <w:tcPr>
            <w:tcW w:w="3829" w:type="dxa"/>
            <w:shd w:val="clear" w:color="auto" w:fill="auto"/>
          </w:tcPr>
          <w:p w:rsidR="0049019F" w:rsidRPr="009B02ED" w:rsidRDefault="0049019F" w:rsidP="00A25B56">
            <w:pPr>
              <w:spacing w:after="120"/>
              <w:rPr>
                <w:lang w:val="fr-FR"/>
              </w:rPr>
            </w:pPr>
          </w:p>
        </w:tc>
      </w:tr>
      <w:tr w:rsidR="0049019F" w:rsidRPr="000854E1" w:rsidTr="00140ED7">
        <w:tc>
          <w:tcPr>
            <w:tcW w:w="3542" w:type="dxa"/>
            <w:shd w:val="clear" w:color="auto" w:fill="auto"/>
          </w:tcPr>
          <w:p w:rsidR="0049019F" w:rsidRPr="009B02ED" w:rsidRDefault="0049019F" w:rsidP="00A25B56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ECE/TRANS/243, Vol.</w:t>
            </w:r>
            <w:r w:rsidR="00A25B56">
              <w:rPr>
                <w:lang w:val="fr-FR"/>
              </w:rPr>
              <w:t> </w:t>
            </w:r>
            <w:r w:rsidRPr="009B02ED">
              <w:rPr>
                <w:lang w:val="fr-FR"/>
              </w:rPr>
              <w:t>I et II</w:t>
            </w:r>
            <w:r w:rsidR="000B716E">
              <w:rPr>
                <w:lang w:val="fr-FR"/>
              </w:rPr>
              <w:t xml:space="preserve"> </w:t>
            </w:r>
            <w:r w:rsidRPr="009B02ED">
              <w:rPr>
                <w:lang w:val="fr-FR"/>
              </w:rPr>
              <w:br/>
              <w:t>et Corr. 1 à 3</w:t>
            </w:r>
          </w:p>
        </w:tc>
        <w:tc>
          <w:tcPr>
            <w:tcW w:w="3829" w:type="dxa"/>
            <w:shd w:val="clear" w:color="auto" w:fill="auto"/>
          </w:tcPr>
          <w:p w:rsidR="0049019F" w:rsidRPr="009B02ED" w:rsidRDefault="0049019F" w:rsidP="00A25B56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 xml:space="preserve">ADN 2015 (texte </w:t>
            </w:r>
            <w:r>
              <w:rPr>
                <w:lang w:val="fr-FR"/>
              </w:rPr>
              <w:t>complet</w:t>
            </w:r>
            <w:r w:rsidRPr="009B02ED">
              <w:rPr>
                <w:lang w:val="fr-FR"/>
              </w:rPr>
              <w:t>)</w:t>
            </w:r>
          </w:p>
        </w:tc>
      </w:tr>
      <w:tr w:rsidR="0049019F" w:rsidRPr="000854E1" w:rsidTr="00140ED7">
        <w:tc>
          <w:tcPr>
            <w:tcW w:w="3542" w:type="dxa"/>
            <w:shd w:val="clear" w:color="auto" w:fill="auto"/>
          </w:tcPr>
          <w:p w:rsidR="0049019F" w:rsidRPr="009B02ED" w:rsidRDefault="0049019F" w:rsidP="00A25B56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ECE/TRANS/WP.15/AC.2/58</w:t>
            </w:r>
          </w:p>
        </w:tc>
        <w:tc>
          <w:tcPr>
            <w:tcW w:w="3829" w:type="dxa"/>
            <w:shd w:val="clear" w:color="auto" w:fill="auto"/>
          </w:tcPr>
          <w:p w:rsidR="0049019F" w:rsidRPr="009B02ED" w:rsidRDefault="0049019F" w:rsidP="00A25B56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Rapport du Comité de sécurité de l</w:t>
            </w:r>
            <w:r w:rsidR="000B716E">
              <w:rPr>
                <w:lang w:val="fr-FR"/>
              </w:rPr>
              <w:t>’</w:t>
            </w:r>
            <w:r w:rsidRPr="009B02ED">
              <w:rPr>
                <w:lang w:val="fr-FR"/>
              </w:rPr>
              <w:t xml:space="preserve">ADN </w:t>
            </w:r>
            <w:r w:rsidR="00A07971">
              <w:rPr>
                <w:lang w:val="fr-FR"/>
              </w:rPr>
              <w:br/>
            </w:r>
            <w:r w:rsidRPr="009B02ED">
              <w:rPr>
                <w:lang w:val="fr-FR"/>
              </w:rPr>
              <w:t>sur sa vingt-huitième session</w:t>
            </w:r>
          </w:p>
        </w:tc>
      </w:tr>
    </w:tbl>
    <w:p w:rsidR="0049019F" w:rsidRPr="009B02ED" w:rsidRDefault="0049019F" w:rsidP="0049019F">
      <w:pPr>
        <w:pStyle w:val="H23G"/>
        <w:rPr>
          <w:lang w:val="fr-FR"/>
        </w:rPr>
      </w:pPr>
      <w:r w:rsidRPr="009B02ED">
        <w:rPr>
          <w:lang w:val="fr-FR"/>
        </w:rPr>
        <w:lastRenderedPageBreak/>
        <w:tab/>
        <w:t>2.</w:t>
      </w:r>
      <w:r w:rsidRPr="009B02ED">
        <w:rPr>
          <w:lang w:val="fr-FR"/>
        </w:rPr>
        <w:tab/>
        <w:t>Questions découlant des travaux d</w:t>
      </w:r>
      <w:r w:rsidR="000B716E">
        <w:rPr>
          <w:lang w:val="fr-FR"/>
        </w:rPr>
        <w:t>’</w:t>
      </w:r>
      <w:r w:rsidRPr="009B02ED">
        <w:rPr>
          <w:lang w:val="fr-FR"/>
        </w:rPr>
        <w:t xml:space="preserve">organes des Nations Unies </w:t>
      </w:r>
      <w:r>
        <w:rPr>
          <w:lang w:val="fr-FR"/>
        </w:rPr>
        <w:br/>
      </w:r>
      <w:r w:rsidRPr="009B02ED">
        <w:rPr>
          <w:lang w:val="fr-FR"/>
        </w:rPr>
        <w:t>ou d</w:t>
      </w:r>
      <w:r w:rsidR="000B716E">
        <w:rPr>
          <w:lang w:val="fr-FR"/>
        </w:rPr>
        <w:t>’</w:t>
      </w:r>
      <w:r w:rsidRPr="009B02ED">
        <w:rPr>
          <w:lang w:val="fr-FR"/>
        </w:rPr>
        <w:t>autres organisations</w:t>
      </w:r>
    </w:p>
    <w:p w:rsidR="0049019F" w:rsidRPr="009B02ED" w:rsidRDefault="0049019F" w:rsidP="0049019F">
      <w:pPr>
        <w:pStyle w:val="SingleTxtG"/>
        <w:rPr>
          <w:lang w:val="fr-FR"/>
        </w:rPr>
      </w:pPr>
      <w:r>
        <w:rPr>
          <w:lang w:val="fr-FR"/>
        </w:rPr>
        <w:tab/>
      </w:r>
      <w:r w:rsidRPr="009B02ED">
        <w:rPr>
          <w:lang w:val="fr-FR"/>
        </w:rPr>
        <w:t>Le Comité de sécurité souhaitera sans doute être informé des activités d</w:t>
      </w:r>
      <w:r w:rsidR="000B716E">
        <w:rPr>
          <w:lang w:val="fr-FR"/>
        </w:rPr>
        <w:t>’</w:t>
      </w:r>
      <w:r w:rsidRPr="009B02ED">
        <w:rPr>
          <w:lang w:val="fr-FR"/>
        </w:rPr>
        <w:t>autres organes et organisations ayant une incidence sur ses travaux.</w:t>
      </w:r>
    </w:p>
    <w:p w:rsidR="00B67221" w:rsidRDefault="0049019F" w:rsidP="0049019F">
      <w:pPr>
        <w:pStyle w:val="SingleTxtG"/>
        <w:rPr>
          <w:w w:val="103"/>
          <w:lang w:val="fr-FR"/>
        </w:rPr>
      </w:pPr>
      <w:r>
        <w:rPr>
          <w:w w:val="103"/>
          <w:lang w:val="fr-FR"/>
        </w:rPr>
        <w:tab/>
      </w:r>
      <w:r w:rsidRPr="009B02ED">
        <w:rPr>
          <w:w w:val="103"/>
          <w:lang w:val="fr-FR"/>
        </w:rPr>
        <w:t>Le Comité de sécurité sera informé de l</w:t>
      </w:r>
      <w:r w:rsidR="000B716E">
        <w:rPr>
          <w:w w:val="103"/>
          <w:lang w:val="fr-FR"/>
        </w:rPr>
        <w:t>’</w:t>
      </w:r>
      <w:r w:rsidRPr="009B02ED">
        <w:rPr>
          <w:w w:val="103"/>
          <w:lang w:val="fr-FR"/>
        </w:rPr>
        <w:t xml:space="preserve">évaluation par le secrétariat de la CEE des incidences mondiales et régionales des Règlements CEE </w:t>
      </w:r>
      <w:r>
        <w:rPr>
          <w:w w:val="103"/>
          <w:lang w:val="fr-FR"/>
        </w:rPr>
        <w:t>et</w:t>
      </w:r>
      <w:r w:rsidRPr="009B02ED">
        <w:rPr>
          <w:w w:val="103"/>
          <w:lang w:val="fr-FR"/>
        </w:rPr>
        <w:t xml:space="preserve"> des Recommandations de l</w:t>
      </w:r>
      <w:r w:rsidR="000B716E">
        <w:rPr>
          <w:w w:val="103"/>
          <w:lang w:val="fr-FR"/>
        </w:rPr>
        <w:t>’</w:t>
      </w:r>
      <w:r w:rsidRPr="009B02ED">
        <w:rPr>
          <w:w w:val="103"/>
          <w:lang w:val="fr-FR"/>
        </w:rPr>
        <w:t>ONU relatives au transport des marchandises dangereuses.</w:t>
      </w:r>
    </w:p>
    <w:p w:rsidR="0049019F" w:rsidRPr="009B02ED" w:rsidRDefault="0049019F" w:rsidP="0049019F">
      <w:pPr>
        <w:pStyle w:val="H23G"/>
        <w:rPr>
          <w:lang w:val="fr-FR"/>
        </w:rPr>
      </w:pPr>
      <w:r w:rsidRPr="009B02ED">
        <w:rPr>
          <w:lang w:val="fr-FR"/>
        </w:rPr>
        <w:tab/>
        <w:t>3.</w:t>
      </w:r>
      <w:r w:rsidRPr="009B02ED">
        <w:rPr>
          <w:lang w:val="fr-FR"/>
        </w:rPr>
        <w:tab/>
      </w:r>
      <w:r w:rsidRPr="0049019F">
        <w:rPr>
          <w:spacing w:val="2"/>
          <w:lang w:val="fr-FR"/>
        </w:rPr>
        <w:t>Mise en œuvre de l</w:t>
      </w:r>
      <w:r w:rsidR="000B716E">
        <w:rPr>
          <w:spacing w:val="2"/>
          <w:lang w:val="fr-FR"/>
        </w:rPr>
        <w:t>’</w:t>
      </w:r>
      <w:r w:rsidRPr="0049019F">
        <w:rPr>
          <w:spacing w:val="2"/>
          <w:lang w:val="fr-FR"/>
        </w:rPr>
        <w:t xml:space="preserve">Accord européen relatif au transport international </w:t>
      </w:r>
      <w:r w:rsidRPr="0049019F">
        <w:rPr>
          <w:spacing w:val="2"/>
          <w:lang w:val="fr-FR"/>
        </w:rPr>
        <w:br/>
      </w:r>
      <w:r w:rsidRPr="009B02ED">
        <w:rPr>
          <w:lang w:val="fr-FR"/>
        </w:rPr>
        <w:t>des marchandises dangereuses par voies de navigation intérieures (ADN)</w:t>
      </w:r>
    </w:p>
    <w:p w:rsidR="0049019F" w:rsidRPr="009B02ED" w:rsidRDefault="0049019F" w:rsidP="0049019F">
      <w:pPr>
        <w:pStyle w:val="SingleTxtG"/>
        <w:rPr>
          <w:lang w:val="fr-FR"/>
        </w:rPr>
      </w:pPr>
      <w:r w:rsidRPr="009B02ED">
        <w:rPr>
          <w:lang w:val="fr-FR"/>
        </w:rPr>
        <w:tab/>
        <w:t>a)</w:t>
      </w:r>
      <w:r w:rsidRPr="009B02ED">
        <w:rPr>
          <w:lang w:val="fr-FR"/>
        </w:rPr>
        <w:tab/>
        <w:t>État de l</w:t>
      </w:r>
      <w:r w:rsidR="000B716E">
        <w:rPr>
          <w:lang w:val="fr-FR"/>
        </w:rPr>
        <w:t>’</w:t>
      </w:r>
      <w:r w:rsidRPr="009B02ED">
        <w:rPr>
          <w:lang w:val="fr-FR"/>
        </w:rPr>
        <w:t>ADN</w:t>
      </w:r>
    </w:p>
    <w:p w:rsidR="0049019F" w:rsidRPr="009B02ED" w:rsidRDefault="0049019F" w:rsidP="0049019F">
      <w:pPr>
        <w:pStyle w:val="SingleTxtG"/>
        <w:rPr>
          <w:lang w:val="fr-FR"/>
        </w:rPr>
      </w:pPr>
      <w:r>
        <w:rPr>
          <w:lang w:val="fr-FR"/>
        </w:rPr>
        <w:tab/>
      </w:r>
      <w:r w:rsidRPr="009B02ED">
        <w:rPr>
          <w:lang w:val="fr-FR"/>
        </w:rPr>
        <w:t>Le Comité de sécurité sera informé de l</w:t>
      </w:r>
      <w:r w:rsidR="000B716E">
        <w:rPr>
          <w:lang w:val="fr-FR"/>
        </w:rPr>
        <w:t>’</w:t>
      </w:r>
      <w:r w:rsidRPr="009B02ED">
        <w:rPr>
          <w:lang w:val="fr-FR"/>
        </w:rPr>
        <w:t>état de l</w:t>
      </w:r>
      <w:r w:rsidR="000B716E">
        <w:rPr>
          <w:lang w:val="fr-FR"/>
        </w:rPr>
        <w:t>’</w:t>
      </w:r>
      <w:r w:rsidRPr="009B02ED">
        <w:rPr>
          <w:lang w:val="fr-FR"/>
        </w:rPr>
        <w:t>ADN.</w:t>
      </w:r>
    </w:p>
    <w:p w:rsidR="0049019F" w:rsidRDefault="0049019F" w:rsidP="0049019F">
      <w:pPr>
        <w:pStyle w:val="SingleTxtG"/>
        <w:rPr>
          <w:w w:val="103"/>
          <w:lang w:val="fr-FR"/>
        </w:rPr>
      </w:pPr>
      <w:r w:rsidRPr="009B02ED">
        <w:rPr>
          <w:lang w:val="fr-FR"/>
        </w:rPr>
        <w:tab/>
        <w:t>b)</w:t>
      </w:r>
      <w:r w:rsidRPr="009B02ED">
        <w:rPr>
          <w:lang w:val="fr-FR"/>
        </w:rPr>
        <w:tab/>
        <w:t>Autorisations spéciales, dérogations et équivalences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29"/>
      </w:tblGrid>
      <w:tr w:rsidR="0049019F" w:rsidRPr="000854E1" w:rsidTr="00140ED7">
        <w:tc>
          <w:tcPr>
            <w:tcW w:w="3542" w:type="dxa"/>
            <w:shd w:val="clear" w:color="auto" w:fill="auto"/>
          </w:tcPr>
          <w:p w:rsidR="0049019F" w:rsidRPr="00BD78B8" w:rsidRDefault="0049019F" w:rsidP="00A07971">
            <w:pPr>
              <w:spacing w:after="120"/>
            </w:pPr>
            <w:r w:rsidRPr="009B02ED">
              <w:rPr>
                <w:lang w:val="fr-FR"/>
              </w:rPr>
              <w:t>ECE/TRANS/WP.15/AC.2/2016/48 (Belgique)</w:t>
            </w:r>
          </w:p>
        </w:tc>
        <w:tc>
          <w:tcPr>
            <w:tcW w:w="3829" w:type="dxa"/>
            <w:shd w:val="clear" w:color="auto" w:fill="auto"/>
          </w:tcPr>
          <w:p w:rsidR="0049019F" w:rsidRPr="000854E1" w:rsidRDefault="006422BC" w:rsidP="00A07971">
            <w:pPr>
              <w:spacing w:after="120"/>
            </w:pPr>
            <w:r w:rsidRPr="0049019F">
              <w:rPr>
                <w:lang w:val="fr-FR"/>
              </w:rPr>
              <w:t>Demande de dérogation temporaire relative à</w:t>
            </w:r>
            <w:r w:rsidR="00A07971">
              <w:rPr>
                <w:lang w:val="fr-FR"/>
              </w:rPr>
              <w:t> </w:t>
            </w:r>
            <w:r w:rsidRPr="0049019F">
              <w:rPr>
                <w:lang w:val="fr-FR"/>
              </w:rPr>
              <w:t>l</w:t>
            </w:r>
            <w:r w:rsidR="000B716E">
              <w:rPr>
                <w:lang w:val="fr-FR"/>
              </w:rPr>
              <w:t>’</w:t>
            </w:r>
            <w:r w:rsidRPr="0049019F">
              <w:rPr>
                <w:lang w:val="fr-FR"/>
              </w:rPr>
              <w:t xml:space="preserve">utilisation à bord du pousseur </w:t>
            </w:r>
            <w:r w:rsidR="0049019F">
              <w:rPr>
                <w:lang w:val="fr-FR"/>
              </w:rPr>
              <w:t>« </w:t>
            </w:r>
            <w:r w:rsidRPr="0049019F">
              <w:rPr>
                <w:lang w:val="fr-FR"/>
              </w:rPr>
              <w:t>DONAU</w:t>
            </w:r>
            <w:r w:rsidR="0049019F">
              <w:rPr>
                <w:lang w:val="fr-FR"/>
              </w:rPr>
              <w:t> »</w:t>
            </w:r>
            <w:r w:rsidRPr="0049019F">
              <w:rPr>
                <w:lang w:val="fr-FR"/>
              </w:rPr>
              <w:t xml:space="preserve"> (06105358) d</w:t>
            </w:r>
            <w:r w:rsidR="000B716E">
              <w:rPr>
                <w:lang w:val="fr-FR"/>
              </w:rPr>
              <w:t>’</w:t>
            </w:r>
            <w:r w:rsidRPr="0049019F">
              <w:rPr>
                <w:lang w:val="fr-FR"/>
              </w:rPr>
              <w:t>une installation d</w:t>
            </w:r>
            <w:r w:rsidR="000B716E">
              <w:rPr>
                <w:lang w:val="fr-FR"/>
              </w:rPr>
              <w:t>’</w:t>
            </w:r>
            <w:r w:rsidRPr="0049019F">
              <w:rPr>
                <w:lang w:val="fr-FR"/>
              </w:rPr>
              <w:t>extinction d</w:t>
            </w:r>
            <w:r w:rsidR="000B716E">
              <w:rPr>
                <w:lang w:val="fr-FR"/>
              </w:rPr>
              <w:t>’</w:t>
            </w:r>
            <w:r w:rsidRPr="0049019F">
              <w:rPr>
                <w:lang w:val="fr-FR"/>
              </w:rPr>
              <w:t>incendie avec agent extincteur formant un aérosol sec (Fire Pro)</w:t>
            </w:r>
          </w:p>
        </w:tc>
      </w:tr>
    </w:tbl>
    <w:p w:rsidR="0049019F" w:rsidRPr="009B02ED" w:rsidRDefault="0049019F" w:rsidP="00D47205">
      <w:pPr>
        <w:pStyle w:val="SingleTxtG"/>
        <w:rPr>
          <w:lang w:val="fr-FR"/>
        </w:rPr>
      </w:pPr>
      <w:r w:rsidRPr="009B02ED">
        <w:rPr>
          <w:lang w:val="fr-FR"/>
        </w:rPr>
        <w:tab/>
        <w:t>Toutes les autres propositions d</w:t>
      </w:r>
      <w:r w:rsidR="000B716E">
        <w:rPr>
          <w:lang w:val="fr-FR"/>
        </w:rPr>
        <w:t>’</w:t>
      </w:r>
      <w:r w:rsidRPr="009B02ED">
        <w:rPr>
          <w:lang w:val="fr-FR"/>
        </w:rPr>
        <w:t>autorisation spéciale ou de dérogation reçues par le secrétariat après la publication du présent ordre du jour provisoire feront l</w:t>
      </w:r>
      <w:r w:rsidR="000B716E">
        <w:rPr>
          <w:lang w:val="fr-FR"/>
        </w:rPr>
        <w:t>’</w:t>
      </w:r>
      <w:r w:rsidRPr="009B02ED">
        <w:rPr>
          <w:lang w:val="fr-FR"/>
        </w:rPr>
        <w:t>objet de documents sans cote.</w:t>
      </w:r>
    </w:p>
    <w:p w:rsidR="0049019F" w:rsidRPr="009B02ED" w:rsidRDefault="0049019F" w:rsidP="00D47205">
      <w:pPr>
        <w:pStyle w:val="SingleTxtG"/>
        <w:rPr>
          <w:lang w:val="fr-FR"/>
        </w:rPr>
      </w:pPr>
      <w:r w:rsidRPr="009B02ED">
        <w:rPr>
          <w:lang w:val="fr-FR"/>
        </w:rPr>
        <w:tab/>
        <w:t>c)</w:t>
      </w:r>
      <w:r w:rsidRPr="009B02ED">
        <w:rPr>
          <w:lang w:val="fr-FR"/>
        </w:rPr>
        <w:tab/>
        <w:t>Interprétation du Règlement annexé à l</w:t>
      </w:r>
      <w:r w:rsidR="000B716E">
        <w:rPr>
          <w:lang w:val="fr-FR"/>
        </w:rPr>
        <w:t>’</w:t>
      </w:r>
      <w:r w:rsidRPr="009B02ED">
        <w:rPr>
          <w:lang w:val="fr-FR"/>
        </w:rPr>
        <w:t>ADN</w:t>
      </w:r>
    </w:p>
    <w:p w:rsidR="0049019F" w:rsidRDefault="00D47205" w:rsidP="0049019F">
      <w:pPr>
        <w:pStyle w:val="SingleTxtG"/>
      </w:pPr>
      <w:r>
        <w:rPr>
          <w:lang w:val="fr-FR"/>
        </w:rPr>
        <w:tab/>
      </w:r>
      <w:r w:rsidR="0049019F" w:rsidRPr="009B02ED">
        <w:rPr>
          <w:lang w:val="fr-FR"/>
        </w:rPr>
        <w:t xml:space="preserve">Le Comité de sécurité est </w:t>
      </w:r>
      <w:r w:rsidR="0049019F">
        <w:rPr>
          <w:lang w:val="fr-FR"/>
        </w:rPr>
        <w:t>invité à</w:t>
      </w:r>
      <w:r w:rsidR="0049019F" w:rsidRPr="009B02ED">
        <w:rPr>
          <w:lang w:val="fr-FR"/>
        </w:rPr>
        <w:t xml:space="preserve"> examiner l</w:t>
      </w:r>
      <w:r w:rsidR="000B716E">
        <w:rPr>
          <w:lang w:val="fr-FR"/>
        </w:rPr>
        <w:t>’</w:t>
      </w:r>
      <w:r w:rsidR="0049019F" w:rsidRPr="009B02ED">
        <w:rPr>
          <w:lang w:val="fr-FR"/>
        </w:rPr>
        <w:t>interprétation de toutes les dispositions du Règlement annexé à l</w:t>
      </w:r>
      <w:r w:rsidR="000B716E">
        <w:rPr>
          <w:lang w:val="fr-FR"/>
        </w:rPr>
        <w:t>’</w:t>
      </w:r>
      <w:r w:rsidR="0049019F" w:rsidRPr="009B02ED">
        <w:rPr>
          <w:lang w:val="fr-FR"/>
        </w:rPr>
        <w:t>ADN qui sont considérées comme ambiguës.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29"/>
      </w:tblGrid>
      <w:tr w:rsidR="0049019F" w:rsidRPr="000854E1" w:rsidTr="00140ED7">
        <w:tc>
          <w:tcPr>
            <w:tcW w:w="3542" w:type="dxa"/>
            <w:shd w:val="clear" w:color="auto" w:fill="auto"/>
          </w:tcPr>
          <w:p w:rsidR="0049019F" w:rsidRPr="00BD78B8" w:rsidRDefault="0049019F" w:rsidP="00A07971">
            <w:pPr>
              <w:spacing w:after="120"/>
              <w:rPr>
                <w:lang w:val="en-US"/>
              </w:rPr>
            </w:pPr>
            <w:r w:rsidRPr="00BD78B8">
              <w:rPr>
                <w:lang w:val="en-US"/>
              </w:rPr>
              <w:t>ECE/TRANS/WP.15/AC.2/2016/32 (CCNR)</w:t>
            </w:r>
          </w:p>
        </w:tc>
        <w:tc>
          <w:tcPr>
            <w:tcW w:w="3829" w:type="dxa"/>
            <w:shd w:val="clear" w:color="auto" w:fill="auto"/>
          </w:tcPr>
          <w:p w:rsidR="0049019F" w:rsidRPr="000854E1" w:rsidRDefault="00D47205" w:rsidP="00A07971">
            <w:pPr>
              <w:spacing w:after="120"/>
            </w:pPr>
            <w:r w:rsidRPr="00D47205">
              <w:rPr>
                <w:lang w:val="fr-FR"/>
              </w:rPr>
              <w:t>Installations d</w:t>
            </w:r>
            <w:r w:rsidR="000B716E">
              <w:rPr>
                <w:lang w:val="fr-FR"/>
              </w:rPr>
              <w:t>’</w:t>
            </w:r>
            <w:r w:rsidR="00A07971" w:rsidRPr="00D47205">
              <w:rPr>
                <w:lang w:val="fr-FR"/>
              </w:rPr>
              <w:t>asséchement</w:t>
            </w:r>
            <w:r w:rsidR="00A25B56">
              <w:rPr>
                <w:lang w:val="fr-FR"/>
              </w:rPr>
              <w:t xml:space="preserve"> </w:t>
            </w:r>
            <w:r w:rsidRPr="00D47205">
              <w:rPr>
                <w:lang w:val="fr-FR"/>
              </w:rPr>
              <w:t xml:space="preserve">et de ballastage </w:t>
            </w:r>
            <w:r w:rsidR="00A07971">
              <w:rPr>
                <w:lang w:val="fr-FR"/>
              </w:rPr>
              <w:br/>
            </w:r>
            <w:r w:rsidRPr="00D47205">
              <w:rPr>
                <w:lang w:val="fr-FR"/>
              </w:rPr>
              <w:t>au sens du paragraphe</w:t>
            </w:r>
            <w:r w:rsidR="00A25B56">
              <w:rPr>
                <w:lang w:val="fr-FR"/>
              </w:rPr>
              <w:t xml:space="preserve"> </w:t>
            </w:r>
            <w:r w:rsidRPr="00D47205">
              <w:rPr>
                <w:lang w:val="fr-FR"/>
              </w:rPr>
              <w:t>9.3.2.35.1 de l</w:t>
            </w:r>
            <w:r w:rsidR="000B716E">
              <w:rPr>
                <w:lang w:val="fr-FR"/>
              </w:rPr>
              <w:t>’</w:t>
            </w:r>
            <w:r w:rsidRPr="00D47205">
              <w:rPr>
                <w:lang w:val="fr-FR"/>
              </w:rPr>
              <w:t>ADN</w:t>
            </w:r>
          </w:p>
        </w:tc>
      </w:tr>
      <w:tr w:rsidR="00D47205" w:rsidRPr="000854E1" w:rsidTr="00140ED7">
        <w:tc>
          <w:tcPr>
            <w:tcW w:w="3542" w:type="dxa"/>
            <w:shd w:val="clear" w:color="auto" w:fill="auto"/>
          </w:tcPr>
          <w:p w:rsidR="00D47205" w:rsidRPr="00BD78B8" w:rsidRDefault="00D47205" w:rsidP="00A07971">
            <w:pPr>
              <w:spacing w:after="120"/>
              <w:rPr>
                <w:lang w:val="en-US"/>
              </w:rPr>
            </w:pPr>
            <w:r w:rsidRPr="00BD78B8">
              <w:rPr>
                <w:lang w:val="en-US"/>
              </w:rPr>
              <w:t>ECE/TRANS/WP.15/AC.2/2016/33 (CCNR)</w:t>
            </w:r>
          </w:p>
        </w:tc>
        <w:tc>
          <w:tcPr>
            <w:tcW w:w="3829" w:type="dxa"/>
            <w:shd w:val="clear" w:color="auto" w:fill="auto"/>
          </w:tcPr>
          <w:p w:rsidR="00D47205" w:rsidRPr="009B02ED" w:rsidRDefault="00D47205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Installations d</w:t>
            </w:r>
            <w:r w:rsidR="000B716E">
              <w:rPr>
                <w:lang w:val="fr-FR"/>
              </w:rPr>
              <w:t>’</w:t>
            </w:r>
            <w:r w:rsidRPr="009B02ED">
              <w:rPr>
                <w:lang w:val="fr-FR"/>
              </w:rPr>
              <w:t>extinction d</w:t>
            </w:r>
            <w:r w:rsidR="000B716E">
              <w:rPr>
                <w:lang w:val="fr-FR"/>
              </w:rPr>
              <w:t>’</w:t>
            </w:r>
            <w:r w:rsidRPr="009B02ED">
              <w:rPr>
                <w:lang w:val="fr-FR"/>
              </w:rPr>
              <w:t xml:space="preserve">incendie au </w:t>
            </w:r>
            <w:r>
              <w:rPr>
                <w:lang w:val="fr-FR"/>
              </w:rPr>
              <w:t>sens</w:t>
            </w:r>
            <w:r w:rsidRPr="009B02ED">
              <w:rPr>
                <w:lang w:val="fr-FR"/>
              </w:rPr>
              <w:t xml:space="preserve"> </w:t>
            </w:r>
            <w:r w:rsidR="00A07971">
              <w:rPr>
                <w:lang w:val="fr-FR"/>
              </w:rPr>
              <w:br/>
            </w:r>
            <w:r w:rsidRPr="009B02ED">
              <w:rPr>
                <w:lang w:val="fr-FR"/>
              </w:rPr>
              <w:t xml:space="preserve">de la sous-section 7.2.4.40 </w:t>
            </w:r>
            <w:r w:rsidRPr="00D47205">
              <w:rPr>
                <w:lang w:val="fr-FR"/>
              </w:rPr>
              <w:t>de l</w:t>
            </w:r>
            <w:r w:rsidR="000B716E">
              <w:rPr>
                <w:lang w:val="fr-FR"/>
              </w:rPr>
              <w:t>’</w:t>
            </w:r>
            <w:r w:rsidRPr="00D47205">
              <w:rPr>
                <w:lang w:val="fr-FR"/>
              </w:rPr>
              <w:t>ADN</w:t>
            </w:r>
          </w:p>
        </w:tc>
      </w:tr>
      <w:tr w:rsidR="00D47205" w:rsidRPr="000854E1" w:rsidTr="00140ED7">
        <w:tc>
          <w:tcPr>
            <w:tcW w:w="3542" w:type="dxa"/>
            <w:shd w:val="clear" w:color="auto" w:fill="auto"/>
          </w:tcPr>
          <w:p w:rsidR="00D47205" w:rsidRPr="009B02ED" w:rsidRDefault="00D47205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ECE/TRANS/WP.15/AC.2/2016/34 (Allemagne)</w:t>
            </w:r>
          </w:p>
        </w:tc>
        <w:tc>
          <w:tcPr>
            <w:tcW w:w="3829" w:type="dxa"/>
            <w:shd w:val="clear" w:color="auto" w:fill="auto"/>
          </w:tcPr>
          <w:p w:rsidR="00D47205" w:rsidRPr="009B02ED" w:rsidRDefault="00D47205" w:rsidP="00A0797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 xml:space="preserve">Paragraphe </w:t>
            </w:r>
            <w:r w:rsidRPr="009B02ED">
              <w:rPr>
                <w:lang w:val="fr-FR"/>
              </w:rPr>
              <w:t xml:space="preserve">7.2.4.1 </w:t>
            </w:r>
            <w:r w:rsidRPr="00D47205">
              <w:rPr>
                <w:lang w:val="fr-FR"/>
              </w:rPr>
              <w:t>de l</w:t>
            </w:r>
            <w:r w:rsidR="000B716E">
              <w:rPr>
                <w:lang w:val="fr-FR"/>
              </w:rPr>
              <w:t>’</w:t>
            </w:r>
            <w:r w:rsidRPr="00D47205">
              <w:rPr>
                <w:lang w:val="fr-FR"/>
              </w:rPr>
              <w:t>ADN</w:t>
            </w:r>
            <w:r w:rsidRPr="009B02ED">
              <w:rPr>
                <w:lang w:val="fr-FR"/>
              </w:rPr>
              <w:t xml:space="preserve">, transport de colis à bord de bateaux-citernes </w:t>
            </w:r>
          </w:p>
        </w:tc>
      </w:tr>
      <w:tr w:rsidR="00D47205" w:rsidRPr="000854E1" w:rsidTr="00140ED7">
        <w:tc>
          <w:tcPr>
            <w:tcW w:w="3542" w:type="dxa"/>
            <w:shd w:val="clear" w:color="auto" w:fill="auto"/>
          </w:tcPr>
          <w:p w:rsidR="00D47205" w:rsidRPr="009B02ED" w:rsidRDefault="00D47205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ECE/TRANS/WP.15/AC.2/2016/35 (Allemagne)</w:t>
            </w:r>
          </w:p>
        </w:tc>
        <w:tc>
          <w:tcPr>
            <w:tcW w:w="3829" w:type="dxa"/>
            <w:shd w:val="clear" w:color="auto" w:fill="auto"/>
          </w:tcPr>
          <w:p w:rsidR="00D47205" w:rsidRPr="009B02ED" w:rsidRDefault="00D47205" w:rsidP="00A417C2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 xml:space="preserve">Sous-section </w:t>
            </w:r>
            <w:r w:rsidRPr="009B02ED">
              <w:rPr>
                <w:lang w:val="fr-FR"/>
              </w:rPr>
              <w:t xml:space="preserve">3.2.3.2 </w:t>
            </w:r>
            <w:r w:rsidRPr="00D47205">
              <w:rPr>
                <w:lang w:val="fr-FR"/>
              </w:rPr>
              <w:t>de l</w:t>
            </w:r>
            <w:r w:rsidR="000B716E">
              <w:rPr>
                <w:lang w:val="fr-FR"/>
              </w:rPr>
              <w:t>’</w:t>
            </w:r>
            <w:r w:rsidRPr="00D47205">
              <w:rPr>
                <w:lang w:val="fr-FR"/>
              </w:rPr>
              <w:t>ADN</w:t>
            </w:r>
            <w:r w:rsidRPr="009B02ED">
              <w:rPr>
                <w:lang w:val="fr-FR"/>
              </w:rPr>
              <w:t xml:space="preserve">, </w:t>
            </w:r>
            <w:r>
              <w:rPr>
                <w:lang w:val="fr-FR"/>
              </w:rPr>
              <w:t>t</w:t>
            </w:r>
            <w:r w:rsidR="00A07971">
              <w:rPr>
                <w:lang w:val="fr-FR"/>
              </w:rPr>
              <w:t>ableau C, colonne (20),</w:t>
            </w:r>
            <w:r w:rsidR="000B716E">
              <w:rPr>
                <w:lang w:val="fr-FR"/>
              </w:rPr>
              <w:t xml:space="preserve"> </w:t>
            </w:r>
            <w:r w:rsidR="00A07971">
              <w:rPr>
                <w:lang w:val="fr-FR"/>
              </w:rPr>
              <w:br/>
            </w:r>
            <w:r w:rsidRPr="009B02ED">
              <w:rPr>
                <w:lang w:val="fr-FR"/>
              </w:rPr>
              <w:t>Nos</w:t>
            </w:r>
            <w:r w:rsidR="00A417C2">
              <w:rPr>
                <w:lang w:val="fr-FR"/>
              </w:rPr>
              <w:t> </w:t>
            </w:r>
            <w:r w:rsidRPr="009B02ED">
              <w:rPr>
                <w:lang w:val="fr-FR"/>
              </w:rPr>
              <w:t>ONU 3256, 3257 et 1664</w:t>
            </w:r>
          </w:p>
        </w:tc>
      </w:tr>
      <w:tr w:rsidR="00D47205" w:rsidRPr="000854E1" w:rsidTr="00140ED7">
        <w:tc>
          <w:tcPr>
            <w:tcW w:w="3542" w:type="dxa"/>
            <w:shd w:val="clear" w:color="auto" w:fill="auto"/>
          </w:tcPr>
          <w:p w:rsidR="00D47205" w:rsidRPr="009B02ED" w:rsidRDefault="00D47205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ECE/TRANS/WP.15/AC.2/2016/36 (Allemagne)</w:t>
            </w:r>
          </w:p>
        </w:tc>
        <w:tc>
          <w:tcPr>
            <w:tcW w:w="3829" w:type="dxa"/>
            <w:shd w:val="clear" w:color="auto" w:fill="auto"/>
          </w:tcPr>
          <w:p w:rsidR="00D47205" w:rsidRPr="009B02ED" w:rsidRDefault="00D47205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 xml:space="preserve">Sous-section 3.2.3.1 </w:t>
            </w:r>
            <w:r w:rsidRPr="00D47205">
              <w:rPr>
                <w:lang w:val="fr-FR"/>
              </w:rPr>
              <w:t>de l</w:t>
            </w:r>
            <w:r w:rsidR="000B716E">
              <w:rPr>
                <w:lang w:val="fr-FR"/>
              </w:rPr>
              <w:t>’</w:t>
            </w:r>
            <w:r w:rsidRPr="00D47205">
              <w:rPr>
                <w:lang w:val="fr-FR"/>
              </w:rPr>
              <w:t>ADN</w:t>
            </w:r>
            <w:r w:rsidRPr="009B02ED">
              <w:rPr>
                <w:lang w:val="fr-FR"/>
              </w:rPr>
              <w:t xml:space="preserve">, explications relatives au </w:t>
            </w:r>
            <w:r>
              <w:rPr>
                <w:lang w:val="fr-FR"/>
              </w:rPr>
              <w:t>t</w:t>
            </w:r>
            <w:r w:rsidRPr="009B02ED">
              <w:rPr>
                <w:lang w:val="fr-FR"/>
              </w:rPr>
              <w:t>ableau C</w:t>
            </w:r>
          </w:p>
        </w:tc>
      </w:tr>
      <w:tr w:rsidR="00D47205" w:rsidRPr="000854E1" w:rsidTr="00140ED7">
        <w:tc>
          <w:tcPr>
            <w:tcW w:w="3542" w:type="dxa"/>
            <w:shd w:val="clear" w:color="auto" w:fill="auto"/>
          </w:tcPr>
          <w:p w:rsidR="00D47205" w:rsidRPr="009B02ED" w:rsidRDefault="00D47205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ECE/TRANS/WP.15/AC.2/2016/42 (</w:t>
            </w:r>
            <w:r>
              <w:rPr>
                <w:lang w:val="fr-FR"/>
              </w:rPr>
              <w:t>s</w:t>
            </w:r>
            <w:r w:rsidRPr="009B02ED">
              <w:rPr>
                <w:lang w:val="fr-FR"/>
              </w:rPr>
              <w:t>ociétés de classification recommandées ADN)</w:t>
            </w:r>
          </w:p>
        </w:tc>
        <w:tc>
          <w:tcPr>
            <w:tcW w:w="3829" w:type="dxa"/>
            <w:shd w:val="clear" w:color="auto" w:fill="auto"/>
          </w:tcPr>
          <w:p w:rsidR="00D47205" w:rsidRPr="009B02ED" w:rsidRDefault="00D47205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 xml:space="preserve">Liste de produits et </w:t>
            </w:r>
            <w:r>
              <w:rPr>
                <w:lang w:val="fr-FR"/>
              </w:rPr>
              <w:t>g</w:t>
            </w:r>
            <w:r w:rsidRPr="009B02ED">
              <w:rPr>
                <w:lang w:val="fr-FR"/>
              </w:rPr>
              <w:t>roupe d</w:t>
            </w:r>
            <w:r w:rsidR="000B716E">
              <w:rPr>
                <w:lang w:val="fr-FR"/>
              </w:rPr>
              <w:t>’</w:t>
            </w:r>
            <w:r w:rsidRPr="009B02ED">
              <w:rPr>
                <w:lang w:val="fr-FR"/>
              </w:rPr>
              <w:t>explosion II</w:t>
            </w:r>
            <w:r>
              <w:rPr>
                <w:lang w:val="fr-FR"/>
              </w:rPr>
              <w:t xml:space="preserve"> </w:t>
            </w:r>
            <w:r w:rsidRPr="009B02ED">
              <w:rPr>
                <w:lang w:val="fr-FR"/>
              </w:rPr>
              <w:t>B</w:t>
            </w:r>
          </w:p>
        </w:tc>
      </w:tr>
      <w:tr w:rsidR="00D47205" w:rsidRPr="000854E1" w:rsidTr="00140ED7">
        <w:tc>
          <w:tcPr>
            <w:tcW w:w="3542" w:type="dxa"/>
            <w:shd w:val="clear" w:color="auto" w:fill="auto"/>
          </w:tcPr>
          <w:p w:rsidR="00D47205" w:rsidRPr="009B02ED" w:rsidRDefault="00D47205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ECE/TRANS/WP.15/AC.2/2016/47 (</w:t>
            </w:r>
            <w:r>
              <w:rPr>
                <w:lang w:val="fr-FR"/>
              </w:rPr>
              <w:t>s</w:t>
            </w:r>
            <w:r w:rsidRPr="009B02ED">
              <w:rPr>
                <w:lang w:val="fr-FR"/>
              </w:rPr>
              <w:t>ociétés de classification recommandées ADN)</w:t>
            </w:r>
          </w:p>
        </w:tc>
        <w:tc>
          <w:tcPr>
            <w:tcW w:w="3829" w:type="dxa"/>
            <w:shd w:val="clear" w:color="auto" w:fill="auto"/>
          </w:tcPr>
          <w:p w:rsidR="00D47205" w:rsidRPr="009B02ED" w:rsidRDefault="00D47205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 xml:space="preserve">Définition de </w:t>
            </w:r>
            <w:r>
              <w:rPr>
                <w:lang w:val="fr-FR"/>
              </w:rPr>
              <w:t>« </w:t>
            </w:r>
            <w:r w:rsidRPr="009B02ED">
              <w:rPr>
                <w:lang w:val="fr-FR"/>
              </w:rPr>
              <w:t>barge</w:t>
            </w:r>
            <w:r>
              <w:rPr>
                <w:lang w:val="fr-FR"/>
              </w:rPr>
              <w:t> »</w:t>
            </w:r>
          </w:p>
        </w:tc>
      </w:tr>
    </w:tbl>
    <w:p w:rsidR="00D47205" w:rsidRPr="009B02ED" w:rsidRDefault="00D47205" w:rsidP="00D47205">
      <w:pPr>
        <w:pStyle w:val="SingleTxtG"/>
        <w:rPr>
          <w:lang w:val="fr-FR"/>
        </w:rPr>
      </w:pPr>
      <w:r w:rsidRPr="009B02ED">
        <w:rPr>
          <w:lang w:val="fr-FR"/>
        </w:rPr>
        <w:tab/>
        <w:t>d)</w:t>
      </w:r>
      <w:r w:rsidRPr="009B02ED">
        <w:rPr>
          <w:lang w:val="fr-FR"/>
        </w:rPr>
        <w:tab/>
        <w:t>Formation des experts</w:t>
      </w:r>
    </w:p>
    <w:p w:rsidR="00D47205" w:rsidRPr="009B02ED" w:rsidRDefault="00D47205" w:rsidP="00D47205">
      <w:pPr>
        <w:pStyle w:val="SingleTxtG"/>
        <w:rPr>
          <w:lang w:val="fr-FR"/>
        </w:rPr>
      </w:pPr>
      <w:r>
        <w:rPr>
          <w:lang w:val="fr-FR"/>
        </w:rPr>
        <w:tab/>
      </w:r>
      <w:r w:rsidRPr="009B02ED">
        <w:rPr>
          <w:lang w:val="fr-FR"/>
        </w:rPr>
        <w:t>Au moment de la rédaction du présent document, aucun document n</w:t>
      </w:r>
      <w:r w:rsidR="000B716E">
        <w:rPr>
          <w:lang w:val="fr-FR"/>
        </w:rPr>
        <w:t>’</w:t>
      </w:r>
      <w:r w:rsidRPr="009B02ED">
        <w:rPr>
          <w:lang w:val="fr-FR"/>
        </w:rPr>
        <w:t>avait été soumis au titre de ce s</w:t>
      </w:r>
      <w:r w:rsidR="00A07971">
        <w:rPr>
          <w:lang w:val="fr-FR"/>
        </w:rPr>
        <w:t>ous-point de l</w:t>
      </w:r>
      <w:r w:rsidR="000B716E">
        <w:rPr>
          <w:lang w:val="fr-FR"/>
        </w:rPr>
        <w:t>’</w:t>
      </w:r>
      <w:r w:rsidR="00A07971">
        <w:rPr>
          <w:lang w:val="fr-FR"/>
        </w:rPr>
        <w:t>ordre du jour.</w:t>
      </w:r>
    </w:p>
    <w:p w:rsidR="00D47205" w:rsidRPr="009B02ED" w:rsidRDefault="00D47205" w:rsidP="00D47205">
      <w:pPr>
        <w:pStyle w:val="SingleTxtG"/>
        <w:rPr>
          <w:lang w:val="fr-FR"/>
        </w:rPr>
      </w:pPr>
      <w:r w:rsidRPr="009B02ED">
        <w:rPr>
          <w:lang w:val="fr-FR"/>
        </w:rPr>
        <w:lastRenderedPageBreak/>
        <w:tab/>
        <w:t>e)</w:t>
      </w:r>
      <w:r w:rsidRPr="009B02ED">
        <w:rPr>
          <w:lang w:val="fr-FR"/>
        </w:rPr>
        <w:tab/>
        <w:t>Questions relatives aux sociétés de classification</w:t>
      </w:r>
    </w:p>
    <w:p w:rsidR="00D47205" w:rsidRPr="009B02ED" w:rsidRDefault="00D47205" w:rsidP="00D47205">
      <w:pPr>
        <w:pStyle w:val="SingleTxtG"/>
        <w:rPr>
          <w:lang w:val="fr-FR"/>
        </w:rPr>
      </w:pPr>
      <w:r>
        <w:rPr>
          <w:lang w:val="fr-FR"/>
        </w:rPr>
        <w:tab/>
      </w:r>
      <w:r w:rsidRPr="009B02ED">
        <w:rPr>
          <w:lang w:val="fr-FR"/>
        </w:rPr>
        <w:t>Au moment de la rédaction du présent document, aucun document n</w:t>
      </w:r>
      <w:r w:rsidR="000B716E">
        <w:rPr>
          <w:lang w:val="fr-FR"/>
        </w:rPr>
        <w:t>’</w:t>
      </w:r>
      <w:r w:rsidRPr="009B02ED">
        <w:rPr>
          <w:lang w:val="fr-FR"/>
        </w:rPr>
        <w:t>avait été soumis au titre de ce sous-point de l</w:t>
      </w:r>
      <w:r w:rsidR="000B716E">
        <w:rPr>
          <w:lang w:val="fr-FR"/>
        </w:rPr>
        <w:t>’</w:t>
      </w:r>
      <w:r w:rsidRPr="009B02ED">
        <w:rPr>
          <w:lang w:val="fr-FR"/>
        </w:rPr>
        <w:t>ordre du jour.</w:t>
      </w:r>
    </w:p>
    <w:p w:rsidR="00D47205" w:rsidRPr="009B02ED" w:rsidRDefault="00D47205" w:rsidP="006422BC">
      <w:pPr>
        <w:pStyle w:val="H23G"/>
        <w:rPr>
          <w:lang w:val="fr-FR"/>
        </w:rPr>
      </w:pPr>
      <w:r w:rsidRPr="009B02ED">
        <w:rPr>
          <w:lang w:val="fr-FR"/>
        </w:rPr>
        <w:tab/>
        <w:t>4.</w:t>
      </w:r>
      <w:r w:rsidRPr="009B02ED">
        <w:rPr>
          <w:lang w:val="fr-FR"/>
        </w:rPr>
        <w:tab/>
        <w:t>Propositions d</w:t>
      </w:r>
      <w:r w:rsidR="000B716E">
        <w:rPr>
          <w:lang w:val="fr-FR"/>
        </w:rPr>
        <w:t>’</w:t>
      </w:r>
      <w:r w:rsidRPr="009B02ED">
        <w:rPr>
          <w:lang w:val="fr-FR"/>
        </w:rPr>
        <w:t>amendements au Règlement annexé à l</w:t>
      </w:r>
      <w:r w:rsidR="000B716E">
        <w:rPr>
          <w:lang w:val="fr-FR"/>
        </w:rPr>
        <w:t>’</w:t>
      </w:r>
      <w:r w:rsidRPr="009B02ED">
        <w:rPr>
          <w:lang w:val="fr-FR"/>
        </w:rPr>
        <w:t>ADN</w:t>
      </w:r>
    </w:p>
    <w:p w:rsidR="00D47205" w:rsidRPr="009B02ED" w:rsidRDefault="00D47205" w:rsidP="00D47205">
      <w:pPr>
        <w:pStyle w:val="SingleTxtG"/>
        <w:rPr>
          <w:lang w:val="fr-FR"/>
        </w:rPr>
      </w:pPr>
      <w:r w:rsidRPr="009B02ED">
        <w:rPr>
          <w:lang w:val="fr-FR"/>
        </w:rPr>
        <w:tab/>
        <w:t>a)</w:t>
      </w:r>
      <w:r w:rsidRPr="009B02ED">
        <w:rPr>
          <w:lang w:val="fr-FR"/>
        </w:rPr>
        <w:tab/>
        <w:t>Travaux de la Réunion commune RID/ADR/ADN</w:t>
      </w:r>
    </w:p>
    <w:p w:rsidR="00D47205" w:rsidRPr="009B02ED" w:rsidRDefault="00D47205" w:rsidP="00D47205">
      <w:pPr>
        <w:pStyle w:val="SingleTxtG"/>
        <w:rPr>
          <w:lang w:val="fr-FR"/>
        </w:rPr>
      </w:pPr>
      <w:r>
        <w:rPr>
          <w:lang w:val="fr-FR"/>
        </w:rPr>
        <w:tab/>
      </w:r>
      <w:r w:rsidRPr="009B02ED">
        <w:rPr>
          <w:lang w:val="fr-FR"/>
        </w:rPr>
        <w:t>Le Comité de sécurité souhaitera peut-être examiner les travaux réalisés par la Réunion commune RID/ADR/ADN à sa session de printemps de 2016 (ECE/TRANS/</w:t>
      </w:r>
      <w:r w:rsidR="000B716E">
        <w:rPr>
          <w:lang w:val="fr-FR"/>
        </w:rPr>
        <w:t xml:space="preserve"> </w:t>
      </w:r>
      <w:r>
        <w:rPr>
          <w:lang w:val="fr-FR"/>
        </w:rPr>
        <w:br/>
      </w:r>
      <w:r w:rsidRPr="009B02ED">
        <w:rPr>
          <w:lang w:val="fr-FR"/>
        </w:rPr>
        <w:t>WP.15/AC.1/142 et Add.1 et 2).</w:t>
      </w:r>
    </w:p>
    <w:p w:rsidR="00D47205" w:rsidRPr="009B02ED" w:rsidRDefault="00D47205" w:rsidP="00D47205">
      <w:pPr>
        <w:pStyle w:val="SingleTxtG"/>
        <w:rPr>
          <w:lang w:val="fr-FR"/>
        </w:rPr>
      </w:pPr>
      <w:r>
        <w:rPr>
          <w:lang w:val="fr-FR"/>
        </w:rPr>
        <w:tab/>
      </w:r>
      <w:r w:rsidRPr="009B02ED">
        <w:rPr>
          <w:lang w:val="fr-FR"/>
        </w:rPr>
        <w:t>Il souhaitera peut-être aussi examiner le rapport du Groupe de travail d</w:t>
      </w:r>
      <w:r>
        <w:rPr>
          <w:lang w:val="fr-FR"/>
        </w:rPr>
        <w:t>es</w:t>
      </w:r>
      <w:r w:rsidRPr="009B02ED">
        <w:rPr>
          <w:lang w:val="fr-FR"/>
        </w:rPr>
        <w:t xml:space="preserve"> transport</w:t>
      </w:r>
      <w:r>
        <w:rPr>
          <w:lang w:val="fr-FR"/>
        </w:rPr>
        <w:t>s</w:t>
      </w:r>
      <w:r w:rsidRPr="009B02ED">
        <w:rPr>
          <w:lang w:val="fr-FR"/>
        </w:rPr>
        <w:t xml:space="preserve"> de marchandises dangereuses (WP.15) sur sa</w:t>
      </w:r>
      <w:r w:rsidR="00A25B56">
        <w:rPr>
          <w:lang w:val="fr-FR"/>
        </w:rPr>
        <w:t xml:space="preserve"> </w:t>
      </w:r>
      <w:r>
        <w:rPr>
          <w:lang w:val="fr-FR"/>
        </w:rPr>
        <w:t>100</w:t>
      </w:r>
      <w:r w:rsidRPr="00140ED7">
        <w:rPr>
          <w:vertAlign w:val="superscript"/>
          <w:lang w:val="fr-FR"/>
        </w:rPr>
        <w:t>e</w:t>
      </w:r>
      <w:r w:rsidR="000B716E">
        <w:rPr>
          <w:lang w:val="fr-FR"/>
        </w:rPr>
        <w:t> </w:t>
      </w:r>
      <w:r w:rsidRPr="009B02ED">
        <w:rPr>
          <w:lang w:val="fr-FR"/>
        </w:rPr>
        <w:t>session (ECE/TRANS/WP.15/233) et la liste additionnelle des amendements à l</w:t>
      </w:r>
      <w:r w:rsidR="000B716E">
        <w:rPr>
          <w:lang w:val="fr-FR"/>
        </w:rPr>
        <w:t>’</w:t>
      </w:r>
      <w:r w:rsidRPr="009B02ED">
        <w:rPr>
          <w:lang w:val="fr-FR"/>
        </w:rPr>
        <w:t>ADR adoptés pour entrée en vigueur le 1</w:t>
      </w:r>
      <w:r w:rsidRPr="000B716E">
        <w:rPr>
          <w:vertAlign w:val="superscript"/>
          <w:lang w:val="fr-FR"/>
        </w:rPr>
        <w:t>er</w:t>
      </w:r>
      <w:r w:rsidR="000B716E">
        <w:rPr>
          <w:lang w:val="fr-FR"/>
        </w:rPr>
        <w:t> </w:t>
      </w:r>
      <w:r w:rsidRPr="009B02ED">
        <w:rPr>
          <w:lang w:val="fr-FR"/>
        </w:rPr>
        <w:t>janvier 2017, contenue dans les documents ECE/TRANS/WP.15/231/Corr.1 et ECE/TRANS/</w:t>
      </w:r>
      <w:r w:rsidR="000B716E">
        <w:rPr>
          <w:lang w:val="fr-FR"/>
        </w:rPr>
        <w:t xml:space="preserve"> </w:t>
      </w:r>
      <w:r w:rsidR="00A07971">
        <w:rPr>
          <w:lang w:val="fr-FR"/>
        </w:rPr>
        <w:br/>
      </w:r>
      <w:r w:rsidRPr="009B02ED">
        <w:rPr>
          <w:lang w:val="fr-FR"/>
        </w:rPr>
        <w:t>WP.15/231/Add.1.</w:t>
      </w:r>
    </w:p>
    <w:p w:rsidR="00D47205" w:rsidRPr="009B02ED" w:rsidRDefault="00D47205" w:rsidP="00D47205">
      <w:pPr>
        <w:pStyle w:val="SingleTxtG"/>
        <w:rPr>
          <w:lang w:val="fr-FR"/>
        </w:rPr>
      </w:pPr>
      <w:r>
        <w:rPr>
          <w:lang w:val="fr-FR"/>
        </w:rPr>
        <w:tab/>
      </w:r>
      <w:r w:rsidRPr="009B02ED">
        <w:rPr>
          <w:lang w:val="fr-FR"/>
        </w:rPr>
        <w:t>Les propositions d</w:t>
      </w:r>
      <w:r w:rsidR="000B716E">
        <w:rPr>
          <w:lang w:val="fr-FR"/>
        </w:rPr>
        <w:t>’</w:t>
      </w:r>
      <w:r w:rsidRPr="009B02ED">
        <w:rPr>
          <w:lang w:val="fr-FR"/>
        </w:rPr>
        <w:t xml:space="preserve">amendements figurant dans les documents cités ci-dessus qui </w:t>
      </w:r>
      <w:r>
        <w:rPr>
          <w:lang w:val="fr-FR"/>
        </w:rPr>
        <w:t>sont applicables</w:t>
      </w:r>
      <w:r w:rsidRPr="009B02ED">
        <w:rPr>
          <w:lang w:val="fr-FR"/>
        </w:rPr>
        <w:t xml:space="preserve"> à l</w:t>
      </w:r>
      <w:r w:rsidR="000B716E">
        <w:rPr>
          <w:lang w:val="fr-FR"/>
        </w:rPr>
        <w:t>’</w:t>
      </w:r>
      <w:r w:rsidRPr="009B02ED">
        <w:rPr>
          <w:lang w:val="fr-FR"/>
        </w:rPr>
        <w:t>ADN sont présentées dans les documents ECE/TRANS/WP.15/</w:t>
      </w:r>
      <w:r w:rsidR="000B716E">
        <w:rPr>
          <w:lang w:val="fr-FR"/>
        </w:rPr>
        <w:t xml:space="preserve"> </w:t>
      </w:r>
      <w:r>
        <w:rPr>
          <w:lang w:val="fr-FR"/>
        </w:rPr>
        <w:br/>
      </w:r>
      <w:r w:rsidRPr="009B02ED">
        <w:rPr>
          <w:lang w:val="fr-FR"/>
        </w:rPr>
        <w:t>AC.2/2016/28 et ECE/TRANS/WP.15/AC.2/2016/31.</w:t>
      </w:r>
    </w:p>
    <w:p w:rsidR="00D47205" w:rsidRPr="009B02ED" w:rsidRDefault="00D47205" w:rsidP="00D47205">
      <w:pPr>
        <w:pStyle w:val="SingleTxtG"/>
        <w:rPr>
          <w:lang w:val="fr-FR"/>
        </w:rPr>
      </w:pPr>
      <w:r>
        <w:rPr>
          <w:lang w:val="fr-FR"/>
        </w:rPr>
        <w:tab/>
      </w:r>
      <w:r w:rsidRPr="009B02ED">
        <w:rPr>
          <w:lang w:val="fr-FR"/>
        </w:rPr>
        <w:t xml:space="preserve">Le Comité de sécurité souhaitera peut-être se référer à la liste récapitulative </w:t>
      </w:r>
      <w:r w:rsidRPr="00D47205">
        <w:rPr>
          <w:spacing w:val="-2"/>
          <w:lang w:val="fr-FR"/>
        </w:rPr>
        <w:t>d</w:t>
      </w:r>
      <w:r w:rsidR="000B716E">
        <w:rPr>
          <w:spacing w:val="-2"/>
          <w:lang w:val="fr-FR"/>
        </w:rPr>
        <w:t>’</w:t>
      </w:r>
      <w:r w:rsidRPr="00D47205">
        <w:rPr>
          <w:spacing w:val="-2"/>
          <w:lang w:val="fr-FR"/>
        </w:rPr>
        <w:t>amendements à l</w:t>
      </w:r>
      <w:r w:rsidR="000B716E">
        <w:rPr>
          <w:spacing w:val="-2"/>
          <w:lang w:val="fr-FR"/>
        </w:rPr>
        <w:t>’</w:t>
      </w:r>
      <w:r w:rsidRPr="00D47205">
        <w:rPr>
          <w:spacing w:val="-2"/>
          <w:lang w:val="fr-FR"/>
        </w:rPr>
        <w:t>ADN adoptés pour entrée en vigueur le 1</w:t>
      </w:r>
      <w:r w:rsidRPr="00D47205">
        <w:rPr>
          <w:spacing w:val="-2"/>
          <w:vertAlign w:val="superscript"/>
          <w:lang w:val="fr-FR"/>
        </w:rPr>
        <w:t>er</w:t>
      </w:r>
      <w:r w:rsidRPr="00D47205">
        <w:rPr>
          <w:spacing w:val="-2"/>
          <w:lang w:val="fr-FR"/>
        </w:rPr>
        <w:t> janvier</w:t>
      </w:r>
      <w:r w:rsidRPr="009B02ED">
        <w:rPr>
          <w:lang w:val="fr-FR"/>
        </w:rPr>
        <w:t xml:space="preserve"> 2017 (ECE/ADN/36), qui sera communiquée aux Parties contractantes à l</w:t>
      </w:r>
      <w:r w:rsidR="000B716E">
        <w:rPr>
          <w:lang w:val="fr-FR"/>
        </w:rPr>
        <w:t>’</w:t>
      </w:r>
      <w:r w:rsidRPr="009B02ED">
        <w:rPr>
          <w:lang w:val="fr-FR"/>
        </w:rPr>
        <w:t>ADN le 1</w:t>
      </w:r>
      <w:r w:rsidRPr="00D47205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9B02ED">
        <w:rPr>
          <w:lang w:val="fr-FR"/>
        </w:rPr>
        <w:t>juillet 2016.</w:t>
      </w:r>
    </w:p>
    <w:p w:rsidR="00D47205" w:rsidRPr="009B02ED" w:rsidRDefault="00D47205" w:rsidP="00D47205">
      <w:pPr>
        <w:pStyle w:val="SingleTxtG"/>
        <w:rPr>
          <w:lang w:val="fr-FR"/>
        </w:rPr>
      </w:pPr>
      <w:r>
        <w:rPr>
          <w:lang w:val="fr-FR"/>
        </w:rPr>
        <w:tab/>
      </w:r>
      <w:r w:rsidRPr="009B02ED">
        <w:rPr>
          <w:lang w:val="fr-FR"/>
        </w:rPr>
        <w:t>Toute proposition d</w:t>
      </w:r>
      <w:r w:rsidR="000B716E">
        <w:rPr>
          <w:lang w:val="fr-FR"/>
        </w:rPr>
        <w:t>’</w:t>
      </w:r>
      <w:r w:rsidRPr="009B02ED">
        <w:rPr>
          <w:lang w:val="fr-FR"/>
        </w:rPr>
        <w:t>amendements et de corrections supplémentaires à apporter au document ECE/ADN/36 à la suite de la présente session et adoptée par le Comité d</w:t>
      </w:r>
      <w:r w:rsidR="000B716E">
        <w:rPr>
          <w:lang w:val="fr-FR"/>
        </w:rPr>
        <w:t>’</w:t>
      </w:r>
      <w:r w:rsidRPr="009B02ED">
        <w:rPr>
          <w:lang w:val="fr-FR"/>
        </w:rPr>
        <w:t>administration de l</w:t>
      </w:r>
      <w:r w:rsidR="000B716E">
        <w:rPr>
          <w:lang w:val="fr-FR"/>
        </w:rPr>
        <w:t>’</w:t>
      </w:r>
      <w:r w:rsidRPr="009B02ED">
        <w:rPr>
          <w:lang w:val="fr-FR"/>
        </w:rPr>
        <w:t>ADN pour entrée en vigueur le 1</w:t>
      </w:r>
      <w:r w:rsidRPr="00D47205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9B02ED">
        <w:rPr>
          <w:lang w:val="fr-FR"/>
        </w:rPr>
        <w:t>janvier</w:t>
      </w:r>
      <w:r w:rsidR="00A25B56">
        <w:rPr>
          <w:lang w:val="fr-FR"/>
        </w:rPr>
        <w:t xml:space="preserve"> </w:t>
      </w:r>
      <w:r w:rsidRPr="009B02ED">
        <w:rPr>
          <w:lang w:val="fr-FR"/>
        </w:rPr>
        <w:t>2017 sera présentée dans les documents</w:t>
      </w:r>
      <w:r w:rsidR="00A25B56">
        <w:rPr>
          <w:lang w:val="fr-FR"/>
        </w:rPr>
        <w:t xml:space="preserve"> </w:t>
      </w:r>
      <w:r w:rsidRPr="009B02ED">
        <w:rPr>
          <w:lang w:val="fr-FR"/>
        </w:rPr>
        <w:t>ECE/ADN/36/Add.1 et ECE/ADN/36/Corr.1.</w:t>
      </w:r>
    </w:p>
    <w:p w:rsidR="00D47205" w:rsidRPr="009B02ED" w:rsidRDefault="00D47205" w:rsidP="00D47205">
      <w:pPr>
        <w:pStyle w:val="SingleTxtG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9B02ED">
        <w:rPr>
          <w:snapToGrid w:val="0"/>
          <w:lang w:val="fr-FR"/>
        </w:rPr>
        <w:t>Les amendements supplémentaires proposés visant à aligner l</w:t>
      </w:r>
      <w:r w:rsidR="000B716E">
        <w:rPr>
          <w:snapToGrid w:val="0"/>
          <w:lang w:val="fr-FR"/>
        </w:rPr>
        <w:t>’</w:t>
      </w:r>
      <w:r w:rsidRPr="009B02ED">
        <w:rPr>
          <w:snapToGrid w:val="0"/>
          <w:lang w:val="fr-FR"/>
        </w:rPr>
        <w:t>ADN sur les autres accords internationaux relatifs au transport des marchandises dangereuses doivent être communiqués aux Parties contractantes au plus tard le 1</w:t>
      </w:r>
      <w:r w:rsidRPr="00D47205">
        <w:rPr>
          <w:snapToGrid w:val="0"/>
          <w:vertAlign w:val="superscript"/>
          <w:lang w:val="fr-FR"/>
        </w:rPr>
        <w:t>er</w:t>
      </w:r>
      <w:r>
        <w:rPr>
          <w:snapToGrid w:val="0"/>
          <w:lang w:val="fr-FR"/>
        </w:rPr>
        <w:t> </w:t>
      </w:r>
      <w:r w:rsidRPr="009B02ED">
        <w:rPr>
          <w:snapToGrid w:val="0"/>
          <w:lang w:val="fr-FR"/>
        </w:rPr>
        <w:t>septembre 2016</w:t>
      </w:r>
      <w:r>
        <w:rPr>
          <w:snapToGrid w:val="0"/>
          <w:lang w:val="fr-FR"/>
        </w:rPr>
        <w:t>,</w:t>
      </w:r>
      <w:r w:rsidRPr="009B02ED">
        <w:rPr>
          <w:snapToGrid w:val="0"/>
          <w:lang w:val="fr-FR"/>
        </w:rPr>
        <w:t xml:space="preserve"> conformément à la procédure décrite à l</w:t>
      </w:r>
      <w:r w:rsidR="000B716E">
        <w:rPr>
          <w:snapToGrid w:val="0"/>
          <w:lang w:val="fr-FR"/>
        </w:rPr>
        <w:t>’</w:t>
      </w:r>
      <w:r w:rsidRPr="009B02ED">
        <w:rPr>
          <w:snapToGrid w:val="0"/>
          <w:lang w:val="fr-FR"/>
        </w:rPr>
        <w:t>alinéa a</w:t>
      </w:r>
      <w:r w:rsidR="000B716E">
        <w:rPr>
          <w:snapToGrid w:val="0"/>
          <w:lang w:val="fr-FR"/>
        </w:rPr>
        <w:t>)</w:t>
      </w:r>
      <w:r w:rsidRPr="009B02ED">
        <w:rPr>
          <w:snapToGrid w:val="0"/>
          <w:lang w:val="fr-FR"/>
        </w:rPr>
        <w:t xml:space="preserve"> du paragraphe 5 de l</w:t>
      </w:r>
      <w:r w:rsidR="000B716E">
        <w:rPr>
          <w:snapToGrid w:val="0"/>
          <w:lang w:val="fr-FR"/>
        </w:rPr>
        <w:t>’</w:t>
      </w:r>
      <w:r w:rsidRPr="009B02ED">
        <w:rPr>
          <w:snapToGrid w:val="0"/>
          <w:lang w:val="fr-FR"/>
        </w:rPr>
        <w:t>article 20 de l</w:t>
      </w:r>
      <w:r w:rsidR="000B716E">
        <w:rPr>
          <w:snapToGrid w:val="0"/>
          <w:lang w:val="fr-FR"/>
        </w:rPr>
        <w:t>’</w:t>
      </w:r>
      <w:r w:rsidRPr="009B02ED">
        <w:rPr>
          <w:snapToGrid w:val="0"/>
          <w:lang w:val="fr-FR"/>
        </w:rPr>
        <w:t>ADN, pour qu</w:t>
      </w:r>
      <w:r w:rsidR="000B716E">
        <w:rPr>
          <w:snapToGrid w:val="0"/>
          <w:lang w:val="fr-FR"/>
        </w:rPr>
        <w:t>’</w:t>
      </w:r>
      <w:r w:rsidRPr="009B02ED">
        <w:rPr>
          <w:snapToGrid w:val="0"/>
          <w:lang w:val="fr-FR"/>
        </w:rPr>
        <w:t>ils puissent entrer en vigueur le 1</w:t>
      </w:r>
      <w:r w:rsidRPr="00D47205">
        <w:rPr>
          <w:snapToGrid w:val="0"/>
          <w:vertAlign w:val="superscript"/>
          <w:lang w:val="fr-FR"/>
        </w:rPr>
        <w:t>er</w:t>
      </w:r>
      <w:r>
        <w:rPr>
          <w:snapToGrid w:val="0"/>
          <w:lang w:val="fr-FR"/>
        </w:rPr>
        <w:t> </w:t>
      </w:r>
      <w:r w:rsidRPr="009B02ED">
        <w:rPr>
          <w:snapToGrid w:val="0"/>
          <w:lang w:val="fr-FR"/>
        </w:rPr>
        <w:t>janvier</w:t>
      </w:r>
      <w:r w:rsidR="00A25B56">
        <w:rPr>
          <w:snapToGrid w:val="0"/>
          <w:lang w:val="fr-FR"/>
        </w:rPr>
        <w:t xml:space="preserve"> </w:t>
      </w:r>
      <w:r w:rsidRPr="009B02ED">
        <w:rPr>
          <w:snapToGrid w:val="0"/>
          <w:lang w:val="fr-FR"/>
        </w:rPr>
        <w:t>2017, c</w:t>
      </w:r>
      <w:r w:rsidR="000B716E">
        <w:rPr>
          <w:snapToGrid w:val="0"/>
          <w:lang w:val="fr-FR"/>
        </w:rPr>
        <w:t>’</w:t>
      </w:r>
      <w:r w:rsidRPr="009B02ED">
        <w:rPr>
          <w:snapToGrid w:val="0"/>
          <w:lang w:val="fr-FR"/>
        </w:rPr>
        <w:t>est-à-dire un mois après l</w:t>
      </w:r>
      <w:r w:rsidR="000B716E">
        <w:rPr>
          <w:snapToGrid w:val="0"/>
          <w:lang w:val="fr-FR"/>
        </w:rPr>
        <w:t>’</w:t>
      </w:r>
      <w:r w:rsidRPr="009B02ED">
        <w:rPr>
          <w:snapToGrid w:val="0"/>
          <w:lang w:val="fr-FR"/>
        </w:rPr>
        <w:t>acceptation par les Parties contractantes.</w:t>
      </w:r>
    </w:p>
    <w:p w:rsidR="00D47205" w:rsidRPr="009B02ED" w:rsidRDefault="00D85106" w:rsidP="00D85106">
      <w:pPr>
        <w:pStyle w:val="SingleTxtG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="00D47205" w:rsidRPr="009B02ED">
        <w:rPr>
          <w:snapToGrid w:val="0"/>
          <w:lang w:val="fr-FR"/>
        </w:rPr>
        <w:t>Les corrections proposées doivent être communiquées aux Parties contractantes le 1</w:t>
      </w:r>
      <w:r w:rsidR="00D47205" w:rsidRPr="000B716E">
        <w:rPr>
          <w:snapToGrid w:val="0"/>
          <w:vertAlign w:val="superscript"/>
          <w:lang w:val="fr-FR"/>
        </w:rPr>
        <w:t>er</w:t>
      </w:r>
      <w:r w:rsidR="000B716E">
        <w:rPr>
          <w:snapToGrid w:val="0"/>
          <w:lang w:val="fr-FR"/>
        </w:rPr>
        <w:t> </w:t>
      </w:r>
      <w:r w:rsidR="00D47205" w:rsidRPr="009B02ED">
        <w:rPr>
          <w:snapToGrid w:val="0"/>
          <w:lang w:val="fr-FR"/>
        </w:rPr>
        <w:t>octobre 2016 (date de l</w:t>
      </w:r>
      <w:r w:rsidR="000B716E">
        <w:rPr>
          <w:snapToGrid w:val="0"/>
          <w:lang w:val="fr-FR"/>
        </w:rPr>
        <w:t>’</w:t>
      </w:r>
      <w:r w:rsidR="00D47205" w:rsidRPr="009B02ED">
        <w:rPr>
          <w:snapToGrid w:val="0"/>
          <w:lang w:val="fr-FR"/>
        </w:rPr>
        <w:t>acceptation des amendements dans le document ECE/ADN/36)</w:t>
      </w:r>
      <w:r w:rsidR="00A25B56">
        <w:rPr>
          <w:snapToGrid w:val="0"/>
          <w:lang w:val="fr-FR"/>
        </w:rPr>
        <w:t xml:space="preserve"> </w:t>
      </w:r>
      <w:r w:rsidR="00D47205" w:rsidRPr="009B02ED">
        <w:rPr>
          <w:snapToGrid w:val="0"/>
          <w:lang w:val="fr-FR"/>
        </w:rPr>
        <w:t>pour acceptation conformément à la procédure établie pour les corrections, afin qu</w:t>
      </w:r>
      <w:r w:rsidR="000B716E">
        <w:rPr>
          <w:snapToGrid w:val="0"/>
          <w:lang w:val="fr-FR"/>
        </w:rPr>
        <w:t>’</w:t>
      </w:r>
      <w:r w:rsidR="00D47205" w:rsidRPr="009B02ED">
        <w:rPr>
          <w:snapToGrid w:val="0"/>
          <w:lang w:val="fr-FR"/>
        </w:rPr>
        <w:t>elles entrent en vigueur le 1</w:t>
      </w:r>
      <w:r w:rsidR="00D47205" w:rsidRPr="000B716E">
        <w:rPr>
          <w:snapToGrid w:val="0"/>
          <w:vertAlign w:val="superscript"/>
          <w:lang w:val="fr-FR"/>
        </w:rPr>
        <w:t>er</w:t>
      </w:r>
      <w:r w:rsidR="000B716E">
        <w:rPr>
          <w:snapToGrid w:val="0"/>
          <w:lang w:val="fr-FR"/>
        </w:rPr>
        <w:t> </w:t>
      </w:r>
      <w:r w:rsidR="00D47205" w:rsidRPr="009B02ED">
        <w:rPr>
          <w:snapToGrid w:val="0"/>
          <w:lang w:val="fr-FR"/>
        </w:rPr>
        <w:t>janvier 2017 au plus tard.</w:t>
      </w:r>
    </w:p>
    <w:p w:rsidR="00D47205" w:rsidRPr="009B02ED" w:rsidRDefault="00D47205" w:rsidP="00D47205">
      <w:pPr>
        <w:pStyle w:val="SingleTxtG"/>
        <w:rPr>
          <w:lang w:val="fr-FR"/>
        </w:rPr>
      </w:pPr>
      <w:r w:rsidRPr="009B02ED">
        <w:rPr>
          <w:lang w:val="fr-FR"/>
        </w:rPr>
        <w:tab/>
        <w:t>b)</w:t>
      </w:r>
      <w:r w:rsidRPr="009B02ED">
        <w:rPr>
          <w:lang w:val="fr-FR"/>
        </w:rPr>
        <w:tab/>
        <w:t>Autres propositions</w:t>
      </w:r>
    </w:p>
    <w:p w:rsidR="0049019F" w:rsidRDefault="00A07971" w:rsidP="00D47205">
      <w:pPr>
        <w:pStyle w:val="SingleTxtG"/>
        <w:rPr>
          <w:lang w:val="fr-FR"/>
        </w:rPr>
      </w:pPr>
      <w:r>
        <w:rPr>
          <w:lang w:val="fr-FR"/>
        </w:rPr>
        <w:tab/>
      </w:r>
      <w:r w:rsidR="00D47205" w:rsidRPr="009B02ED">
        <w:rPr>
          <w:lang w:val="fr-FR"/>
        </w:rPr>
        <w:t>Les propositions d</w:t>
      </w:r>
      <w:r w:rsidR="000B716E">
        <w:rPr>
          <w:lang w:val="fr-FR"/>
        </w:rPr>
        <w:t>’</w:t>
      </w:r>
      <w:r w:rsidR="00D47205" w:rsidRPr="009B02ED">
        <w:rPr>
          <w:lang w:val="fr-FR"/>
        </w:rPr>
        <w:t>amendements suivantes ont été reçues</w:t>
      </w:r>
      <w:r w:rsidR="00D85106">
        <w:rPr>
          <w:lang w:val="fr-FR"/>
        </w:rPr>
        <w:t> </w:t>
      </w:r>
      <w:r w:rsidR="000B716E">
        <w:rPr>
          <w:lang w:val="fr-FR"/>
        </w:rPr>
        <w:t>: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29"/>
      </w:tblGrid>
      <w:tr w:rsidR="00D47205" w:rsidRPr="000854E1" w:rsidTr="00140ED7">
        <w:tc>
          <w:tcPr>
            <w:tcW w:w="3542" w:type="dxa"/>
            <w:shd w:val="clear" w:color="auto" w:fill="auto"/>
          </w:tcPr>
          <w:p w:rsidR="00D47205" w:rsidRPr="00BD78B8" w:rsidRDefault="006422BC" w:rsidP="00A07971">
            <w:pPr>
              <w:spacing w:after="120"/>
              <w:rPr>
                <w:lang w:val="en-US"/>
              </w:rPr>
            </w:pPr>
            <w:r w:rsidRPr="00BD78B8">
              <w:rPr>
                <w:lang w:val="en-US"/>
              </w:rPr>
              <w:t>ECE/TRANS/WP.15/AC.2/2016/29 (CCNR)</w:t>
            </w:r>
          </w:p>
        </w:tc>
        <w:tc>
          <w:tcPr>
            <w:tcW w:w="3829" w:type="dxa"/>
            <w:shd w:val="clear" w:color="auto" w:fill="auto"/>
          </w:tcPr>
          <w:p w:rsidR="00D47205" w:rsidRPr="000854E1" w:rsidRDefault="006422BC" w:rsidP="00A07971">
            <w:pPr>
              <w:spacing w:after="120"/>
            </w:pPr>
            <w:r w:rsidRPr="00D47205">
              <w:rPr>
                <w:lang w:val="fr-FR"/>
              </w:rPr>
              <w:t xml:space="preserve">Actualisation du renvoi normatif du </w:t>
            </w:r>
            <w:r w:rsidRPr="00D47205">
              <w:rPr>
                <w:lang w:val="fr-FR"/>
              </w:rPr>
              <w:br/>
              <w:t>9.3.3.21.5 c)</w:t>
            </w:r>
          </w:p>
        </w:tc>
      </w:tr>
      <w:tr w:rsidR="00D47205" w:rsidRPr="000854E1" w:rsidTr="00140ED7">
        <w:tc>
          <w:tcPr>
            <w:tcW w:w="3542" w:type="dxa"/>
            <w:shd w:val="clear" w:color="auto" w:fill="auto"/>
          </w:tcPr>
          <w:p w:rsidR="00D47205" w:rsidRPr="009B02ED" w:rsidRDefault="00D47205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ECE/TRANS/WP.15/AC.2/2016/37 (Allemagne)</w:t>
            </w:r>
          </w:p>
        </w:tc>
        <w:tc>
          <w:tcPr>
            <w:tcW w:w="3829" w:type="dxa"/>
            <w:shd w:val="clear" w:color="auto" w:fill="auto"/>
          </w:tcPr>
          <w:p w:rsidR="00D47205" w:rsidRPr="009B02ED" w:rsidRDefault="00D47205" w:rsidP="00A417C2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 xml:space="preserve">Tableaux A et C, nom et description </w:t>
            </w:r>
            <w:r w:rsidR="000B716E">
              <w:rPr>
                <w:lang w:val="fr-FR"/>
              </w:rPr>
              <w:br/>
            </w:r>
            <w:r>
              <w:rPr>
                <w:lang w:val="fr-FR"/>
              </w:rPr>
              <w:t>pour le</w:t>
            </w:r>
            <w:r w:rsidR="000B716E">
              <w:rPr>
                <w:lang w:val="fr-FR"/>
              </w:rPr>
              <w:t xml:space="preserve"> </w:t>
            </w:r>
            <w:r w:rsidR="00A417C2">
              <w:rPr>
                <w:lang w:val="fr-FR"/>
              </w:rPr>
              <w:t>No </w:t>
            </w:r>
            <w:r>
              <w:rPr>
                <w:lang w:val="fr-FR"/>
              </w:rPr>
              <w:t>ONU</w:t>
            </w:r>
            <w:r w:rsidRPr="009B02ED">
              <w:rPr>
                <w:lang w:val="fr-FR"/>
              </w:rPr>
              <w:t> 3264</w:t>
            </w:r>
          </w:p>
        </w:tc>
      </w:tr>
      <w:tr w:rsidR="00D47205" w:rsidRPr="000854E1" w:rsidTr="00140ED7">
        <w:tc>
          <w:tcPr>
            <w:tcW w:w="3542" w:type="dxa"/>
            <w:shd w:val="clear" w:color="auto" w:fill="auto"/>
          </w:tcPr>
          <w:p w:rsidR="00D47205" w:rsidRPr="009B02ED" w:rsidRDefault="00D47205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ECE/TRANS/WP.15/AC.2/2016/38 (UENF, ERSTU et OEB)</w:t>
            </w:r>
          </w:p>
        </w:tc>
        <w:tc>
          <w:tcPr>
            <w:tcW w:w="3829" w:type="dxa"/>
            <w:shd w:val="clear" w:color="auto" w:fill="auto"/>
          </w:tcPr>
          <w:p w:rsidR="00D47205" w:rsidRPr="009B02ED" w:rsidRDefault="00D47205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 xml:space="preserve">Systèmes de protection autonomes </w:t>
            </w:r>
            <w:r w:rsidR="000B716E">
              <w:rPr>
                <w:lang w:val="fr-FR"/>
              </w:rPr>
              <w:br/>
            </w:r>
            <w:r w:rsidRPr="009B02ED">
              <w:rPr>
                <w:lang w:val="fr-FR"/>
              </w:rPr>
              <w:t>sans marquage</w:t>
            </w:r>
          </w:p>
        </w:tc>
      </w:tr>
      <w:tr w:rsidR="00D47205" w:rsidRPr="000854E1" w:rsidTr="00140ED7">
        <w:tc>
          <w:tcPr>
            <w:tcW w:w="3542" w:type="dxa"/>
            <w:shd w:val="clear" w:color="auto" w:fill="auto"/>
          </w:tcPr>
          <w:p w:rsidR="00D47205" w:rsidRPr="009B02ED" w:rsidRDefault="00D47205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ECE/TRANS/WP.15/AC.2/2016/39 (UENF, ERSTU et OEB)</w:t>
            </w:r>
          </w:p>
        </w:tc>
        <w:tc>
          <w:tcPr>
            <w:tcW w:w="3829" w:type="dxa"/>
            <w:shd w:val="clear" w:color="auto" w:fill="auto"/>
          </w:tcPr>
          <w:p w:rsidR="00D47205" w:rsidRPr="009B02ED" w:rsidRDefault="00D47205" w:rsidP="000B716E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 xml:space="preserve">Modification et </w:t>
            </w:r>
            <w:r>
              <w:rPr>
                <w:lang w:val="fr-FR"/>
              </w:rPr>
              <w:t>précisions concernant les</w:t>
            </w:r>
            <w:r w:rsidR="000B716E">
              <w:rPr>
                <w:lang w:val="fr-FR"/>
              </w:rPr>
              <w:t> </w:t>
            </w:r>
            <w:r w:rsidRPr="009B02ED">
              <w:rPr>
                <w:lang w:val="fr-FR"/>
              </w:rPr>
              <w:t>7.1.4.1.1 et 7.1.4.1.2</w:t>
            </w:r>
          </w:p>
        </w:tc>
      </w:tr>
      <w:tr w:rsidR="00D47205" w:rsidRPr="000854E1" w:rsidTr="00140ED7">
        <w:tc>
          <w:tcPr>
            <w:tcW w:w="3542" w:type="dxa"/>
            <w:shd w:val="clear" w:color="auto" w:fill="auto"/>
          </w:tcPr>
          <w:p w:rsidR="00D47205" w:rsidRPr="009B02ED" w:rsidRDefault="00D47205" w:rsidP="00A07971">
            <w:pPr>
              <w:keepNext/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lastRenderedPageBreak/>
              <w:t>ECE/TRANS/WP.15/AC.2/2016/40 (UENF, ERSTU et OEB)</w:t>
            </w:r>
          </w:p>
        </w:tc>
        <w:tc>
          <w:tcPr>
            <w:tcW w:w="3829" w:type="dxa"/>
            <w:shd w:val="clear" w:color="auto" w:fill="auto"/>
          </w:tcPr>
          <w:p w:rsidR="00D47205" w:rsidRPr="009B02ED" w:rsidRDefault="00D47205" w:rsidP="00A07971">
            <w:pPr>
              <w:keepNext/>
              <w:spacing w:after="120"/>
              <w:rPr>
                <w:lang w:val="fr-FR"/>
              </w:rPr>
            </w:pPr>
            <w:r>
              <w:rPr>
                <w:lang w:val="fr-FR"/>
              </w:rPr>
              <w:t>Élaboration</w:t>
            </w:r>
            <w:r w:rsidRPr="009B02ED">
              <w:rPr>
                <w:lang w:val="fr-FR"/>
              </w:rPr>
              <w:t xml:space="preserve"> de manuels de stabilité </w:t>
            </w:r>
            <w:r w:rsidR="000B716E">
              <w:rPr>
                <w:lang w:val="fr-FR"/>
              </w:rPr>
              <w:br/>
            </w:r>
            <w:r w:rsidRPr="009B02ED">
              <w:rPr>
                <w:lang w:val="fr-FR"/>
              </w:rPr>
              <w:t xml:space="preserve">et de programmes </w:t>
            </w:r>
            <w:r>
              <w:rPr>
                <w:lang w:val="fr-FR"/>
              </w:rPr>
              <w:t>de stabilité</w:t>
            </w:r>
            <w:r w:rsidRPr="00D47205">
              <w:rPr>
                <w:lang w:val="fr-FR"/>
              </w:rPr>
              <w:t xml:space="preserve"> </w:t>
            </w:r>
          </w:p>
        </w:tc>
      </w:tr>
      <w:tr w:rsidR="00D85106" w:rsidRPr="000854E1" w:rsidTr="00140ED7">
        <w:tc>
          <w:tcPr>
            <w:tcW w:w="3542" w:type="dxa"/>
            <w:shd w:val="clear" w:color="auto" w:fill="auto"/>
          </w:tcPr>
          <w:p w:rsidR="00D85106" w:rsidRPr="009B02ED" w:rsidRDefault="00D85106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ECE/TRANS/WP.15/AC.2/2016/41 (UENF, ERSTU et OEB)</w:t>
            </w:r>
          </w:p>
        </w:tc>
        <w:tc>
          <w:tcPr>
            <w:tcW w:w="3829" w:type="dxa"/>
            <w:shd w:val="clear" w:color="auto" w:fill="auto"/>
          </w:tcPr>
          <w:p w:rsidR="00D85106" w:rsidRDefault="00D85106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Matériaux de construction</w:t>
            </w:r>
          </w:p>
        </w:tc>
      </w:tr>
      <w:tr w:rsidR="00D85106" w:rsidRPr="000854E1" w:rsidTr="00140ED7">
        <w:tc>
          <w:tcPr>
            <w:tcW w:w="3542" w:type="dxa"/>
            <w:shd w:val="clear" w:color="auto" w:fill="auto"/>
          </w:tcPr>
          <w:p w:rsidR="00D85106" w:rsidRPr="009B02ED" w:rsidRDefault="00D85106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ECE/TRANS/WP.15/AC.2/2016/43 (</w:t>
            </w:r>
            <w:r>
              <w:rPr>
                <w:lang w:val="fr-FR"/>
              </w:rPr>
              <w:t>s</w:t>
            </w:r>
            <w:r w:rsidRPr="009B02ED">
              <w:rPr>
                <w:lang w:val="fr-FR"/>
              </w:rPr>
              <w:t>ociétés de classification recommandées ADN)</w:t>
            </w:r>
          </w:p>
        </w:tc>
        <w:tc>
          <w:tcPr>
            <w:tcW w:w="3829" w:type="dxa"/>
            <w:shd w:val="clear" w:color="auto" w:fill="auto"/>
          </w:tcPr>
          <w:p w:rsidR="00D85106" w:rsidRPr="009B02ED" w:rsidRDefault="00D85106" w:rsidP="00A07971">
            <w:pPr>
              <w:spacing w:after="120"/>
              <w:rPr>
                <w:lang w:val="fr-FR"/>
              </w:rPr>
            </w:pPr>
            <w:r w:rsidRPr="00B533E1">
              <w:rPr>
                <w:lang w:val="fr-FR"/>
              </w:rPr>
              <w:t>Douche et installation pour le rinçage des yeux</w:t>
            </w:r>
            <w:r w:rsidR="00A07971">
              <w:rPr>
                <w:lang w:val="fr-FR"/>
              </w:rPr>
              <w:t xml:space="preserve"> </w:t>
            </w:r>
            <w:r w:rsidRPr="00B533E1">
              <w:rPr>
                <w:lang w:val="fr-FR"/>
              </w:rPr>
              <w:t>et du visage</w:t>
            </w:r>
          </w:p>
        </w:tc>
      </w:tr>
      <w:tr w:rsidR="00D85106" w:rsidRPr="000854E1" w:rsidTr="00140ED7">
        <w:tc>
          <w:tcPr>
            <w:tcW w:w="3542" w:type="dxa"/>
            <w:shd w:val="clear" w:color="auto" w:fill="auto"/>
          </w:tcPr>
          <w:p w:rsidR="00D85106" w:rsidRPr="009B02ED" w:rsidRDefault="00D85106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 xml:space="preserve">ECE/TRANS/WP.15/AC.2/2016/44 </w:t>
            </w:r>
            <w:r w:rsidR="00A07971">
              <w:rPr>
                <w:lang w:val="fr-FR"/>
              </w:rPr>
              <w:br/>
            </w:r>
            <w:r w:rsidRPr="009B02ED">
              <w:rPr>
                <w:lang w:val="fr-FR"/>
              </w:rPr>
              <w:t>(Pays-Bas et France)</w:t>
            </w:r>
          </w:p>
        </w:tc>
        <w:tc>
          <w:tcPr>
            <w:tcW w:w="3829" w:type="dxa"/>
            <w:shd w:val="clear" w:color="auto" w:fill="auto"/>
          </w:tcPr>
          <w:p w:rsidR="00D85106" w:rsidRPr="009B02ED" w:rsidRDefault="00D85106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 xml:space="preserve">Proposition </w:t>
            </w:r>
            <w:r>
              <w:rPr>
                <w:lang w:val="fr-FR"/>
              </w:rPr>
              <w:t>d</w:t>
            </w:r>
            <w:r w:rsidR="000B716E">
              <w:rPr>
                <w:lang w:val="fr-FR"/>
              </w:rPr>
              <w:t>’</w:t>
            </w:r>
            <w:r>
              <w:rPr>
                <w:lang w:val="fr-FR"/>
              </w:rPr>
              <w:t>amendement au</w:t>
            </w:r>
            <w:r w:rsidRPr="009B02ED">
              <w:rPr>
                <w:lang w:val="fr-FR"/>
              </w:rPr>
              <w:t xml:space="preserve"> 7.2.4.25.5</w:t>
            </w:r>
          </w:p>
        </w:tc>
      </w:tr>
      <w:tr w:rsidR="00D85106" w:rsidRPr="000854E1" w:rsidTr="00140ED7">
        <w:tc>
          <w:tcPr>
            <w:tcW w:w="3542" w:type="dxa"/>
            <w:shd w:val="clear" w:color="auto" w:fill="auto"/>
          </w:tcPr>
          <w:p w:rsidR="00D85106" w:rsidRPr="009B02ED" w:rsidRDefault="00D85106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 xml:space="preserve">ECE/TRANS/WP.15/AC.2/2016/45 </w:t>
            </w:r>
            <w:r w:rsidR="00A07971">
              <w:rPr>
                <w:lang w:val="fr-FR"/>
              </w:rPr>
              <w:br/>
            </w:r>
            <w:r w:rsidRPr="009B02ED">
              <w:rPr>
                <w:lang w:val="fr-FR"/>
              </w:rPr>
              <w:t>(Pays-Bas)</w:t>
            </w:r>
          </w:p>
        </w:tc>
        <w:tc>
          <w:tcPr>
            <w:tcW w:w="3829" w:type="dxa"/>
            <w:shd w:val="clear" w:color="auto" w:fill="auto"/>
          </w:tcPr>
          <w:p w:rsidR="00D85106" w:rsidRPr="009B02ED" w:rsidRDefault="00D85106" w:rsidP="00A0797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Gattes de réception</w:t>
            </w:r>
          </w:p>
        </w:tc>
      </w:tr>
    </w:tbl>
    <w:p w:rsidR="00D85106" w:rsidRDefault="00D85106" w:rsidP="006422BC">
      <w:pPr>
        <w:pStyle w:val="H23G"/>
        <w:rPr>
          <w:lang w:val="fr-FR"/>
        </w:rPr>
      </w:pPr>
      <w:r>
        <w:rPr>
          <w:lang w:val="fr-FR"/>
        </w:rPr>
        <w:tab/>
      </w:r>
      <w:r w:rsidRPr="009B02ED">
        <w:rPr>
          <w:lang w:val="fr-FR"/>
        </w:rPr>
        <w:t>5.</w:t>
      </w:r>
      <w:r w:rsidRPr="009B02ED">
        <w:rPr>
          <w:lang w:val="fr-FR"/>
        </w:rPr>
        <w:tab/>
        <w:t>Rapports des groupes de travail informels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29"/>
      </w:tblGrid>
      <w:tr w:rsidR="00D85106" w:rsidRPr="000854E1" w:rsidTr="00140ED7">
        <w:tc>
          <w:tcPr>
            <w:tcW w:w="3542" w:type="dxa"/>
            <w:shd w:val="clear" w:color="auto" w:fill="auto"/>
          </w:tcPr>
          <w:p w:rsidR="00D85106" w:rsidRPr="00BD78B8" w:rsidRDefault="00D85106" w:rsidP="00A07971">
            <w:pPr>
              <w:spacing w:after="120"/>
              <w:rPr>
                <w:lang w:val="en-US"/>
              </w:rPr>
            </w:pPr>
            <w:r w:rsidRPr="00BD78B8">
              <w:rPr>
                <w:lang w:val="en-US"/>
              </w:rPr>
              <w:t>ECE/TRANS/WP.15/AC.2/2016/30 (CCNR)</w:t>
            </w:r>
          </w:p>
        </w:tc>
        <w:tc>
          <w:tcPr>
            <w:tcW w:w="3829" w:type="dxa"/>
            <w:shd w:val="clear" w:color="auto" w:fill="auto"/>
          </w:tcPr>
          <w:p w:rsidR="00D85106" w:rsidRPr="009B02ED" w:rsidRDefault="00D85106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>Proposition relative à l</w:t>
            </w:r>
            <w:r w:rsidR="000B716E">
              <w:rPr>
                <w:lang w:val="fr-FR"/>
              </w:rPr>
              <w:t>’</w:t>
            </w:r>
            <w:r w:rsidRPr="009B02ED">
              <w:rPr>
                <w:lang w:val="fr-FR"/>
              </w:rPr>
              <w:t>application du concept modifié de protection contre les explosions sur les bateaux circulant sur les voies de navigation intérieures</w:t>
            </w:r>
          </w:p>
        </w:tc>
      </w:tr>
      <w:tr w:rsidR="00D85106" w:rsidRPr="000854E1" w:rsidTr="00140ED7">
        <w:tc>
          <w:tcPr>
            <w:tcW w:w="3542" w:type="dxa"/>
            <w:shd w:val="clear" w:color="auto" w:fill="auto"/>
          </w:tcPr>
          <w:p w:rsidR="00D85106" w:rsidRPr="009B02ED" w:rsidRDefault="00D85106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 xml:space="preserve">ECE/TRANS/WP.15/AC.2/2016/46 </w:t>
            </w:r>
            <w:r w:rsidR="00A07971">
              <w:rPr>
                <w:lang w:val="fr-FR"/>
              </w:rPr>
              <w:br/>
            </w:r>
            <w:r w:rsidRPr="009B02ED">
              <w:rPr>
                <w:lang w:val="fr-FR"/>
              </w:rPr>
              <w:t>(Pays-Bas et Suisse)</w:t>
            </w:r>
          </w:p>
        </w:tc>
        <w:tc>
          <w:tcPr>
            <w:tcW w:w="3829" w:type="dxa"/>
            <w:shd w:val="clear" w:color="auto" w:fill="auto"/>
          </w:tcPr>
          <w:p w:rsidR="00D85106" w:rsidRPr="009B02ED" w:rsidRDefault="00D85106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 xml:space="preserve">Rapport du groupe de travail informel </w:t>
            </w:r>
            <w:r>
              <w:rPr>
                <w:lang w:val="fr-FR"/>
              </w:rPr>
              <w:t>du</w:t>
            </w:r>
            <w:r w:rsidRPr="009B02ED">
              <w:rPr>
                <w:lang w:val="fr-FR"/>
              </w:rPr>
              <w:t xml:space="preserve"> gaz naturel liquéfié (GNL)</w:t>
            </w:r>
          </w:p>
        </w:tc>
      </w:tr>
      <w:tr w:rsidR="00D85106" w:rsidRPr="000854E1" w:rsidTr="00140ED7">
        <w:tc>
          <w:tcPr>
            <w:tcW w:w="3542" w:type="dxa"/>
            <w:shd w:val="clear" w:color="auto" w:fill="auto"/>
          </w:tcPr>
          <w:p w:rsidR="00D85106" w:rsidRPr="009B02ED" w:rsidRDefault="00D85106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 xml:space="preserve">ECE/TRANS/WP.15/AC.2/2016/49 </w:t>
            </w:r>
            <w:r w:rsidR="00A07971">
              <w:rPr>
                <w:lang w:val="fr-FR"/>
              </w:rPr>
              <w:br/>
            </w:r>
            <w:r w:rsidRPr="009B02ED">
              <w:rPr>
                <w:lang w:val="fr-FR"/>
              </w:rPr>
              <w:t>(Pays-Bas)</w:t>
            </w:r>
          </w:p>
        </w:tc>
        <w:tc>
          <w:tcPr>
            <w:tcW w:w="3829" w:type="dxa"/>
            <w:shd w:val="clear" w:color="auto" w:fill="auto"/>
          </w:tcPr>
          <w:p w:rsidR="00D85106" w:rsidRPr="009B02ED" w:rsidRDefault="00D85106" w:rsidP="00A07971">
            <w:pPr>
              <w:spacing w:after="120"/>
              <w:rPr>
                <w:lang w:val="fr-FR"/>
              </w:rPr>
            </w:pPr>
            <w:r w:rsidRPr="009B02ED">
              <w:rPr>
                <w:lang w:val="fr-FR"/>
              </w:rPr>
              <w:t xml:space="preserve">Rapport du groupe de travail informel </w:t>
            </w:r>
            <w:r w:rsidR="000B716E">
              <w:rPr>
                <w:lang w:val="fr-FR"/>
              </w:rPr>
              <w:br/>
            </w:r>
            <w:r>
              <w:rPr>
                <w:lang w:val="fr-FR"/>
              </w:rPr>
              <w:t>du</w:t>
            </w:r>
            <w:r w:rsidRPr="009B02ED">
              <w:rPr>
                <w:lang w:val="fr-FR"/>
              </w:rPr>
              <w:t xml:space="preserve"> dégazage des citernes</w:t>
            </w:r>
          </w:p>
        </w:tc>
      </w:tr>
    </w:tbl>
    <w:p w:rsidR="00D85106" w:rsidRPr="009B02ED" w:rsidRDefault="00A07971" w:rsidP="00D85106">
      <w:pPr>
        <w:pStyle w:val="SingleTxtG"/>
        <w:rPr>
          <w:snapToGrid w:val="0"/>
          <w:lang w:val="fr-FR"/>
        </w:rPr>
      </w:pPr>
      <w:r>
        <w:rPr>
          <w:lang w:val="fr-FR"/>
        </w:rPr>
        <w:tab/>
      </w:r>
      <w:r w:rsidR="00D85106" w:rsidRPr="009B02ED">
        <w:rPr>
          <w:lang w:val="fr-FR"/>
        </w:rPr>
        <w:t>Les rapports des groupes de travail informels qui seront reçus après la publication du</w:t>
      </w:r>
      <w:r>
        <w:rPr>
          <w:lang w:val="fr-FR"/>
        </w:rPr>
        <w:t> </w:t>
      </w:r>
      <w:r w:rsidR="00D85106" w:rsidRPr="009B02ED">
        <w:rPr>
          <w:lang w:val="fr-FR"/>
        </w:rPr>
        <w:t>présent ordre du jour annoté seront présentés dans des documents sans cote.</w:t>
      </w:r>
    </w:p>
    <w:p w:rsidR="00D85106" w:rsidRPr="009B02ED" w:rsidRDefault="00D85106" w:rsidP="00D85106">
      <w:pPr>
        <w:pStyle w:val="H23G"/>
        <w:rPr>
          <w:lang w:val="fr-FR"/>
        </w:rPr>
      </w:pPr>
      <w:r w:rsidRPr="009B02ED">
        <w:rPr>
          <w:lang w:val="fr-FR"/>
        </w:rPr>
        <w:tab/>
        <w:t>6.</w:t>
      </w:r>
      <w:r w:rsidRPr="009B02ED">
        <w:rPr>
          <w:lang w:val="fr-FR"/>
        </w:rPr>
        <w:tab/>
        <w:t>Programme de travail et calendrier des réunions</w:t>
      </w:r>
    </w:p>
    <w:p w:rsidR="00D85106" w:rsidRPr="009B02ED" w:rsidRDefault="00D85106" w:rsidP="00D85106">
      <w:pPr>
        <w:pStyle w:val="SingleTxtG"/>
        <w:rPr>
          <w:snapToGrid w:val="0"/>
          <w:lang w:val="fr-FR"/>
        </w:rPr>
      </w:pPr>
      <w:r>
        <w:rPr>
          <w:lang w:val="fr-FR"/>
        </w:rPr>
        <w:tab/>
      </w:r>
      <w:r w:rsidRPr="009B02ED">
        <w:rPr>
          <w:lang w:val="fr-FR"/>
        </w:rPr>
        <w:t>La dix-septième session du Comité d</w:t>
      </w:r>
      <w:r w:rsidR="000B716E">
        <w:rPr>
          <w:lang w:val="fr-FR"/>
        </w:rPr>
        <w:t>’</w:t>
      </w:r>
      <w:r w:rsidRPr="009B02ED">
        <w:rPr>
          <w:lang w:val="fr-FR"/>
        </w:rPr>
        <w:t>administration de l</w:t>
      </w:r>
      <w:r w:rsidR="000B716E">
        <w:rPr>
          <w:lang w:val="fr-FR"/>
        </w:rPr>
        <w:t>’</w:t>
      </w:r>
      <w:r w:rsidRPr="009B02ED">
        <w:rPr>
          <w:lang w:val="fr-FR"/>
        </w:rPr>
        <w:t>ADN s</w:t>
      </w:r>
      <w:r w:rsidR="000B716E">
        <w:rPr>
          <w:lang w:val="fr-FR"/>
        </w:rPr>
        <w:t>’</w:t>
      </w:r>
      <w:r w:rsidRPr="009B02ED">
        <w:rPr>
          <w:lang w:val="fr-FR"/>
        </w:rPr>
        <w:t>ouvrira le 26</w:t>
      </w:r>
      <w:r>
        <w:rPr>
          <w:lang w:val="fr-FR"/>
        </w:rPr>
        <w:t> </w:t>
      </w:r>
      <w:r w:rsidRPr="009B02ED">
        <w:rPr>
          <w:lang w:val="fr-FR"/>
        </w:rPr>
        <w:t>août 2016 à midi. La trentième session du Comité de sécurité de l</w:t>
      </w:r>
      <w:r w:rsidR="000B716E">
        <w:rPr>
          <w:lang w:val="fr-FR"/>
        </w:rPr>
        <w:t>’</w:t>
      </w:r>
      <w:r w:rsidRPr="009B02ED">
        <w:rPr>
          <w:lang w:val="fr-FR"/>
        </w:rPr>
        <w:t>ADN doit se tenir à Genève du 23 au 26</w:t>
      </w:r>
      <w:r>
        <w:rPr>
          <w:lang w:val="fr-FR"/>
        </w:rPr>
        <w:t> </w:t>
      </w:r>
      <w:r w:rsidRPr="009B02ED">
        <w:rPr>
          <w:lang w:val="fr-FR"/>
        </w:rPr>
        <w:t>janvier 2017. La dix-huitième session du Comité d</w:t>
      </w:r>
      <w:r w:rsidR="000B716E">
        <w:rPr>
          <w:lang w:val="fr-FR"/>
        </w:rPr>
        <w:t>’</w:t>
      </w:r>
      <w:r w:rsidRPr="009B02ED">
        <w:rPr>
          <w:lang w:val="fr-FR"/>
        </w:rPr>
        <w:t>administration de l</w:t>
      </w:r>
      <w:r w:rsidR="000B716E">
        <w:rPr>
          <w:lang w:val="fr-FR"/>
        </w:rPr>
        <w:t>’</w:t>
      </w:r>
      <w:r w:rsidRPr="009B02ED">
        <w:rPr>
          <w:lang w:val="fr-FR"/>
        </w:rPr>
        <w:t>ADN doit se tenir le 26</w:t>
      </w:r>
      <w:r>
        <w:rPr>
          <w:lang w:val="fr-FR"/>
        </w:rPr>
        <w:t> </w:t>
      </w:r>
      <w:r w:rsidRPr="009B02ED">
        <w:rPr>
          <w:lang w:val="fr-FR"/>
        </w:rPr>
        <w:t xml:space="preserve">janvier 2017. La date limite pour la soumission des documents </w:t>
      </w:r>
      <w:r>
        <w:rPr>
          <w:lang w:val="fr-FR"/>
        </w:rPr>
        <w:t xml:space="preserve">de ces réunions </w:t>
      </w:r>
      <w:r w:rsidRPr="009B02ED">
        <w:rPr>
          <w:lang w:val="fr-FR"/>
        </w:rPr>
        <w:t>a été fixée au</w:t>
      </w:r>
      <w:r w:rsidR="00A25B56">
        <w:rPr>
          <w:lang w:val="fr-FR"/>
        </w:rPr>
        <w:t xml:space="preserve"> </w:t>
      </w:r>
      <w:r w:rsidRPr="009B02ED">
        <w:rPr>
          <w:lang w:val="fr-FR"/>
        </w:rPr>
        <w:t>28</w:t>
      </w:r>
      <w:r>
        <w:rPr>
          <w:lang w:val="fr-FR"/>
        </w:rPr>
        <w:t> </w:t>
      </w:r>
      <w:r w:rsidRPr="009B02ED">
        <w:rPr>
          <w:lang w:val="fr-FR"/>
        </w:rPr>
        <w:t>octobre 2016.</w:t>
      </w:r>
    </w:p>
    <w:p w:rsidR="00D85106" w:rsidRPr="009B02ED" w:rsidRDefault="00D85106" w:rsidP="00D85106">
      <w:pPr>
        <w:pStyle w:val="H23G"/>
        <w:rPr>
          <w:lang w:val="fr-FR"/>
        </w:rPr>
      </w:pPr>
      <w:r w:rsidRPr="009B02ED">
        <w:rPr>
          <w:lang w:val="fr-FR"/>
        </w:rPr>
        <w:tab/>
        <w:t>7.</w:t>
      </w:r>
      <w:r w:rsidRPr="009B02ED">
        <w:rPr>
          <w:lang w:val="fr-FR"/>
        </w:rPr>
        <w:tab/>
        <w:t>Questions diverses</w:t>
      </w:r>
    </w:p>
    <w:p w:rsidR="00D85106" w:rsidRPr="009B02ED" w:rsidRDefault="00D85106" w:rsidP="00D85106">
      <w:pPr>
        <w:pStyle w:val="SingleTxtG"/>
        <w:rPr>
          <w:snapToGrid w:val="0"/>
          <w:lang w:val="fr-FR"/>
        </w:rPr>
      </w:pPr>
      <w:r>
        <w:rPr>
          <w:lang w:val="fr-FR"/>
        </w:rPr>
        <w:tab/>
      </w:r>
      <w:r w:rsidRPr="009B02ED">
        <w:rPr>
          <w:lang w:val="fr-FR"/>
        </w:rPr>
        <w:t>Le Comité de sécurité souhaitera peut-être examiner d</w:t>
      </w:r>
      <w:r w:rsidR="000B716E">
        <w:rPr>
          <w:lang w:val="fr-FR"/>
        </w:rPr>
        <w:t>’</w:t>
      </w:r>
      <w:r w:rsidRPr="009B02ED">
        <w:rPr>
          <w:lang w:val="fr-FR"/>
        </w:rPr>
        <w:t>autres questions se rapportant à ses travaux.</w:t>
      </w:r>
    </w:p>
    <w:p w:rsidR="00D85106" w:rsidRPr="009B02ED" w:rsidRDefault="00D85106" w:rsidP="00D85106">
      <w:pPr>
        <w:pStyle w:val="H23G"/>
        <w:rPr>
          <w:lang w:val="fr-FR"/>
        </w:rPr>
      </w:pPr>
      <w:r w:rsidRPr="009B02ED">
        <w:rPr>
          <w:lang w:val="fr-FR"/>
        </w:rPr>
        <w:tab/>
        <w:t>8.</w:t>
      </w:r>
      <w:r w:rsidRPr="009B02ED">
        <w:rPr>
          <w:lang w:val="fr-FR"/>
        </w:rPr>
        <w:tab/>
        <w:t>Adoption du rapport</w:t>
      </w:r>
    </w:p>
    <w:p w:rsidR="00B67221" w:rsidRDefault="00D85106" w:rsidP="00D85106">
      <w:pPr>
        <w:pStyle w:val="SingleTxtG"/>
        <w:rPr>
          <w:lang w:val="fr-FR"/>
        </w:rPr>
      </w:pPr>
      <w:r>
        <w:rPr>
          <w:lang w:val="fr-FR"/>
        </w:rPr>
        <w:tab/>
      </w:r>
      <w:r w:rsidRPr="009B02ED">
        <w:rPr>
          <w:lang w:val="fr-FR"/>
        </w:rPr>
        <w:t>Le Comité de sécurité souhaitera peut-être adopter le rapport de sa vingt-neuvième session sur la base d</w:t>
      </w:r>
      <w:r w:rsidR="000B716E">
        <w:rPr>
          <w:lang w:val="fr-FR"/>
        </w:rPr>
        <w:t>’</w:t>
      </w:r>
      <w:r w:rsidRPr="009B02ED">
        <w:rPr>
          <w:lang w:val="fr-FR"/>
        </w:rPr>
        <w:t>un projet établi par le secrétariat.</w:t>
      </w:r>
    </w:p>
    <w:p w:rsidR="00D85106" w:rsidRPr="00D85106" w:rsidRDefault="00D85106" w:rsidP="00D8510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5106" w:rsidRPr="00D85106" w:rsidSect="00B672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5E" w:rsidRDefault="006C555E" w:rsidP="00F95C08">
      <w:pPr>
        <w:spacing w:line="240" w:lineRule="auto"/>
      </w:pPr>
    </w:p>
  </w:endnote>
  <w:endnote w:type="continuationSeparator" w:id="0">
    <w:p w:rsidR="006C555E" w:rsidRPr="00AC3823" w:rsidRDefault="006C555E" w:rsidP="00AC3823">
      <w:pPr>
        <w:pStyle w:val="Footer"/>
      </w:pPr>
    </w:p>
  </w:endnote>
  <w:endnote w:type="continuationNotice" w:id="1">
    <w:p w:rsidR="006C555E" w:rsidRDefault="006C55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21" w:rsidRPr="00B67221" w:rsidRDefault="00B67221" w:rsidP="00B67221">
    <w:pPr>
      <w:pStyle w:val="Footer"/>
      <w:tabs>
        <w:tab w:val="right" w:pos="9638"/>
      </w:tabs>
    </w:pPr>
    <w:r w:rsidRPr="00B67221">
      <w:rPr>
        <w:b/>
        <w:sz w:val="18"/>
      </w:rPr>
      <w:fldChar w:fldCharType="begin"/>
    </w:r>
    <w:r w:rsidRPr="00B67221">
      <w:rPr>
        <w:b/>
        <w:sz w:val="18"/>
      </w:rPr>
      <w:instrText xml:space="preserve"> PAGE  \* MERGEFORMAT </w:instrText>
    </w:r>
    <w:r w:rsidRPr="00B67221">
      <w:rPr>
        <w:b/>
        <w:sz w:val="18"/>
      </w:rPr>
      <w:fldChar w:fldCharType="separate"/>
    </w:r>
    <w:r w:rsidR="00BD78B8">
      <w:rPr>
        <w:b/>
        <w:noProof/>
        <w:sz w:val="18"/>
      </w:rPr>
      <w:t>2</w:t>
    </w:r>
    <w:r w:rsidRPr="00B67221">
      <w:rPr>
        <w:b/>
        <w:sz w:val="18"/>
      </w:rPr>
      <w:fldChar w:fldCharType="end"/>
    </w:r>
    <w:r>
      <w:rPr>
        <w:b/>
        <w:sz w:val="18"/>
      </w:rPr>
      <w:tab/>
    </w:r>
    <w:r>
      <w:t>GE.16-09899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21" w:rsidRPr="00B67221" w:rsidRDefault="00B67221" w:rsidP="00B67221">
    <w:pPr>
      <w:pStyle w:val="Footer"/>
      <w:tabs>
        <w:tab w:val="right" w:pos="9638"/>
      </w:tabs>
      <w:rPr>
        <w:b/>
        <w:sz w:val="18"/>
      </w:rPr>
    </w:pPr>
    <w:r>
      <w:t>GE.16-09899</w:t>
    </w:r>
    <w:r>
      <w:tab/>
    </w:r>
    <w:r w:rsidRPr="00B67221">
      <w:rPr>
        <w:b/>
        <w:sz w:val="18"/>
      </w:rPr>
      <w:fldChar w:fldCharType="begin"/>
    </w:r>
    <w:r w:rsidRPr="00B67221">
      <w:rPr>
        <w:b/>
        <w:sz w:val="18"/>
      </w:rPr>
      <w:instrText xml:space="preserve"> PAGE  \* MERGEFORMAT </w:instrText>
    </w:r>
    <w:r w:rsidRPr="00B67221">
      <w:rPr>
        <w:b/>
        <w:sz w:val="18"/>
      </w:rPr>
      <w:fldChar w:fldCharType="separate"/>
    </w:r>
    <w:r w:rsidR="00BD78B8">
      <w:rPr>
        <w:b/>
        <w:noProof/>
        <w:sz w:val="18"/>
      </w:rPr>
      <w:t>3</w:t>
    </w:r>
    <w:r w:rsidRPr="00B672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B67221" w:rsidRDefault="00B67221" w:rsidP="00B6722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52ED018A" wp14:editId="6960FFA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16-09899  (F)</w:t>
    </w:r>
    <w:r w:rsidR="000B716E">
      <w:rPr>
        <w:sz w:val="20"/>
      </w:rPr>
      <w:t xml:space="preserve">    240616</w:t>
    </w:r>
    <w:r w:rsidR="00A417C2">
      <w:rPr>
        <w:sz w:val="20"/>
      </w:rPr>
      <w:t xml:space="preserve">    </w:t>
    </w:r>
    <w:r w:rsidR="000B716E">
      <w:rPr>
        <w:sz w:val="20"/>
      </w:rPr>
      <w:t>240616</w:t>
    </w:r>
    <w:r>
      <w:rPr>
        <w:sz w:val="20"/>
      </w:rPr>
      <w:br/>
    </w:r>
    <w:r w:rsidRPr="00B67221">
      <w:rPr>
        <w:rFonts w:ascii="C39T30Lfz" w:hAnsi="C39T30Lfz"/>
        <w:sz w:val="56"/>
      </w:rPr>
      <w:t></w:t>
    </w:r>
    <w:r w:rsidRPr="00B67221">
      <w:rPr>
        <w:rFonts w:ascii="C39T30Lfz" w:hAnsi="C39T30Lfz"/>
        <w:sz w:val="56"/>
      </w:rPr>
      <w:t></w:t>
    </w:r>
    <w:r w:rsidRPr="00B67221">
      <w:rPr>
        <w:rFonts w:ascii="C39T30Lfz" w:hAnsi="C39T30Lfz"/>
        <w:sz w:val="56"/>
      </w:rPr>
      <w:t></w:t>
    </w:r>
    <w:r w:rsidRPr="00B67221">
      <w:rPr>
        <w:rFonts w:ascii="C39T30Lfz" w:hAnsi="C39T30Lfz"/>
        <w:sz w:val="56"/>
      </w:rPr>
      <w:t></w:t>
    </w:r>
    <w:r w:rsidRPr="00B67221">
      <w:rPr>
        <w:rFonts w:ascii="C39T30Lfz" w:hAnsi="C39T30Lfz"/>
        <w:sz w:val="56"/>
      </w:rPr>
      <w:t></w:t>
    </w:r>
    <w:r w:rsidRPr="00B67221">
      <w:rPr>
        <w:rFonts w:ascii="C39T30Lfz" w:hAnsi="C39T30Lfz"/>
        <w:sz w:val="56"/>
      </w:rPr>
      <w:t></w:t>
    </w:r>
    <w:r w:rsidRPr="00B67221">
      <w:rPr>
        <w:rFonts w:ascii="C39T30Lfz" w:hAnsi="C39T30Lfz"/>
        <w:sz w:val="56"/>
      </w:rPr>
      <w:t></w:t>
    </w:r>
    <w:r w:rsidRPr="00B67221">
      <w:rPr>
        <w:rFonts w:ascii="C39T30Lfz" w:hAnsi="C39T30Lfz"/>
        <w:sz w:val="56"/>
      </w:rPr>
      <w:t></w:t>
    </w:r>
    <w:r w:rsidRPr="00B67221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2/59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59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5E" w:rsidRPr="00AC3823" w:rsidRDefault="006C555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C555E" w:rsidRPr="00AC3823" w:rsidRDefault="006C555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C555E" w:rsidRPr="00AC3823" w:rsidRDefault="006C555E">
      <w:pPr>
        <w:spacing w:line="240" w:lineRule="auto"/>
        <w:rPr>
          <w:sz w:val="2"/>
          <w:szCs w:val="2"/>
        </w:rPr>
      </w:pPr>
    </w:p>
  </w:footnote>
  <w:footnote w:id="2">
    <w:p w:rsidR="00B67221" w:rsidRDefault="00B67221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9B02ED">
        <w:rPr>
          <w:szCs w:val="18"/>
          <w:lang w:val="fr-FR"/>
        </w:rPr>
        <w:t>Diffusé en langue allemande par la Commission centrale pour la navigation du Rhin sous la cote CCNR/ZKR/ADN/WP.15/AC.2/59/Add.1</w:t>
      </w:r>
      <w:r w:rsidRPr="009B02ED">
        <w:rPr>
          <w:i/>
          <w:iCs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21" w:rsidRPr="00BD78B8" w:rsidRDefault="00B67221">
    <w:pPr>
      <w:pStyle w:val="Header"/>
      <w:rPr>
        <w:lang w:val="en-US"/>
      </w:rPr>
    </w:pPr>
    <w:r w:rsidRPr="00BD78B8">
      <w:rPr>
        <w:lang w:val="en-US"/>
      </w:rPr>
      <w:t>ECE/TRANS/WP.15/AC.2/59/Add.1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21" w:rsidRPr="00BD78B8" w:rsidRDefault="00B67221" w:rsidP="00B67221">
    <w:pPr>
      <w:pStyle w:val="Header"/>
      <w:jc w:val="right"/>
      <w:rPr>
        <w:lang w:val="en-US"/>
      </w:rPr>
    </w:pPr>
    <w:r w:rsidRPr="00BD78B8">
      <w:rPr>
        <w:lang w:val="en-US"/>
      </w:rPr>
      <w:t>ECE/TRANS/WP.15/AC.2/59/Add.1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5E"/>
    <w:rsid w:val="00017F94"/>
    <w:rsid w:val="00023842"/>
    <w:rsid w:val="000334F9"/>
    <w:rsid w:val="0007796D"/>
    <w:rsid w:val="000B716E"/>
    <w:rsid w:val="000B7790"/>
    <w:rsid w:val="00111F2F"/>
    <w:rsid w:val="0014162A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30FC"/>
    <w:rsid w:val="00446FE5"/>
    <w:rsid w:val="00452396"/>
    <w:rsid w:val="004837D8"/>
    <w:rsid w:val="0049019F"/>
    <w:rsid w:val="004E468C"/>
    <w:rsid w:val="005505B7"/>
    <w:rsid w:val="00573BE5"/>
    <w:rsid w:val="00586ED3"/>
    <w:rsid w:val="00596AA9"/>
    <w:rsid w:val="006422BC"/>
    <w:rsid w:val="006619C8"/>
    <w:rsid w:val="006C555E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07971"/>
    <w:rsid w:val="00A25B56"/>
    <w:rsid w:val="00A30353"/>
    <w:rsid w:val="00A417C2"/>
    <w:rsid w:val="00AC3823"/>
    <w:rsid w:val="00AE323C"/>
    <w:rsid w:val="00AF0CB5"/>
    <w:rsid w:val="00B00181"/>
    <w:rsid w:val="00B00B0D"/>
    <w:rsid w:val="00B243EB"/>
    <w:rsid w:val="00B67221"/>
    <w:rsid w:val="00B765F7"/>
    <w:rsid w:val="00B95D8F"/>
    <w:rsid w:val="00BA0CA9"/>
    <w:rsid w:val="00BB0470"/>
    <w:rsid w:val="00BD78B8"/>
    <w:rsid w:val="00C02897"/>
    <w:rsid w:val="00D3439C"/>
    <w:rsid w:val="00D47205"/>
    <w:rsid w:val="00D85106"/>
    <w:rsid w:val="00DB1831"/>
    <w:rsid w:val="00DD3BFD"/>
    <w:rsid w:val="00DF6678"/>
    <w:rsid w:val="00E85C74"/>
    <w:rsid w:val="00EA6547"/>
    <w:rsid w:val="00EC5F7E"/>
    <w:rsid w:val="00EF2E22"/>
    <w:rsid w:val="00F35BAF"/>
    <w:rsid w:val="00F660DF"/>
    <w:rsid w:val="00F94664"/>
    <w:rsid w:val="00F9573C"/>
    <w:rsid w:val="00F95C08"/>
    <w:rsid w:val="00FB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CF7B07-E647-4B9D-B130-33879AE8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SingleTxtGR">
    <w:name w:val="_ Single Txt_GR"/>
    <w:basedOn w:val="Normal"/>
    <w:qFormat/>
    <w:rsid w:val="0049019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spacing w:val="4"/>
      <w:w w:val="103"/>
      <w:kern w:val="1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ECE/TRANS/WP.15/AC.2/59/Add.1</vt:lpstr>
      <vt:lpstr>ECE/TRANS/WP.15/AC.2/59/Add.1</vt:lpstr>
    </vt:vector>
  </TitlesOfParts>
  <Company>DCM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ECE/TRANS/WP.15/AC.2/59/Add.1</dc:title>
  <dc:subject>Final</dc:subject>
  <dc:creator>Fabienne Crelier</dc:creator>
  <cp:lastModifiedBy>OICA</cp:lastModifiedBy>
  <cp:revision>2</cp:revision>
  <cp:lastPrinted>2016-06-24T14:00:00Z</cp:lastPrinted>
  <dcterms:created xsi:type="dcterms:W3CDTF">2016-06-27T15:32:00Z</dcterms:created>
  <dcterms:modified xsi:type="dcterms:W3CDTF">2016-06-27T15:32:00Z</dcterms:modified>
</cp:coreProperties>
</file>