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10" w:rsidRDefault="00BA1010" w:rsidP="00BA1010">
      <w:pPr>
        <w:spacing w:line="240" w:lineRule="auto"/>
        <w:rPr>
          <w:sz w:val="2"/>
        </w:rPr>
        <w:sectPr w:rsidR="00BA1010" w:rsidSect="00BA101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BA1010" w:rsidRDefault="00BA1010" w:rsidP="00BA1010">
      <w:pPr>
        <w:pStyle w:val="H1"/>
        <w:spacing w:after="120"/>
        <w:rPr>
          <w:sz w:val="28"/>
        </w:rPr>
      </w:pPr>
      <w:r>
        <w:rPr>
          <w:sz w:val="28"/>
        </w:rPr>
        <w:lastRenderedPageBreak/>
        <w:t>Commission économique pour l’Europe</w:t>
      </w:r>
    </w:p>
    <w:p w:rsidR="00BA1010" w:rsidRDefault="00BA1010" w:rsidP="00BA1010">
      <w:pPr>
        <w:pStyle w:val="H1"/>
        <w:spacing w:after="120" w:line="300" w:lineRule="exact"/>
        <w:rPr>
          <w:b w:val="0"/>
          <w:sz w:val="28"/>
        </w:rPr>
      </w:pPr>
      <w:r>
        <w:rPr>
          <w:b w:val="0"/>
          <w:sz w:val="28"/>
        </w:rPr>
        <w:t>Comité des transports intérieurs</w:t>
      </w:r>
    </w:p>
    <w:p w:rsidR="003C0B18" w:rsidRPr="002308E1" w:rsidRDefault="003C0B18" w:rsidP="003C0B1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308E1">
        <w:rPr>
          <w:lang w:val="fr-CH"/>
        </w:rPr>
        <w:t xml:space="preserve">Groupe de travail des transports </w:t>
      </w:r>
      <w:r w:rsidRPr="002308E1">
        <w:rPr>
          <w:lang w:val="fr-CH"/>
        </w:rPr>
        <w:br/>
        <w:t>de marchandises dangereuses</w:t>
      </w:r>
    </w:p>
    <w:p w:rsidR="003C0B18" w:rsidRPr="002308E1" w:rsidRDefault="003C0B18" w:rsidP="003C0B18">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spacing w:val="2"/>
          <w:sz w:val="10"/>
        </w:rPr>
      </w:pPr>
    </w:p>
    <w:p w:rsidR="003C0B18" w:rsidRPr="00C92D8C" w:rsidRDefault="003C0B18" w:rsidP="00430B6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92D8C">
        <w:t>Réunion commune d</w:t>
      </w:r>
      <w:r>
        <w:t>’</w:t>
      </w:r>
      <w:r w:rsidRPr="00C92D8C">
        <w:t>experts sur le Règlement annexé à l</w:t>
      </w:r>
      <w:r>
        <w:t>’</w:t>
      </w:r>
      <w:r w:rsidRPr="00C92D8C">
        <w:t xml:space="preserve">Accord </w:t>
      </w:r>
      <w:r w:rsidR="00430B68">
        <w:br/>
      </w:r>
      <w:r w:rsidRPr="00C92D8C">
        <w:t xml:space="preserve">européen relatif au transport international des marchandises </w:t>
      </w:r>
      <w:r w:rsidR="00430B68">
        <w:br/>
      </w:r>
      <w:r w:rsidRPr="00C92D8C">
        <w:t>dangereuses par voies de navigation intérieures (ADN)</w:t>
      </w:r>
    </w:p>
    <w:p w:rsidR="003C0B18" w:rsidRDefault="003C0B18" w:rsidP="003C0B18">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rPr>
      </w:pPr>
      <w:r w:rsidRPr="00C92D8C">
        <w:rPr>
          <w:b/>
        </w:rPr>
        <w:t>(Comité de sécurité de l</w:t>
      </w:r>
      <w:r>
        <w:rPr>
          <w:b/>
        </w:rPr>
        <w:t>’</w:t>
      </w:r>
      <w:r w:rsidRPr="00C92D8C">
        <w:rPr>
          <w:b/>
        </w:rPr>
        <w:t>ADN)</w:t>
      </w:r>
    </w:p>
    <w:p w:rsidR="003C0B18" w:rsidRPr="00430B68" w:rsidRDefault="003C0B18" w:rsidP="00430B68">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spacing w:val="2"/>
          <w:sz w:val="10"/>
        </w:rPr>
      </w:pPr>
    </w:p>
    <w:p w:rsidR="003C0B18" w:rsidRPr="002308E1" w:rsidRDefault="003C0B18" w:rsidP="00430B6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Vingt</w:t>
      </w:r>
      <w:r w:rsidRPr="001A5D77">
        <w:t>-</w:t>
      </w:r>
      <w:r>
        <w:t>huitième</w:t>
      </w:r>
      <w:r w:rsidRPr="001A5D77">
        <w:t xml:space="preserve"> session</w:t>
      </w:r>
    </w:p>
    <w:p w:rsidR="003C0B18" w:rsidRPr="002308E1" w:rsidRDefault="003C0B18" w:rsidP="00430B68">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308E1">
        <w:t xml:space="preserve">Genève, </w:t>
      </w:r>
      <w:r>
        <w:t>2</w:t>
      </w:r>
      <w:r w:rsidRPr="002308E1">
        <w:t>5-2</w:t>
      </w:r>
      <w:r>
        <w:t>9</w:t>
      </w:r>
      <w:r w:rsidRPr="002308E1">
        <w:t xml:space="preserve"> </w:t>
      </w:r>
      <w:r>
        <w:t>janvier</w:t>
      </w:r>
      <w:r w:rsidRPr="002308E1">
        <w:t xml:space="preserve"> 201</w:t>
      </w:r>
      <w:r>
        <w:t>6</w:t>
      </w:r>
    </w:p>
    <w:p w:rsidR="003C0B18" w:rsidRPr="00FB7356" w:rsidRDefault="003C0B18" w:rsidP="00430B68">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308E1">
        <w:t xml:space="preserve">Point </w:t>
      </w:r>
      <w:r>
        <w:t>5 b)</w:t>
      </w:r>
      <w:r w:rsidRPr="002308E1">
        <w:t xml:space="preserve"> de l</w:t>
      </w:r>
      <w:r>
        <w:t>’</w:t>
      </w:r>
      <w:r w:rsidRPr="002308E1">
        <w:t>ordre du jour provisoire</w:t>
      </w:r>
    </w:p>
    <w:p w:rsidR="003C0B18" w:rsidRDefault="003C0B18" w:rsidP="00430B6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C13D7">
        <w:t>Propositions d</w:t>
      </w:r>
      <w:r>
        <w:t>’</w:t>
      </w:r>
      <w:r w:rsidRPr="004C13D7">
        <w:t>amendements au Règlement annexé à l</w:t>
      </w:r>
      <w:r>
        <w:t>’</w:t>
      </w:r>
      <w:r w:rsidRPr="004C13D7">
        <w:t>ADN</w:t>
      </w:r>
      <w:r w:rsidR="00430B68">
        <w:t> </w:t>
      </w:r>
      <w:r w:rsidRPr="004C13D7">
        <w:t>:</w:t>
      </w:r>
      <w:r w:rsidR="00430B68">
        <w:t xml:space="preserve"> </w:t>
      </w:r>
      <w:r w:rsidR="00430B68">
        <w:br/>
      </w:r>
      <w:r w:rsidRPr="004C13D7">
        <w:t>Autres propositions</w:t>
      </w:r>
    </w:p>
    <w:p w:rsidR="00430B68" w:rsidRPr="00430B68" w:rsidRDefault="00430B68" w:rsidP="00430B68">
      <w:pPr>
        <w:spacing w:line="120" w:lineRule="exact"/>
        <w:rPr>
          <w:sz w:val="10"/>
        </w:rPr>
      </w:pPr>
    </w:p>
    <w:p w:rsidR="00430B68" w:rsidRPr="00430B68" w:rsidRDefault="00430B68" w:rsidP="00430B68">
      <w:pPr>
        <w:spacing w:line="120" w:lineRule="exact"/>
        <w:rPr>
          <w:sz w:val="10"/>
        </w:rPr>
      </w:pPr>
    </w:p>
    <w:p w:rsidR="00430B68" w:rsidRPr="00430B68" w:rsidRDefault="00430B68" w:rsidP="00430B68">
      <w:pPr>
        <w:spacing w:line="120" w:lineRule="exact"/>
        <w:rPr>
          <w:sz w:val="10"/>
        </w:rPr>
      </w:pPr>
    </w:p>
    <w:p w:rsidR="003C0B18" w:rsidRDefault="003C0B18" w:rsidP="00430B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7356">
        <w:tab/>
      </w:r>
      <w:r w:rsidRPr="008041D0">
        <w:tab/>
        <w:t>Propos</w:t>
      </w:r>
      <w:r>
        <w:t>ition visant à modifier et</w:t>
      </w:r>
      <w:r w:rsidRPr="008041D0">
        <w:t xml:space="preserve"> </w:t>
      </w:r>
      <w:r>
        <w:t>clarifier</w:t>
      </w:r>
      <w:r w:rsidRPr="008041D0">
        <w:t xml:space="preserve"> </w:t>
      </w:r>
      <w:r w:rsidR="00430B68">
        <w:br/>
      </w:r>
      <w:r>
        <w:t>la disposition s</w:t>
      </w:r>
      <w:r w:rsidRPr="008041D0">
        <w:t>p</w:t>
      </w:r>
      <w:r>
        <w:t>é</w:t>
      </w:r>
      <w:r w:rsidRPr="008041D0">
        <w:t>cial</w:t>
      </w:r>
      <w:r>
        <w:t>e</w:t>
      </w:r>
      <w:r w:rsidRPr="008041D0">
        <w:t xml:space="preserve"> 803</w:t>
      </w:r>
    </w:p>
    <w:p w:rsidR="00430B68" w:rsidRPr="00430B68" w:rsidRDefault="00430B68" w:rsidP="00430B68">
      <w:pPr>
        <w:pStyle w:val="SingleTxt"/>
        <w:spacing w:after="0" w:line="120" w:lineRule="exact"/>
        <w:rPr>
          <w:sz w:val="10"/>
        </w:rPr>
      </w:pPr>
    </w:p>
    <w:p w:rsidR="00430B68" w:rsidRPr="00430B68" w:rsidRDefault="00430B68" w:rsidP="00430B68">
      <w:pPr>
        <w:pStyle w:val="SingleTxt"/>
        <w:spacing w:after="0" w:line="120" w:lineRule="exact"/>
        <w:rPr>
          <w:sz w:val="10"/>
        </w:rPr>
      </w:pPr>
    </w:p>
    <w:p w:rsidR="00BA1010" w:rsidRDefault="003C0B18" w:rsidP="00430B6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308E1">
        <w:rPr>
          <w:lang w:val="fr-CH"/>
        </w:rPr>
        <w:tab/>
      </w:r>
      <w:r w:rsidRPr="002308E1">
        <w:rPr>
          <w:lang w:val="fr-CH"/>
        </w:rPr>
        <w:tab/>
        <w:t>Communication du Gouvernement des Pays-Bas</w:t>
      </w:r>
      <w:r w:rsidR="006B5EBF" w:rsidRPr="003B0EE6">
        <w:rPr>
          <w:rStyle w:val="FootnoteReference"/>
          <w:b w:val="0"/>
          <w:sz w:val="20"/>
          <w:szCs w:val="20"/>
          <w:lang w:val="fr-CH"/>
        </w:rPr>
        <w:footnoteReference w:id="1"/>
      </w:r>
    </w:p>
    <w:p w:rsidR="00430B68" w:rsidRPr="00430B68" w:rsidRDefault="00430B68" w:rsidP="00430B68">
      <w:pPr>
        <w:spacing w:line="120" w:lineRule="exact"/>
        <w:rPr>
          <w:sz w:val="10"/>
          <w:lang w:val="fr-CH"/>
        </w:rPr>
      </w:pPr>
    </w:p>
    <w:p w:rsidR="00430B68" w:rsidRPr="00430B68" w:rsidRDefault="00430B68" w:rsidP="00430B68">
      <w:pPr>
        <w:spacing w:line="120" w:lineRule="exact"/>
        <w:rPr>
          <w:sz w:val="10"/>
          <w:lang w:val="fr-CH"/>
        </w:rPr>
      </w:pPr>
    </w:p>
    <w:p w:rsidR="00430B68" w:rsidRPr="00430B68" w:rsidRDefault="00430B68" w:rsidP="00430B68">
      <w:pPr>
        <w:spacing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0768DC" w:rsidTr="000768DC">
        <w:tc>
          <w:tcPr>
            <w:tcW w:w="10051" w:type="dxa"/>
            <w:tcBorders>
              <w:top w:val="single" w:sz="2" w:space="0" w:color="auto"/>
            </w:tcBorders>
            <w:shd w:val="clear" w:color="auto" w:fill="auto"/>
          </w:tcPr>
          <w:p w:rsidR="000768DC" w:rsidRPr="000768DC" w:rsidRDefault="000768DC" w:rsidP="000768DC">
            <w:pPr>
              <w:tabs>
                <w:tab w:val="left" w:pos="240"/>
              </w:tabs>
              <w:spacing w:before="240" w:after="120"/>
              <w:rPr>
                <w:i/>
                <w:sz w:val="24"/>
              </w:rPr>
            </w:pPr>
            <w:r>
              <w:rPr>
                <w:i/>
                <w:sz w:val="24"/>
              </w:rPr>
              <w:tab/>
              <w:t>Résumé</w:t>
            </w:r>
          </w:p>
        </w:tc>
      </w:tr>
      <w:tr w:rsidR="000768DC" w:rsidTr="000768DC">
        <w:tc>
          <w:tcPr>
            <w:tcW w:w="10051" w:type="dxa"/>
            <w:shd w:val="clear" w:color="auto" w:fill="auto"/>
          </w:tcPr>
          <w:p w:rsidR="000768DC" w:rsidRPr="000768DC" w:rsidRDefault="000768DC" w:rsidP="006B5EBF">
            <w:pPr>
              <w:tabs>
                <w:tab w:val="left" w:pos="1263"/>
              </w:tabs>
              <w:spacing w:before="240" w:after="120"/>
              <w:ind w:left="3423" w:right="868" w:hanging="2880"/>
              <w:rPr>
                <w:b/>
                <w:szCs w:val="20"/>
              </w:rPr>
            </w:pPr>
            <w:r w:rsidRPr="000768DC">
              <w:rPr>
                <w:i/>
                <w:sz w:val="24"/>
              </w:rPr>
              <w:tab/>
            </w:r>
            <w:r w:rsidRPr="000768DC">
              <w:rPr>
                <w:b/>
                <w:szCs w:val="20"/>
              </w:rPr>
              <w:t>Résumé analytique</w:t>
            </w:r>
            <w:r>
              <w:rPr>
                <w:b/>
                <w:szCs w:val="20"/>
              </w:rPr>
              <w:tab/>
            </w:r>
            <w:r>
              <w:rPr>
                <w:bCs/>
                <w:szCs w:val="24"/>
              </w:rPr>
              <w:t xml:space="preserve">Préciser les modalités d’application de </w:t>
            </w:r>
            <w:r>
              <w:t>la disposition s</w:t>
            </w:r>
            <w:r w:rsidRPr="008041D0">
              <w:t>p</w:t>
            </w:r>
            <w:r>
              <w:t>é</w:t>
            </w:r>
            <w:r w:rsidRPr="008041D0">
              <w:t>cial</w:t>
            </w:r>
            <w:r>
              <w:t>e</w:t>
            </w:r>
            <w:r w:rsidRPr="008041D0">
              <w:t xml:space="preserve"> 803</w:t>
            </w:r>
            <w:r>
              <w:t xml:space="preserve"> </w:t>
            </w:r>
            <w:r>
              <w:rPr>
                <w:bCs/>
                <w:szCs w:val="24"/>
              </w:rPr>
              <w:t xml:space="preserve">relative au point </w:t>
            </w:r>
            <w:r w:rsidRPr="008041D0">
              <w:rPr>
                <w:bCs/>
                <w:szCs w:val="24"/>
              </w:rPr>
              <w:t xml:space="preserve">3.3.1 </w:t>
            </w:r>
            <w:r>
              <w:t>de l’</w:t>
            </w:r>
            <w:r w:rsidRPr="008041D0">
              <w:rPr>
                <w:bCs/>
                <w:szCs w:val="24"/>
              </w:rPr>
              <w:t xml:space="preserve">ADN, </w:t>
            </w:r>
            <w:r>
              <w:rPr>
                <w:bCs/>
                <w:szCs w:val="24"/>
              </w:rPr>
              <w:t xml:space="preserve">à la lumière de la discussion du document </w:t>
            </w:r>
            <w:r w:rsidRPr="008041D0">
              <w:rPr>
                <w:bCs/>
                <w:szCs w:val="24"/>
              </w:rPr>
              <w:t xml:space="preserve">INF.22 </w:t>
            </w:r>
            <w:r>
              <w:rPr>
                <w:bCs/>
                <w:szCs w:val="24"/>
              </w:rPr>
              <w:t xml:space="preserve">examiné lors de la réunion du </w:t>
            </w:r>
            <w:r>
              <w:t>Comité de sécurité de l’ADN e</w:t>
            </w:r>
            <w:r w:rsidRPr="008041D0">
              <w:t xml:space="preserve">n </w:t>
            </w:r>
            <w:r>
              <w:t>janvier</w:t>
            </w:r>
            <w:r w:rsidRPr="002308E1">
              <w:t xml:space="preserve"> </w:t>
            </w:r>
            <w:r w:rsidRPr="008041D0">
              <w:t>2015</w:t>
            </w:r>
          </w:p>
        </w:tc>
      </w:tr>
      <w:tr w:rsidR="000768DC" w:rsidTr="000768DC">
        <w:tc>
          <w:tcPr>
            <w:tcW w:w="10051" w:type="dxa"/>
            <w:shd w:val="clear" w:color="auto" w:fill="auto"/>
          </w:tcPr>
          <w:p w:rsidR="000768DC" w:rsidRPr="000768DC" w:rsidRDefault="000768DC" w:rsidP="006B5EBF">
            <w:pPr>
              <w:tabs>
                <w:tab w:val="left" w:pos="1263"/>
              </w:tabs>
              <w:spacing w:before="240" w:after="120"/>
              <w:ind w:left="3423" w:right="868" w:hanging="2880"/>
              <w:rPr>
                <w:b/>
              </w:rPr>
            </w:pPr>
            <w:r>
              <w:tab/>
            </w:r>
            <w:r w:rsidRPr="000768DC">
              <w:rPr>
                <w:b/>
              </w:rPr>
              <w:t xml:space="preserve">Mesure à </w:t>
            </w:r>
            <w:r w:rsidRPr="006B5EBF">
              <w:rPr>
                <w:b/>
                <w:szCs w:val="20"/>
              </w:rPr>
              <w:t>prendre</w:t>
            </w:r>
            <w:r>
              <w:rPr>
                <w:b/>
              </w:rPr>
              <w:tab/>
            </w:r>
            <w:r w:rsidRPr="000768DC">
              <w:t xml:space="preserve">Modifier la </w:t>
            </w:r>
            <w:r w:rsidRPr="000768DC">
              <w:rPr>
                <w:bCs/>
                <w:szCs w:val="24"/>
              </w:rPr>
              <w:t>disposition</w:t>
            </w:r>
            <w:r w:rsidRPr="000768DC">
              <w:t xml:space="preserve"> </w:t>
            </w:r>
            <w:r w:rsidRPr="00430B68">
              <w:rPr>
                <w:bCs/>
                <w:szCs w:val="24"/>
              </w:rPr>
              <w:t>spéciale</w:t>
            </w:r>
            <w:r w:rsidRPr="000768DC">
              <w:t xml:space="preserve"> 803</w:t>
            </w:r>
          </w:p>
        </w:tc>
      </w:tr>
      <w:tr w:rsidR="000768DC" w:rsidTr="000768DC">
        <w:tc>
          <w:tcPr>
            <w:tcW w:w="10051" w:type="dxa"/>
            <w:tcBorders>
              <w:bottom w:val="nil"/>
            </w:tcBorders>
            <w:shd w:val="clear" w:color="auto" w:fill="auto"/>
          </w:tcPr>
          <w:p w:rsidR="000768DC" w:rsidRPr="000768DC" w:rsidRDefault="000768DC" w:rsidP="006B5EBF">
            <w:pPr>
              <w:tabs>
                <w:tab w:val="left" w:pos="1263"/>
              </w:tabs>
              <w:spacing w:before="240" w:after="120"/>
              <w:ind w:left="3423" w:right="868" w:hanging="2880"/>
              <w:rPr>
                <w:b/>
              </w:rPr>
            </w:pPr>
            <w:r>
              <w:tab/>
            </w:r>
            <w:r w:rsidRPr="000768DC">
              <w:rPr>
                <w:b/>
              </w:rPr>
              <w:t>Documents connexes</w:t>
            </w:r>
            <w:r>
              <w:rPr>
                <w:b/>
              </w:rPr>
              <w:tab/>
            </w:r>
            <w:r w:rsidRPr="008041D0">
              <w:t>ECE/TRANS/WP.15/AC.2/52 (</w:t>
            </w:r>
            <w:r>
              <w:t>p</w:t>
            </w:r>
            <w:r w:rsidRPr="008041D0">
              <w:t>aragraph</w:t>
            </w:r>
            <w:r>
              <w:t>e</w:t>
            </w:r>
            <w:r w:rsidRPr="008041D0">
              <w:t xml:space="preserve"> 27 </w:t>
            </w:r>
            <w:r>
              <w:t>et</w:t>
            </w:r>
            <w:r w:rsidRPr="008041D0">
              <w:t xml:space="preserve"> </w:t>
            </w:r>
            <w:r>
              <w:t>a</w:t>
            </w:r>
            <w:r w:rsidRPr="008041D0">
              <w:t>nnex</w:t>
            </w:r>
            <w:r>
              <w:t>e</w:t>
            </w:r>
            <w:r w:rsidRPr="008041D0">
              <w:t xml:space="preserve"> III)</w:t>
            </w:r>
            <w:r>
              <w:t>; WP.15/AC.2/26/INF.22</w:t>
            </w:r>
          </w:p>
        </w:tc>
      </w:tr>
      <w:tr w:rsidR="000768DC" w:rsidTr="000768DC">
        <w:tc>
          <w:tcPr>
            <w:tcW w:w="10051" w:type="dxa"/>
            <w:tcBorders>
              <w:bottom w:val="single" w:sz="2" w:space="0" w:color="auto"/>
            </w:tcBorders>
            <w:shd w:val="clear" w:color="auto" w:fill="auto"/>
          </w:tcPr>
          <w:p w:rsidR="000768DC" w:rsidRPr="000768DC" w:rsidRDefault="000768DC" w:rsidP="000768DC">
            <w:pPr>
              <w:pStyle w:val="SingleTxt"/>
            </w:pPr>
          </w:p>
        </w:tc>
      </w:tr>
    </w:tbl>
    <w:p w:rsidR="00BA1010" w:rsidRPr="003D7F2C" w:rsidRDefault="00BA1010" w:rsidP="003D7F2C">
      <w:pPr>
        <w:pStyle w:val="SingleTxt"/>
        <w:spacing w:after="0" w:line="120" w:lineRule="exact"/>
        <w:rPr>
          <w:sz w:val="10"/>
        </w:rPr>
      </w:pPr>
    </w:p>
    <w:p w:rsidR="003D7F2C" w:rsidRPr="003D7F2C" w:rsidRDefault="003D7F2C" w:rsidP="003D7F2C">
      <w:pPr>
        <w:pStyle w:val="SingleTxt"/>
        <w:spacing w:after="0" w:line="120" w:lineRule="exact"/>
        <w:rPr>
          <w:sz w:val="10"/>
        </w:rPr>
      </w:pPr>
    </w:p>
    <w:p w:rsidR="006B5EBF" w:rsidRDefault="006B5EBF" w:rsidP="00C0132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r>
      <w:r>
        <w:tab/>
      </w:r>
      <w:r w:rsidRPr="008041D0">
        <w:t>Introduction</w:t>
      </w:r>
    </w:p>
    <w:p w:rsidR="00C0132A" w:rsidRPr="00C0132A" w:rsidRDefault="00C0132A" w:rsidP="00C0132A">
      <w:pPr>
        <w:pStyle w:val="SingleTxt"/>
        <w:spacing w:after="0" w:line="120" w:lineRule="exact"/>
        <w:rPr>
          <w:sz w:val="10"/>
        </w:rPr>
      </w:pPr>
    </w:p>
    <w:p w:rsidR="00C0132A" w:rsidRPr="00C0132A" w:rsidRDefault="00C0132A" w:rsidP="00C0132A">
      <w:pPr>
        <w:pStyle w:val="SingleTxt"/>
        <w:spacing w:after="0" w:line="120" w:lineRule="exact"/>
        <w:rPr>
          <w:sz w:val="10"/>
        </w:rPr>
      </w:pPr>
    </w:p>
    <w:p w:rsidR="006B5EBF" w:rsidRPr="008041D0" w:rsidRDefault="00C0132A" w:rsidP="00C0132A">
      <w:pPr>
        <w:pStyle w:val="SingleTxt"/>
        <w:numPr>
          <w:ilvl w:val="0"/>
          <w:numId w:val="9"/>
        </w:numPr>
        <w:tabs>
          <w:tab w:val="clear" w:pos="475"/>
          <w:tab w:val="num" w:pos="1742"/>
        </w:tabs>
        <w:ind w:left="1267"/>
      </w:pPr>
      <w:r>
        <w:t xml:space="preserve">Lors de la </w:t>
      </w:r>
      <w:r w:rsidR="00301D1F">
        <w:t>26</w:t>
      </w:r>
      <w:r w:rsidR="00301D1F" w:rsidRPr="00301D1F">
        <w:rPr>
          <w:vertAlign w:val="superscript"/>
        </w:rPr>
        <w:t>e</w:t>
      </w:r>
      <w:r w:rsidR="00301D1F">
        <w:t> </w:t>
      </w:r>
      <w:r w:rsidR="006B5EBF" w:rsidRPr="00F239C6">
        <w:t>session du Comité de sécurité de l</w:t>
      </w:r>
      <w:r w:rsidR="006B5EBF">
        <w:t>’</w:t>
      </w:r>
      <w:r w:rsidR="006B5EBF" w:rsidRPr="00F239C6">
        <w:t xml:space="preserve">ADN (janvier 2015), les Pays-Bas </w:t>
      </w:r>
      <w:r w:rsidR="00227EB8">
        <w:t>ont</w:t>
      </w:r>
      <w:r w:rsidR="006B5EBF" w:rsidRPr="00F239C6">
        <w:t xml:space="preserve"> présenté le </w:t>
      </w:r>
      <w:r w:rsidR="00227EB8">
        <w:t xml:space="preserve">document </w:t>
      </w:r>
      <w:r w:rsidR="006B5EBF" w:rsidRPr="00F239C6">
        <w:t>informel INF.22, concernant la disposition spéciale 803 sur le transport de charbon en vrac.</w:t>
      </w:r>
    </w:p>
    <w:p w:rsidR="006B5EBF" w:rsidRPr="008041D0" w:rsidRDefault="006B5EBF" w:rsidP="00C0132A">
      <w:pPr>
        <w:pStyle w:val="SingleTxt"/>
        <w:numPr>
          <w:ilvl w:val="0"/>
          <w:numId w:val="9"/>
        </w:numPr>
        <w:tabs>
          <w:tab w:val="clear" w:pos="475"/>
          <w:tab w:val="num" w:pos="1742"/>
        </w:tabs>
        <w:ind w:left="1267"/>
      </w:pPr>
      <w:r w:rsidRPr="00F239C6">
        <w:t xml:space="preserve">Le document </w:t>
      </w:r>
      <w:r w:rsidR="00227EB8" w:rsidRPr="00F239C6">
        <w:t xml:space="preserve">néerlandais </w:t>
      </w:r>
      <w:r w:rsidRPr="00F239C6">
        <w:t>vise à clarifier les modalités d</w:t>
      </w:r>
      <w:r>
        <w:t>’</w:t>
      </w:r>
      <w:r w:rsidRPr="00F239C6">
        <w:t>application de cette disposition spéciale, modifiée en août 2014, en particulier à l</w:t>
      </w:r>
      <w:r>
        <w:t>’</w:t>
      </w:r>
      <w:r w:rsidR="00C0132A">
        <w:t>alinéa </w:t>
      </w:r>
      <w:r w:rsidRPr="00F239C6">
        <w:t>c)</w:t>
      </w:r>
      <w:r>
        <w:t>,</w:t>
      </w:r>
      <w:r w:rsidRPr="00F239C6">
        <w:t xml:space="preserve"> à propos de l</w:t>
      </w:r>
      <w:r>
        <w:t>’</w:t>
      </w:r>
      <w:r w:rsidRPr="00F239C6">
        <w:t>obligation de surveiller la température du charbon dès l</w:t>
      </w:r>
      <w:r>
        <w:t>e</w:t>
      </w:r>
      <w:r w:rsidRPr="00F239C6">
        <w:t xml:space="preserve"> premi</w:t>
      </w:r>
      <w:r>
        <w:t>e</w:t>
      </w:r>
      <w:r w:rsidRPr="00F239C6">
        <w:t>r jour et pendant toute la durée du voyage. Selon les Pays-Bas cette obligation pourrait être mal interpr</w:t>
      </w:r>
      <w:bookmarkStart w:id="1" w:name="insstart"/>
      <w:bookmarkEnd w:id="1"/>
      <w:r w:rsidRPr="00F239C6">
        <w:t>étée et</w:t>
      </w:r>
      <w:r>
        <w:t xml:space="preserve"> appelle donc une clarification</w:t>
      </w:r>
      <w:r w:rsidRPr="008041D0">
        <w:t>.</w:t>
      </w:r>
    </w:p>
    <w:p w:rsidR="006B5EBF" w:rsidRDefault="00C0132A" w:rsidP="00C0132A">
      <w:pPr>
        <w:pStyle w:val="SingleTxt"/>
        <w:numPr>
          <w:ilvl w:val="0"/>
          <w:numId w:val="9"/>
        </w:numPr>
        <w:tabs>
          <w:tab w:val="clear" w:pos="475"/>
          <w:tab w:val="num" w:pos="1742"/>
        </w:tabs>
        <w:ind w:left="1267"/>
      </w:pPr>
      <w:r>
        <w:t>Dans son rapport (ECE/TRANS/WP.15/AC.2/53, par. </w:t>
      </w:r>
      <w:r w:rsidR="006B5EBF" w:rsidRPr="00F239C6">
        <w:t>23), le Comité a demandé aux Pays-Bas de soumettre une proposition officielle sur cette question, tenant compte des observations faites</w:t>
      </w:r>
      <w:r w:rsidR="006B5EBF" w:rsidRPr="008041D0">
        <w:t>.</w:t>
      </w:r>
    </w:p>
    <w:p w:rsidR="00C0132A" w:rsidRPr="00C0132A" w:rsidRDefault="00C0132A" w:rsidP="00C0132A">
      <w:pPr>
        <w:pStyle w:val="SingleTxt"/>
        <w:spacing w:after="0" w:line="120" w:lineRule="exact"/>
        <w:rPr>
          <w:sz w:val="10"/>
        </w:rPr>
      </w:pPr>
    </w:p>
    <w:p w:rsidR="00C0132A" w:rsidRPr="00C0132A" w:rsidRDefault="00C0132A" w:rsidP="00C0132A">
      <w:pPr>
        <w:pStyle w:val="SingleTxt"/>
        <w:spacing w:after="0" w:line="120" w:lineRule="exact"/>
        <w:rPr>
          <w:sz w:val="10"/>
        </w:rPr>
      </w:pPr>
    </w:p>
    <w:p w:rsidR="006B5EBF" w:rsidRDefault="006B5EBF" w:rsidP="00C0132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w:t>
      </w:r>
      <w:r w:rsidRPr="00F239C6">
        <w:t>mendement proposé</w:t>
      </w:r>
    </w:p>
    <w:p w:rsidR="00C0132A" w:rsidRPr="00C0132A" w:rsidRDefault="00C0132A" w:rsidP="00C0132A">
      <w:pPr>
        <w:pStyle w:val="SingleTxt"/>
        <w:spacing w:after="0" w:line="120" w:lineRule="exact"/>
        <w:rPr>
          <w:sz w:val="10"/>
        </w:rPr>
      </w:pPr>
    </w:p>
    <w:p w:rsidR="00C0132A" w:rsidRPr="00C0132A" w:rsidRDefault="00C0132A" w:rsidP="00C0132A">
      <w:pPr>
        <w:pStyle w:val="SingleTxt"/>
        <w:spacing w:after="0" w:line="120" w:lineRule="exact"/>
        <w:rPr>
          <w:sz w:val="10"/>
        </w:rPr>
      </w:pPr>
    </w:p>
    <w:p w:rsidR="006B5EBF" w:rsidRPr="008041D0" w:rsidRDefault="006B5EBF" w:rsidP="00C0132A">
      <w:pPr>
        <w:pStyle w:val="SingleTxt"/>
        <w:numPr>
          <w:ilvl w:val="0"/>
          <w:numId w:val="9"/>
        </w:numPr>
        <w:tabs>
          <w:tab w:val="clear" w:pos="475"/>
          <w:tab w:val="num" w:pos="1742"/>
        </w:tabs>
        <w:ind w:left="1267"/>
      </w:pPr>
      <w:r w:rsidRPr="00F239C6">
        <w:t>L</w:t>
      </w:r>
      <w:r>
        <w:t>’</w:t>
      </w:r>
      <w:r w:rsidRPr="00F239C6">
        <w:t xml:space="preserve">amendement proposé prend en compte les observations faites lors de la discussion du document INF.22 et les modifications apportées à la DS 803, comme publié dans le document </w:t>
      </w:r>
      <w:r w:rsidRPr="008041D0">
        <w:t>ECE/TRANS/WP.15/AC.2/52</w:t>
      </w:r>
      <w:r>
        <w:t xml:space="preserve"> </w:t>
      </w:r>
      <w:r w:rsidRPr="00F239C6">
        <w:t>(annexe III) (</w:t>
      </w:r>
      <w:r w:rsidRPr="00C0132A">
        <w:rPr>
          <w:b/>
          <w:u w:val="single"/>
        </w:rPr>
        <w:t>le texte ajouté apparaît en caractères gras soulignés</w:t>
      </w:r>
      <w:r w:rsidRPr="00F239C6">
        <w:t>)</w:t>
      </w:r>
      <w:r w:rsidR="00C0132A">
        <w:t> </w:t>
      </w:r>
      <w:r w:rsidRPr="00F239C6">
        <w:t>:</w:t>
      </w:r>
    </w:p>
    <w:p w:rsidR="006B5EBF" w:rsidRPr="008041D0" w:rsidRDefault="00C0132A" w:rsidP="00C0132A">
      <w:pPr>
        <w:pStyle w:val="SingleTxt"/>
        <w:ind w:left="2218" w:hanging="951"/>
        <w:rPr>
          <w:lang w:val="en-US"/>
        </w:rPr>
      </w:pPr>
      <w:r>
        <w:t>« </w:t>
      </w:r>
      <w:r w:rsidR="006B5EBF">
        <w:t xml:space="preserve">DS </w:t>
      </w:r>
      <w:r w:rsidR="006B5EBF" w:rsidRPr="008041D0">
        <w:t>803</w:t>
      </w:r>
      <w:r w:rsidR="006B5EBF" w:rsidRPr="008041D0">
        <w:tab/>
      </w:r>
      <w:r w:rsidR="006B5EBF">
        <w:t>La houille, le coke et l’anthracite, lorsqu’ils sont transportés en vrac, ne sont pas soumis aux dispositions de l’ADN si</w:t>
      </w:r>
      <w:r>
        <w:t> </w:t>
      </w:r>
      <w:r w:rsidR="006B5EBF">
        <w:t>:</w:t>
      </w:r>
    </w:p>
    <w:p w:rsidR="006B5EBF" w:rsidRPr="008041D0" w:rsidRDefault="00C0132A" w:rsidP="00C0132A">
      <w:pPr>
        <w:pStyle w:val="SingleTxt"/>
        <w:ind w:left="2693" w:hanging="1426"/>
        <w:rPr>
          <w:lang w:val="en-US"/>
        </w:rPr>
      </w:pPr>
      <w:r>
        <w:rPr>
          <w:lang w:val="en-US"/>
        </w:rPr>
        <w:tab/>
      </w:r>
      <w:r>
        <w:rPr>
          <w:lang w:val="en-US"/>
        </w:rPr>
        <w:tab/>
        <w:t>a)</w:t>
      </w:r>
      <w:r w:rsidR="006B5EBF" w:rsidRPr="008041D0">
        <w:rPr>
          <w:lang w:val="en-US"/>
        </w:rPr>
        <w:tab/>
      </w:r>
      <w:r w:rsidR="009C5B97">
        <w:rPr>
          <w:lang w:val="en-US"/>
        </w:rPr>
        <w:t>L</w:t>
      </w:r>
      <w:proofErr w:type="spellStart"/>
      <w:r w:rsidR="009C5B97">
        <w:t>a</w:t>
      </w:r>
      <w:proofErr w:type="spellEnd"/>
      <w:r w:rsidR="009C5B97">
        <w:t xml:space="preserve"> </w:t>
      </w:r>
      <w:r w:rsidR="006B5EBF">
        <w:t>température de la cargaison a été déterminée au moyen d’une procédure de mesure appropriée et n’est pas supérieure à 60° C avant, durant ou juste après le chargement de la cale</w:t>
      </w:r>
      <w:r w:rsidR="006B5EBF" w:rsidRPr="008041D0">
        <w:rPr>
          <w:lang w:val="en-US"/>
        </w:rPr>
        <w:t>;</w:t>
      </w:r>
    </w:p>
    <w:p w:rsidR="006B5EBF" w:rsidRDefault="00C0132A" w:rsidP="00C0132A">
      <w:pPr>
        <w:pStyle w:val="SingleTxt"/>
        <w:ind w:left="2693" w:hanging="1426"/>
      </w:pPr>
      <w:r>
        <w:rPr>
          <w:lang w:val="en-US"/>
        </w:rPr>
        <w:tab/>
      </w:r>
      <w:r>
        <w:rPr>
          <w:lang w:val="en-US"/>
        </w:rPr>
        <w:tab/>
      </w:r>
      <w:r w:rsidR="006B5EBF" w:rsidRPr="008041D0">
        <w:rPr>
          <w:lang w:val="en-US"/>
        </w:rPr>
        <w:t>b)</w:t>
      </w:r>
      <w:r w:rsidR="006B5EBF" w:rsidRPr="008041D0">
        <w:rPr>
          <w:lang w:val="en-US"/>
        </w:rPr>
        <w:tab/>
      </w:r>
      <w:r w:rsidR="009C5B97">
        <w:t xml:space="preserve">En </w:t>
      </w:r>
      <w:r w:rsidR="006B5EBF">
        <w:t>fonction de la température de la cargaison avant, durant et juste après le chargement de la cale, la durée prévue du transport sans surveillance de la température n’est pas supérieure aux durées maximales de voyage indiquées dans le tableau ci-après</w:t>
      </w:r>
      <w:r>
        <w:t> </w:t>
      </w:r>
      <w:r w:rsidR="006B5EBF">
        <w:t>:</w:t>
      </w:r>
    </w:p>
    <w:p w:rsidR="00C21E1B" w:rsidRPr="00C21E1B" w:rsidRDefault="00C21E1B" w:rsidP="00C21E1B">
      <w:pPr>
        <w:pStyle w:val="SingleTxt"/>
        <w:spacing w:after="0" w:line="120" w:lineRule="exact"/>
        <w:ind w:left="2693" w:hanging="1426"/>
        <w:rPr>
          <w:sz w:val="10"/>
        </w:rPr>
      </w:pPr>
    </w:p>
    <w:tbl>
      <w:tblPr>
        <w:tblW w:w="7479" w:type="dxa"/>
        <w:tblInd w:w="1287" w:type="dxa"/>
        <w:tblLayout w:type="fixed"/>
        <w:tblCellMar>
          <w:left w:w="0" w:type="dxa"/>
          <w:right w:w="0" w:type="dxa"/>
        </w:tblCellMar>
        <w:tblLook w:val="01E0" w:firstRow="1" w:lastRow="1" w:firstColumn="1" w:lastColumn="1" w:noHBand="0" w:noVBand="0"/>
      </w:tblPr>
      <w:tblGrid>
        <w:gridCol w:w="3665"/>
        <w:gridCol w:w="3814"/>
      </w:tblGrid>
      <w:tr w:rsidR="006B5EBF" w:rsidRPr="00C21E1B" w:rsidTr="00C21E1B">
        <w:trPr>
          <w:cantSplit/>
          <w:tblHeader/>
        </w:trPr>
        <w:tc>
          <w:tcPr>
            <w:tcW w:w="3665" w:type="dxa"/>
            <w:tcBorders>
              <w:top w:val="single" w:sz="4" w:space="0" w:color="auto"/>
              <w:bottom w:val="single" w:sz="12" w:space="0" w:color="auto"/>
            </w:tcBorders>
            <w:shd w:val="clear" w:color="auto" w:fill="auto"/>
            <w:vAlign w:val="bottom"/>
          </w:tcPr>
          <w:p w:rsidR="006B5EBF" w:rsidRPr="00C21E1B" w:rsidRDefault="006B5EBF" w:rsidP="00C21E1B">
            <w:pPr>
              <w:suppressAutoHyphens/>
              <w:spacing w:before="80" w:after="80" w:line="160" w:lineRule="exact"/>
              <w:ind w:right="40"/>
              <w:jc w:val="center"/>
              <w:rPr>
                <w:i/>
                <w:sz w:val="14"/>
                <w:szCs w:val="18"/>
              </w:rPr>
            </w:pPr>
            <w:r w:rsidRPr="00C21E1B">
              <w:rPr>
                <w:i/>
                <w:sz w:val="14"/>
                <w:szCs w:val="18"/>
              </w:rPr>
              <w:t>Température maximale lors du chargement en °C</w:t>
            </w:r>
          </w:p>
        </w:tc>
        <w:tc>
          <w:tcPr>
            <w:tcW w:w="3814" w:type="dxa"/>
            <w:tcBorders>
              <w:top w:val="single" w:sz="4" w:space="0" w:color="auto"/>
              <w:bottom w:val="single" w:sz="12" w:space="0" w:color="auto"/>
            </w:tcBorders>
            <w:shd w:val="clear" w:color="auto" w:fill="auto"/>
            <w:vAlign w:val="bottom"/>
          </w:tcPr>
          <w:p w:rsidR="006B5EBF" w:rsidRPr="00C21E1B" w:rsidRDefault="006B5EBF" w:rsidP="00C21E1B">
            <w:pPr>
              <w:suppressAutoHyphens/>
              <w:spacing w:before="80" w:after="80" w:line="160" w:lineRule="exact"/>
              <w:ind w:right="113"/>
              <w:jc w:val="center"/>
              <w:rPr>
                <w:i/>
                <w:sz w:val="14"/>
                <w:szCs w:val="18"/>
              </w:rPr>
            </w:pPr>
            <w:r w:rsidRPr="00C21E1B">
              <w:rPr>
                <w:i/>
                <w:sz w:val="14"/>
                <w:szCs w:val="18"/>
              </w:rPr>
              <w:t>Durée maximale du voyage en jours</w:t>
            </w:r>
          </w:p>
        </w:tc>
      </w:tr>
      <w:tr w:rsidR="00C21E1B" w:rsidRPr="00C21E1B" w:rsidTr="00C21E1B">
        <w:trPr>
          <w:cantSplit/>
          <w:trHeight w:hRule="exact" w:val="115"/>
          <w:tblHeader/>
        </w:trPr>
        <w:tc>
          <w:tcPr>
            <w:tcW w:w="3665" w:type="dxa"/>
            <w:tcBorders>
              <w:top w:val="single" w:sz="12" w:space="0" w:color="auto"/>
            </w:tcBorders>
            <w:shd w:val="clear" w:color="auto" w:fill="auto"/>
            <w:vAlign w:val="bottom"/>
          </w:tcPr>
          <w:p w:rsidR="00C21E1B" w:rsidRPr="00C21E1B" w:rsidRDefault="00C21E1B" w:rsidP="00C21E1B">
            <w:pPr>
              <w:suppressAutoHyphens/>
              <w:spacing w:before="40" w:after="40" w:line="210" w:lineRule="exact"/>
              <w:ind w:right="40"/>
              <w:jc w:val="center"/>
              <w:rPr>
                <w:sz w:val="17"/>
                <w:szCs w:val="18"/>
              </w:rPr>
            </w:pPr>
          </w:p>
        </w:tc>
        <w:tc>
          <w:tcPr>
            <w:tcW w:w="3814" w:type="dxa"/>
            <w:tcBorders>
              <w:top w:val="single" w:sz="12" w:space="0" w:color="auto"/>
            </w:tcBorders>
            <w:shd w:val="clear" w:color="auto" w:fill="auto"/>
            <w:vAlign w:val="bottom"/>
          </w:tcPr>
          <w:p w:rsidR="00C21E1B" w:rsidRPr="00C21E1B" w:rsidRDefault="00C21E1B" w:rsidP="00C21E1B">
            <w:pPr>
              <w:suppressAutoHyphens/>
              <w:spacing w:before="40" w:after="40" w:line="210" w:lineRule="exact"/>
              <w:ind w:right="113"/>
              <w:jc w:val="right"/>
              <w:rPr>
                <w:sz w:val="17"/>
                <w:szCs w:val="18"/>
              </w:rPr>
            </w:pPr>
          </w:p>
        </w:tc>
      </w:tr>
      <w:tr w:rsidR="006B5EBF" w:rsidRPr="00C21E1B" w:rsidTr="00C21E1B">
        <w:trPr>
          <w:cantSplit/>
        </w:trPr>
        <w:tc>
          <w:tcPr>
            <w:tcW w:w="3665" w:type="dxa"/>
            <w:shd w:val="clear" w:color="auto" w:fill="auto"/>
            <w:vAlign w:val="bottom"/>
          </w:tcPr>
          <w:p w:rsidR="006B5EBF" w:rsidRPr="00C21E1B" w:rsidRDefault="006B5EBF" w:rsidP="00C21E1B">
            <w:pPr>
              <w:tabs>
                <w:tab w:val="left" w:pos="288"/>
                <w:tab w:val="left" w:pos="576"/>
                <w:tab w:val="left" w:pos="864"/>
                <w:tab w:val="left" w:pos="1152"/>
              </w:tabs>
              <w:suppressAutoHyphens/>
              <w:spacing w:before="40" w:after="40" w:line="210" w:lineRule="exact"/>
              <w:ind w:right="40"/>
              <w:jc w:val="center"/>
              <w:rPr>
                <w:sz w:val="17"/>
                <w:szCs w:val="18"/>
              </w:rPr>
            </w:pPr>
            <w:r w:rsidRPr="00C21E1B">
              <w:rPr>
                <w:sz w:val="17"/>
                <w:szCs w:val="18"/>
              </w:rPr>
              <w:t>60</w:t>
            </w:r>
          </w:p>
        </w:tc>
        <w:tc>
          <w:tcPr>
            <w:tcW w:w="3814" w:type="dxa"/>
            <w:shd w:val="clear" w:color="auto" w:fill="auto"/>
            <w:vAlign w:val="bottom"/>
          </w:tcPr>
          <w:p w:rsidR="006B5EBF" w:rsidRPr="00C21E1B" w:rsidRDefault="006B5EBF" w:rsidP="00C21E1B">
            <w:pPr>
              <w:tabs>
                <w:tab w:val="left" w:pos="288"/>
                <w:tab w:val="left" w:pos="576"/>
                <w:tab w:val="left" w:pos="864"/>
                <w:tab w:val="left" w:pos="1152"/>
              </w:tabs>
              <w:suppressAutoHyphens/>
              <w:spacing w:before="40" w:after="40" w:line="210" w:lineRule="exact"/>
              <w:ind w:right="113"/>
              <w:jc w:val="center"/>
              <w:rPr>
                <w:sz w:val="17"/>
                <w:szCs w:val="18"/>
              </w:rPr>
            </w:pPr>
            <w:r w:rsidRPr="00C21E1B">
              <w:rPr>
                <w:sz w:val="17"/>
                <w:szCs w:val="18"/>
              </w:rPr>
              <w:t>10</w:t>
            </w:r>
          </w:p>
        </w:tc>
      </w:tr>
      <w:tr w:rsidR="006B5EBF" w:rsidRPr="00C21E1B" w:rsidTr="00C21E1B">
        <w:trPr>
          <w:cantSplit/>
        </w:trPr>
        <w:tc>
          <w:tcPr>
            <w:tcW w:w="3665" w:type="dxa"/>
            <w:shd w:val="clear" w:color="auto" w:fill="auto"/>
            <w:vAlign w:val="bottom"/>
          </w:tcPr>
          <w:p w:rsidR="006B5EBF" w:rsidRPr="00C21E1B" w:rsidRDefault="006B5EBF" w:rsidP="00C21E1B">
            <w:pPr>
              <w:tabs>
                <w:tab w:val="left" w:pos="288"/>
                <w:tab w:val="left" w:pos="576"/>
                <w:tab w:val="left" w:pos="864"/>
                <w:tab w:val="left" w:pos="1152"/>
              </w:tabs>
              <w:suppressAutoHyphens/>
              <w:spacing w:before="40" w:after="40" w:line="210" w:lineRule="exact"/>
              <w:ind w:right="40"/>
              <w:jc w:val="center"/>
              <w:rPr>
                <w:sz w:val="17"/>
                <w:szCs w:val="18"/>
              </w:rPr>
            </w:pPr>
            <w:r w:rsidRPr="00C21E1B">
              <w:rPr>
                <w:sz w:val="17"/>
                <w:szCs w:val="18"/>
              </w:rPr>
              <w:t>50</w:t>
            </w:r>
          </w:p>
        </w:tc>
        <w:tc>
          <w:tcPr>
            <w:tcW w:w="3814" w:type="dxa"/>
            <w:shd w:val="clear" w:color="auto" w:fill="auto"/>
            <w:vAlign w:val="bottom"/>
          </w:tcPr>
          <w:p w:rsidR="006B5EBF" w:rsidRPr="00C21E1B" w:rsidRDefault="006B5EBF" w:rsidP="00C21E1B">
            <w:pPr>
              <w:tabs>
                <w:tab w:val="left" w:pos="288"/>
                <w:tab w:val="left" w:pos="576"/>
                <w:tab w:val="left" w:pos="864"/>
                <w:tab w:val="left" w:pos="1152"/>
              </w:tabs>
              <w:suppressAutoHyphens/>
              <w:spacing w:before="40" w:after="40" w:line="210" w:lineRule="exact"/>
              <w:ind w:right="113"/>
              <w:jc w:val="center"/>
              <w:rPr>
                <w:sz w:val="17"/>
                <w:szCs w:val="18"/>
              </w:rPr>
            </w:pPr>
            <w:r w:rsidRPr="00C21E1B">
              <w:rPr>
                <w:sz w:val="17"/>
                <w:szCs w:val="18"/>
                <w:lang w:val="fr-FR"/>
              </w:rPr>
              <w:t>18</w:t>
            </w:r>
          </w:p>
        </w:tc>
      </w:tr>
      <w:tr w:rsidR="006B5EBF" w:rsidRPr="00C21E1B" w:rsidTr="00C21E1B">
        <w:trPr>
          <w:cantSplit/>
        </w:trPr>
        <w:tc>
          <w:tcPr>
            <w:tcW w:w="3665" w:type="dxa"/>
            <w:shd w:val="clear" w:color="auto" w:fill="auto"/>
            <w:vAlign w:val="bottom"/>
          </w:tcPr>
          <w:p w:rsidR="006B5EBF" w:rsidRPr="00C21E1B" w:rsidRDefault="006B5EBF" w:rsidP="00C21E1B">
            <w:pPr>
              <w:tabs>
                <w:tab w:val="left" w:pos="288"/>
                <w:tab w:val="left" w:pos="576"/>
                <w:tab w:val="left" w:pos="864"/>
                <w:tab w:val="left" w:pos="1152"/>
              </w:tabs>
              <w:suppressAutoHyphens/>
              <w:spacing w:before="40" w:after="40" w:line="210" w:lineRule="exact"/>
              <w:ind w:right="40"/>
              <w:jc w:val="center"/>
              <w:rPr>
                <w:sz w:val="17"/>
                <w:szCs w:val="18"/>
              </w:rPr>
            </w:pPr>
            <w:r w:rsidRPr="00C21E1B">
              <w:rPr>
                <w:sz w:val="17"/>
                <w:szCs w:val="18"/>
              </w:rPr>
              <w:t>40</w:t>
            </w:r>
          </w:p>
        </w:tc>
        <w:tc>
          <w:tcPr>
            <w:tcW w:w="3814" w:type="dxa"/>
            <w:shd w:val="clear" w:color="auto" w:fill="auto"/>
            <w:vAlign w:val="bottom"/>
          </w:tcPr>
          <w:p w:rsidR="006B5EBF" w:rsidRPr="00C21E1B" w:rsidRDefault="006B5EBF" w:rsidP="00C21E1B">
            <w:pPr>
              <w:tabs>
                <w:tab w:val="left" w:pos="288"/>
                <w:tab w:val="left" w:pos="576"/>
                <w:tab w:val="left" w:pos="864"/>
                <w:tab w:val="left" w:pos="1152"/>
              </w:tabs>
              <w:suppressAutoHyphens/>
              <w:spacing w:before="40" w:after="40" w:line="210" w:lineRule="exact"/>
              <w:ind w:right="113"/>
              <w:jc w:val="center"/>
              <w:rPr>
                <w:sz w:val="17"/>
                <w:szCs w:val="18"/>
              </w:rPr>
            </w:pPr>
            <w:r w:rsidRPr="00C21E1B">
              <w:rPr>
                <w:sz w:val="17"/>
                <w:szCs w:val="18"/>
                <w:lang w:val="fr-FR"/>
              </w:rPr>
              <w:t>32</w:t>
            </w:r>
          </w:p>
        </w:tc>
      </w:tr>
      <w:tr w:rsidR="006B5EBF" w:rsidRPr="00C21E1B" w:rsidTr="00C21E1B">
        <w:trPr>
          <w:cantSplit/>
        </w:trPr>
        <w:tc>
          <w:tcPr>
            <w:tcW w:w="3665" w:type="dxa"/>
            <w:tcBorders>
              <w:bottom w:val="single" w:sz="12" w:space="0" w:color="auto"/>
            </w:tcBorders>
            <w:shd w:val="clear" w:color="auto" w:fill="auto"/>
            <w:vAlign w:val="bottom"/>
          </w:tcPr>
          <w:p w:rsidR="006B5EBF" w:rsidRPr="00C21E1B" w:rsidRDefault="006B5EBF" w:rsidP="00C21E1B">
            <w:pPr>
              <w:tabs>
                <w:tab w:val="left" w:pos="288"/>
                <w:tab w:val="left" w:pos="576"/>
                <w:tab w:val="left" w:pos="864"/>
                <w:tab w:val="left" w:pos="1152"/>
              </w:tabs>
              <w:suppressAutoHyphens/>
              <w:spacing w:before="40" w:after="40" w:line="210" w:lineRule="exact"/>
              <w:ind w:right="40"/>
              <w:jc w:val="center"/>
              <w:rPr>
                <w:sz w:val="17"/>
                <w:szCs w:val="18"/>
              </w:rPr>
            </w:pPr>
            <w:r w:rsidRPr="00C21E1B">
              <w:rPr>
                <w:sz w:val="17"/>
                <w:szCs w:val="18"/>
              </w:rPr>
              <w:t>30</w:t>
            </w:r>
          </w:p>
        </w:tc>
        <w:tc>
          <w:tcPr>
            <w:tcW w:w="3814" w:type="dxa"/>
            <w:tcBorders>
              <w:bottom w:val="single" w:sz="12" w:space="0" w:color="auto"/>
            </w:tcBorders>
            <w:shd w:val="clear" w:color="auto" w:fill="auto"/>
            <w:vAlign w:val="bottom"/>
          </w:tcPr>
          <w:p w:rsidR="006B5EBF" w:rsidRPr="00C21E1B" w:rsidRDefault="006B5EBF" w:rsidP="00C21E1B">
            <w:pPr>
              <w:tabs>
                <w:tab w:val="left" w:pos="288"/>
                <w:tab w:val="left" w:pos="576"/>
                <w:tab w:val="left" w:pos="864"/>
                <w:tab w:val="left" w:pos="1152"/>
              </w:tabs>
              <w:suppressAutoHyphens/>
              <w:spacing w:before="40" w:after="40" w:line="210" w:lineRule="exact"/>
              <w:ind w:right="113"/>
              <w:jc w:val="center"/>
              <w:rPr>
                <w:sz w:val="17"/>
                <w:szCs w:val="18"/>
              </w:rPr>
            </w:pPr>
            <w:r w:rsidRPr="00C21E1B">
              <w:rPr>
                <w:sz w:val="17"/>
                <w:szCs w:val="18"/>
                <w:lang w:val="fr-FR"/>
              </w:rPr>
              <w:t>57</w:t>
            </w:r>
          </w:p>
        </w:tc>
      </w:tr>
    </w:tbl>
    <w:p w:rsidR="00C21E1B" w:rsidRPr="00227EB8" w:rsidRDefault="00C21E1B" w:rsidP="00227EB8">
      <w:pPr>
        <w:pStyle w:val="SingleTxt"/>
        <w:spacing w:after="0" w:line="120" w:lineRule="exact"/>
        <w:rPr>
          <w:sz w:val="10"/>
          <w:lang w:val="en-US"/>
        </w:rPr>
      </w:pPr>
    </w:p>
    <w:p w:rsidR="00227EB8" w:rsidRPr="00C21E1B" w:rsidRDefault="00227EB8" w:rsidP="00C21E1B">
      <w:pPr>
        <w:pStyle w:val="SingleTxt"/>
        <w:spacing w:after="0" w:line="120" w:lineRule="exact"/>
        <w:rPr>
          <w:sz w:val="10"/>
          <w:lang w:val="en-US"/>
        </w:rPr>
      </w:pPr>
    </w:p>
    <w:p w:rsidR="006B5EBF" w:rsidRPr="008041D0" w:rsidRDefault="009C5B97" w:rsidP="009C5B97">
      <w:pPr>
        <w:pStyle w:val="SingleTxt"/>
        <w:ind w:left="2693" w:hanging="1426"/>
        <w:rPr>
          <w:lang w:val="en-US"/>
        </w:rPr>
      </w:pPr>
      <w:r>
        <w:rPr>
          <w:lang w:val="en-US"/>
        </w:rPr>
        <w:tab/>
      </w:r>
      <w:r>
        <w:rPr>
          <w:lang w:val="en-US"/>
        </w:rPr>
        <w:tab/>
      </w:r>
      <w:r w:rsidR="006B5EBF" w:rsidRPr="008041D0">
        <w:rPr>
          <w:lang w:val="en-US"/>
        </w:rPr>
        <w:t>c)</w:t>
      </w:r>
      <w:r w:rsidR="006B5EBF" w:rsidRPr="008041D0">
        <w:rPr>
          <w:lang w:val="en-US"/>
        </w:rPr>
        <w:tab/>
      </w:r>
      <w:r>
        <w:t xml:space="preserve">En </w:t>
      </w:r>
      <w:r w:rsidR="006B5EBF">
        <w:t>cas de durée de transport effective supérieure à la durée maximale</w:t>
      </w:r>
      <w:r>
        <w:t xml:space="preserve"> du voyage indiquée à la lettre </w:t>
      </w:r>
      <w:r w:rsidR="006B5EBF">
        <w:t xml:space="preserve">b), une surveillance de la température est assurée dès le premier jour de dépassement; </w:t>
      </w:r>
      <w:r w:rsidR="006B5EBF" w:rsidRPr="003D3EFC">
        <w:rPr>
          <w:b/>
          <w:u w:val="single"/>
        </w:rPr>
        <w:t>l</w:t>
      </w:r>
      <w:r w:rsidR="006B5EBF">
        <w:rPr>
          <w:b/>
          <w:u w:val="single"/>
        </w:rPr>
        <w:t>’</w:t>
      </w:r>
      <w:r w:rsidR="006B5EBF" w:rsidRPr="003D3EFC">
        <w:rPr>
          <w:b/>
          <w:u w:val="single"/>
        </w:rPr>
        <w:t>é</w:t>
      </w:r>
      <w:proofErr w:type="spellStart"/>
      <w:r w:rsidR="006B5EBF" w:rsidRPr="003D3EFC">
        <w:rPr>
          <w:b/>
          <w:u w:val="single"/>
          <w:lang w:val="en-US"/>
        </w:rPr>
        <w:t>quipement</w:t>
      </w:r>
      <w:proofErr w:type="spellEnd"/>
      <w:r w:rsidR="006B5EBF" w:rsidRPr="003D3EFC">
        <w:rPr>
          <w:b/>
          <w:u w:val="single"/>
          <w:lang w:val="en-US"/>
        </w:rPr>
        <w:t xml:space="preserve"> </w:t>
      </w:r>
      <w:proofErr w:type="spellStart"/>
      <w:r w:rsidR="006B5EBF" w:rsidRPr="003D3EFC">
        <w:rPr>
          <w:b/>
          <w:u w:val="single"/>
          <w:lang w:val="en-US"/>
        </w:rPr>
        <w:t>nécessaire</w:t>
      </w:r>
      <w:proofErr w:type="spellEnd"/>
      <w:r w:rsidR="006B5EBF" w:rsidRPr="003D3EFC">
        <w:rPr>
          <w:b/>
          <w:u w:val="single"/>
          <w:lang w:val="en-US"/>
        </w:rPr>
        <w:t xml:space="preserve"> de </w:t>
      </w:r>
      <w:r w:rsidR="006B5EBF" w:rsidRPr="003D3EFC">
        <w:rPr>
          <w:b/>
          <w:u w:val="single"/>
        </w:rPr>
        <w:t xml:space="preserve">surveillance de la température </w:t>
      </w:r>
      <w:proofErr w:type="spellStart"/>
      <w:r w:rsidR="006B5EBF" w:rsidRPr="003D3EFC">
        <w:rPr>
          <w:b/>
          <w:u w:val="single"/>
          <w:lang w:val="en-US"/>
        </w:rPr>
        <w:t>doit</w:t>
      </w:r>
      <w:proofErr w:type="spellEnd"/>
      <w:r w:rsidR="006B5EBF" w:rsidRPr="003D3EFC">
        <w:rPr>
          <w:b/>
          <w:u w:val="single"/>
          <w:lang w:val="en-US"/>
        </w:rPr>
        <w:t xml:space="preserve"> se </w:t>
      </w:r>
      <w:proofErr w:type="spellStart"/>
      <w:r w:rsidR="006B5EBF" w:rsidRPr="003D3EFC">
        <w:rPr>
          <w:b/>
          <w:u w:val="single"/>
          <w:lang w:val="en-US"/>
        </w:rPr>
        <w:t>trouver</w:t>
      </w:r>
      <w:proofErr w:type="spellEnd"/>
      <w:r w:rsidR="006B5EBF" w:rsidRPr="003D3EFC">
        <w:rPr>
          <w:b/>
          <w:u w:val="single"/>
          <w:lang w:val="en-US"/>
        </w:rPr>
        <w:t xml:space="preserve"> à </w:t>
      </w:r>
      <w:proofErr w:type="spellStart"/>
      <w:r w:rsidR="006B5EBF" w:rsidRPr="003D3EFC">
        <w:rPr>
          <w:b/>
          <w:u w:val="single"/>
          <w:lang w:val="en-US"/>
        </w:rPr>
        <w:t>bord</w:t>
      </w:r>
      <w:proofErr w:type="spellEnd"/>
      <w:r w:rsidR="006B5EBF" w:rsidRPr="003D3EFC">
        <w:rPr>
          <w:b/>
          <w:u w:val="single"/>
          <w:lang w:val="en-US"/>
        </w:rPr>
        <w:t xml:space="preserve"> du bateau </w:t>
      </w:r>
      <w:r w:rsidR="006B5EBF" w:rsidRPr="003D3EFC">
        <w:rPr>
          <w:b/>
          <w:u w:val="single"/>
        </w:rPr>
        <w:t xml:space="preserve">dès </w:t>
      </w:r>
      <w:r w:rsidR="006B5EBF" w:rsidRPr="00CC64F2">
        <w:rPr>
          <w:b/>
          <w:u w:val="single"/>
        </w:rPr>
        <w:t>le premier jour</w:t>
      </w:r>
      <w:r w:rsidR="006B5EBF" w:rsidRPr="003D3EFC">
        <w:rPr>
          <w:b/>
          <w:u w:val="single"/>
        </w:rPr>
        <w:t xml:space="preserve"> et pendant la durée maximale du voyage</w:t>
      </w:r>
      <w:r w:rsidR="006B5EBF" w:rsidRPr="008041D0">
        <w:rPr>
          <w:b/>
          <w:u w:val="single"/>
          <w:lang w:val="en-US"/>
        </w:rPr>
        <w:t>.</w:t>
      </w:r>
    </w:p>
    <w:p w:rsidR="006B5EBF" w:rsidRDefault="009C5B97" w:rsidP="009C5B97">
      <w:pPr>
        <w:pStyle w:val="SingleTxt"/>
        <w:ind w:left="2693" w:hanging="1426"/>
      </w:pPr>
      <w:r>
        <w:rPr>
          <w:lang w:val="en-US"/>
        </w:rPr>
        <w:tab/>
      </w:r>
      <w:r>
        <w:rPr>
          <w:lang w:val="en-US"/>
        </w:rPr>
        <w:tab/>
      </w:r>
      <w:r w:rsidR="006B5EBF" w:rsidRPr="008041D0">
        <w:rPr>
          <w:lang w:val="en-US"/>
        </w:rPr>
        <w:t>d)</w:t>
      </w:r>
      <w:r w:rsidR="006B5EBF" w:rsidRPr="008041D0">
        <w:rPr>
          <w:lang w:val="en-US"/>
        </w:rPr>
        <w:tab/>
      </w:r>
      <w:r>
        <w:rPr>
          <w:lang w:val="en-US"/>
        </w:rPr>
        <w:t>L</w:t>
      </w:r>
      <w:r>
        <w:t xml:space="preserve">e </w:t>
      </w:r>
      <w:r w:rsidR="006B5EBF">
        <w:t xml:space="preserve">conducteur reçoit, au moment du chargement </w:t>
      </w:r>
      <w:proofErr w:type="gramStart"/>
      <w:r w:rsidR="006B5EBF">
        <w:t>et</w:t>
      </w:r>
      <w:proofErr w:type="gramEnd"/>
      <w:r w:rsidR="006B5EBF">
        <w:t xml:space="preserve"> sous une forme traçable, des instructions sur la manière de procéder en cas d’échauffement significatif de la cargaison.</w:t>
      </w:r>
      <w:r w:rsidR="00BB4052">
        <w:t> ».</w:t>
      </w:r>
    </w:p>
    <w:p w:rsidR="00BB4052" w:rsidRPr="00BB4052" w:rsidRDefault="00BB4052" w:rsidP="00BB4052">
      <w:pPr>
        <w:pStyle w:val="SingleTxt"/>
        <w:spacing w:after="0" w:line="120" w:lineRule="exact"/>
        <w:rPr>
          <w:sz w:val="10"/>
          <w:lang w:val="en-US"/>
        </w:rPr>
      </w:pPr>
    </w:p>
    <w:p w:rsidR="00BB4052" w:rsidRPr="00BB4052" w:rsidRDefault="00BB4052" w:rsidP="00BB4052">
      <w:pPr>
        <w:pStyle w:val="SingleTxt"/>
        <w:spacing w:after="0" w:line="120" w:lineRule="exact"/>
        <w:rPr>
          <w:sz w:val="10"/>
          <w:lang w:val="en-US"/>
        </w:rPr>
      </w:pPr>
    </w:p>
    <w:p w:rsidR="006B5EBF" w:rsidRDefault="006B5EBF" w:rsidP="003D7F2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r>
      <w:r>
        <w:tab/>
      </w:r>
      <w:r w:rsidRPr="001F5DB6">
        <w:t>Mesures de suivi</w:t>
      </w:r>
    </w:p>
    <w:p w:rsidR="00BB4052" w:rsidRPr="00BB4052" w:rsidRDefault="00BB4052" w:rsidP="003D7F2C">
      <w:pPr>
        <w:pStyle w:val="SingleTxt"/>
        <w:keepNext/>
        <w:spacing w:after="0" w:line="120" w:lineRule="exact"/>
        <w:rPr>
          <w:sz w:val="10"/>
        </w:rPr>
      </w:pPr>
    </w:p>
    <w:p w:rsidR="00BB4052" w:rsidRPr="00BB4052" w:rsidRDefault="00BB4052" w:rsidP="003D7F2C">
      <w:pPr>
        <w:pStyle w:val="SingleTxt"/>
        <w:keepNext/>
        <w:spacing w:after="0" w:line="120" w:lineRule="exact"/>
        <w:rPr>
          <w:sz w:val="10"/>
        </w:rPr>
      </w:pPr>
    </w:p>
    <w:p w:rsidR="000768DC" w:rsidRDefault="006B5EBF" w:rsidP="003D7F2C">
      <w:pPr>
        <w:pStyle w:val="SingleTxt"/>
        <w:keepNext/>
        <w:numPr>
          <w:ilvl w:val="0"/>
          <w:numId w:val="9"/>
        </w:numPr>
        <w:tabs>
          <w:tab w:val="clear" w:pos="475"/>
          <w:tab w:val="num" w:pos="1742"/>
        </w:tabs>
        <w:ind w:left="1267"/>
      </w:pPr>
      <w:r w:rsidRPr="001F5DB6">
        <w:t>Le Comité de sécurité est invité à examiner les propositions figurant au paragraphe 4 ci-dessus et à prendre les mesures qu</w:t>
      </w:r>
      <w:r>
        <w:t>’</w:t>
      </w:r>
      <w:r w:rsidRPr="001F5DB6">
        <w:t>il juge appropriées.</w:t>
      </w:r>
    </w:p>
    <w:p w:rsidR="00BB4052" w:rsidRPr="00BB4052" w:rsidRDefault="00BB4052" w:rsidP="00BB4052">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B4052" w:rsidRPr="00BB4052" w:rsidSect="00BA1010">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81" w:rsidRDefault="00182881" w:rsidP="00F3330B">
      <w:pPr>
        <w:spacing w:line="240" w:lineRule="auto"/>
      </w:pPr>
      <w:r>
        <w:separator/>
      </w:r>
    </w:p>
  </w:endnote>
  <w:endnote w:type="continuationSeparator" w:id="0">
    <w:p w:rsidR="00182881" w:rsidRDefault="0018288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A1010" w:rsidTr="00BA1010">
      <w:trPr>
        <w:jc w:val="center"/>
      </w:trPr>
      <w:tc>
        <w:tcPr>
          <w:tcW w:w="5126" w:type="dxa"/>
          <w:shd w:val="clear" w:color="auto" w:fill="auto"/>
        </w:tcPr>
        <w:p w:rsidR="00BA1010" w:rsidRPr="00BA1010" w:rsidRDefault="00BA1010" w:rsidP="00BA101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5BEC">
            <w:rPr>
              <w:b w:val="0"/>
              <w:w w:val="103"/>
              <w:sz w:val="14"/>
            </w:rPr>
            <w:t>GE.15-19136</w:t>
          </w:r>
          <w:r>
            <w:rPr>
              <w:b w:val="0"/>
              <w:w w:val="103"/>
              <w:sz w:val="14"/>
            </w:rPr>
            <w:fldChar w:fldCharType="end"/>
          </w:r>
        </w:p>
      </w:tc>
      <w:tc>
        <w:tcPr>
          <w:tcW w:w="5127" w:type="dxa"/>
          <w:shd w:val="clear" w:color="auto" w:fill="auto"/>
        </w:tcPr>
        <w:p w:rsidR="00BA1010" w:rsidRPr="00BA1010" w:rsidRDefault="00BA1010" w:rsidP="00BA1010">
          <w:pPr>
            <w:pStyle w:val="Footer"/>
            <w:rPr>
              <w:w w:val="103"/>
            </w:rPr>
          </w:pPr>
          <w:r>
            <w:rPr>
              <w:w w:val="103"/>
            </w:rPr>
            <w:fldChar w:fldCharType="begin"/>
          </w:r>
          <w:r>
            <w:rPr>
              <w:w w:val="103"/>
            </w:rPr>
            <w:instrText xml:space="preserve"> PAGE  \* Arabic  \* MERGEFORMAT </w:instrText>
          </w:r>
          <w:r>
            <w:rPr>
              <w:w w:val="103"/>
            </w:rPr>
            <w:fldChar w:fldCharType="separate"/>
          </w:r>
          <w:r w:rsidR="0061408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14087">
            <w:rPr>
              <w:noProof/>
              <w:w w:val="103"/>
            </w:rPr>
            <w:t>2</w:t>
          </w:r>
          <w:r>
            <w:rPr>
              <w:w w:val="103"/>
            </w:rPr>
            <w:fldChar w:fldCharType="end"/>
          </w:r>
        </w:p>
      </w:tc>
    </w:tr>
  </w:tbl>
  <w:p w:rsidR="00BA1010" w:rsidRPr="00BA1010" w:rsidRDefault="00BA1010" w:rsidP="00BA1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A1010" w:rsidTr="00BA1010">
      <w:trPr>
        <w:jc w:val="center"/>
      </w:trPr>
      <w:tc>
        <w:tcPr>
          <w:tcW w:w="5126" w:type="dxa"/>
          <w:shd w:val="clear" w:color="auto" w:fill="auto"/>
        </w:tcPr>
        <w:p w:rsidR="00BA1010" w:rsidRPr="00BA1010" w:rsidRDefault="00BA1010" w:rsidP="00BA101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14087">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14087">
            <w:rPr>
              <w:noProof/>
              <w:w w:val="103"/>
            </w:rPr>
            <w:t>3</w:t>
          </w:r>
          <w:r>
            <w:rPr>
              <w:w w:val="103"/>
            </w:rPr>
            <w:fldChar w:fldCharType="end"/>
          </w:r>
        </w:p>
      </w:tc>
      <w:tc>
        <w:tcPr>
          <w:tcW w:w="5127" w:type="dxa"/>
          <w:shd w:val="clear" w:color="auto" w:fill="auto"/>
        </w:tcPr>
        <w:p w:rsidR="00BA1010" w:rsidRPr="00BA1010" w:rsidRDefault="00BA1010" w:rsidP="00BA101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5BEC">
            <w:rPr>
              <w:b w:val="0"/>
              <w:w w:val="103"/>
              <w:sz w:val="14"/>
            </w:rPr>
            <w:t>GE.15-19136</w:t>
          </w:r>
          <w:r>
            <w:rPr>
              <w:b w:val="0"/>
              <w:w w:val="103"/>
              <w:sz w:val="14"/>
            </w:rPr>
            <w:fldChar w:fldCharType="end"/>
          </w:r>
        </w:p>
      </w:tc>
    </w:tr>
  </w:tbl>
  <w:p w:rsidR="00BA1010" w:rsidRPr="00BA1010" w:rsidRDefault="00BA1010" w:rsidP="00BA1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10" w:rsidRDefault="00BA1010">
    <w:pPr>
      <w:pStyle w:val="Footer"/>
    </w:pPr>
    <w:r>
      <w:rPr>
        <w:noProof/>
        <w:lang w:val="en-GB" w:eastAsia="en-GB"/>
      </w:rPr>
      <w:drawing>
        <wp:anchor distT="0" distB="0" distL="114300" distR="114300" simplePos="0" relativeHeight="251658240" behindDoc="0" locked="0" layoutInCell="1" allowOverlap="1" wp14:anchorId="661E227C" wp14:editId="2D1DEB4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2/2016/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A1010" w:rsidTr="00BA1010">
      <w:tc>
        <w:tcPr>
          <w:tcW w:w="3859" w:type="dxa"/>
        </w:tcPr>
        <w:p w:rsidR="00BA1010" w:rsidRDefault="00BA1010" w:rsidP="00BA101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F5BEC">
            <w:rPr>
              <w:b w:val="0"/>
              <w:sz w:val="20"/>
            </w:rPr>
            <w:t>GE.15-19136 (F)</w:t>
          </w:r>
          <w:r>
            <w:rPr>
              <w:b w:val="0"/>
              <w:sz w:val="20"/>
            </w:rPr>
            <w:fldChar w:fldCharType="end"/>
          </w:r>
          <w:r>
            <w:rPr>
              <w:b w:val="0"/>
              <w:sz w:val="20"/>
            </w:rPr>
            <w:t xml:space="preserve">    251115    </w:t>
          </w:r>
          <w:r w:rsidR="000D44D8">
            <w:rPr>
              <w:b w:val="0"/>
              <w:sz w:val="20"/>
            </w:rPr>
            <w:t>1412</w:t>
          </w:r>
          <w:r>
            <w:rPr>
              <w:b w:val="0"/>
              <w:sz w:val="20"/>
            </w:rPr>
            <w:t>15</w:t>
          </w:r>
        </w:p>
        <w:p w:rsidR="00BA1010" w:rsidRPr="00BA1010" w:rsidRDefault="00BA1010" w:rsidP="00BA101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F5BEC">
            <w:rPr>
              <w:rFonts w:ascii="Barcode 3 of 9 by request" w:hAnsi="Barcode 3 of 9 by request"/>
              <w:b w:val="0"/>
              <w:spacing w:val="0"/>
              <w:w w:val="100"/>
              <w:sz w:val="24"/>
            </w:rPr>
            <w:t>*1519136*</w:t>
          </w:r>
          <w:r>
            <w:rPr>
              <w:rFonts w:ascii="Barcode 3 of 9 by request" w:hAnsi="Barcode 3 of 9 by request"/>
              <w:b w:val="0"/>
              <w:spacing w:val="0"/>
              <w:w w:val="100"/>
              <w:sz w:val="24"/>
            </w:rPr>
            <w:fldChar w:fldCharType="end"/>
          </w:r>
        </w:p>
      </w:tc>
      <w:tc>
        <w:tcPr>
          <w:tcW w:w="5127" w:type="dxa"/>
        </w:tcPr>
        <w:p w:rsidR="00BA1010" w:rsidRDefault="00BA1010" w:rsidP="00BA1010">
          <w:pPr>
            <w:pStyle w:val="Footer"/>
            <w:spacing w:line="240" w:lineRule="atLeast"/>
            <w:jc w:val="right"/>
            <w:rPr>
              <w:b w:val="0"/>
              <w:sz w:val="20"/>
            </w:rPr>
          </w:pPr>
          <w:r>
            <w:rPr>
              <w:b w:val="0"/>
              <w:noProof/>
              <w:sz w:val="20"/>
              <w:lang w:val="en-GB" w:eastAsia="en-GB"/>
            </w:rPr>
            <w:drawing>
              <wp:inline distT="0" distB="0" distL="0" distR="0" wp14:anchorId="6FD7E2C6" wp14:editId="4823B9E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A1010" w:rsidRPr="00BA1010" w:rsidRDefault="00BA1010" w:rsidP="00BA101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81" w:rsidRPr="003B0EE6" w:rsidRDefault="003B0EE6" w:rsidP="003B0EE6">
      <w:pPr>
        <w:pStyle w:val="Footer"/>
        <w:spacing w:after="80"/>
        <w:ind w:left="792"/>
        <w:rPr>
          <w:sz w:val="16"/>
        </w:rPr>
      </w:pPr>
      <w:r w:rsidRPr="003B0EE6">
        <w:rPr>
          <w:sz w:val="16"/>
        </w:rPr>
        <w:t>__________________</w:t>
      </w:r>
    </w:p>
  </w:footnote>
  <w:footnote w:type="continuationSeparator" w:id="0">
    <w:p w:rsidR="00182881" w:rsidRPr="003B0EE6" w:rsidRDefault="003B0EE6" w:rsidP="003B0EE6">
      <w:pPr>
        <w:pStyle w:val="Footer"/>
        <w:spacing w:after="80"/>
        <w:ind w:left="792"/>
        <w:rPr>
          <w:sz w:val="16"/>
        </w:rPr>
      </w:pPr>
      <w:r w:rsidRPr="003B0EE6">
        <w:rPr>
          <w:sz w:val="16"/>
        </w:rPr>
        <w:t>__________________</w:t>
      </w:r>
    </w:p>
  </w:footnote>
  <w:footnote w:id="1">
    <w:p w:rsidR="006B5EBF" w:rsidRPr="006B5EBF" w:rsidRDefault="006B5EBF" w:rsidP="003B0EE6">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6B5EBF">
        <w:rPr>
          <w:lang w:val="fr-CH"/>
        </w:rPr>
        <w:t xml:space="preserve">Diffusé en langue allemande par la Commission centrale pour la navigation du Rhin sous la cote </w:t>
      </w:r>
      <w:r w:rsidRPr="006B5EBF">
        <w:rPr>
          <w:lang w:val="en-US"/>
        </w:rPr>
        <w:t>CCNR-ZKR/ADN/WP.15/AC.2/2016/23</w:t>
      </w:r>
      <w:r w:rsidRPr="006B5EBF">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A1010" w:rsidTr="00BA1010">
      <w:trPr>
        <w:trHeight w:hRule="exact" w:val="864"/>
        <w:jc w:val="center"/>
      </w:trPr>
      <w:tc>
        <w:tcPr>
          <w:tcW w:w="4882" w:type="dxa"/>
          <w:shd w:val="clear" w:color="auto" w:fill="auto"/>
          <w:vAlign w:val="bottom"/>
        </w:tcPr>
        <w:p w:rsidR="00BA1010" w:rsidRPr="00BA1010" w:rsidRDefault="00BA1010" w:rsidP="00BA101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F5BEC">
            <w:rPr>
              <w:b/>
              <w:color w:val="000000"/>
            </w:rPr>
            <w:t>ECE/TRANS/WP.15/AC.2/2016/23</w:t>
          </w:r>
          <w:r>
            <w:rPr>
              <w:b/>
              <w:color w:val="000000"/>
            </w:rPr>
            <w:fldChar w:fldCharType="end"/>
          </w:r>
        </w:p>
      </w:tc>
      <w:tc>
        <w:tcPr>
          <w:tcW w:w="5127" w:type="dxa"/>
          <w:shd w:val="clear" w:color="auto" w:fill="auto"/>
          <w:vAlign w:val="bottom"/>
        </w:tcPr>
        <w:p w:rsidR="00BA1010" w:rsidRDefault="00BA1010" w:rsidP="00BA1010">
          <w:pPr>
            <w:pStyle w:val="Header"/>
          </w:pPr>
        </w:p>
      </w:tc>
    </w:tr>
  </w:tbl>
  <w:p w:rsidR="00BA1010" w:rsidRPr="00BA1010" w:rsidRDefault="00BA1010" w:rsidP="00BA101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A1010" w:rsidTr="00BA1010">
      <w:trPr>
        <w:trHeight w:hRule="exact" w:val="864"/>
        <w:jc w:val="center"/>
      </w:trPr>
      <w:tc>
        <w:tcPr>
          <w:tcW w:w="4882" w:type="dxa"/>
          <w:shd w:val="clear" w:color="auto" w:fill="auto"/>
          <w:vAlign w:val="bottom"/>
        </w:tcPr>
        <w:p w:rsidR="00BA1010" w:rsidRDefault="00BA1010" w:rsidP="00BA1010">
          <w:pPr>
            <w:pStyle w:val="Header"/>
          </w:pPr>
        </w:p>
      </w:tc>
      <w:tc>
        <w:tcPr>
          <w:tcW w:w="5127" w:type="dxa"/>
          <w:shd w:val="clear" w:color="auto" w:fill="auto"/>
          <w:vAlign w:val="bottom"/>
        </w:tcPr>
        <w:p w:rsidR="00BA1010" w:rsidRPr="00BA1010" w:rsidRDefault="00BA1010" w:rsidP="00BA101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F5BEC">
            <w:rPr>
              <w:b/>
              <w:color w:val="000000"/>
            </w:rPr>
            <w:t>ECE/TRANS/WP.15/AC.2/2016/23</w:t>
          </w:r>
          <w:r>
            <w:rPr>
              <w:b/>
              <w:color w:val="000000"/>
            </w:rPr>
            <w:fldChar w:fldCharType="end"/>
          </w:r>
        </w:p>
      </w:tc>
    </w:tr>
  </w:tbl>
  <w:p w:rsidR="00BA1010" w:rsidRPr="00BA1010" w:rsidRDefault="00BA1010" w:rsidP="00BA101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A1010" w:rsidTr="00BA1010">
      <w:trPr>
        <w:trHeight w:hRule="exact" w:val="864"/>
      </w:trPr>
      <w:tc>
        <w:tcPr>
          <w:tcW w:w="1267" w:type="dxa"/>
          <w:tcBorders>
            <w:bottom w:val="single" w:sz="4" w:space="0" w:color="auto"/>
          </w:tcBorders>
          <w:shd w:val="clear" w:color="auto" w:fill="auto"/>
          <w:vAlign w:val="bottom"/>
        </w:tcPr>
        <w:p w:rsidR="00BA1010" w:rsidRDefault="00BA1010" w:rsidP="00BA1010">
          <w:pPr>
            <w:pStyle w:val="Header"/>
            <w:spacing w:after="120"/>
          </w:pPr>
        </w:p>
      </w:tc>
      <w:tc>
        <w:tcPr>
          <w:tcW w:w="2059" w:type="dxa"/>
          <w:tcBorders>
            <w:bottom w:val="single" w:sz="4" w:space="0" w:color="auto"/>
          </w:tcBorders>
          <w:shd w:val="clear" w:color="auto" w:fill="auto"/>
          <w:vAlign w:val="bottom"/>
        </w:tcPr>
        <w:p w:rsidR="00BA1010" w:rsidRPr="00BA1010" w:rsidRDefault="00BA1010" w:rsidP="00BA101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A1010" w:rsidRDefault="00BA1010" w:rsidP="00BA1010">
          <w:pPr>
            <w:pStyle w:val="Header"/>
            <w:spacing w:after="120"/>
          </w:pPr>
        </w:p>
      </w:tc>
      <w:tc>
        <w:tcPr>
          <w:tcW w:w="6653" w:type="dxa"/>
          <w:gridSpan w:val="4"/>
          <w:tcBorders>
            <w:bottom w:val="single" w:sz="4" w:space="0" w:color="auto"/>
          </w:tcBorders>
          <w:shd w:val="clear" w:color="auto" w:fill="auto"/>
          <w:vAlign w:val="bottom"/>
        </w:tcPr>
        <w:p w:rsidR="00BA1010" w:rsidRPr="00BA1010" w:rsidRDefault="00BA1010" w:rsidP="00BA1010">
          <w:pPr>
            <w:spacing w:after="80" w:line="240" w:lineRule="auto"/>
            <w:jc w:val="right"/>
            <w:rPr>
              <w:position w:val="-4"/>
            </w:rPr>
          </w:pPr>
          <w:r>
            <w:rPr>
              <w:position w:val="-4"/>
              <w:sz w:val="40"/>
            </w:rPr>
            <w:t>ECE</w:t>
          </w:r>
          <w:r>
            <w:rPr>
              <w:position w:val="-4"/>
            </w:rPr>
            <w:t>/TRANS/WP.15/AC.2/2016/23</w:t>
          </w:r>
        </w:p>
      </w:tc>
    </w:tr>
    <w:tr w:rsidR="00BA1010" w:rsidRPr="00BA1010" w:rsidTr="00BA1010">
      <w:trPr>
        <w:gridAfter w:val="1"/>
        <w:wAfter w:w="18" w:type="dxa"/>
        <w:trHeight w:hRule="exact" w:val="2880"/>
      </w:trPr>
      <w:tc>
        <w:tcPr>
          <w:tcW w:w="1267" w:type="dxa"/>
          <w:tcBorders>
            <w:top w:val="single" w:sz="4" w:space="0" w:color="auto"/>
            <w:bottom w:val="single" w:sz="12" w:space="0" w:color="auto"/>
          </w:tcBorders>
          <w:shd w:val="clear" w:color="auto" w:fill="auto"/>
        </w:tcPr>
        <w:p w:rsidR="00BA1010" w:rsidRPr="00BA1010" w:rsidRDefault="00BA1010" w:rsidP="00BA1010">
          <w:pPr>
            <w:pStyle w:val="Header"/>
            <w:spacing w:before="120" w:line="240" w:lineRule="auto"/>
            <w:ind w:left="-72"/>
            <w:jc w:val="center"/>
          </w:pPr>
          <w:r>
            <w:t xml:space="preserve">  </w:t>
          </w:r>
          <w:r>
            <w:rPr>
              <w:noProof/>
              <w:lang w:val="en-GB" w:eastAsia="en-GB"/>
            </w:rPr>
            <w:drawing>
              <wp:inline distT="0" distB="0" distL="0" distR="0" wp14:anchorId="7D50D050" wp14:editId="2054892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A1010" w:rsidRPr="00BA1010" w:rsidRDefault="00BA1010" w:rsidP="00BA101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A1010" w:rsidRPr="00BA1010" w:rsidRDefault="00BA1010" w:rsidP="00BA1010">
          <w:pPr>
            <w:pStyle w:val="Header"/>
            <w:spacing w:before="109"/>
          </w:pPr>
        </w:p>
      </w:tc>
      <w:tc>
        <w:tcPr>
          <w:tcW w:w="3280" w:type="dxa"/>
          <w:tcBorders>
            <w:top w:val="single" w:sz="4" w:space="0" w:color="auto"/>
            <w:bottom w:val="single" w:sz="12" w:space="0" w:color="auto"/>
          </w:tcBorders>
          <w:shd w:val="clear" w:color="auto" w:fill="auto"/>
        </w:tcPr>
        <w:p w:rsidR="00BA1010" w:rsidRDefault="00BA1010" w:rsidP="00BA1010">
          <w:pPr>
            <w:pStyle w:val="Distribution"/>
            <w:rPr>
              <w:color w:val="000000"/>
            </w:rPr>
          </w:pPr>
          <w:r>
            <w:rPr>
              <w:color w:val="000000"/>
            </w:rPr>
            <w:t xml:space="preserve">Distr. </w:t>
          </w:r>
          <w:proofErr w:type="spellStart"/>
          <w:r>
            <w:rPr>
              <w:color w:val="000000"/>
            </w:rPr>
            <w:t>générale</w:t>
          </w:r>
          <w:proofErr w:type="spellEnd"/>
        </w:p>
        <w:p w:rsidR="00BA1010" w:rsidRDefault="003C0B18" w:rsidP="00BA1010">
          <w:pPr>
            <w:pStyle w:val="Publication"/>
            <w:rPr>
              <w:color w:val="000000"/>
            </w:rPr>
          </w:pPr>
          <w:r>
            <w:rPr>
              <w:color w:val="000000"/>
            </w:rPr>
            <w:t>3</w:t>
          </w:r>
          <w:r w:rsidR="00BA1010">
            <w:rPr>
              <w:color w:val="000000"/>
            </w:rPr>
            <w:t xml:space="preserve"> </w:t>
          </w:r>
          <w:proofErr w:type="spellStart"/>
          <w:r w:rsidR="00BA1010">
            <w:rPr>
              <w:color w:val="000000"/>
            </w:rPr>
            <w:t>novembre</w:t>
          </w:r>
          <w:proofErr w:type="spellEnd"/>
          <w:r w:rsidR="00BA1010">
            <w:rPr>
              <w:color w:val="000000"/>
            </w:rPr>
            <w:t xml:space="preserve"> 2015</w:t>
          </w:r>
        </w:p>
        <w:p w:rsidR="00BA1010" w:rsidRDefault="00BA1010" w:rsidP="00BA1010">
          <w:pPr>
            <w:rPr>
              <w:lang w:val="en-US"/>
            </w:rPr>
          </w:pPr>
          <w:proofErr w:type="spellStart"/>
          <w:r>
            <w:rPr>
              <w:lang w:val="en-US"/>
            </w:rPr>
            <w:t>Français</w:t>
          </w:r>
          <w:proofErr w:type="spellEnd"/>
        </w:p>
        <w:p w:rsidR="00BA1010" w:rsidRPr="00BA1010" w:rsidRDefault="00BA1010" w:rsidP="00BA1010">
          <w:pPr>
            <w:pStyle w:val="Original"/>
            <w:rPr>
              <w:color w:val="000000"/>
            </w:rPr>
          </w:pPr>
          <w:r>
            <w:rPr>
              <w:color w:val="000000"/>
            </w:rPr>
            <w:t xml:space="preserve">Original : </w:t>
          </w:r>
          <w:proofErr w:type="spellStart"/>
          <w:r>
            <w:rPr>
              <w:color w:val="000000"/>
            </w:rPr>
            <w:t>anglais</w:t>
          </w:r>
          <w:proofErr w:type="spellEnd"/>
        </w:p>
      </w:tc>
    </w:tr>
  </w:tbl>
  <w:p w:rsidR="00BA1010" w:rsidRPr="00BA1010" w:rsidRDefault="00BA1010" w:rsidP="00BA101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16A1F"/>
    <w:multiLevelType w:val="singleLevel"/>
    <w:tmpl w:val="4484F6C8"/>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B7692"/>
    <w:multiLevelType w:val="hybridMultilevel"/>
    <w:tmpl w:val="D0B8DC48"/>
    <w:lvl w:ilvl="0" w:tplc="3C06170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5C7D62DC"/>
    <w:multiLevelType w:val="singleLevel"/>
    <w:tmpl w:val="4484F6C8"/>
    <w:lvl w:ilvl="0">
      <w:start w:val="1"/>
      <w:numFmt w:val="decimal"/>
      <w:lvlRestart w:val="0"/>
      <w:lvlText w:val="%1."/>
      <w:lvlJc w:val="left"/>
      <w:pPr>
        <w:tabs>
          <w:tab w:val="num" w:pos="475"/>
        </w:tabs>
        <w:ind w:left="0" w:firstLine="0"/>
      </w:pPr>
      <w:rPr>
        <w:w w:val="100"/>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9136*"/>
    <w:docVar w:name="CreationDt" w:val="11/25/2015 2:45: PM"/>
    <w:docVar w:name="DocCategory" w:val="Doc"/>
    <w:docVar w:name="DocType" w:val="Final"/>
    <w:docVar w:name="DutyStation" w:val="Geneva"/>
    <w:docVar w:name="FooterJN" w:val="GE.15-19136"/>
    <w:docVar w:name="jobn" w:val="GE.15-19136 (F)"/>
    <w:docVar w:name="jobnDT" w:val="GE.15-19136 (F)   251115"/>
    <w:docVar w:name="jobnDTDT" w:val="GE.15-19136 (F)   251115   251115"/>
    <w:docVar w:name="JobNo" w:val="GE.1519136F"/>
    <w:docVar w:name="JobNo2" w:val="GE.1524979F"/>
    <w:docVar w:name="LocalDrive" w:val="0"/>
    <w:docVar w:name="OandT" w:val="OKRZESIK"/>
    <w:docVar w:name="PaperSize" w:val="A4"/>
    <w:docVar w:name="sss1" w:val="ECE/TRANS/WP.15/AC.2/2016/23"/>
    <w:docVar w:name="sss2" w:val="-"/>
    <w:docVar w:name="Symbol1" w:val="ECE/TRANS/WP.15/AC.2/2016/23"/>
    <w:docVar w:name="Symbol2" w:val="-"/>
  </w:docVars>
  <w:rsids>
    <w:rsidRoot w:val="00182881"/>
    <w:rsid w:val="000015B8"/>
    <w:rsid w:val="000046A5"/>
    <w:rsid w:val="000055FB"/>
    <w:rsid w:val="00010C97"/>
    <w:rsid w:val="00016483"/>
    <w:rsid w:val="00022173"/>
    <w:rsid w:val="0002226F"/>
    <w:rsid w:val="00022B4A"/>
    <w:rsid w:val="00023E37"/>
    <w:rsid w:val="000249FF"/>
    <w:rsid w:val="00025DE5"/>
    <w:rsid w:val="000274C2"/>
    <w:rsid w:val="00032407"/>
    <w:rsid w:val="00033DC9"/>
    <w:rsid w:val="000369AE"/>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68DC"/>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D8"/>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2881"/>
    <w:rsid w:val="00183EBF"/>
    <w:rsid w:val="00186793"/>
    <w:rsid w:val="0019082C"/>
    <w:rsid w:val="00192D05"/>
    <w:rsid w:val="00193A8C"/>
    <w:rsid w:val="001A2E2D"/>
    <w:rsid w:val="001A3A07"/>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27EB8"/>
    <w:rsid w:val="00237D01"/>
    <w:rsid w:val="00240F64"/>
    <w:rsid w:val="002410E3"/>
    <w:rsid w:val="00241F29"/>
    <w:rsid w:val="00243D1C"/>
    <w:rsid w:val="00245A4D"/>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1D1F"/>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0EE6"/>
    <w:rsid w:val="003B411E"/>
    <w:rsid w:val="003B445F"/>
    <w:rsid w:val="003B49BF"/>
    <w:rsid w:val="003B60DA"/>
    <w:rsid w:val="003B60EE"/>
    <w:rsid w:val="003B668A"/>
    <w:rsid w:val="003C012D"/>
    <w:rsid w:val="003C0B18"/>
    <w:rsid w:val="003C16E3"/>
    <w:rsid w:val="003C222D"/>
    <w:rsid w:val="003C252F"/>
    <w:rsid w:val="003C6DDA"/>
    <w:rsid w:val="003C7AEA"/>
    <w:rsid w:val="003C7D21"/>
    <w:rsid w:val="003D15A3"/>
    <w:rsid w:val="003D35C1"/>
    <w:rsid w:val="003D635C"/>
    <w:rsid w:val="003D7BC4"/>
    <w:rsid w:val="003D7F2C"/>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0B68"/>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920"/>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151D"/>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4087"/>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5EBF"/>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451"/>
    <w:rsid w:val="00761561"/>
    <w:rsid w:val="00762F97"/>
    <w:rsid w:val="0076382E"/>
    <w:rsid w:val="00763AE4"/>
    <w:rsid w:val="00765152"/>
    <w:rsid w:val="00767FBE"/>
    <w:rsid w:val="00770DEF"/>
    <w:rsid w:val="00770EB4"/>
    <w:rsid w:val="00772106"/>
    <w:rsid w:val="0077228A"/>
    <w:rsid w:val="00772CF6"/>
    <w:rsid w:val="00772EB1"/>
    <w:rsid w:val="00773AC4"/>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5BEC"/>
    <w:rsid w:val="007F6F95"/>
    <w:rsid w:val="007F77CB"/>
    <w:rsid w:val="00800903"/>
    <w:rsid w:val="0080406E"/>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5B97"/>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243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0B32"/>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D2E"/>
    <w:rsid w:val="00B82E95"/>
    <w:rsid w:val="00B84109"/>
    <w:rsid w:val="00B85BDA"/>
    <w:rsid w:val="00B870D6"/>
    <w:rsid w:val="00B874A9"/>
    <w:rsid w:val="00B932C8"/>
    <w:rsid w:val="00B93B31"/>
    <w:rsid w:val="00B9457F"/>
    <w:rsid w:val="00B95547"/>
    <w:rsid w:val="00B965BF"/>
    <w:rsid w:val="00BA06B1"/>
    <w:rsid w:val="00BA1010"/>
    <w:rsid w:val="00BA3125"/>
    <w:rsid w:val="00BA3654"/>
    <w:rsid w:val="00BA600B"/>
    <w:rsid w:val="00BB4052"/>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32A"/>
    <w:rsid w:val="00C01B04"/>
    <w:rsid w:val="00C01B3A"/>
    <w:rsid w:val="00C03721"/>
    <w:rsid w:val="00C05291"/>
    <w:rsid w:val="00C06025"/>
    <w:rsid w:val="00C067A3"/>
    <w:rsid w:val="00C115C1"/>
    <w:rsid w:val="00C118DD"/>
    <w:rsid w:val="00C13C81"/>
    <w:rsid w:val="00C14A5C"/>
    <w:rsid w:val="00C14B0A"/>
    <w:rsid w:val="00C21E1B"/>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D51"/>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0CBA"/>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0C33"/>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5EDE"/>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A1010"/>
    <w:rPr>
      <w:sz w:val="16"/>
      <w:szCs w:val="16"/>
    </w:rPr>
  </w:style>
  <w:style w:type="paragraph" w:styleId="CommentText">
    <w:name w:val="annotation text"/>
    <w:basedOn w:val="Normal"/>
    <w:link w:val="CommentTextChar"/>
    <w:uiPriority w:val="99"/>
    <w:semiHidden/>
    <w:unhideWhenUsed/>
    <w:rsid w:val="00BA1010"/>
    <w:pPr>
      <w:spacing w:line="240" w:lineRule="auto"/>
    </w:pPr>
    <w:rPr>
      <w:szCs w:val="20"/>
    </w:rPr>
  </w:style>
  <w:style w:type="character" w:customStyle="1" w:styleId="CommentTextChar">
    <w:name w:val="Comment Text Char"/>
    <w:basedOn w:val="DefaultParagraphFont"/>
    <w:link w:val="CommentText"/>
    <w:uiPriority w:val="99"/>
    <w:semiHidden/>
    <w:rsid w:val="00BA101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A1010"/>
    <w:rPr>
      <w:b/>
      <w:bCs/>
    </w:rPr>
  </w:style>
  <w:style w:type="character" w:customStyle="1" w:styleId="CommentSubjectChar">
    <w:name w:val="Comment Subject Char"/>
    <w:basedOn w:val="CommentTextChar"/>
    <w:link w:val="CommentSubject"/>
    <w:uiPriority w:val="99"/>
    <w:semiHidden/>
    <w:rsid w:val="00BA1010"/>
    <w:rPr>
      <w:rFonts w:ascii="Times New Roman" w:hAnsi="Times New Roman"/>
      <w:b/>
      <w:bCs/>
      <w:spacing w:val="4"/>
      <w:w w:val="103"/>
      <w:kern w:val="14"/>
      <w:lang w:val="fr-CA"/>
    </w:rPr>
  </w:style>
  <w:style w:type="paragraph" w:customStyle="1" w:styleId="HChG">
    <w:name w:val="_ H _Ch_G"/>
    <w:basedOn w:val="Normal"/>
    <w:next w:val="Normal"/>
    <w:qFormat/>
    <w:rsid w:val="003C0B1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qFormat/>
    <w:rsid w:val="006B5EBF"/>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6B5EBF"/>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A1010"/>
    <w:rPr>
      <w:sz w:val="16"/>
      <w:szCs w:val="16"/>
    </w:rPr>
  </w:style>
  <w:style w:type="paragraph" w:styleId="CommentText">
    <w:name w:val="annotation text"/>
    <w:basedOn w:val="Normal"/>
    <w:link w:val="CommentTextChar"/>
    <w:uiPriority w:val="99"/>
    <w:semiHidden/>
    <w:unhideWhenUsed/>
    <w:rsid w:val="00BA1010"/>
    <w:pPr>
      <w:spacing w:line="240" w:lineRule="auto"/>
    </w:pPr>
    <w:rPr>
      <w:szCs w:val="20"/>
    </w:rPr>
  </w:style>
  <w:style w:type="character" w:customStyle="1" w:styleId="CommentTextChar">
    <w:name w:val="Comment Text Char"/>
    <w:basedOn w:val="DefaultParagraphFont"/>
    <w:link w:val="CommentText"/>
    <w:uiPriority w:val="99"/>
    <w:semiHidden/>
    <w:rsid w:val="00BA101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A1010"/>
    <w:rPr>
      <w:b/>
      <w:bCs/>
    </w:rPr>
  </w:style>
  <w:style w:type="character" w:customStyle="1" w:styleId="CommentSubjectChar">
    <w:name w:val="Comment Subject Char"/>
    <w:basedOn w:val="CommentTextChar"/>
    <w:link w:val="CommentSubject"/>
    <w:uiPriority w:val="99"/>
    <w:semiHidden/>
    <w:rsid w:val="00BA1010"/>
    <w:rPr>
      <w:rFonts w:ascii="Times New Roman" w:hAnsi="Times New Roman"/>
      <w:b/>
      <w:bCs/>
      <w:spacing w:val="4"/>
      <w:w w:val="103"/>
      <w:kern w:val="14"/>
      <w:lang w:val="fr-CA"/>
    </w:rPr>
  </w:style>
  <w:style w:type="paragraph" w:customStyle="1" w:styleId="HChG">
    <w:name w:val="_ H _Ch_G"/>
    <w:basedOn w:val="Normal"/>
    <w:next w:val="Normal"/>
    <w:qFormat/>
    <w:rsid w:val="003C0B1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qFormat/>
    <w:rsid w:val="006B5EBF"/>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6B5EBF"/>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D070-2104-49A1-8B04-8AAEC0D5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Caillot</cp:lastModifiedBy>
  <cp:revision>2</cp:revision>
  <cp:lastPrinted>2015-11-25T15:19:00Z</cp:lastPrinted>
  <dcterms:created xsi:type="dcterms:W3CDTF">2015-12-14T09:20:00Z</dcterms:created>
  <dcterms:modified xsi:type="dcterms:W3CDTF">2015-12-14T09:20:00Z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1519136F</vt:lpwstr>
  </property>
  <property fmtid="{D5CDD505-2E9C-101B-9397-08002B2CF9AE}" pid="3" name="ODSRefJobNo">
    <vt:lpwstr>1524979F</vt:lpwstr>
  </property>
  <property fmtid="{D5CDD505-2E9C-101B-9397-08002B2CF9AE}" pid="4" name="Symbol1">
    <vt:lpwstr>ECE/TRANS/WP.15/AC.2/2016/23</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25 novembre 2015</vt:lpwstr>
  </property>
  <property fmtid="{D5CDD505-2E9C-101B-9397-08002B2CF9AE}" pid="12" name="Original">
    <vt:lpwstr>anglais</vt:lpwstr>
  </property>
  <property fmtid="{D5CDD505-2E9C-101B-9397-08002B2CF9AE}" pid="13" name="Release Date">
    <vt:lpwstr>251115</vt:lpwstr>
  </property>
</Properties>
</file>