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D5" w:rsidRPr="00D0257D" w:rsidRDefault="005F70D5" w:rsidP="005F70D5">
      <w:pPr>
        <w:spacing w:line="60" w:lineRule="exact"/>
        <w:rPr>
          <w:color w:val="010000"/>
          <w:sz w:val="6"/>
        </w:rPr>
        <w:sectPr w:rsidR="005F70D5" w:rsidRPr="00D0257D" w:rsidSect="005F70D5">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D0257D" w:rsidRPr="0094056D" w:rsidRDefault="00D0257D" w:rsidP="00D0257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D0257D">
        <w:rPr>
          <w:lang w:bidi="ru-RU"/>
        </w:rPr>
        <w:lastRenderedPageBreak/>
        <w:t>Европейская экономическая комиссия</w:t>
      </w:r>
    </w:p>
    <w:p w:rsidR="00D0257D" w:rsidRPr="0094056D" w:rsidRDefault="00D0257D" w:rsidP="00D0257D">
      <w:pPr>
        <w:spacing w:line="120" w:lineRule="exact"/>
        <w:rPr>
          <w:sz w:val="10"/>
          <w:lang w:bidi="ru-RU"/>
        </w:rPr>
      </w:pPr>
    </w:p>
    <w:p w:rsidR="00D0257D" w:rsidRPr="0094056D" w:rsidRDefault="00D0257D" w:rsidP="00D0257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bidi="ru-RU"/>
        </w:rPr>
      </w:pPr>
      <w:r w:rsidRPr="00D0257D">
        <w:rPr>
          <w:b w:val="0"/>
          <w:lang w:bidi="ru-RU"/>
        </w:rPr>
        <w:t>Комитет по внутреннему транспорту</w:t>
      </w:r>
    </w:p>
    <w:p w:rsidR="00D0257D" w:rsidRPr="0094056D" w:rsidRDefault="00D0257D" w:rsidP="00D0257D">
      <w:pPr>
        <w:spacing w:line="120" w:lineRule="exact"/>
        <w:rPr>
          <w:sz w:val="10"/>
          <w:lang w:bidi="ru-RU"/>
        </w:rPr>
      </w:pPr>
    </w:p>
    <w:p w:rsidR="00D0257D" w:rsidRPr="00D0257D" w:rsidRDefault="00D0257D" w:rsidP="00D0257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D0257D">
        <w:rPr>
          <w:lang w:bidi="ru-RU"/>
        </w:rPr>
        <w:t>Рабочая группа по перевозкам опасных грузов</w:t>
      </w:r>
    </w:p>
    <w:p w:rsidR="00D0257D" w:rsidRPr="00D0257D" w:rsidRDefault="00D0257D" w:rsidP="00D0257D">
      <w:pPr>
        <w:spacing w:line="120" w:lineRule="exact"/>
        <w:rPr>
          <w:sz w:val="10"/>
          <w:lang w:bidi="ru-RU"/>
        </w:rPr>
      </w:pPr>
    </w:p>
    <w:p w:rsidR="00D0257D" w:rsidRPr="0094056D" w:rsidRDefault="00D0257D" w:rsidP="00D025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D0257D">
        <w:rPr>
          <w:lang w:bidi="ru-RU"/>
        </w:rPr>
        <w:t xml:space="preserve">Совместное совещание экспертов по Правилам, </w:t>
      </w:r>
      <w:r w:rsidRPr="00D0257D">
        <w:rPr>
          <w:lang w:bidi="ru-RU"/>
        </w:rPr>
        <w:br/>
        <w:t xml:space="preserve">прилагаемым к Европейскому соглашению </w:t>
      </w:r>
      <w:r w:rsidRPr="0094056D">
        <w:rPr>
          <w:lang w:bidi="ru-RU"/>
        </w:rPr>
        <w:br/>
      </w:r>
      <w:r w:rsidRPr="00D0257D">
        <w:rPr>
          <w:lang w:bidi="ru-RU"/>
        </w:rPr>
        <w:t xml:space="preserve">о международной перевозке опасных грузов </w:t>
      </w:r>
      <w:r w:rsidRPr="00D0257D">
        <w:rPr>
          <w:lang w:bidi="ru-RU"/>
        </w:rPr>
        <w:br/>
        <w:t xml:space="preserve">по внутренним водным путям (ВОПОГ) </w:t>
      </w:r>
      <w:r w:rsidRPr="00D0257D">
        <w:rPr>
          <w:lang w:bidi="ru-RU"/>
        </w:rPr>
        <w:br/>
        <w:t>(Комитет по вопросам безопасности ВОПОГ)</w:t>
      </w:r>
    </w:p>
    <w:p w:rsidR="00D0257D" w:rsidRPr="0094056D" w:rsidRDefault="00D0257D" w:rsidP="00D0257D">
      <w:pPr>
        <w:spacing w:line="120" w:lineRule="exact"/>
        <w:rPr>
          <w:sz w:val="10"/>
          <w:lang w:bidi="ru-RU"/>
        </w:rPr>
      </w:pPr>
    </w:p>
    <w:p w:rsidR="00D0257D" w:rsidRPr="00D0257D" w:rsidRDefault="00D0257D" w:rsidP="00D025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D0257D">
        <w:rPr>
          <w:lang w:bidi="ru-RU"/>
        </w:rPr>
        <w:t>Двадцать восьмая сессия</w:t>
      </w:r>
    </w:p>
    <w:p w:rsidR="00D0257D" w:rsidRPr="00D0257D" w:rsidRDefault="00D0257D" w:rsidP="00D0257D">
      <w:pPr>
        <w:rPr>
          <w:lang w:bidi="ru-RU"/>
        </w:rPr>
      </w:pPr>
      <w:r w:rsidRPr="00D0257D">
        <w:rPr>
          <w:lang w:bidi="ru-RU"/>
        </w:rPr>
        <w:t>Женева, 25–29 января 2016 года</w:t>
      </w:r>
    </w:p>
    <w:p w:rsidR="00D0257D" w:rsidRPr="00D0257D" w:rsidRDefault="00D0257D" w:rsidP="00D0257D">
      <w:pPr>
        <w:rPr>
          <w:lang w:bidi="ru-RU"/>
        </w:rPr>
      </w:pPr>
      <w:r w:rsidRPr="00D0257D">
        <w:rPr>
          <w:lang w:bidi="ru-RU"/>
        </w:rPr>
        <w:t>Пункт 5 b) предварительной повестки дня</w:t>
      </w:r>
    </w:p>
    <w:p w:rsidR="00D0257D" w:rsidRPr="00D0257D" w:rsidRDefault="00D0257D" w:rsidP="00D025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D0257D">
        <w:rPr>
          <w:lang w:bidi="ru-RU"/>
        </w:rPr>
        <w:t xml:space="preserve">Предложения о внесении поправок </w:t>
      </w:r>
      <w:r w:rsidRPr="00D0257D">
        <w:rPr>
          <w:lang w:bidi="ru-RU"/>
        </w:rPr>
        <w:br/>
        <w:t>в Правила, прилагаемые к ВОПОГ:</w:t>
      </w:r>
    </w:p>
    <w:p w:rsidR="00D0257D" w:rsidRPr="0094056D" w:rsidRDefault="00D0257D" w:rsidP="00D025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D0257D">
        <w:rPr>
          <w:lang w:bidi="ru-RU"/>
        </w:rPr>
        <w:t xml:space="preserve">Прочие предложения </w:t>
      </w:r>
    </w:p>
    <w:p w:rsidR="00D0257D" w:rsidRPr="0094056D" w:rsidRDefault="00D0257D" w:rsidP="00D0257D">
      <w:pPr>
        <w:spacing w:line="120" w:lineRule="exact"/>
        <w:rPr>
          <w:sz w:val="10"/>
          <w:lang w:bidi="ru-RU"/>
        </w:rPr>
      </w:pPr>
    </w:p>
    <w:p w:rsidR="00D0257D" w:rsidRPr="0094056D" w:rsidRDefault="00D0257D" w:rsidP="00D0257D">
      <w:pPr>
        <w:spacing w:line="120" w:lineRule="exact"/>
        <w:rPr>
          <w:sz w:val="10"/>
          <w:lang w:bidi="ru-RU"/>
        </w:rPr>
      </w:pPr>
    </w:p>
    <w:p w:rsidR="00D0257D" w:rsidRPr="0094056D" w:rsidRDefault="00D0257D" w:rsidP="00D0257D">
      <w:pPr>
        <w:spacing w:line="120" w:lineRule="exact"/>
        <w:rPr>
          <w:sz w:val="10"/>
          <w:lang w:bidi="ru-RU"/>
        </w:rPr>
      </w:pPr>
    </w:p>
    <w:p w:rsidR="00D0257D" w:rsidRPr="0094056D" w:rsidRDefault="00D0257D" w:rsidP="005113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D0257D">
        <w:rPr>
          <w:lang w:bidi="ru-RU"/>
        </w:rPr>
        <w:tab/>
      </w:r>
      <w:r w:rsidRPr="00D0257D">
        <w:rPr>
          <w:lang w:bidi="ru-RU"/>
        </w:rPr>
        <w:tab/>
        <w:t xml:space="preserve">Раздел 8.2.2 – Особые предписания, касающиеся подготовки экспертов </w:t>
      </w:r>
    </w:p>
    <w:p w:rsidR="00D0257D" w:rsidRPr="0094056D" w:rsidRDefault="00D0257D" w:rsidP="00D0257D">
      <w:pPr>
        <w:pStyle w:val="SingleTxt"/>
        <w:spacing w:after="0" w:line="120" w:lineRule="exact"/>
        <w:rPr>
          <w:sz w:val="10"/>
          <w:lang w:bidi="ru-RU"/>
        </w:rPr>
      </w:pPr>
    </w:p>
    <w:p w:rsidR="00D0257D" w:rsidRPr="0094056D" w:rsidRDefault="00D0257D" w:rsidP="00D0257D">
      <w:pPr>
        <w:pStyle w:val="SingleTxt"/>
        <w:spacing w:after="0" w:line="120" w:lineRule="exact"/>
        <w:rPr>
          <w:sz w:val="10"/>
          <w:lang w:bidi="ru-RU"/>
        </w:rPr>
      </w:pPr>
    </w:p>
    <w:p w:rsidR="00D0257D" w:rsidRDefault="00D0257D" w:rsidP="00F05B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bidi="ru-RU"/>
        </w:rPr>
      </w:pPr>
      <w:r w:rsidRPr="00D0257D">
        <w:rPr>
          <w:lang w:bidi="ru-RU"/>
        </w:rPr>
        <w:tab/>
      </w:r>
      <w:r w:rsidRPr="00D0257D">
        <w:rPr>
          <w:lang w:bidi="ru-RU"/>
        </w:rPr>
        <w:tab/>
        <w:t>Передано правительством Германии</w:t>
      </w:r>
      <w:r w:rsidR="00F05B3F" w:rsidRPr="00F05B3F">
        <w:rPr>
          <w:rStyle w:val="FootnoteReference"/>
          <w:b w:val="0"/>
          <w:sz w:val="20"/>
          <w:lang w:bidi="ru-RU"/>
        </w:rPr>
        <w:footnoteReference w:id="1"/>
      </w:r>
    </w:p>
    <w:p w:rsidR="00F05B3F" w:rsidRPr="00F05B3F" w:rsidRDefault="00F05B3F" w:rsidP="00F05B3F">
      <w:pPr>
        <w:pStyle w:val="SingleTxt"/>
        <w:spacing w:after="0" w:line="120" w:lineRule="exact"/>
        <w:rPr>
          <w:sz w:val="10"/>
          <w:lang w:val="en-US" w:bidi="ru-RU"/>
        </w:rPr>
      </w:pPr>
    </w:p>
    <w:p w:rsidR="00F05B3F" w:rsidRPr="00F05B3F" w:rsidRDefault="00F05B3F" w:rsidP="00F05B3F">
      <w:pPr>
        <w:pStyle w:val="SingleTxt"/>
        <w:spacing w:after="0" w:line="120" w:lineRule="exact"/>
        <w:rPr>
          <w:sz w:val="10"/>
          <w:lang w:val="en-US" w:bidi="ru-RU"/>
        </w:rPr>
      </w:pPr>
    </w:p>
    <w:p w:rsidR="00D0257D" w:rsidRPr="00F05B3F" w:rsidRDefault="00D0257D" w:rsidP="00F05B3F">
      <w:pPr>
        <w:pStyle w:val="SingleTxt"/>
        <w:spacing w:after="0" w:line="120" w:lineRule="exact"/>
        <w:rPr>
          <w:sz w:val="10"/>
          <w:lang w:bidi="ru-RU"/>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F05B3F" w:rsidTr="00F05B3F">
        <w:tc>
          <w:tcPr>
            <w:tcW w:w="10051" w:type="dxa"/>
            <w:tcBorders>
              <w:top w:val="single" w:sz="2" w:space="0" w:color="auto"/>
            </w:tcBorders>
            <w:shd w:val="clear" w:color="auto" w:fill="auto"/>
          </w:tcPr>
          <w:p w:rsidR="00F05B3F" w:rsidRPr="00511301" w:rsidRDefault="00F05B3F" w:rsidP="00F05B3F">
            <w:pPr>
              <w:tabs>
                <w:tab w:val="left" w:pos="240"/>
              </w:tabs>
              <w:spacing w:before="240" w:after="120"/>
              <w:rPr>
                <w:i/>
                <w:sz w:val="24"/>
                <w:lang w:bidi="ru-RU"/>
              </w:rPr>
            </w:pPr>
            <w:r>
              <w:rPr>
                <w:b/>
                <w:i/>
                <w:sz w:val="24"/>
                <w:lang w:bidi="ru-RU"/>
              </w:rPr>
              <w:tab/>
            </w:r>
            <w:r w:rsidRPr="00511301">
              <w:rPr>
                <w:i/>
                <w:sz w:val="24"/>
                <w:lang w:bidi="ru-RU"/>
              </w:rPr>
              <w:t>Резюме</w:t>
            </w:r>
          </w:p>
        </w:tc>
      </w:tr>
      <w:tr w:rsidR="00F05B3F" w:rsidTr="00F05B3F">
        <w:tc>
          <w:tcPr>
            <w:tcW w:w="10051" w:type="dxa"/>
            <w:shd w:val="clear" w:color="auto" w:fill="auto"/>
          </w:tcPr>
          <w:p w:rsidR="00F05B3F" w:rsidRPr="00F05B3F" w:rsidRDefault="00F05B3F" w:rsidP="00511301">
            <w:pPr>
              <w:pStyle w:val="SingleTxt"/>
              <w:tabs>
                <w:tab w:val="clear" w:pos="2693"/>
                <w:tab w:val="left" w:pos="2343"/>
              </w:tabs>
              <w:ind w:left="2937" w:hanging="2673"/>
              <w:rPr>
                <w:lang w:bidi="ru-RU"/>
              </w:rPr>
            </w:pPr>
            <w:r w:rsidRPr="00D0257D">
              <w:rPr>
                <w:b/>
                <w:bCs/>
                <w:lang w:bidi="ru-RU"/>
              </w:rPr>
              <w:t>Существо предложения</w:t>
            </w:r>
            <w:r w:rsidRPr="003C4AC0">
              <w:rPr>
                <w:bCs/>
                <w:lang w:bidi="ru-RU"/>
              </w:rPr>
              <w:t>:</w:t>
            </w:r>
            <w:r>
              <w:rPr>
                <w:lang w:bidi="ru-RU"/>
              </w:rPr>
              <w:tab/>
            </w:r>
            <w:r w:rsidRPr="003E5F22">
              <w:rPr>
                <w:lang w:bidi="ru-RU"/>
              </w:rPr>
              <w:t>Экзамены и заключительные тесты в рамках подготовки экспертов в области ВОПОГ в настоящее время должны проводит</w:t>
            </w:r>
            <w:r w:rsidR="003C4AC0">
              <w:rPr>
                <w:lang w:bidi="ru-RU"/>
              </w:rPr>
              <w:t>ь</w:t>
            </w:r>
            <w:r w:rsidRPr="003E5F22">
              <w:rPr>
                <w:lang w:bidi="ru-RU"/>
              </w:rPr>
              <w:t>ся «в письменной форме».</w:t>
            </w:r>
          </w:p>
        </w:tc>
      </w:tr>
      <w:tr w:rsidR="00F05B3F" w:rsidTr="00F05B3F">
        <w:tc>
          <w:tcPr>
            <w:tcW w:w="10051" w:type="dxa"/>
            <w:shd w:val="clear" w:color="auto" w:fill="auto"/>
          </w:tcPr>
          <w:p w:rsidR="00F05B3F" w:rsidRPr="003E5F22" w:rsidRDefault="003E5F22" w:rsidP="003E5F22">
            <w:pPr>
              <w:pStyle w:val="SingleTxt"/>
              <w:tabs>
                <w:tab w:val="clear" w:pos="1267"/>
                <w:tab w:val="clear" w:pos="1742"/>
                <w:tab w:val="clear" w:pos="2218"/>
                <w:tab w:val="clear" w:pos="2693"/>
              </w:tabs>
              <w:ind w:left="2937" w:hanging="2556"/>
              <w:rPr>
                <w:lang w:bidi="ru-RU"/>
              </w:rPr>
            </w:pPr>
            <w:r w:rsidRPr="003C4AC0">
              <w:rPr>
                <w:lang w:bidi="ru-RU"/>
              </w:rPr>
              <w:tab/>
            </w:r>
            <w:r w:rsidRPr="003E5F22">
              <w:rPr>
                <w:lang w:bidi="ru-RU"/>
              </w:rPr>
              <w:t>На девятнадцатой сессии Комитета по вопросам безопасности было предложено поднять на Совместном совещании  вопрос о возможности проведения так называемых электронных тестов, так как данный вопрос представляет интерес также и для подготовки консультантов по вопросам безопасности и водителей.</w:t>
            </w:r>
          </w:p>
        </w:tc>
      </w:tr>
      <w:tr w:rsidR="00F05B3F" w:rsidTr="00F05B3F">
        <w:tc>
          <w:tcPr>
            <w:tcW w:w="10051" w:type="dxa"/>
            <w:tcBorders>
              <w:bottom w:val="nil"/>
            </w:tcBorders>
            <w:shd w:val="clear" w:color="auto" w:fill="auto"/>
          </w:tcPr>
          <w:p w:rsidR="00F05B3F" w:rsidRPr="003E5F22" w:rsidRDefault="003E5F22" w:rsidP="003C4AC0">
            <w:pPr>
              <w:pStyle w:val="SingleTxt"/>
              <w:pageBreakBefore/>
              <w:tabs>
                <w:tab w:val="clear" w:pos="1267"/>
                <w:tab w:val="clear" w:pos="1742"/>
                <w:tab w:val="clear" w:pos="2218"/>
                <w:tab w:val="clear" w:pos="2693"/>
              </w:tabs>
              <w:ind w:left="2937" w:hanging="2563"/>
              <w:rPr>
                <w:lang w:bidi="ru-RU"/>
              </w:rPr>
            </w:pPr>
            <w:r w:rsidRPr="0094056D">
              <w:rPr>
                <w:lang w:bidi="ru-RU"/>
              </w:rPr>
              <w:lastRenderedPageBreak/>
              <w:tab/>
            </w:r>
            <w:r w:rsidRPr="00D0257D">
              <w:rPr>
                <w:lang w:bidi="ru-RU"/>
              </w:rPr>
              <w:t>На своей сессии в сентябре 2015 года Совместное совещание по просьбе Германии предусмотрело для подготовки консультантов по вопросам безопасности возможность проведения экзаменов также с помощью методов электронной обработки данных.</w:t>
            </w:r>
          </w:p>
        </w:tc>
      </w:tr>
      <w:tr w:rsidR="003E5F22" w:rsidTr="00F05B3F">
        <w:tc>
          <w:tcPr>
            <w:tcW w:w="10051" w:type="dxa"/>
            <w:tcBorders>
              <w:bottom w:val="nil"/>
            </w:tcBorders>
            <w:shd w:val="clear" w:color="auto" w:fill="auto"/>
          </w:tcPr>
          <w:p w:rsidR="003E5F22" w:rsidRPr="003E5F22" w:rsidRDefault="003E5F22" w:rsidP="003E5F22">
            <w:pPr>
              <w:pStyle w:val="SingleTxt"/>
              <w:tabs>
                <w:tab w:val="clear" w:pos="1267"/>
                <w:tab w:val="clear" w:pos="1742"/>
                <w:tab w:val="clear" w:pos="2218"/>
                <w:tab w:val="clear" w:pos="2693"/>
              </w:tabs>
              <w:ind w:left="2937" w:hanging="2556"/>
              <w:rPr>
                <w:lang w:bidi="ru-RU"/>
              </w:rPr>
            </w:pPr>
            <w:r w:rsidRPr="003C4AC0">
              <w:rPr>
                <w:lang w:bidi="ru-RU"/>
              </w:rPr>
              <w:tab/>
            </w:r>
            <w:r w:rsidRPr="00D0257D">
              <w:rPr>
                <w:lang w:bidi="ru-RU"/>
              </w:rPr>
              <w:t>Возможность проведения электронных экзаменов должна быть предусмотрена также для экспертов в области ВОПОГ.</w:t>
            </w:r>
          </w:p>
        </w:tc>
      </w:tr>
      <w:tr w:rsidR="003E5F22" w:rsidTr="00F05B3F">
        <w:tc>
          <w:tcPr>
            <w:tcW w:w="10051" w:type="dxa"/>
            <w:tcBorders>
              <w:bottom w:val="nil"/>
            </w:tcBorders>
            <w:shd w:val="clear" w:color="auto" w:fill="auto"/>
          </w:tcPr>
          <w:p w:rsidR="003E5F22" w:rsidRPr="00F05B3F" w:rsidRDefault="003E5F22" w:rsidP="003E5F22">
            <w:pPr>
              <w:pStyle w:val="SingleTxt"/>
              <w:tabs>
                <w:tab w:val="clear" w:pos="1267"/>
                <w:tab w:val="clear" w:pos="1742"/>
                <w:tab w:val="clear" w:pos="2218"/>
                <w:tab w:val="clear" w:pos="2693"/>
              </w:tabs>
              <w:ind w:left="2937" w:hanging="2556"/>
              <w:rPr>
                <w:lang w:bidi="ru-RU"/>
              </w:rPr>
            </w:pPr>
            <w:r w:rsidRPr="0094056D">
              <w:rPr>
                <w:lang w:bidi="ru-RU"/>
              </w:rPr>
              <w:tab/>
            </w:r>
            <w:r w:rsidRPr="00D0257D">
              <w:rPr>
                <w:lang w:bidi="ru-RU"/>
              </w:rPr>
              <w:t>Во время экзамена на получение свидетельства о владении специальными знаниями в области ВОПОГ в настоящее время разрешается пользоваться в качестве пособия текстами правил, касающихся опасных грузов, и текстами ЕПСВВП или основанных на них полицейских правил, а также технической литературой. Кроме того, чтобы ответить на многие вопросы, содержащиеся в каталогах вопросов, требуются расчеты, которые обычно производятся с помощью карманного калькулятора. Необходимо поэтому разрешить пользоваться во время экзамена также и карманными калькуляторами.</w:t>
            </w:r>
          </w:p>
        </w:tc>
      </w:tr>
      <w:tr w:rsidR="00F05B3F" w:rsidTr="003E5F22">
        <w:tc>
          <w:tcPr>
            <w:tcW w:w="10051" w:type="dxa"/>
            <w:shd w:val="clear" w:color="auto" w:fill="auto"/>
          </w:tcPr>
          <w:p w:rsidR="00F05B3F" w:rsidRPr="003E5F22" w:rsidRDefault="003E5F22" w:rsidP="003C4AC0">
            <w:pPr>
              <w:pStyle w:val="SingleTxt"/>
              <w:tabs>
                <w:tab w:val="clear" w:pos="2693"/>
                <w:tab w:val="clear" w:pos="3182"/>
                <w:tab w:val="left" w:pos="2964"/>
              </w:tabs>
              <w:ind w:left="2952" w:hanging="2673"/>
              <w:rPr>
                <w:lang w:bidi="ru-RU"/>
              </w:rPr>
            </w:pPr>
            <w:r w:rsidRPr="00D0257D">
              <w:rPr>
                <w:b/>
                <w:bCs/>
                <w:lang w:bidi="ru-RU"/>
              </w:rPr>
              <w:t>Предлагаемое решение</w:t>
            </w:r>
            <w:r w:rsidRPr="003C4AC0">
              <w:rPr>
                <w:bCs/>
                <w:lang w:bidi="ru-RU"/>
              </w:rPr>
              <w:t>:</w:t>
            </w:r>
            <w:r w:rsidRPr="003E5F22">
              <w:rPr>
                <w:lang w:bidi="ru-RU"/>
              </w:rPr>
              <w:tab/>
            </w:r>
            <w:r w:rsidRPr="00D0257D">
              <w:rPr>
                <w:lang w:bidi="ru-RU"/>
              </w:rPr>
              <w:t>Внести изменения в подраздел 8.2.2.7, с тем чтобы распространить новые правила, касающиеся экзаменования консультантов по вопросам безопасности, также на экзамены и заключительные тесты в рамках подготовки экспертов в области ВОПОГ.</w:t>
            </w:r>
          </w:p>
        </w:tc>
      </w:tr>
      <w:tr w:rsidR="003E5F22" w:rsidTr="003E5F22">
        <w:tc>
          <w:tcPr>
            <w:tcW w:w="10051" w:type="dxa"/>
            <w:shd w:val="clear" w:color="auto" w:fill="auto"/>
          </w:tcPr>
          <w:p w:rsidR="003E5F22" w:rsidRPr="00F05B3F" w:rsidRDefault="003E5F22" w:rsidP="003E5F22">
            <w:pPr>
              <w:pStyle w:val="SingleTxt"/>
              <w:tabs>
                <w:tab w:val="clear" w:pos="1267"/>
                <w:tab w:val="clear" w:pos="1742"/>
                <w:tab w:val="clear" w:pos="2218"/>
                <w:tab w:val="clear" w:pos="2693"/>
                <w:tab w:val="clear" w:pos="3182"/>
                <w:tab w:val="left" w:pos="2964"/>
              </w:tabs>
              <w:ind w:left="2952" w:hanging="2563"/>
              <w:rPr>
                <w:lang w:bidi="ru-RU"/>
              </w:rPr>
            </w:pPr>
            <w:r w:rsidRPr="003C4AC0">
              <w:rPr>
                <w:lang w:bidi="ru-RU"/>
              </w:rPr>
              <w:tab/>
            </w:r>
            <w:r w:rsidRPr="00D0257D">
              <w:rPr>
                <w:lang w:bidi="ru-RU"/>
              </w:rPr>
              <w:t>Добавить «простые карманные калькуляторы» в перечень разрешенных пособий в пунктах 8.2.2.7.1.5, 8.2.2.7.2.5 и 8.2.2.7.3.2.</w:t>
            </w:r>
          </w:p>
        </w:tc>
      </w:tr>
      <w:tr w:rsidR="003E5F22" w:rsidTr="003E5F22">
        <w:tc>
          <w:tcPr>
            <w:tcW w:w="10051" w:type="dxa"/>
            <w:shd w:val="clear" w:color="auto" w:fill="auto"/>
          </w:tcPr>
          <w:p w:rsidR="003E5F22" w:rsidRPr="003E5F22" w:rsidRDefault="003E5F22" w:rsidP="003C4AC0">
            <w:pPr>
              <w:pStyle w:val="SingleTxt"/>
              <w:tabs>
                <w:tab w:val="clear" w:pos="2693"/>
              </w:tabs>
              <w:ind w:left="2952" w:right="1084" w:hanging="2673"/>
              <w:jc w:val="left"/>
              <w:rPr>
                <w:lang w:bidi="ru-RU"/>
              </w:rPr>
            </w:pPr>
            <w:r w:rsidRPr="00D0257D">
              <w:rPr>
                <w:b/>
                <w:bCs/>
                <w:lang w:bidi="ru-RU"/>
              </w:rPr>
              <w:t>Справочные документы</w:t>
            </w:r>
            <w:r w:rsidRPr="003C4AC0">
              <w:rPr>
                <w:bCs/>
                <w:lang w:bidi="ru-RU"/>
              </w:rPr>
              <w:t>:</w:t>
            </w:r>
            <w:r w:rsidRPr="003E5F22">
              <w:rPr>
                <w:lang w:bidi="ru-RU"/>
              </w:rPr>
              <w:tab/>
              <w:t xml:space="preserve">ECE/TRANS/WP.15/AC.2/40, </w:t>
            </w:r>
            <w:r w:rsidRPr="00D0257D">
              <w:rPr>
                <w:lang w:bidi="ru-RU"/>
              </w:rPr>
              <w:t>пункт</w:t>
            </w:r>
            <w:r>
              <w:rPr>
                <w:lang w:val="en-US" w:bidi="ru-RU"/>
              </w:rPr>
              <w:t> </w:t>
            </w:r>
            <w:r w:rsidRPr="003E5F22">
              <w:rPr>
                <w:lang w:bidi="ru-RU"/>
              </w:rPr>
              <w:t xml:space="preserve">18; </w:t>
            </w:r>
            <w:r w:rsidR="0060786C" w:rsidRPr="0060786C">
              <w:rPr>
                <w:lang w:bidi="ru-RU"/>
              </w:rPr>
              <w:br/>
            </w:r>
            <w:r w:rsidRPr="003E5F22">
              <w:rPr>
                <w:lang w:bidi="ru-RU"/>
              </w:rPr>
              <w:t xml:space="preserve">ECE/TRANS/WP.15/AC.2/2014/49, </w:t>
            </w:r>
            <w:r w:rsidRPr="00D0257D">
              <w:rPr>
                <w:lang w:bidi="ru-RU"/>
              </w:rPr>
              <w:t>пункт</w:t>
            </w:r>
            <w:r w:rsidRPr="003E5F22">
              <w:rPr>
                <w:lang w:bidi="ru-RU"/>
              </w:rPr>
              <w:t xml:space="preserve"> 22; </w:t>
            </w:r>
            <w:r w:rsidR="0060786C" w:rsidRPr="0060786C">
              <w:rPr>
                <w:lang w:bidi="ru-RU"/>
              </w:rPr>
              <w:br/>
            </w:r>
            <w:r w:rsidRPr="003E5F22">
              <w:rPr>
                <w:lang w:bidi="ru-RU"/>
              </w:rPr>
              <w:t xml:space="preserve">ECE/TRANS/WP.15/AC.1/140; </w:t>
            </w:r>
            <w:r w:rsidR="0060786C" w:rsidRPr="0060786C">
              <w:rPr>
                <w:lang w:bidi="ru-RU"/>
              </w:rPr>
              <w:br/>
            </w:r>
            <w:r w:rsidRPr="003E5F22">
              <w:rPr>
                <w:lang w:bidi="ru-RU"/>
              </w:rPr>
              <w:t xml:space="preserve">ECE/TRANS/WP.15/AC.2/2015/1; </w:t>
            </w:r>
            <w:r w:rsidR="0060786C" w:rsidRPr="0060786C">
              <w:rPr>
                <w:lang w:bidi="ru-RU"/>
              </w:rPr>
              <w:br/>
            </w:r>
            <w:r w:rsidRPr="003E5F22">
              <w:rPr>
                <w:lang w:bidi="ru-RU"/>
              </w:rPr>
              <w:t>ECE/TRANS/WP.15/AC.2/54</w:t>
            </w:r>
          </w:p>
        </w:tc>
      </w:tr>
      <w:tr w:rsidR="003E5F22" w:rsidTr="00F05B3F">
        <w:tc>
          <w:tcPr>
            <w:tcW w:w="10051" w:type="dxa"/>
            <w:tcBorders>
              <w:bottom w:val="single" w:sz="2" w:space="0" w:color="auto"/>
            </w:tcBorders>
            <w:shd w:val="clear" w:color="auto" w:fill="auto"/>
          </w:tcPr>
          <w:p w:rsidR="003E5F22" w:rsidRPr="00F05B3F" w:rsidRDefault="003E5F22" w:rsidP="00F05B3F">
            <w:pPr>
              <w:pStyle w:val="SingleTxt"/>
              <w:rPr>
                <w:lang w:bidi="ru-RU"/>
              </w:rPr>
            </w:pPr>
          </w:p>
        </w:tc>
      </w:tr>
    </w:tbl>
    <w:p w:rsidR="003E5F22" w:rsidRPr="003E5F22" w:rsidRDefault="003E5F22" w:rsidP="003E5F22">
      <w:pPr>
        <w:pStyle w:val="SingleTxt"/>
        <w:spacing w:after="0" w:line="120" w:lineRule="exact"/>
        <w:rPr>
          <w:sz w:val="10"/>
          <w:lang w:bidi="ru-RU"/>
        </w:rPr>
      </w:pPr>
    </w:p>
    <w:p w:rsidR="003E5F22" w:rsidRPr="003E5F22" w:rsidRDefault="003E5F22" w:rsidP="003E5F22">
      <w:pPr>
        <w:pStyle w:val="SingleTxt"/>
        <w:spacing w:after="0" w:line="120" w:lineRule="exact"/>
        <w:rPr>
          <w:sz w:val="10"/>
          <w:lang w:bidi="ru-RU"/>
        </w:rPr>
      </w:pPr>
    </w:p>
    <w:p w:rsidR="003E5F22" w:rsidRPr="003E5F22" w:rsidRDefault="003E5F22" w:rsidP="003E5F22">
      <w:pPr>
        <w:pStyle w:val="SingleTxt"/>
        <w:spacing w:after="0" w:line="120" w:lineRule="exact"/>
        <w:rPr>
          <w:sz w:val="10"/>
          <w:lang w:bidi="ru-RU"/>
        </w:rPr>
      </w:pPr>
    </w:p>
    <w:p w:rsidR="00D0257D" w:rsidRPr="0094056D" w:rsidRDefault="003E5F22" w:rsidP="003E5F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60786C">
        <w:rPr>
          <w:lang w:bidi="ru-RU"/>
        </w:rPr>
        <w:tab/>
      </w:r>
      <w:r w:rsidRPr="0060786C">
        <w:rPr>
          <w:lang w:bidi="ru-RU"/>
        </w:rPr>
        <w:tab/>
      </w:r>
      <w:r w:rsidR="00D0257D" w:rsidRPr="00D0257D">
        <w:rPr>
          <w:lang w:bidi="ru-RU"/>
        </w:rPr>
        <w:t>Введение</w:t>
      </w:r>
    </w:p>
    <w:p w:rsidR="003E5F22" w:rsidRPr="0094056D" w:rsidRDefault="003E5F22" w:rsidP="003E5F22">
      <w:pPr>
        <w:pStyle w:val="SingleTxt"/>
        <w:spacing w:after="0" w:line="120" w:lineRule="exact"/>
        <w:rPr>
          <w:sz w:val="10"/>
          <w:lang w:bidi="ru-RU"/>
        </w:rPr>
      </w:pPr>
    </w:p>
    <w:p w:rsidR="003E5F22" w:rsidRPr="0094056D" w:rsidRDefault="003E5F22" w:rsidP="003E5F22">
      <w:pPr>
        <w:pStyle w:val="SingleTxt"/>
        <w:spacing w:after="0" w:line="120" w:lineRule="exact"/>
        <w:rPr>
          <w:sz w:val="10"/>
          <w:lang w:bidi="ru-RU"/>
        </w:rPr>
      </w:pPr>
    </w:p>
    <w:p w:rsidR="00D0257D" w:rsidRPr="0094056D" w:rsidRDefault="00D0257D" w:rsidP="007E3F2D">
      <w:pPr>
        <w:pStyle w:val="SingleTxt"/>
        <w:rPr>
          <w:lang w:bidi="ru-RU"/>
        </w:rPr>
      </w:pPr>
      <w:r w:rsidRPr="00D0257D">
        <w:rPr>
          <w:lang w:bidi="ru-RU"/>
        </w:rPr>
        <w:t>1.</w:t>
      </w:r>
      <w:r w:rsidRPr="00D0257D">
        <w:rPr>
          <w:lang w:bidi="ru-RU"/>
        </w:rPr>
        <w:tab/>
        <w:t>В подразделе 8.2.2.7 «Экзамены и заключительные тесты» предусмотрено, что экзамены и тесты проводится в письменной форме. Это касается также экзаменов для консультантов по вопросам безопасности, проводимых в соответствии с пунктом 1.8.3.12.1.</w:t>
      </w:r>
    </w:p>
    <w:p w:rsidR="00D0257D" w:rsidRPr="00D0257D" w:rsidRDefault="00D0257D" w:rsidP="00D0257D">
      <w:pPr>
        <w:pStyle w:val="SingleTxt"/>
        <w:rPr>
          <w:lang w:bidi="ru-RU"/>
        </w:rPr>
      </w:pPr>
      <w:r w:rsidRPr="00D0257D">
        <w:rPr>
          <w:lang w:bidi="ru-RU"/>
        </w:rPr>
        <w:t>2.</w:t>
      </w:r>
      <w:r w:rsidRPr="00D0257D">
        <w:rPr>
          <w:lang w:bidi="ru-RU"/>
        </w:rPr>
        <w:tab/>
        <w:t>На девятнадцатой</w:t>
      </w:r>
      <w:r w:rsidRPr="00D0257D">
        <w:rPr>
          <w:bCs/>
          <w:lang w:bidi="ru-RU"/>
        </w:rPr>
        <w:t xml:space="preserve"> </w:t>
      </w:r>
      <w:r w:rsidRPr="00D0257D">
        <w:rPr>
          <w:lang w:bidi="ru-RU"/>
        </w:rPr>
        <w:t>сессии Комитета по вопросам безопасности в соответствии с пожеланием, высказанным представителем Нидерландов, было предложено предусмотреть возможность проведения электронных тестов в качестве альтернативы письменным экзаменам и поднять этот вопрос на Совместном совещании МПОГ/ДОПОГ/ВОПОГ, так как формы проведения тестов и экзаменов представляют интерес также и для подготовки водителей транспортных средств и консультантов по вопросам безопасности (документ ECE/TRANS/WP.15/AC.2/40, пункт 18).</w:t>
      </w:r>
    </w:p>
    <w:p w:rsidR="00D0257D" w:rsidRPr="00D0257D" w:rsidRDefault="00D0257D" w:rsidP="00D0257D">
      <w:pPr>
        <w:pStyle w:val="SingleTxt"/>
        <w:rPr>
          <w:lang w:bidi="ru-RU"/>
        </w:rPr>
      </w:pPr>
      <w:r w:rsidRPr="00D0257D">
        <w:rPr>
          <w:lang w:bidi="ru-RU"/>
        </w:rPr>
        <w:t>3.</w:t>
      </w:r>
      <w:r w:rsidRPr="00D0257D">
        <w:rPr>
          <w:lang w:bidi="ru-RU"/>
        </w:rPr>
        <w:tab/>
        <w:t>Делегация Германии взяла на себя выполнение этой задачи.</w:t>
      </w:r>
    </w:p>
    <w:p w:rsidR="00D0257D" w:rsidRPr="00D0257D" w:rsidRDefault="00D0257D" w:rsidP="00D0257D">
      <w:pPr>
        <w:pStyle w:val="SingleTxt"/>
        <w:rPr>
          <w:lang w:bidi="ru-RU"/>
        </w:rPr>
      </w:pPr>
      <w:r w:rsidRPr="00D0257D">
        <w:rPr>
          <w:lang w:bidi="ru-RU"/>
        </w:rPr>
        <w:lastRenderedPageBreak/>
        <w:t>4.</w:t>
      </w:r>
      <w:r w:rsidRPr="00D0257D">
        <w:rPr>
          <w:lang w:bidi="ru-RU"/>
        </w:rPr>
        <w:tab/>
        <w:t>Соответствующий проект был подробно представлен неофициальной рабочей группе по подготовке экспертов на ее двенадцатом совещании в марте 2014</w:t>
      </w:r>
      <w:r w:rsidR="003C4AC0">
        <w:rPr>
          <w:lang w:bidi="ru-RU"/>
        </w:rPr>
        <w:t> </w:t>
      </w:r>
      <w:r w:rsidRPr="00D0257D">
        <w:rPr>
          <w:lang w:bidi="ru-RU"/>
        </w:rPr>
        <w:t>года (документ ECE/TRANS/WP.15/AC.2/2014/49, пункт 22).</w:t>
      </w:r>
    </w:p>
    <w:p w:rsidR="00D0257D" w:rsidRPr="00D0257D" w:rsidRDefault="00D0257D" w:rsidP="00D0257D">
      <w:pPr>
        <w:pStyle w:val="SingleTxt"/>
        <w:rPr>
          <w:lang w:bidi="ru-RU"/>
        </w:rPr>
      </w:pPr>
      <w:r w:rsidRPr="00D0257D">
        <w:rPr>
          <w:lang w:bidi="ru-RU"/>
        </w:rPr>
        <w:t>5.</w:t>
      </w:r>
      <w:r w:rsidRPr="00D0257D">
        <w:rPr>
          <w:lang w:bidi="ru-RU"/>
        </w:rPr>
        <w:tab/>
        <w:t xml:space="preserve">На своей сессии в сентябре 2015 года Совместное совещание по просьбе делегации Германии предусмотрело для подготовки консультантов по вопросам безопасности возможность проведения экзаменов также с помощью методов электронной обработки данных и приняло соответствующие поправки к подразделу 1.8.3.12 МПОГ/ДОПОГ/ВОПОГ (документ </w:t>
      </w:r>
      <w:r w:rsidRPr="00D0257D">
        <w:rPr>
          <w:lang w:val="fr-FR"/>
        </w:rPr>
        <w:t>ECE</w:t>
      </w:r>
      <w:r w:rsidRPr="00D0257D">
        <w:rPr>
          <w:lang w:bidi="ru-RU"/>
        </w:rPr>
        <w:t>/</w:t>
      </w:r>
      <w:r w:rsidRPr="00D0257D">
        <w:rPr>
          <w:lang w:val="fr-FR"/>
        </w:rPr>
        <w:t>TRANS</w:t>
      </w:r>
      <w:r w:rsidRPr="00D0257D">
        <w:rPr>
          <w:lang w:bidi="ru-RU"/>
        </w:rPr>
        <w:t>/</w:t>
      </w:r>
      <w:r w:rsidRPr="00D0257D">
        <w:rPr>
          <w:lang w:val="fr-FR"/>
        </w:rPr>
        <w:t>WP</w:t>
      </w:r>
      <w:r w:rsidRPr="00D0257D">
        <w:rPr>
          <w:lang w:bidi="ru-RU"/>
        </w:rPr>
        <w:t>.15/</w:t>
      </w:r>
      <w:r w:rsidRPr="00D0257D">
        <w:rPr>
          <w:lang w:val="fr-FR"/>
        </w:rPr>
        <w:t>AC</w:t>
      </w:r>
      <w:r w:rsidRPr="00D0257D">
        <w:rPr>
          <w:lang w:bidi="ru-RU"/>
        </w:rPr>
        <w:t xml:space="preserve">.1/140 – доклад Совместного совещания/документ </w:t>
      </w:r>
      <w:r w:rsidRPr="00D0257D">
        <w:rPr>
          <w:lang w:val="fr-FR"/>
        </w:rPr>
        <w:t>INF</w:t>
      </w:r>
      <w:r w:rsidRPr="00D0257D">
        <w:rPr>
          <w:lang w:bidi="ru-RU"/>
        </w:rPr>
        <w:t>. секретариата).</w:t>
      </w:r>
    </w:p>
    <w:p w:rsidR="00D0257D" w:rsidRPr="00D0257D" w:rsidRDefault="00D0257D" w:rsidP="00D0257D">
      <w:pPr>
        <w:pStyle w:val="SingleTxt"/>
        <w:rPr>
          <w:lang w:bidi="ru-RU"/>
        </w:rPr>
      </w:pPr>
      <w:r w:rsidRPr="00D0257D">
        <w:rPr>
          <w:lang w:bidi="ru-RU"/>
        </w:rPr>
        <w:t>6.</w:t>
      </w:r>
      <w:r w:rsidRPr="00D0257D">
        <w:rPr>
          <w:lang w:bidi="ru-RU"/>
        </w:rPr>
        <w:tab/>
        <w:t>Эти поправки следует по аналогии распространить на экзамены и заключительные тесты на получение свидетельства о владении специальными знаниями в области ВОПОГ.</w:t>
      </w:r>
    </w:p>
    <w:p w:rsidR="00D0257D" w:rsidRPr="00D0257D" w:rsidRDefault="00D0257D" w:rsidP="00D0257D">
      <w:pPr>
        <w:pStyle w:val="SingleTxt"/>
        <w:rPr>
          <w:lang w:bidi="ru-RU"/>
        </w:rPr>
      </w:pPr>
      <w:r w:rsidRPr="00D0257D">
        <w:rPr>
          <w:lang w:bidi="ru-RU"/>
        </w:rPr>
        <w:t>7.</w:t>
      </w:r>
      <w:r w:rsidRPr="00D0257D">
        <w:rPr>
          <w:lang w:bidi="ru-RU"/>
        </w:rPr>
        <w:tab/>
        <w:t>В каталогах вопросов для экзамена на получение свидетельства о владении специальными знаниями в области ВОПОГ содержатся вопросы, для ответа на которые может оказаться необходимым воспользоваться карманными калькуляторами. По этой причине неофициальная рабочая группа по подготовке предложила разрешить кандидатам пользоваться во время экзамена карманными калькуляторами. Однако условием должно быть предоставление карманных калькуляторов компетентным органом или назначенной им экзаменующей организацией. Пользование программируемыми карманными калькуляторами должно быть исключено.</w:t>
      </w:r>
    </w:p>
    <w:p w:rsidR="00D0257D" w:rsidRPr="003C4AC0" w:rsidRDefault="00D0257D" w:rsidP="00D0257D">
      <w:pPr>
        <w:pStyle w:val="SingleTxt"/>
        <w:rPr>
          <w:lang w:bidi="ru-RU"/>
        </w:rPr>
      </w:pPr>
      <w:r w:rsidRPr="00D0257D">
        <w:rPr>
          <w:lang w:bidi="ru-RU"/>
        </w:rPr>
        <w:t>8.</w:t>
      </w:r>
      <w:r w:rsidRPr="00D0257D">
        <w:rPr>
          <w:lang w:bidi="ru-RU"/>
        </w:rPr>
        <w:tab/>
        <w:t>Германия желает повторить предложение неофициальной рабочей группы и предлагает в этой связи внести поправки в пункты 8.2.2.7.1.5, 8.2.2.7.2.5 и</w:t>
      </w:r>
      <w:r w:rsidR="003C4AC0">
        <w:rPr>
          <w:lang w:bidi="ru-RU"/>
        </w:rPr>
        <w:t> </w:t>
      </w:r>
      <w:r w:rsidRPr="00D0257D">
        <w:rPr>
          <w:lang w:bidi="ru-RU"/>
        </w:rPr>
        <w:t>8.2.2.7.3.2.</w:t>
      </w:r>
    </w:p>
    <w:p w:rsidR="007E3F2D" w:rsidRPr="003C4AC0" w:rsidRDefault="007E3F2D" w:rsidP="007E3F2D">
      <w:pPr>
        <w:pStyle w:val="SingleTxt"/>
        <w:spacing w:after="0" w:line="120" w:lineRule="exact"/>
        <w:rPr>
          <w:sz w:val="10"/>
          <w:lang w:bidi="ru-RU"/>
        </w:rPr>
      </w:pPr>
    </w:p>
    <w:p w:rsidR="007E3F2D" w:rsidRPr="003C4AC0" w:rsidRDefault="007E3F2D" w:rsidP="007E3F2D">
      <w:pPr>
        <w:pStyle w:val="SingleTxt"/>
        <w:spacing w:after="0" w:line="120" w:lineRule="exact"/>
        <w:rPr>
          <w:sz w:val="10"/>
          <w:lang w:bidi="ru-RU"/>
        </w:rPr>
      </w:pPr>
    </w:p>
    <w:p w:rsidR="00D0257D" w:rsidRPr="0094056D" w:rsidRDefault="007E3F2D" w:rsidP="007E3F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C4AC0">
        <w:rPr>
          <w:lang w:bidi="ru-RU"/>
        </w:rPr>
        <w:tab/>
      </w:r>
      <w:r w:rsidRPr="003C4AC0">
        <w:rPr>
          <w:lang w:bidi="ru-RU"/>
        </w:rPr>
        <w:tab/>
      </w:r>
      <w:r w:rsidR="00D0257D" w:rsidRPr="00D0257D">
        <w:rPr>
          <w:lang w:bidi="ru-RU"/>
        </w:rPr>
        <w:t>Предложение о поправках и обоснование</w:t>
      </w:r>
    </w:p>
    <w:p w:rsidR="007E3F2D" w:rsidRPr="0094056D" w:rsidRDefault="007E3F2D" w:rsidP="007E3F2D">
      <w:pPr>
        <w:pStyle w:val="SingleTxt"/>
        <w:spacing w:after="0" w:line="120" w:lineRule="exact"/>
        <w:rPr>
          <w:sz w:val="10"/>
          <w:lang w:bidi="ru-RU"/>
        </w:rPr>
      </w:pPr>
    </w:p>
    <w:p w:rsidR="007E3F2D" w:rsidRPr="0094056D" w:rsidRDefault="007E3F2D" w:rsidP="007E3F2D">
      <w:pPr>
        <w:pStyle w:val="SingleTxt"/>
        <w:spacing w:after="0" w:line="120" w:lineRule="exact"/>
        <w:rPr>
          <w:sz w:val="10"/>
          <w:lang w:bidi="ru-RU"/>
        </w:rPr>
      </w:pPr>
    </w:p>
    <w:p w:rsidR="00D0257D" w:rsidRPr="00D0257D" w:rsidRDefault="00D0257D" w:rsidP="00D0257D">
      <w:pPr>
        <w:pStyle w:val="SingleTxt"/>
        <w:rPr>
          <w:lang w:bidi="ru-RU"/>
        </w:rPr>
      </w:pPr>
      <w:r w:rsidRPr="00D0257D">
        <w:rPr>
          <w:lang w:bidi="ru-RU"/>
        </w:rPr>
        <w:t xml:space="preserve">(Текст, который предлагается исключить, </w:t>
      </w:r>
      <w:r w:rsidRPr="0060786C">
        <w:rPr>
          <w:strike/>
          <w:lang w:bidi="ru-RU"/>
        </w:rPr>
        <w:t>зачеркнут</w:t>
      </w:r>
      <w:r w:rsidRPr="00D0257D">
        <w:rPr>
          <w:lang w:bidi="ru-RU"/>
        </w:rPr>
        <w:t xml:space="preserve">, а новый текст </w:t>
      </w:r>
      <w:r w:rsidRPr="00D0257D">
        <w:rPr>
          <w:u w:val="single"/>
          <w:lang w:bidi="ru-RU"/>
        </w:rPr>
        <w:t>подчеркнут</w:t>
      </w:r>
      <w:r w:rsidRPr="0060786C">
        <w:rPr>
          <w:lang w:bidi="ru-RU"/>
        </w:rPr>
        <w:t>.</w:t>
      </w:r>
      <w:r w:rsidRPr="00D0257D">
        <w:rPr>
          <w:lang w:bidi="ru-RU"/>
        </w:rPr>
        <w:t>)</w:t>
      </w:r>
    </w:p>
    <w:p w:rsidR="00D0257D" w:rsidRPr="00D0257D" w:rsidRDefault="00D0257D" w:rsidP="00D0257D">
      <w:pPr>
        <w:pStyle w:val="SingleTxt"/>
        <w:rPr>
          <w:lang w:bidi="ru-RU"/>
        </w:rPr>
      </w:pPr>
      <w:r w:rsidRPr="00D0257D">
        <w:rPr>
          <w:lang w:bidi="ru-RU"/>
        </w:rPr>
        <w:t>9.</w:t>
      </w:r>
      <w:r w:rsidRPr="00D0257D">
        <w:rPr>
          <w:lang w:bidi="ru-RU"/>
        </w:rPr>
        <w:tab/>
        <w:t xml:space="preserve">В пункте 8.2.2.6.3 изменить подпункт </w:t>
      </w:r>
      <w:r w:rsidRPr="00D0257D">
        <w:rPr>
          <w:lang w:val="fr-FR"/>
        </w:rPr>
        <w:t>e</w:t>
      </w:r>
      <w:r w:rsidRPr="00D0257D">
        <w:rPr>
          <w:lang w:bidi="ru-RU"/>
        </w:rPr>
        <w:t>) следующим образом:</w:t>
      </w:r>
    </w:p>
    <w:p w:rsidR="00D0257D" w:rsidRPr="00D0257D" w:rsidRDefault="00D0257D" w:rsidP="00D0257D">
      <w:pPr>
        <w:pStyle w:val="SingleTxt"/>
        <w:rPr>
          <w:lang w:bidi="ru-RU"/>
        </w:rPr>
      </w:pPr>
      <w:r w:rsidRPr="00D0257D">
        <w:rPr>
          <w:lang w:bidi="ru-RU"/>
        </w:rPr>
        <w:t>«</w:t>
      </w:r>
      <w:r w:rsidRPr="00D0257D">
        <w:rPr>
          <w:lang w:val="fr-FR"/>
        </w:rPr>
        <w:t>e</w:t>
      </w:r>
      <w:r w:rsidRPr="00D0257D">
        <w:rPr>
          <w:lang w:bidi="ru-RU"/>
        </w:rPr>
        <w:t>)</w:t>
      </w:r>
      <w:r w:rsidRPr="00D0257D">
        <w:rPr>
          <w:lang w:bidi="ru-RU"/>
        </w:rPr>
        <w:tab/>
        <w:t>подробный план проведения заключительных тестов</w:t>
      </w:r>
      <w:r w:rsidRPr="00D0257D">
        <w:rPr>
          <w:u w:val="single"/>
          <w:lang w:bidi="ru-RU"/>
        </w:rPr>
        <w:t>, включая, если необходимо, инфраструктуру и организацию тестов с использованием электронных средств согласно пункту 8.2.2.7.1.7, если планируется их проводить.</w:t>
      </w:r>
      <w:r w:rsidRPr="00D0257D">
        <w:rPr>
          <w:lang w:bidi="ru-RU"/>
        </w:rPr>
        <w:t>».</w:t>
      </w:r>
    </w:p>
    <w:p w:rsidR="00D0257D" w:rsidRPr="00D0257D" w:rsidRDefault="00D0257D" w:rsidP="00D0257D">
      <w:pPr>
        <w:pStyle w:val="SingleTxt"/>
        <w:rPr>
          <w:lang w:bidi="ru-RU"/>
        </w:rPr>
      </w:pPr>
      <w:r w:rsidRPr="00D0257D">
        <w:rPr>
          <w:lang w:bidi="ru-RU"/>
        </w:rPr>
        <w:t>Обоснование: повторение поправки к пункту 1.8.3.10.</w:t>
      </w:r>
    </w:p>
    <w:p w:rsidR="00D0257D" w:rsidRPr="00D0257D" w:rsidRDefault="00D0257D" w:rsidP="00D0257D">
      <w:pPr>
        <w:pStyle w:val="SingleTxt"/>
        <w:rPr>
          <w:lang w:bidi="ru-RU"/>
        </w:rPr>
      </w:pPr>
      <w:r w:rsidRPr="00D0257D">
        <w:rPr>
          <w:lang w:bidi="ru-RU"/>
        </w:rPr>
        <w:t>10.</w:t>
      </w:r>
      <w:r w:rsidRPr="00D0257D">
        <w:rPr>
          <w:lang w:bidi="ru-RU"/>
        </w:rPr>
        <w:tab/>
        <w:t>В пункте 8.2.2.7.0, третье предложение, изменить второй подпункт следующим образом:</w:t>
      </w:r>
    </w:p>
    <w:p w:rsidR="00D0257D" w:rsidRPr="00D0257D" w:rsidRDefault="00CD5756" w:rsidP="00D0257D">
      <w:pPr>
        <w:pStyle w:val="SingleTxt"/>
        <w:rPr>
          <w:lang w:bidi="ru-RU"/>
        </w:rPr>
      </w:pPr>
      <w:r>
        <w:rPr>
          <w:lang w:bidi="ru-RU"/>
        </w:rPr>
        <w:t>«</w:t>
      </w:r>
      <w:r w:rsidRPr="00CD5756">
        <w:rPr>
          <w:lang w:bidi="ru-RU"/>
        </w:rPr>
        <w:t>–</w:t>
      </w:r>
      <w:r w:rsidR="00D0257D" w:rsidRPr="00D0257D">
        <w:rPr>
          <w:lang w:bidi="ru-RU"/>
        </w:rPr>
        <w:tab/>
        <w:t>описание формы проведения экзаменов, предлагаемых экзаменующей организацией</w:t>
      </w:r>
      <w:r w:rsidR="00D0257D" w:rsidRPr="003C4AC0">
        <w:rPr>
          <w:strike/>
          <w:lang w:bidi="ru-RU"/>
        </w:rPr>
        <w:t>;</w:t>
      </w:r>
      <w:r w:rsidR="00D0257D" w:rsidRPr="00D0257D">
        <w:rPr>
          <w:u w:val="single"/>
          <w:lang w:bidi="ru-RU"/>
        </w:rPr>
        <w:t>, включая, если необходимо, инфраструктуру и организацию тестов с использованием электронных средств согласно пункту 8.2.2.7.1.7, если планируется их проводить.</w:t>
      </w:r>
      <w:r w:rsidR="00D0257D" w:rsidRPr="00D0257D">
        <w:rPr>
          <w:lang w:bidi="ru-RU"/>
        </w:rPr>
        <w:t>».</w:t>
      </w:r>
    </w:p>
    <w:p w:rsidR="00D0257D" w:rsidRPr="00D0257D" w:rsidRDefault="00D0257D" w:rsidP="00D0257D">
      <w:pPr>
        <w:pStyle w:val="SingleTxt"/>
        <w:rPr>
          <w:lang w:bidi="ru-RU"/>
        </w:rPr>
      </w:pPr>
      <w:r w:rsidRPr="00D0257D">
        <w:rPr>
          <w:lang w:bidi="ru-RU"/>
        </w:rPr>
        <w:t>Обоснование: повторение поправки к пункту 1.8.3.10.</w:t>
      </w:r>
    </w:p>
    <w:p w:rsidR="00D0257D" w:rsidRPr="00D0257D" w:rsidRDefault="00D0257D" w:rsidP="00D0257D">
      <w:pPr>
        <w:pStyle w:val="SingleTxt"/>
        <w:rPr>
          <w:lang w:bidi="ru-RU"/>
        </w:rPr>
      </w:pPr>
      <w:r w:rsidRPr="00D0257D">
        <w:rPr>
          <w:lang w:bidi="ru-RU"/>
        </w:rPr>
        <w:t>11.</w:t>
      </w:r>
      <w:r w:rsidRPr="00D0257D">
        <w:rPr>
          <w:lang w:bidi="ru-RU"/>
        </w:rPr>
        <w:tab/>
        <w:t>В пункте 8.2.2.7.1.5 исключить третье предложение.</w:t>
      </w:r>
    </w:p>
    <w:p w:rsidR="00D0257D" w:rsidRPr="00D0257D" w:rsidRDefault="00D0257D" w:rsidP="00D0257D">
      <w:pPr>
        <w:pStyle w:val="SingleTxt"/>
        <w:rPr>
          <w:lang w:bidi="ru-RU"/>
        </w:rPr>
      </w:pPr>
      <w:r w:rsidRPr="00D0257D">
        <w:rPr>
          <w:lang w:bidi="ru-RU"/>
        </w:rPr>
        <w:t>Обоснование: правило, определяющее нормативные тексты, разрешенные в качестве пособия, сохраняется, но переносится в новый пункт 8.2.2.7.1.6.</w:t>
      </w:r>
    </w:p>
    <w:p w:rsidR="00D0257D" w:rsidRPr="00D0257D" w:rsidRDefault="00D0257D" w:rsidP="00D0257D">
      <w:pPr>
        <w:pStyle w:val="SingleTxt"/>
        <w:rPr>
          <w:lang w:bidi="ru-RU"/>
        </w:rPr>
      </w:pPr>
      <w:r w:rsidRPr="00D0257D">
        <w:rPr>
          <w:lang w:bidi="ru-RU"/>
        </w:rPr>
        <w:t>12.</w:t>
      </w:r>
      <w:r w:rsidRPr="00D0257D">
        <w:rPr>
          <w:lang w:bidi="ru-RU"/>
        </w:rPr>
        <w:tab/>
        <w:t>После пункта 8.2.2.7.1.5 включить следующие новые пункты:</w:t>
      </w:r>
    </w:p>
    <w:p w:rsidR="00D0257D" w:rsidRPr="00D0257D" w:rsidRDefault="00D0257D" w:rsidP="00D0257D">
      <w:pPr>
        <w:pStyle w:val="SingleTxt"/>
        <w:rPr>
          <w:iCs/>
          <w:u w:val="single"/>
          <w:lang w:bidi="ru-RU"/>
        </w:rPr>
      </w:pPr>
      <w:r w:rsidRPr="003C4AC0">
        <w:rPr>
          <w:lang w:bidi="ru-RU"/>
        </w:rPr>
        <w:lastRenderedPageBreak/>
        <w:t>«</w:t>
      </w:r>
      <w:r w:rsidRPr="00D0257D">
        <w:rPr>
          <w:u w:val="single"/>
          <w:lang w:bidi="ru-RU"/>
        </w:rPr>
        <w:t>8.2.2.7.1.6</w:t>
      </w:r>
      <w:r w:rsidRPr="00D0257D">
        <w:rPr>
          <w:u w:val="single"/>
          <w:lang w:bidi="ru-RU"/>
        </w:rPr>
        <w:tab/>
      </w:r>
      <w:r w:rsidRPr="00D0257D">
        <w:rPr>
          <w:iCs/>
          <w:u w:val="single"/>
          <w:lang w:bidi="ru-RU"/>
        </w:rPr>
        <w:t>Компетентный орган или назначенная им экзаменующая организация осуществляет наблюдение за проведением каждого экзамена. Любые манипуляции и обман должны быть исключены, насколько это возможно. Необходимо обеспечить удостоверение личности кандидата.</w:t>
      </w:r>
    </w:p>
    <w:p w:rsidR="00D0257D" w:rsidRPr="00D0257D" w:rsidRDefault="00D0257D" w:rsidP="00D0257D">
      <w:pPr>
        <w:pStyle w:val="SingleTxt"/>
        <w:rPr>
          <w:iCs/>
          <w:u w:val="single"/>
          <w:lang w:bidi="ru-RU"/>
        </w:rPr>
      </w:pPr>
      <w:r w:rsidRPr="00D0257D">
        <w:rPr>
          <w:iCs/>
          <w:u w:val="single"/>
          <w:lang w:bidi="ru-RU"/>
        </w:rPr>
        <w:t>Во время письменного экзамена не разрешается пользоваться документацией, помимо</w:t>
      </w:r>
      <w:r w:rsidRPr="00D0257D">
        <w:rPr>
          <w:u w:val="single"/>
          <w:lang w:bidi="ru-RU"/>
        </w:rPr>
        <w:t xml:space="preserve"> текстов правил, касающихся опасных грузов, и ЕПСВВП или основанных на них полицейских правил. В качестве пособия разрешается пользоваться непрограммируемыми карманными калькуляторами, которые должны предоставляться компетентным органом или назначенной им экзаменующей организацией.</w:t>
      </w:r>
    </w:p>
    <w:p w:rsidR="00D0257D" w:rsidRPr="00D0257D" w:rsidRDefault="00D0257D" w:rsidP="00D0257D">
      <w:pPr>
        <w:pStyle w:val="SingleTxt"/>
        <w:rPr>
          <w:iCs/>
          <w:lang w:bidi="ru-RU"/>
        </w:rPr>
      </w:pPr>
      <w:r w:rsidRPr="00D0257D">
        <w:rPr>
          <w:iCs/>
          <w:u w:val="single"/>
          <w:lang w:bidi="ru-RU"/>
        </w:rPr>
        <w:t xml:space="preserve">Все экзаменационные документы должны быть </w:t>
      </w:r>
      <w:r w:rsidRPr="00D0257D">
        <w:rPr>
          <w:u w:val="single"/>
          <w:lang w:bidi="ru-RU"/>
        </w:rPr>
        <w:t>зарегистрированы</w:t>
      </w:r>
      <w:r w:rsidRPr="00D0257D">
        <w:rPr>
          <w:iCs/>
          <w:u w:val="single"/>
          <w:lang w:bidi="ru-RU"/>
        </w:rPr>
        <w:t xml:space="preserve"> и храниться в распечатанном виде или в виде электронного файла.</w:t>
      </w:r>
      <w:r w:rsidRPr="003C4AC0">
        <w:rPr>
          <w:iCs/>
          <w:lang w:bidi="ru-RU"/>
        </w:rPr>
        <w:t>»</w:t>
      </w:r>
      <w:r w:rsidRPr="00D0257D">
        <w:rPr>
          <w:iCs/>
          <w:lang w:bidi="ru-RU"/>
        </w:rPr>
        <w:t>.</w:t>
      </w:r>
    </w:p>
    <w:p w:rsidR="00D0257D" w:rsidRPr="00D0257D" w:rsidRDefault="00D0257D" w:rsidP="00D0257D">
      <w:pPr>
        <w:pStyle w:val="SingleTxt"/>
        <w:rPr>
          <w:lang w:bidi="ru-RU"/>
        </w:rPr>
      </w:pPr>
      <w:r w:rsidRPr="00D0257D">
        <w:rPr>
          <w:lang w:bidi="ru-RU"/>
        </w:rPr>
        <w:t>«8.2.2.7.1.7</w:t>
      </w:r>
      <w:r w:rsidRPr="00D0257D">
        <w:rPr>
          <w:lang w:bidi="ru-RU"/>
        </w:rPr>
        <w:tab/>
        <w:t xml:space="preserve">Письменные экзамены могут проводиться, полностью или частично, как экзамены с использованием электронных средств, во время которых ответы регистрируются и оцениваются с помощью методов электронной обработки информации (ЭОИ), при условии выполнения следующих требований: </w:t>
      </w:r>
    </w:p>
    <w:p w:rsidR="00D0257D" w:rsidRPr="00D0257D" w:rsidRDefault="00D0257D" w:rsidP="00D0257D">
      <w:pPr>
        <w:pStyle w:val="SingleTxt"/>
        <w:rPr>
          <w:u w:val="single"/>
          <w:lang w:bidi="ru-RU"/>
        </w:rPr>
      </w:pPr>
      <w:r w:rsidRPr="00D0257D">
        <w:rPr>
          <w:lang w:bidi="ru-RU"/>
        </w:rPr>
        <w:tab/>
      </w:r>
      <w:r w:rsidRPr="00D0257D">
        <w:rPr>
          <w:u w:val="single"/>
          <w:lang w:val="en-US"/>
        </w:rPr>
        <w:t>a</w:t>
      </w:r>
      <w:r w:rsidRPr="00D0257D">
        <w:rPr>
          <w:u w:val="single"/>
          <w:lang w:bidi="ru-RU"/>
        </w:rPr>
        <w:t>)</w:t>
      </w:r>
      <w:r w:rsidRPr="00D0257D">
        <w:rPr>
          <w:u w:val="single"/>
          <w:lang w:bidi="ru-RU"/>
        </w:rPr>
        <w:tab/>
        <w:t>аппаратное и программное оборудование проверяется и принимается компетентным органом или назначенной им экзаменующей организацией;</w:t>
      </w:r>
    </w:p>
    <w:p w:rsidR="00D0257D" w:rsidRPr="00D0257D" w:rsidRDefault="00D0257D" w:rsidP="00D0257D">
      <w:pPr>
        <w:pStyle w:val="SingleTxt"/>
        <w:rPr>
          <w:u w:val="single"/>
          <w:lang w:bidi="ru-RU"/>
        </w:rPr>
      </w:pPr>
      <w:r w:rsidRPr="00D0257D">
        <w:rPr>
          <w:lang w:bidi="ru-RU"/>
        </w:rPr>
        <w:tab/>
      </w:r>
      <w:r w:rsidRPr="00D0257D">
        <w:rPr>
          <w:u w:val="single"/>
          <w:lang w:val="en-US"/>
        </w:rPr>
        <w:t>b</w:t>
      </w:r>
      <w:r w:rsidRPr="00D0257D">
        <w:rPr>
          <w:u w:val="single"/>
          <w:lang w:bidi="ru-RU"/>
        </w:rPr>
        <w:t>)</w:t>
      </w:r>
      <w:r w:rsidRPr="00D0257D">
        <w:rPr>
          <w:u w:val="single"/>
          <w:lang w:bidi="ru-RU"/>
        </w:rPr>
        <w:tab/>
        <w:t>могут использоваться только электронные средства (устройства), предоставленные компетентным органом или назначенной им экзаменующей организацией;</w:t>
      </w:r>
    </w:p>
    <w:p w:rsidR="00D0257D" w:rsidRPr="00D0257D" w:rsidRDefault="00D0257D" w:rsidP="00D0257D">
      <w:pPr>
        <w:pStyle w:val="SingleTxt"/>
        <w:rPr>
          <w:u w:val="single"/>
          <w:lang w:bidi="ru-RU"/>
        </w:rPr>
      </w:pPr>
      <w:r w:rsidRPr="00D0257D">
        <w:rPr>
          <w:lang w:bidi="ru-RU"/>
        </w:rPr>
        <w:tab/>
      </w:r>
      <w:r w:rsidRPr="00D0257D">
        <w:rPr>
          <w:u w:val="single"/>
          <w:lang w:bidi="ru-RU"/>
        </w:rPr>
        <w:t>с)</w:t>
      </w:r>
      <w:r w:rsidRPr="00D0257D">
        <w:rPr>
          <w:u w:val="single"/>
          <w:lang w:bidi="ru-RU"/>
        </w:rPr>
        <w:tab/>
        <w:t>обеспечивается надлежащее техническое функционирование. Надлежит предусмотреть и уточнить процедуру продолжения экзамена в случае отказа устройств и приложений. Устройства не должны обладать функцией помощи (например, функцией электронного поиска); предоставляемые устройства электронной обработки информации не должны позволять кандидатам связываться с любым другим устройством во время экзамена;</w:t>
      </w:r>
    </w:p>
    <w:p w:rsidR="00D0257D" w:rsidRPr="00D0257D" w:rsidRDefault="00D0257D" w:rsidP="00D0257D">
      <w:pPr>
        <w:pStyle w:val="SingleTxt"/>
        <w:rPr>
          <w:u w:val="single"/>
          <w:lang w:bidi="ru-RU"/>
        </w:rPr>
      </w:pPr>
      <w:r w:rsidRPr="00D0257D">
        <w:rPr>
          <w:lang w:bidi="ru-RU"/>
        </w:rPr>
        <w:tab/>
      </w:r>
      <w:r w:rsidRPr="00D0257D">
        <w:rPr>
          <w:u w:val="single"/>
          <w:lang w:val="fr-FR"/>
        </w:rPr>
        <w:t>d</w:t>
      </w:r>
      <w:r w:rsidRPr="00D0257D">
        <w:rPr>
          <w:u w:val="single"/>
          <w:lang w:bidi="ru-RU"/>
        </w:rPr>
        <w:t>)</w:t>
      </w:r>
      <w:r w:rsidRPr="00D0257D">
        <w:rPr>
          <w:u w:val="single"/>
          <w:lang w:bidi="ru-RU"/>
        </w:rPr>
        <w:tab/>
        <w:t>кандидат не вправе вводить какие-либо дополнительные данные в предоставленные ему электронные средства; кандидат может лишь отвечать на заданные вопросы;</w:t>
      </w:r>
    </w:p>
    <w:p w:rsidR="00D0257D" w:rsidRPr="00D0257D" w:rsidRDefault="00D0257D" w:rsidP="00D0257D">
      <w:pPr>
        <w:pStyle w:val="SingleTxt"/>
        <w:rPr>
          <w:lang w:bidi="ru-RU"/>
        </w:rPr>
      </w:pPr>
      <w:r w:rsidRPr="00D0257D">
        <w:rPr>
          <w:lang w:bidi="ru-RU"/>
        </w:rPr>
        <w:tab/>
      </w:r>
      <w:r w:rsidRPr="00D0257D">
        <w:rPr>
          <w:u w:val="single"/>
          <w:lang w:val="fr-FR"/>
        </w:rPr>
        <w:t>e</w:t>
      </w:r>
      <w:r w:rsidRPr="00D0257D">
        <w:rPr>
          <w:u w:val="single"/>
          <w:lang w:bidi="ru-RU"/>
        </w:rPr>
        <w:t>)</w:t>
      </w:r>
      <w:r w:rsidRPr="00D0257D">
        <w:rPr>
          <w:u w:val="single"/>
          <w:lang w:bidi="ru-RU"/>
        </w:rPr>
        <w:tab/>
        <w:t>должны регистрироваться окончательные вводы данных каждого кандидата. Определение результатов должно быть прозрачным.</w:t>
      </w:r>
      <w:r w:rsidRPr="003C4AC0">
        <w:rPr>
          <w:lang w:bidi="ru-RU"/>
        </w:rPr>
        <w:t>»</w:t>
      </w:r>
      <w:r w:rsidRPr="00D0257D">
        <w:rPr>
          <w:lang w:bidi="ru-RU"/>
        </w:rPr>
        <w:t>.</w:t>
      </w:r>
    </w:p>
    <w:p w:rsidR="00D0257D" w:rsidRPr="00D0257D" w:rsidRDefault="00D0257D" w:rsidP="00D0257D">
      <w:pPr>
        <w:pStyle w:val="SingleTxt"/>
        <w:rPr>
          <w:lang w:bidi="ru-RU"/>
        </w:rPr>
      </w:pPr>
      <w:r w:rsidRPr="00D0257D">
        <w:rPr>
          <w:lang w:bidi="ru-RU"/>
        </w:rPr>
        <w:t>Обоснование: повторение нового пункта 1.8.3.12.5 в предписаниях, касающихся экзаменования экспертов в области ВОПОГ.</w:t>
      </w:r>
    </w:p>
    <w:p w:rsidR="00D0257D" w:rsidRPr="00D0257D" w:rsidRDefault="00D0257D" w:rsidP="00D0257D">
      <w:pPr>
        <w:pStyle w:val="SingleTxt"/>
        <w:rPr>
          <w:iCs/>
          <w:lang w:bidi="ru-RU"/>
        </w:rPr>
      </w:pPr>
      <w:r w:rsidRPr="00D0257D">
        <w:rPr>
          <w:lang w:bidi="ru-RU"/>
        </w:rPr>
        <w:t>В пункте</w:t>
      </w:r>
      <w:r w:rsidRPr="00D0257D">
        <w:rPr>
          <w:iCs/>
          <w:lang w:bidi="ru-RU"/>
        </w:rPr>
        <w:t xml:space="preserve"> 8.2.2.7.1.6 предусмотрена</w:t>
      </w:r>
      <w:r w:rsidRPr="00D0257D">
        <w:rPr>
          <w:lang w:bidi="ru-RU"/>
        </w:rPr>
        <w:t xml:space="preserve"> возможность пользоваться в качестве пособия простыми карманными калькуляторами.</w:t>
      </w:r>
    </w:p>
    <w:p w:rsidR="00D0257D" w:rsidRPr="00D0257D" w:rsidRDefault="00D0257D" w:rsidP="00D0257D">
      <w:pPr>
        <w:pStyle w:val="SingleTxt"/>
        <w:rPr>
          <w:u w:val="single"/>
          <w:lang w:bidi="ru-RU"/>
        </w:rPr>
      </w:pPr>
      <w:r w:rsidRPr="00D0257D">
        <w:rPr>
          <w:lang w:bidi="ru-RU"/>
        </w:rPr>
        <w:t>Предложение неофициальной рабочей группы в отношении каталога вопросов</w:t>
      </w:r>
      <w:r w:rsidRPr="00D0257D">
        <w:rPr>
          <w:iCs/>
          <w:lang w:bidi="ru-RU"/>
        </w:rPr>
        <w:t xml:space="preserve"> является убедительным. Однако должно быть предусмотрено условие, что</w:t>
      </w:r>
      <w:r w:rsidRPr="00D0257D">
        <w:rPr>
          <w:lang w:bidi="ru-RU"/>
        </w:rPr>
        <w:t xml:space="preserve"> карманные калькуляторы предоставляются компетентным органом или назначенной им экзаменующей организацией, с тем чтобы во время экзамена кандидаты находились в равных условиях и чтобы не возникало возможностей для злоупотреблений в результате передачи ответов на экзамене. Пользование программируемыми карманными калькуляторами должно быть исключено; знание способов расч</w:t>
      </w:r>
      <w:r w:rsidR="003C4AC0">
        <w:rPr>
          <w:lang w:bidi="ru-RU"/>
        </w:rPr>
        <w:t>е</w:t>
      </w:r>
      <w:r w:rsidRPr="00D0257D">
        <w:rPr>
          <w:lang w:bidi="ru-RU"/>
        </w:rPr>
        <w:t>та и формул расчета является важным элементом подготовки экспертов.</w:t>
      </w:r>
    </w:p>
    <w:p w:rsidR="00D0257D" w:rsidRPr="00D0257D" w:rsidRDefault="00D0257D" w:rsidP="00D0257D">
      <w:pPr>
        <w:pStyle w:val="SingleTxt"/>
        <w:rPr>
          <w:lang w:bidi="ru-RU"/>
        </w:rPr>
      </w:pPr>
      <w:r w:rsidRPr="00D0257D">
        <w:rPr>
          <w:iCs/>
          <w:lang w:bidi="ru-RU"/>
        </w:rPr>
        <w:t xml:space="preserve">Новые подпункты </w:t>
      </w:r>
      <w:r w:rsidRPr="00D0257D">
        <w:rPr>
          <w:iCs/>
          <w:lang w:val="fr-FR"/>
        </w:rPr>
        <w:t>b</w:t>
      </w:r>
      <w:r w:rsidRPr="00D0257D">
        <w:rPr>
          <w:iCs/>
          <w:lang w:bidi="ru-RU"/>
        </w:rPr>
        <w:t xml:space="preserve">) и </w:t>
      </w:r>
      <w:r w:rsidRPr="00D0257D">
        <w:rPr>
          <w:iCs/>
          <w:lang w:val="fr-FR"/>
        </w:rPr>
        <w:t>d</w:t>
      </w:r>
      <w:r w:rsidRPr="00D0257D">
        <w:rPr>
          <w:iCs/>
          <w:lang w:bidi="ru-RU"/>
        </w:rPr>
        <w:t>) пункта 8.2.2.7.1.7 взяты из пункта 1.8.3.12.3, касающегося экзаменования</w:t>
      </w:r>
      <w:r w:rsidRPr="003C4AC0">
        <w:rPr>
          <w:iCs/>
          <w:lang w:bidi="ru-RU"/>
        </w:rPr>
        <w:t xml:space="preserve"> </w:t>
      </w:r>
      <w:r w:rsidRPr="00D0257D">
        <w:rPr>
          <w:lang w:bidi="ru-RU"/>
        </w:rPr>
        <w:t>консультантов по вопросам безопасности.</w:t>
      </w:r>
    </w:p>
    <w:p w:rsidR="00D0257D" w:rsidRPr="00D0257D" w:rsidRDefault="00D0257D" w:rsidP="00D0257D">
      <w:pPr>
        <w:pStyle w:val="SingleTxt"/>
        <w:rPr>
          <w:lang w:bidi="ru-RU"/>
        </w:rPr>
      </w:pPr>
      <w:r w:rsidRPr="00D0257D">
        <w:rPr>
          <w:lang w:bidi="ru-RU"/>
        </w:rPr>
        <w:t>13.</w:t>
      </w:r>
      <w:r w:rsidRPr="00D0257D">
        <w:rPr>
          <w:lang w:bidi="ru-RU"/>
        </w:rPr>
        <w:tab/>
        <w:t>Изменить пункт 8.2.2.7.2.5 следующим образом:</w:t>
      </w:r>
    </w:p>
    <w:p w:rsidR="00D0257D" w:rsidRPr="00D0257D" w:rsidRDefault="00D0257D" w:rsidP="00D0257D">
      <w:pPr>
        <w:pStyle w:val="SingleTxt"/>
        <w:rPr>
          <w:lang w:bidi="ru-RU"/>
        </w:rPr>
      </w:pPr>
      <w:r w:rsidRPr="00D0257D">
        <w:rPr>
          <w:lang w:bidi="ru-RU"/>
        </w:rPr>
        <w:lastRenderedPageBreak/>
        <w:t>«8.2.2.7.2.5</w:t>
      </w:r>
      <w:r w:rsidRPr="00D0257D">
        <w:rPr>
          <w:lang w:bidi="ru-RU"/>
        </w:rPr>
        <w:tab/>
        <w:t>Экзамен проводится в письменной форме.</w:t>
      </w:r>
    </w:p>
    <w:p w:rsidR="00D0257D" w:rsidRPr="00D0257D" w:rsidRDefault="00D0257D" w:rsidP="00D0257D">
      <w:pPr>
        <w:pStyle w:val="SingleTxt"/>
        <w:rPr>
          <w:iCs/>
          <w:u w:val="single"/>
          <w:lang w:bidi="ru-RU"/>
        </w:rPr>
      </w:pPr>
      <w:r w:rsidRPr="00D0257D">
        <w:rPr>
          <w:iCs/>
          <w:lang w:bidi="ru-RU"/>
        </w:rPr>
        <w:t>Каждый кандидат должен ответить на 30 вопросов с альтернативными ответами и на один вопрос по существу.</w:t>
      </w:r>
      <w:r w:rsidRPr="00D0257D">
        <w:rPr>
          <w:lang w:bidi="ru-RU"/>
        </w:rPr>
        <w:t xml:space="preserve"> </w:t>
      </w:r>
      <w:r w:rsidRPr="00D0257D">
        <w:rPr>
          <w:iCs/>
          <w:lang w:bidi="ru-RU"/>
        </w:rPr>
        <w:t xml:space="preserve">Экзамен длится в целом 150 м., из которых </w:t>
      </w:r>
      <w:r w:rsidR="003C4AC0">
        <w:rPr>
          <w:iCs/>
          <w:lang w:bidi="ru-RU"/>
        </w:rPr>
        <w:br/>
      </w:r>
      <w:r w:rsidRPr="00D0257D">
        <w:rPr>
          <w:iCs/>
          <w:lang w:bidi="ru-RU"/>
        </w:rPr>
        <w:t>60</w:t>
      </w:r>
      <w:r w:rsidR="003C4AC0">
        <w:rPr>
          <w:iCs/>
          <w:lang w:bidi="ru-RU"/>
        </w:rPr>
        <w:t> </w:t>
      </w:r>
      <w:r w:rsidRPr="00D0257D">
        <w:rPr>
          <w:iCs/>
          <w:lang w:bidi="ru-RU"/>
        </w:rPr>
        <w:t>м. отводятся на вопросы с альтернативными ответами и 90 м. – на вопрос по существу.</w:t>
      </w:r>
    </w:p>
    <w:p w:rsidR="00D0257D" w:rsidRPr="00D0257D" w:rsidRDefault="00D0257D" w:rsidP="00D0257D">
      <w:pPr>
        <w:pStyle w:val="SingleTxt"/>
        <w:rPr>
          <w:u w:val="single"/>
          <w:lang w:bidi="ru-RU"/>
        </w:rPr>
      </w:pPr>
      <w:r w:rsidRPr="00D0257D">
        <w:rPr>
          <w:lang w:bidi="ru-RU"/>
        </w:rPr>
        <w:t xml:space="preserve">Экзаменационная оценка выставляется по 60-балльной системе: 30 баллов за ответы на вопросы с альтернативными вариантами (по одному баллу на каждый вопрос) и 30 баллов – за ответ на вопрос по существу (баллы в зависимости от элементов ответа на вопросы по существу распределяются по усмотрению компетентного органа). Экзамен считается сданным, если кандидат получил не менее 44 баллов. Однако по каждой </w:t>
      </w:r>
      <w:r w:rsidRPr="00026F3D">
        <w:rPr>
          <w:strike/>
          <w:lang w:bidi="ru-RU"/>
        </w:rPr>
        <w:t>теме</w:t>
      </w:r>
      <w:r w:rsidRPr="00D0257D">
        <w:rPr>
          <w:lang w:bidi="ru-RU"/>
        </w:rPr>
        <w:t xml:space="preserve"> </w:t>
      </w:r>
      <w:r w:rsidRPr="00D0257D">
        <w:rPr>
          <w:u w:val="single"/>
          <w:lang w:bidi="ru-RU"/>
        </w:rPr>
        <w:t>части</w:t>
      </w:r>
      <w:r w:rsidRPr="00D0257D">
        <w:rPr>
          <w:lang w:bidi="ru-RU"/>
        </w:rPr>
        <w:t xml:space="preserve"> необходимо получить по крайней мере 20 баллов. Если кандидат получил 44 балла, но не набрал 20 баллов по какой-либо </w:t>
      </w:r>
      <w:r w:rsidRPr="0060786C">
        <w:rPr>
          <w:strike/>
          <w:lang w:bidi="ru-RU"/>
        </w:rPr>
        <w:t>теме</w:t>
      </w:r>
      <w:r w:rsidRPr="00D0257D">
        <w:rPr>
          <w:lang w:bidi="ru-RU"/>
        </w:rPr>
        <w:t xml:space="preserve"> </w:t>
      </w:r>
      <w:r w:rsidRPr="00D0257D">
        <w:rPr>
          <w:u w:val="single"/>
          <w:lang w:bidi="ru-RU"/>
        </w:rPr>
        <w:t>части</w:t>
      </w:r>
      <w:r w:rsidRPr="00D0257D">
        <w:rPr>
          <w:lang w:bidi="ru-RU"/>
        </w:rPr>
        <w:t xml:space="preserve">, по этой </w:t>
      </w:r>
      <w:r w:rsidRPr="00026F3D">
        <w:rPr>
          <w:strike/>
          <w:lang w:bidi="ru-RU"/>
        </w:rPr>
        <w:t>теме</w:t>
      </w:r>
      <w:r w:rsidRPr="00D0257D">
        <w:rPr>
          <w:lang w:bidi="ru-RU"/>
        </w:rPr>
        <w:t xml:space="preserve"> </w:t>
      </w:r>
      <w:r w:rsidRPr="00D0257D">
        <w:rPr>
          <w:u w:val="single"/>
          <w:lang w:bidi="ru-RU"/>
        </w:rPr>
        <w:t xml:space="preserve">части </w:t>
      </w:r>
      <w:r w:rsidRPr="00D0257D">
        <w:rPr>
          <w:lang w:bidi="ru-RU"/>
        </w:rPr>
        <w:t xml:space="preserve">может быть </w:t>
      </w:r>
      <w:r w:rsidRPr="00CD5756">
        <w:rPr>
          <w:strike/>
          <w:lang w:bidi="ru-RU"/>
        </w:rPr>
        <w:t xml:space="preserve">проведена переэкзаменовка </w:t>
      </w:r>
      <w:r w:rsidRPr="003C4AC0">
        <w:rPr>
          <w:u w:val="single"/>
          <w:lang w:bidi="ru-RU"/>
        </w:rPr>
        <w:t>один раз проведен повторный опрос</w:t>
      </w:r>
      <w:r w:rsidRPr="00C448F9">
        <w:rPr>
          <w:lang w:bidi="ru-RU"/>
        </w:rPr>
        <w:t>.</w:t>
      </w:r>
    </w:p>
    <w:p w:rsidR="00D0257D" w:rsidRPr="00CD5756" w:rsidRDefault="00D0257D" w:rsidP="00D0257D">
      <w:pPr>
        <w:pStyle w:val="SingleTxt"/>
        <w:rPr>
          <w:strike/>
          <w:lang w:bidi="ru-RU"/>
        </w:rPr>
      </w:pPr>
      <w:r w:rsidRPr="00CD5756">
        <w:rPr>
          <w:strike/>
          <w:lang w:bidi="ru-RU"/>
        </w:rPr>
        <w:t>Во время экзамена разрешается пользоваться текстами правил и технической литературой.</w:t>
      </w:r>
    </w:p>
    <w:p w:rsidR="00D0257D" w:rsidRPr="00D0257D" w:rsidRDefault="00D0257D" w:rsidP="00D0257D">
      <w:pPr>
        <w:pStyle w:val="SingleTxt"/>
        <w:rPr>
          <w:u w:val="single"/>
          <w:lang w:bidi="ru-RU"/>
        </w:rPr>
      </w:pPr>
      <w:r w:rsidRPr="00D0257D">
        <w:rPr>
          <w:u w:val="single"/>
          <w:lang w:bidi="ru-RU"/>
        </w:rPr>
        <w:t>Предписания пунктов 8.2.2.7.1.6 и 8.2.2.7.1.7 применяются по аналогии.».</w:t>
      </w:r>
    </w:p>
    <w:p w:rsidR="00D0257D" w:rsidRPr="00D0257D" w:rsidRDefault="00D0257D" w:rsidP="00D0257D">
      <w:pPr>
        <w:pStyle w:val="SingleTxt"/>
        <w:rPr>
          <w:lang w:bidi="ru-RU"/>
        </w:rPr>
      </w:pPr>
      <w:r w:rsidRPr="00D0257D">
        <w:rPr>
          <w:lang w:bidi="ru-RU"/>
        </w:rPr>
        <w:t>Обоснование:</w:t>
      </w:r>
    </w:p>
    <w:p w:rsidR="00D0257D" w:rsidRPr="00D0257D" w:rsidRDefault="00D0257D" w:rsidP="00D0257D">
      <w:pPr>
        <w:pStyle w:val="SingleTxt"/>
        <w:rPr>
          <w:lang w:bidi="ru-RU"/>
        </w:rPr>
      </w:pPr>
      <w:r w:rsidRPr="00D0257D">
        <w:rPr>
          <w:lang w:bidi="ru-RU"/>
        </w:rPr>
        <w:tab/>
      </w:r>
      <w:r w:rsidRPr="00D0257D">
        <w:rPr>
          <w:lang w:val="fr-FR"/>
        </w:rPr>
        <w:t>a</w:t>
      </w:r>
      <w:r w:rsidRPr="00D0257D">
        <w:rPr>
          <w:lang w:bidi="ru-RU"/>
        </w:rPr>
        <w:t>)</w:t>
      </w:r>
      <w:r w:rsidRPr="00D0257D">
        <w:rPr>
          <w:lang w:bidi="ru-RU"/>
        </w:rPr>
        <w:tab/>
        <w:t>Экзамен не разделен на разные темы, каждая из которых имеет отличающееся содержание (например, правовые аспекты, химия, судостроение и т.д.), а состоит из двух частей, различающихся в организационном плане: одна часть включает вопросы</w:t>
      </w:r>
      <w:r w:rsidRPr="00D0257D">
        <w:rPr>
          <w:iCs/>
          <w:lang w:bidi="ru-RU"/>
        </w:rPr>
        <w:t xml:space="preserve"> с альтернативными ответами и одна часть </w:t>
      </w:r>
      <w:r w:rsidR="00CD5756" w:rsidRPr="00CD5756">
        <w:rPr>
          <w:iCs/>
          <w:lang w:bidi="ru-RU"/>
        </w:rPr>
        <w:t>–</w:t>
      </w:r>
      <w:r w:rsidRPr="00D0257D">
        <w:rPr>
          <w:iCs/>
          <w:lang w:bidi="ru-RU"/>
        </w:rPr>
        <w:t xml:space="preserve"> один вопрос по существу.</w:t>
      </w:r>
      <w:r w:rsidRPr="00D0257D">
        <w:rPr>
          <w:lang w:bidi="ru-RU"/>
        </w:rPr>
        <w:t xml:space="preserve"> Это необходимо учесть в тексте правил.</w:t>
      </w:r>
    </w:p>
    <w:p w:rsidR="00D0257D" w:rsidRPr="00D0257D" w:rsidRDefault="00D0257D" w:rsidP="00D0257D">
      <w:pPr>
        <w:pStyle w:val="SingleTxt"/>
        <w:rPr>
          <w:lang w:bidi="ru-RU"/>
        </w:rPr>
      </w:pPr>
      <w:r w:rsidRPr="00D0257D">
        <w:rPr>
          <w:lang w:bidi="ru-RU"/>
        </w:rPr>
        <w:tab/>
      </w:r>
      <w:r w:rsidRPr="00D0257D">
        <w:rPr>
          <w:lang w:val="fr-FR"/>
        </w:rPr>
        <w:t>b</w:t>
      </w:r>
      <w:r w:rsidRPr="00D0257D">
        <w:rPr>
          <w:lang w:bidi="ru-RU"/>
        </w:rPr>
        <w:t>)</w:t>
      </w:r>
      <w:r w:rsidRPr="00D0257D">
        <w:rPr>
          <w:lang w:bidi="ru-RU"/>
        </w:rPr>
        <w:tab/>
        <w:t>Указание разрешенных вспомогательных средств уже содержится в пункте 8.2.2.7.1.6, на который затем делается ссылка. Пользование технической литературой, такой  как руководства или учебные пособия, не разрешается ни на одном экзамене, и поэтому ее также следует исключить в ВОПОГ.</w:t>
      </w:r>
    </w:p>
    <w:p w:rsidR="00D0257D" w:rsidRPr="00D0257D" w:rsidRDefault="00D0257D" w:rsidP="00D0257D">
      <w:pPr>
        <w:pStyle w:val="SingleTxt"/>
        <w:rPr>
          <w:lang w:bidi="ru-RU"/>
        </w:rPr>
      </w:pPr>
      <w:r w:rsidRPr="00D0257D">
        <w:rPr>
          <w:lang w:bidi="ru-RU"/>
        </w:rPr>
        <w:tab/>
      </w:r>
      <w:r w:rsidRPr="00D0257D">
        <w:rPr>
          <w:lang w:val="fr-FR"/>
        </w:rPr>
        <w:t>c</w:t>
      </w:r>
      <w:r w:rsidRPr="00D0257D">
        <w:rPr>
          <w:lang w:bidi="ru-RU"/>
        </w:rPr>
        <w:t>)</w:t>
      </w:r>
      <w:r w:rsidRPr="00D0257D">
        <w:rPr>
          <w:lang w:bidi="ru-RU"/>
        </w:rPr>
        <w:tab/>
        <w:t>С</w:t>
      </w:r>
      <w:r w:rsidR="000156A4">
        <w:rPr>
          <w:lang w:bidi="ru-RU"/>
        </w:rPr>
        <w:t>с</w:t>
      </w:r>
      <w:r w:rsidRPr="00D0257D">
        <w:rPr>
          <w:lang w:bidi="ru-RU"/>
        </w:rPr>
        <w:t>ылка на пункты 8.2.2.7.1.6 и 8.2.2.7.1.7 позволяет избежать повторений и способствует сокращению текста предписаний.</w:t>
      </w:r>
    </w:p>
    <w:p w:rsidR="00D0257D" w:rsidRPr="00D0257D" w:rsidRDefault="00D0257D" w:rsidP="00D0257D">
      <w:pPr>
        <w:pStyle w:val="SingleTxt"/>
        <w:rPr>
          <w:lang w:bidi="ru-RU"/>
        </w:rPr>
      </w:pPr>
      <w:r w:rsidRPr="00D0257D">
        <w:rPr>
          <w:lang w:bidi="ru-RU"/>
        </w:rPr>
        <w:t>14.</w:t>
      </w:r>
      <w:r w:rsidRPr="00D0257D">
        <w:rPr>
          <w:lang w:bidi="ru-RU"/>
        </w:rPr>
        <w:tab/>
        <w:t>В пункте 8.2.2.7.3.2 исключить четвертое предложение.</w:t>
      </w:r>
    </w:p>
    <w:p w:rsidR="00D0257D" w:rsidRPr="00D0257D" w:rsidRDefault="00D0257D" w:rsidP="00D0257D">
      <w:pPr>
        <w:pStyle w:val="SingleTxt"/>
        <w:rPr>
          <w:lang w:bidi="ru-RU"/>
        </w:rPr>
      </w:pPr>
      <w:r w:rsidRPr="00D0257D">
        <w:rPr>
          <w:lang w:bidi="ru-RU"/>
        </w:rPr>
        <w:t>Обоснование: правило, определяющее нормативные тексты, разрешенные в качестве пособия, сохраняется, но переносится в новый пункт 8.2.2.7.1.6.</w:t>
      </w:r>
    </w:p>
    <w:p w:rsidR="00D0257D" w:rsidRPr="00D0257D" w:rsidRDefault="00D0257D" w:rsidP="00D0257D">
      <w:pPr>
        <w:pStyle w:val="SingleTxt"/>
        <w:rPr>
          <w:lang w:bidi="ru-RU"/>
        </w:rPr>
      </w:pPr>
      <w:r w:rsidRPr="00D0257D">
        <w:rPr>
          <w:lang w:bidi="ru-RU"/>
        </w:rPr>
        <w:t>15.</w:t>
      </w:r>
      <w:r w:rsidRPr="00D0257D">
        <w:rPr>
          <w:lang w:bidi="ru-RU"/>
        </w:rPr>
        <w:tab/>
        <w:t>Изменить пункт 8.2.2.7.3.3 следующим образом:</w:t>
      </w:r>
    </w:p>
    <w:p w:rsidR="00D0257D" w:rsidRPr="00D0257D" w:rsidRDefault="00D0257D" w:rsidP="00D0257D">
      <w:pPr>
        <w:pStyle w:val="SingleTxt"/>
        <w:rPr>
          <w:lang w:bidi="ru-RU"/>
        </w:rPr>
      </w:pPr>
      <w:r w:rsidRPr="00D0257D">
        <w:rPr>
          <w:lang w:bidi="ru-RU"/>
        </w:rPr>
        <w:t>«8.2.2.7.3.3</w:t>
      </w:r>
      <w:r w:rsidRPr="00D0257D">
        <w:rPr>
          <w:lang w:bidi="ru-RU"/>
        </w:rPr>
        <w:tab/>
        <w:t>В отношении проведения тестов применяются предписания пунктов 8.2.2.7.1.2</w:t>
      </w:r>
      <w:r w:rsidRPr="00D0257D">
        <w:rPr>
          <w:u w:val="single"/>
          <w:lang w:bidi="ru-RU"/>
        </w:rPr>
        <w:t>,</w:t>
      </w:r>
      <w:r w:rsidR="003C4AC0" w:rsidRPr="003C4AC0">
        <w:rPr>
          <w:lang w:bidi="ru-RU"/>
        </w:rPr>
        <w:t xml:space="preserve"> </w:t>
      </w:r>
      <w:r w:rsidRPr="00A91E3F">
        <w:rPr>
          <w:strike/>
          <w:lang w:bidi="ru-RU"/>
        </w:rPr>
        <w:t>и</w:t>
      </w:r>
      <w:r w:rsidRPr="00D0257D">
        <w:rPr>
          <w:lang w:bidi="ru-RU"/>
        </w:rPr>
        <w:t xml:space="preserve"> 8.2.2.7.1.3</w:t>
      </w:r>
      <w:r w:rsidRPr="00D0257D">
        <w:rPr>
          <w:u w:val="single"/>
          <w:lang w:bidi="ru-RU"/>
        </w:rPr>
        <w:t>, 8.2.2.1.7.6 и 8.2.2.1.7.7</w:t>
      </w:r>
      <w:r w:rsidRPr="00D0257D">
        <w:rPr>
          <w:lang w:bidi="ru-RU"/>
        </w:rPr>
        <w:t xml:space="preserve"> (вне рамок положений директивы по использованию каталога вопросов</w:t>
      </w:r>
      <w:r w:rsidR="00A91E3F">
        <w:rPr>
          <w:lang w:bidi="ru-RU"/>
        </w:rPr>
        <w:t xml:space="preserve"> </w:t>
      </w:r>
      <w:r w:rsidRPr="00D0257D">
        <w:rPr>
          <w:lang w:bidi="ru-RU"/>
        </w:rPr>
        <w:t>для экзаменующих органов и организаций)».</w:t>
      </w:r>
    </w:p>
    <w:p w:rsidR="00D0257D" w:rsidRPr="00D0257D" w:rsidRDefault="00D0257D" w:rsidP="00D0257D">
      <w:pPr>
        <w:pStyle w:val="SingleTxt"/>
        <w:rPr>
          <w:lang w:bidi="ru-RU"/>
        </w:rPr>
      </w:pPr>
      <w:r w:rsidRPr="00D0257D">
        <w:rPr>
          <w:lang w:bidi="ru-RU"/>
        </w:rPr>
        <w:t>Обоснование:</w:t>
      </w:r>
    </w:p>
    <w:p w:rsidR="00D0257D" w:rsidRPr="00D0257D" w:rsidRDefault="00D0257D" w:rsidP="00D0257D">
      <w:pPr>
        <w:pStyle w:val="SingleTxt"/>
        <w:rPr>
          <w:lang w:bidi="ru-RU"/>
        </w:rPr>
      </w:pPr>
      <w:r w:rsidRPr="00D0257D">
        <w:rPr>
          <w:lang w:bidi="ru-RU"/>
        </w:rPr>
        <w:t>Данный перечень пунктов дополнен предписаниями, действующими в отношении электронных экзаменов.</w:t>
      </w:r>
    </w:p>
    <w:p w:rsidR="00D0257D" w:rsidRPr="0094056D" w:rsidRDefault="00D0257D" w:rsidP="00D0257D">
      <w:pPr>
        <w:pStyle w:val="SingleTxt"/>
        <w:rPr>
          <w:lang w:bidi="ru-RU"/>
        </w:rPr>
      </w:pPr>
      <w:r w:rsidRPr="00D0257D">
        <w:rPr>
          <w:lang w:bidi="ru-RU"/>
        </w:rPr>
        <w:t>16.</w:t>
      </w:r>
      <w:r w:rsidRPr="00D0257D">
        <w:rPr>
          <w:lang w:bidi="ru-RU"/>
        </w:rPr>
        <w:tab/>
        <w:t>Данные поправки способствуют современному развитию форм проведения экзаменов. На необходимость предусмотреть возможность использования методов электронной обработки информации указали несколько договаривающихся сторон. Благодаря предлагаемым поправкам эта возможность получает надежную правовую основу.</w:t>
      </w:r>
    </w:p>
    <w:p w:rsidR="007E3F2D" w:rsidRPr="0094056D" w:rsidRDefault="007E3F2D" w:rsidP="007E3F2D">
      <w:pPr>
        <w:pStyle w:val="SingleTxt"/>
        <w:spacing w:after="0" w:line="120" w:lineRule="exact"/>
        <w:rPr>
          <w:sz w:val="10"/>
          <w:lang w:bidi="ru-RU"/>
        </w:rPr>
      </w:pPr>
    </w:p>
    <w:p w:rsidR="007E3F2D" w:rsidRPr="0094056D" w:rsidRDefault="007E3F2D" w:rsidP="007E3F2D">
      <w:pPr>
        <w:pStyle w:val="SingleTxt"/>
        <w:spacing w:after="0" w:line="120" w:lineRule="exact"/>
        <w:rPr>
          <w:sz w:val="10"/>
          <w:lang w:bidi="ru-RU"/>
        </w:rPr>
      </w:pPr>
    </w:p>
    <w:p w:rsidR="00D0257D" w:rsidRPr="0094056D" w:rsidRDefault="007E3F2D" w:rsidP="00CD5756">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bidi="ru-RU"/>
        </w:rPr>
      </w:pPr>
      <w:r w:rsidRPr="0094056D">
        <w:rPr>
          <w:lang w:bidi="ru-RU"/>
        </w:rPr>
        <w:lastRenderedPageBreak/>
        <w:tab/>
      </w:r>
      <w:r w:rsidRPr="0094056D">
        <w:rPr>
          <w:lang w:bidi="ru-RU"/>
        </w:rPr>
        <w:tab/>
      </w:r>
      <w:r w:rsidR="00D0257D" w:rsidRPr="00D0257D">
        <w:rPr>
          <w:lang w:bidi="ru-RU"/>
        </w:rPr>
        <w:t>Безопасность</w:t>
      </w:r>
    </w:p>
    <w:p w:rsidR="007E3F2D" w:rsidRPr="0094056D" w:rsidRDefault="007E3F2D" w:rsidP="007E3F2D">
      <w:pPr>
        <w:pStyle w:val="SingleTxt"/>
        <w:spacing w:after="0" w:line="120" w:lineRule="exact"/>
        <w:rPr>
          <w:sz w:val="10"/>
          <w:lang w:bidi="ru-RU"/>
        </w:rPr>
      </w:pPr>
    </w:p>
    <w:p w:rsidR="007E3F2D" w:rsidRPr="0094056D" w:rsidRDefault="007E3F2D" w:rsidP="007E3F2D">
      <w:pPr>
        <w:pStyle w:val="SingleTxt"/>
        <w:spacing w:after="0" w:line="120" w:lineRule="exact"/>
        <w:rPr>
          <w:sz w:val="10"/>
          <w:lang w:bidi="ru-RU"/>
        </w:rPr>
      </w:pPr>
    </w:p>
    <w:p w:rsidR="00D0257D" w:rsidRPr="00A91E3F" w:rsidRDefault="00D0257D" w:rsidP="00D0257D">
      <w:pPr>
        <w:pStyle w:val="SingleTxt"/>
        <w:rPr>
          <w:lang w:bidi="ru-RU"/>
        </w:rPr>
      </w:pPr>
      <w:r w:rsidRPr="00D0257D">
        <w:rPr>
          <w:lang w:bidi="ru-RU"/>
        </w:rPr>
        <w:t>17.</w:t>
      </w:r>
      <w:r w:rsidRPr="00D0257D">
        <w:rPr>
          <w:lang w:bidi="ru-RU"/>
        </w:rPr>
        <w:tab/>
        <w:t>Безопасность перевозки не снижается. Сохраняется высокий уровень требований к экзаменам на получение свидетельства о владении специальными знаниями в области ВОПОГ</w:t>
      </w:r>
      <w:r w:rsidR="00A91E3F">
        <w:rPr>
          <w:lang w:bidi="ru-RU"/>
        </w:rPr>
        <w:t>.</w:t>
      </w:r>
    </w:p>
    <w:p w:rsidR="007E3F2D" w:rsidRPr="00A91E3F" w:rsidRDefault="007E3F2D" w:rsidP="007E3F2D">
      <w:pPr>
        <w:pStyle w:val="SingleTxt"/>
        <w:spacing w:after="0" w:line="120" w:lineRule="exact"/>
        <w:rPr>
          <w:sz w:val="10"/>
          <w:lang w:bidi="ru-RU"/>
        </w:rPr>
      </w:pPr>
    </w:p>
    <w:p w:rsidR="007E3F2D" w:rsidRPr="00A91E3F" w:rsidRDefault="007E3F2D" w:rsidP="007E3F2D">
      <w:pPr>
        <w:pStyle w:val="SingleTxt"/>
        <w:spacing w:after="0" w:line="120" w:lineRule="exact"/>
        <w:rPr>
          <w:sz w:val="10"/>
        </w:rPr>
      </w:pPr>
    </w:p>
    <w:p w:rsidR="00D0257D" w:rsidRPr="0094056D" w:rsidRDefault="007E3F2D" w:rsidP="007E3F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A91E3F">
        <w:rPr>
          <w:lang w:bidi="ru-RU"/>
        </w:rPr>
        <w:tab/>
      </w:r>
      <w:r w:rsidRPr="00A91E3F">
        <w:rPr>
          <w:lang w:bidi="ru-RU"/>
        </w:rPr>
        <w:tab/>
      </w:r>
      <w:r w:rsidR="00D0257D" w:rsidRPr="00D0257D">
        <w:rPr>
          <w:lang w:bidi="ru-RU"/>
        </w:rPr>
        <w:t>Осуществление</w:t>
      </w:r>
    </w:p>
    <w:p w:rsidR="007E3F2D" w:rsidRPr="0094056D" w:rsidRDefault="007E3F2D" w:rsidP="007E3F2D">
      <w:pPr>
        <w:pStyle w:val="SingleTxt"/>
        <w:spacing w:after="0" w:line="120" w:lineRule="exact"/>
        <w:rPr>
          <w:sz w:val="10"/>
          <w:lang w:bidi="ru-RU"/>
        </w:rPr>
      </w:pPr>
    </w:p>
    <w:p w:rsidR="007E3F2D" w:rsidRPr="0094056D" w:rsidRDefault="007E3F2D" w:rsidP="007E3F2D">
      <w:pPr>
        <w:pStyle w:val="SingleTxt"/>
        <w:spacing w:after="0" w:line="120" w:lineRule="exact"/>
        <w:rPr>
          <w:sz w:val="10"/>
          <w:lang w:bidi="ru-RU"/>
        </w:rPr>
      </w:pPr>
    </w:p>
    <w:p w:rsidR="00D0257D" w:rsidRPr="00D0257D" w:rsidRDefault="00D0257D" w:rsidP="00D0257D">
      <w:pPr>
        <w:pStyle w:val="SingleTxt"/>
      </w:pPr>
      <w:r w:rsidRPr="00D0257D">
        <w:rPr>
          <w:lang w:bidi="ru-RU"/>
        </w:rPr>
        <w:t>18.</w:t>
      </w:r>
      <w:r w:rsidRPr="00D0257D">
        <w:rPr>
          <w:lang w:bidi="ru-RU"/>
        </w:rPr>
        <w:tab/>
        <w:t>Возможность проведения экзаменов с использованием методов электронной обработки информации является мерой, введение которой остается на усмотрении договаривающихся сторон. На уровне экзаменующих органов или организаций требуется средний размер инвестиций в обеспечение экзаменов и заключительных тестов средствами обработки информации и осуществление дополнительных мер организационного характера. Предприятия</w:t>
      </w:r>
      <w:r w:rsidRPr="00D0257D">
        <w:t xml:space="preserve"> </w:t>
      </w:r>
      <w:r w:rsidRPr="00D0257D">
        <w:rPr>
          <w:lang w:bidi="ru-RU"/>
        </w:rPr>
        <w:t>не</w:t>
      </w:r>
      <w:r w:rsidRPr="00D0257D">
        <w:t xml:space="preserve"> </w:t>
      </w:r>
      <w:r w:rsidRPr="00D0257D">
        <w:rPr>
          <w:lang w:bidi="ru-RU"/>
        </w:rPr>
        <w:t>понесут</w:t>
      </w:r>
      <w:r w:rsidRPr="00D0257D">
        <w:t xml:space="preserve"> </w:t>
      </w:r>
      <w:r w:rsidRPr="00D0257D">
        <w:rPr>
          <w:lang w:bidi="ru-RU"/>
        </w:rPr>
        <w:t>дополнительных</w:t>
      </w:r>
      <w:r w:rsidRPr="00D0257D">
        <w:t xml:space="preserve"> </w:t>
      </w:r>
      <w:r w:rsidRPr="00D0257D">
        <w:rPr>
          <w:lang w:bidi="ru-RU"/>
        </w:rPr>
        <w:t>издержек</w:t>
      </w:r>
      <w:r w:rsidRPr="00D0257D">
        <w:t>.</w:t>
      </w:r>
    </w:p>
    <w:p w:rsidR="005F70D5" w:rsidRPr="007E3F2D" w:rsidRDefault="00D0257D" w:rsidP="00D0257D">
      <w:pPr>
        <w:pStyle w:val="SingleTxt"/>
        <w:rPr>
          <w:lang w:bidi="ru-RU"/>
        </w:rPr>
      </w:pPr>
      <w:r w:rsidRPr="00D0257D">
        <w:rPr>
          <w:lang w:bidi="ru-RU"/>
        </w:rPr>
        <w:t>19.</w:t>
      </w:r>
      <w:r w:rsidRPr="00D0257D">
        <w:rPr>
          <w:lang w:bidi="ru-RU"/>
        </w:rPr>
        <w:tab/>
      </w:r>
      <w:r w:rsidRPr="00D0257D">
        <w:rPr>
          <w:iCs/>
          <w:lang w:bidi="ru-RU"/>
        </w:rPr>
        <w:t>Компетентные органы или назначенные ими экзаменующие организации, а также обучающие организации</w:t>
      </w:r>
      <w:r w:rsidRPr="00D0257D">
        <w:rPr>
          <w:lang w:bidi="ru-RU"/>
        </w:rPr>
        <w:t xml:space="preserve"> должны приобрести карманные калькуляторы самого простого типа. Согласно оценкам, финансовые расходы будут низкими. На</w:t>
      </w:r>
      <w:r w:rsidR="00A91E3F">
        <w:rPr>
          <w:lang w:bidi="ru-RU"/>
        </w:rPr>
        <w:t> </w:t>
      </w:r>
      <w:r w:rsidRPr="00D0257D">
        <w:rPr>
          <w:lang w:bidi="ru-RU"/>
        </w:rPr>
        <w:t>экзаменующие органы или организации лягут незначительные дополнительные расходы по контролю за тем, чтобы использовались только выданные ими</w:t>
      </w:r>
      <w:r w:rsidR="007E3F2D" w:rsidRPr="007E3F2D">
        <w:rPr>
          <w:lang w:bidi="ru-RU"/>
        </w:rPr>
        <w:t xml:space="preserve"> </w:t>
      </w:r>
      <w:r w:rsidRPr="00D0257D">
        <w:rPr>
          <w:lang w:bidi="ru-RU"/>
        </w:rPr>
        <w:t>карманные калькуляторы.</w:t>
      </w:r>
    </w:p>
    <w:p w:rsidR="007E3F2D" w:rsidRPr="007E3F2D" w:rsidRDefault="007E3F2D" w:rsidP="007E3F2D">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21CB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7E3F2D" w:rsidRPr="007E3F2D" w:rsidSect="005F70D5">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97" w:rsidRDefault="00C43797" w:rsidP="008A1A7A">
      <w:pPr>
        <w:spacing w:line="240" w:lineRule="auto"/>
      </w:pPr>
      <w:r>
        <w:separator/>
      </w:r>
    </w:p>
  </w:endnote>
  <w:endnote w:type="continuationSeparator" w:id="0">
    <w:p w:rsidR="00C43797" w:rsidRDefault="00C43797"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126"/>
      <w:gridCol w:w="5127"/>
    </w:tblGrid>
    <w:tr w:rsidR="005F70D5" w:rsidTr="005F70D5">
      <w:trPr>
        <w:jc w:val="center"/>
      </w:trPr>
      <w:tc>
        <w:tcPr>
          <w:tcW w:w="5126" w:type="dxa"/>
          <w:shd w:val="clear" w:color="auto" w:fill="auto"/>
          <w:vAlign w:val="bottom"/>
        </w:tcPr>
        <w:p w:rsidR="005F70D5" w:rsidRPr="005F70D5" w:rsidRDefault="005F70D5" w:rsidP="005F70D5">
          <w:pPr>
            <w:pStyle w:val="Footer"/>
            <w:rPr>
              <w:color w:val="000000"/>
            </w:rPr>
          </w:pPr>
          <w:r>
            <w:fldChar w:fldCharType="begin"/>
          </w:r>
          <w:r>
            <w:instrText xml:space="preserve"> PAGE  \* Arabic  \* MERGEFORMAT </w:instrText>
          </w:r>
          <w:r>
            <w:fldChar w:fldCharType="separate"/>
          </w:r>
          <w:r w:rsidR="0094056D">
            <w:rPr>
              <w:noProof/>
            </w:rPr>
            <w:t>6</w:t>
          </w:r>
          <w:r>
            <w:fldChar w:fldCharType="end"/>
          </w:r>
          <w:r>
            <w:t>/</w:t>
          </w:r>
          <w:r w:rsidR="00C43797">
            <w:fldChar w:fldCharType="begin"/>
          </w:r>
          <w:r w:rsidR="00C43797">
            <w:instrText xml:space="preserve"> NUMPAGES  \* Arabic  \* MERGEFORMAT </w:instrText>
          </w:r>
          <w:r w:rsidR="00C43797">
            <w:fldChar w:fldCharType="separate"/>
          </w:r>
          <w:r w:rsidR="0094056D">
            <w:rPr>
              <w:noProof/>
            </w:rPr>
            <w:t>6</w:t>
          </w:r>
          <w:r w:rsidR="00C43797">
            <w:rPr>
              <w:noProof/>
            </w:rPr>
            <w:fldChar w:fldCharType="end"/>
          </w:r>
        </w:p>
      </w:tc>
      <w:tc>
        <w:tcPr>
          <w:tcW w:w="5127" w:type="dxa"/>
          <w:shd w:val="clear" w:color="auto" w:fill="auto"/>
          <w:vAlign w:val="bottom"/>
        </w:tcPr>
        <w:p w:rsidR="005F70D5" w:rsidRPr="005F70D5" w:rsidRDefault="005F70D5" w:rsidP="005F70D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A5D45">
            <w:rPr>
              <w:b w:val="0"/>
              <w:color w:val="000000"/>
              <w:sz w:val="14"/>
            </w:rPr>
            <w:t>GE.15-19121</w:t>
          </w:r>
          <w:r>
            <w:rPr>
              <w:b w:val="0"/>
              <w:color w:val="000000"/>
              <w:sz w:val="14"/>
            </w:rPr>
            <w:fldChar w:fldCharType="end"/>
          </w:r>
        </w:p>
      </w:tc>
    </w:tr>
  </w:tbl>
  <w:p w:rsidR="005F70D5" w:rsidRPr="005F70D5" w:rsidRDefault="005F70D5" w:rsidP="005F7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126"/>
      <w:gridCol w:w="5127"/>
    </w:tblGrid>
    <w:tr w:rsidR="005F70D5" w:rsidTr="005F70D5">
      <w:trPr>
        <w:jc w:val="center"/>
      </w:trPr>
      <w:tc>
        <w:tcPr>
          <w:tcW w:w="5126" w:type="dxa"/>
          <w:shd w:val="clear" w:color="auto" w:fill="auto"/>
          <w:vAlign w:val="bottom"/>
        </w:tcPr>
        <w:p w:rsidR="005F70D5" w:rsidRPr="005F70D5" w:rsidRDefault="005F70D5" w:rsidP="005F70D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A5D45">
            <w:rPr>
              <w:b w:val="0"/>
              <w:color w:val="000000"/>
              <w:sz w:val="14"/>
            </w:rPr>
            <w:t>GE.15-19121</w:t>
          </w:r>
          <w:r>
            <w:rPr>
              <w:b w:val="0"/>
              <w:color w:val="000000"/>
              <w:sz w:val="14"/>
            </w:rPr>
            <w:fldChar w:fldCharType="end"/>
          </w:r>
        </w:p>
      </w:tc>
      <w:tc>
        <w:tcPr>
          <w:tcW w:w="5127" w:type="dxa"/>
          <w:shd w:val="clear" w:color="auto" w:fill="auto"/>
          <w:vAlign w:val="bottom"/>
        </w:tcPr>
        <w:p w:rsidR="005F70D5" w:rsidRPr="005F70D5" w:rsidRDefault="005F70D5" w:rsidP="005F70D5">
          <w:pPr>
            <w:pStyle w:val="Footer"/>
            <w:jc w:val="right"/>
          </w:pPr>
          <w:r>
            <w:fldChar w:fldCharType="begin"/>
          </w:r>
          <w:r>
            <w:instrText xml:space="preserve"> PAGE  \* Arabic  \* MERGEFORMAT </w:instrText>
          </w:r>
          <w:r>
            <w:fldChar w:fldCharType="separate"/>
          </w:r>
          <w:r w:rsidR="0094056D">
            <w:rPr>
              <w:noProof/>
            </w:rPr>
            <w:t>5</w:t>
          </w:r>
          <w:r>
            <w:fldChar w:fldCharType="end"/>
          </w:r>
          <w:r>
            <w:t>/</w:t>
          </w:r>
          <w:r w:rsidR="00C43797">
            <w:fldChar w:fldCharType="begin"/>
          </w:r>
          <w:r w:rsidR="00C43797">
            <w:instrText xml:space="preserve"> NUMPAGES  \* Arabic  \* MERGEFORMAT </w:instrText>
          </w:r>
          <w:r w:rsidR="00C43797">
            <w:fldChar w:fldCharType="separate"/>
          </w:r>
          <w:r w:rsidR="0094056D">
            <w:rPr>
              <w:noProof/>
            </w:rPr>
            <w:t>6</w:t>
          </w:r>
          <w:r w:rsidR="00C43797">
            <w:rPr>
              <w:noProof/>
            </w:rPr>
            <w:fldChar w:fldCharType="end"/>
          </w:r>
        </w:p>
      </w:tc>
    </w:tr>
  </w:tbl>
  <w:p w:rsidR="005F70D5" w:rsidRPr="005F70D5" w:rsidRDefault="005F70D5" w:rsidP="005F7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73"/>
      <w:gridCol w:w="5127"/>
    </w:tblGrid>
    <w:tr w:rsidR="005F70D5" w:rsidTr="005F70D5">
      <w:tc>
        <w:tcPr>
          <w:tcW w:w="3873" w:type="dxa"/>
        </w:tcPr>
        <w:p w:rsidR="005F70D5" w:rsidRDefault="005F70D5" w:rsidP="005F70D5">
          <w:pPr>
            <w:pStyle w:val="ReleaseDate"/>
            <w:rPr>
              <w:color w:val="010000"/>
            </w:rPr>
          </w:pPr>
          <w:r>
            <w:rPr>
              <w:noProof/>
              <w:lang w:val="fr-FR" w:eastAsia="fr-FR"/>
            </w:rPr>
            <w:drawing>
              <wp:anchor distT="0" distB="0" distL="114300" distR="114300" simplePos="0" relativeHeight="251658240" behindDoc="0" locked="0" layoutInCell="1" allowOverlap="1" wp14:anchorId="6767C863" wp14:editId="137F6BF6">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2/2016/1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GE.15-19121 (R)</w:t>
          </w:r>
          <w:r>
            <w:rPr>
              <w:color w:val="010000"/>
            </w:rPr>
            <w:t xml:space="preserve">    1</w:t>
          </w:r>
          <w:r w:rsidR="00F05B3F">
            <w:rPr>
              <w:color w:val="010000"/>
              <w:lang w:val="en-US"/>
            </w:rPr>
            <w:t>5</w:t>
          </w:r>
          <w:r>
            <w:rPr>
              <w:color w:val="010000"/>
            </w:rPr>
            <w:t>1215    161215</w:t>
          </w:r>
        </w:p>
        <w:p w:rsidR="005F70D5" w:rsidRPr="005F70D5" w:rsidRDefault="005F70D5" w:rsidP="005F70D5">
          <w:pPr>
            <w:spacing w:before="80" w:line="210" w:lineRule="exact"/>
            <w:rPr>
              <w:rFonts w:ascii="Barcode 3 of 9 by request" w:hAnsi="Barcode 3 of 9 by request"/>
              <w:w w:val="100"/>
              <w:sz w:val="24"/>
            </w:rPr>
          </w:pPr>
          <w:r>
            <w:rPr>
              <w:rFonts w:ascii="Barcode 3 of 9 by request" w:hAnsi="Barcode 3 of 9 by request"/>
              <w:w w:val="100"/>
              <w:sz w:val="24"/>
            </w:rPr>
            <w:t>*1519121*</w:t>
          </w:r>
        </w:p>
      </w:tc>
      <w:tc>
        <w:tcPr>
          <w:tcW w:w="5127" w:type="dxa"/>
        </w:tcPr>
        <w:p w:rsidR="005F70D5" w:rsidRDefault="005F70D5" w:rsidP="005F70D5">
          <w:pPr>
            <w:pStyle w:val="Footer"/>
            <w:spacing w:line="240" w:lineRule="atLeast"/>
            <w:jc w:val="right"/>
            <w:rPr>
              <w:b w:val="0"/>
              <w:sz w:val="20"/>
            </w:rPr>
          </w:pPr>
          <w:r>
            <w:rPr>
              <w:b w:val="0"/>
              <w:noProof/>
              <w:sz w:val="20"/>
              <w:lang w:val="fr-FR" w:eastAsia="fr-FR"/>
            </w:rPr>
            <w:drawing>
              <wp:inline distT="0" distB="0" distL="0" distR="0" wp14:anchorId="1A5D88B9" wp14:editId="1152D83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F70D5" w:rsidRPr="005F70D5" w:rsidRDefault="005F70D5" w:rsidP="005F70D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97" w:rsidRPr="00F05B3F" w:rsidRDefault="00C43797" w:rsidP="00F05B3F">
      <w:pPr>
        <w:pStyle w:val="Footer"/>
        <w:spacing w:after="80"/>
        <w:ind w:left="792"/>
        <w:rPr>
          <w:sz w:val="16"/>
        </w:rPr>
      </w:pPr>
      <w:r w:rsidRPr="00F05B3F">
        <w:rPr>
          <w:sz w:val="16"/>
        </w:rPr>
        <w:t>__________________</w:t>
      </w:r>
    </w:p>
  </w:footnote>
  <w:footnote w:type="continuationSeparator" w:id="0">
    <w:p w:rsidR="00C43797" w:rsidRPr="00F05B3F" w:rsidRDefault="00C43797" w:rsidP="00F05B3F">
      <w:pPr>
        <w:pStyle w:val="Footer"/>
        <w:spacing w:after="80"/>
        <w:ind w:left="792"/>
        <w:rPr>
          <w:sz w:val="16"/>
        </w:rPr>
      </w:pPr>
      <w:r w:rsidRPr="00F05B3F">
        <w:rPr>
          <w:sz w:val="16"/>
        </w:rPr>
        <w:t>__________________</w:t>
      </w:r>
    </w:p>
  </w:footnote>
  <w:footnote w:id="1">
    <w:p w:rsidR="00F05B3F" w:rsidRPr="00F05B3F" w:rsidRDefault="00F05B3F" w:rsidP="00F05B3F">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F05B3F">
        <w:tab/>
      </w:r>
      <w:r w:rsidRPr="00DA03E6">
        <w:t xml:space="preserve">Распространено на немецком языке Центральной комиссией судоходства по Рейну под условным обозначением </w:t>
      </w:r>
      <w:r>
        <w:t>CCNR</w:t>
      </w:r>
      <w:r w:rsidRPr="0079045F">
        <w:t>/</w:t>
      </w:r>
      <w:r>
        <w:t>ZKR</w:t>
      </w:r>
      <w:r w:rsidRPr="00DA03E6">
        <w:t>/</w:t>
      </w:r>
      <w:r>
        <w:t>ADN</w:t>
      </w:r>
      <w:r w:rsidRPr="00DA03E6">
        <w:t>/</w:t>
      </w:r>
      <w:r>
        <w:t>WP</w:t>
      </w:r>
      <w:r w:rsidRPr="00DA03E6">
        <w:t>.15/</w:t>
      </w:r>
      <w:r>
        <w:t>AC</w:t>
      </w:r>
      <w:r w:rsidRPr="00DA03E6">
        <w:t>.2/</w:t>
      </w:r>
      <w:r>
        <w:t>2016</w:t>
      </w:r>
      <w:r w:rsidRPr="00DA03E6">
        <w:t>/</w:t>
      </w:r>
      <w:r w:rsidRPr="001B4D0F">
        <w:t>17</w:t>
      </w:r>
      <w:r w:rsidRPr="00DA03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F70D5" w:rsidTr="005F70D5">
      <w:trPr>
        <w:trHeight w:hRule="exact" w:val="864"/>
        <w:jc w:val="center"/>
      </w:trPr>
      <w:tc>
        <w:tcPr>
          <w:tcW w:w="4882" w:type="dxa"/>
          <w:shd w:val="clear" w:color="auto" w:fill="auto"/>
          <w:vAlign w:val="bottom"/>
        </w:tcPr>
        <w:p w:rsidR="005F70D5" w:rsidRPr="005F70D5" w:rsidRDefault="005F70D5" w:rsidP="005F70D5">
          <w:pPr>
            <w:pStyle w:val="Header"/>
            <w:spacing w:after="80"/>
            <w:rPr>
              <w:b/>
            </w:rPr>
          </w:pPr>
          <w:r>
            <w:rPr>
              <w:b/>
            </w:rPr>
            <w:fldChar w:fldCharType="begin"/>
          </w:r>
          <w:r>
            <w:rPr>
              <w:b/>
            </w:rPr>
            <w:instrText xml:space="preserve"> DOCVARIABLE "sss1" \* MERGEFORMAT </w:instrText>
          </w:r>
          <w:r>
            <w:rPr>
              <w:b/>
            </w:rPr>
            <w:fldChar w:fldCharType="separate"/>
          </w:r>
          <w:r w:rsidR="000A5D45">
            <w:rPr>
              <w:b/>
            </w:rPr>
            <w:t>ECE/TRANS/WP.15/AC.2/2016/17</w:t>
          </w:r>
          <w:r>
            <w:rPr>
              <w:b/>
            </w:rPr>
            <w:fldChar w:fldCharType="end"/>
          </w:r>
        </w:p>
      </w:tc>
      <w:tc>
        <w:tcPr>
          <w:tcW w:w="5127" w:type="dxa"/>
          <w:shd w:val="clear" w:color="auto" w:fill="auto"/>
          <w:vAlign w:val="bottom"/>
        </w:tcPr>
        <w:p w:rsidR="005F70D5" w:rsidRDefault="005F70D5" w:rsidP="005F70D5">
          <w:pPr>
            <w:pStyle w:val="Header"/>
          </w:pPr>
        </w:p>
      </w:tc>
    </w:tr>
  </w:tbl>
  <w:p w:rsidR="005F70D5" w:rsidRPr="005F70D5" w:rsidRDefault="005F70D5" w:rsidP="005F7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F70D5" w:rsidTr="005F70D5">
      <w:trPr>
        <w:trHeight w:hRule="exact" w:val="864"/>
        <w:jc w:val="center"/>
      </w:trPr>
      <w:tc>
        <w:tcPr>
          <w:tcW w:w="4882" w:type="dxa"/>
          <w:shd w:val="clear" w:color="auto" w:fill="auto"/>
          <w:vAlign w:val="bottom"/>
        </w:tcPr>
        <w:p w:rsidR="005F70D5" w:rsidRDefault="005F70D5" w:rsidP="005F70D5">
          <w:pPr>
            <w:pStyle w:val="Header"/>
          </w:pPr>
        </w:p>
      </w:tc>
      <w:tc>
        <w:tcPr>
          <w:tcW w:w="5127" w:type="dxa"/>
          <w:shd w:val="clear" w:color="auto" w:fill="auto"/>
          <w:vAlign w:val="bottom"/>
        </w:tcPr>
        <w:p w:rsidR="005F70D5" w:rsidRPr="005F70D5" w:rsidRDefault="005F70D5" w:rsidP="005F70D5">
          <w:pPr>
            <w:pStyle w:val="Header"/>
            <w:spacing w:after="80"/>
            <w:jc w:val="right"/>
            <w:rPr>
              <w:b/>
            </w:rPr>
          </w:pPr>
          <w:r>
            <w:rPr>
              <w:b/>
            </w:rPr>
            <w:fldChar w:fldCharType="begin"/>
          </w:r>
          <w:r>
            <w:rPr>
              <w:b/>
            </w:rPr>
            <w:instrText xml:space="preserve"> DOCVARIABLE "sss1" \* MERGEFORMAT </w:instrText>
          </w:r>
          <w:r>
            <w:rPr>
              <w:b/>
            </w:rPr>
            <w:fldChar w:fldCharType="separate"/>
          </w:r>
          <w:r w:rsidR="000A5D45">
            <w:rPr>
              <w:b/>
            </w:rPr>
            <w:t>ECE/TRANS/WP.15/AC.2/2016/17</w:t>
          </w:r>
          <w:r>
            <w:rPr>
              <w:b/>
            </w:rPr>
            <w:fldChar w:fldCharType="end"/>
          </w:r>
        </w:p>
      </w:tc>
    </w:tr>
  </w:tbl>
  <w:p w:rsidR="005F70D5" w:rsidRPr="005F70D5" w:rsidRDefault="005F70D5" w:rsidP="005F7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F70D5" w:rsidTr="005F70D5">
      <w:trPr>
        <w:trHeight w:hRule="exact" w:val="864"/>
      </w:trPr>
      <w:tc>
        <w:tcPr>
          <w:tcW w:w="4421" w:type="dxa"/>
          <w:gridSpan w:val="2"/>
          <w:tcBorders>
            <w:bottom w:val="single" w:sz="4" w:space="0" w:color="auto"/>
          </w:tcBorders>
          <w:shd w:val="clear" w:color="auto" w:fill="auto"/>
          <w:vAlign w:val="bottom"/>
        </w:tcPr>
        <w:p w:rsidR="005F70D5" w:rsidRPr="005F70D5" w:rsidRDefault="005F70D5" w:rsidP="005F70D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F70D5" w:rsidRDefault="005F70D5" w:rsidP="005F70D5">
          <w:pPr>
            <w:pStyle w:val="Header"/>
            <w:spacing w:after="120"/>
          </w:pPr>
        </w:p>
      </w:tc>
      <w:tc>
        <w:tcPr>
          <w:tcW w:w="5357" w:type="dxa"/>
          <w:gridSpan w:val="3"/>
          <w:tcBorders>
            <w:bottom w:val="single" w:sz="4" w:space="0" w:color="auto"/>
          </w:tcBorders>
          <w:shd w:val="clear" w:color="auto" w:fill="auto"/>
          <w:vAlign w:val="bottom"/>
        </w:tcPr>
        <w:p w:rsidR="005F70D5" w:rsidRPr="005F70D5" w:rsidRDefault="005F70D5" w:rsidP="005F70D5">
          <w:pPr>
            <w:pStyle w:val="Header"/>
            <w:spacing w:after="20"/>
            <w:jc w:val="right"/>
            <w:rPr>
              <w:sz w:val="20"/>
            </w:rPr>
          </w:pPr>
          <w:r>
            <w:rPr>
              <w:sz w:val="40"/>
            </w:rPr>
            <w:t>ECE</w:t>
          </w:r>
          <w:r>
            <w:rPr>
              <w:sz w:val="20"/>
            </w:rPr>
            <w:t>/TRANS/WP.15/AC.2/2016/17</w:t>
          </w:r>
        </w:p>
      </w:tc>
    </w:tr>
    <w:tr w:rsidR="005F70D5" w:rsidRPr="00D0257D" w:rsidTr="005F70D5">
      <w:trPr>
        <w:trHeight w:hRule="exact" w:val="2880"/>
      </w:trPr>
      <w:tc>
        <w:tcPr>
          <w:tcW w:w="1267" w:type="dxa"/>
          <w:tcBorders>
            <w:top w:val="single" w:sz="4" w:space="0" w:color="auto"/>
            <w:bottom w:val="single" w:sz="12" w:space="0" w:color="auto"/>
          </w:tcBorders>
          <w:shd w:val="clear" w:color="auto" w:fill="auto"/>
        </w:tcPr>
        <w:p w:rsidR="005F70D5" w:rsidRPr="005F70D5" w:rsidRDefault="005F70D5" w:rsidP="005F70D5">
          <w:pPr>
            <w:pStyle w:val="Header"/>
            <w:spacing w:before="120"/>
            <w:jc w:val="center"/>
          </w:pPr>
          <w:r>
            <w:t xml:space="preserve"> </w:t>
          </w:r>
          <w:r>
            <w:rPr>
              <w:noProof/>
              <w:lang w:val="fr-FR" w:eastAsia="fr-FR"/>
            </w:rPr>
            <w:drawing>
              <wp:inline distT="0" distB="0" distL="0" distR="0" wp14:anchorId="4EA430BF" wp14:editId="0BEEE8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F70D5" w:rsidRPr="005F70D5" w:rsidRDefault="005F70D5" w:rsidP="005F70D5">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5F70D5" w:rsidRPr="005F70D5" w:rsidRDefault="005F70D5" w:rsidP="005F70D5">
          <w:pPr>
            <w:pStyle w:val="Header"/>
            <w:spacing w:before="109"/>
          </w:pPr>
        </w:p>
      </w:tc>
      <w:tc>
        <w:tcPr>
          <w:tcW w:w="3280" w:type="dxa"/>
          <w:tcBorders>
            <w:top w:val="single" w:sz="4" w:space="0" w:color="auto"/>
            <w:bottom w:val="single" w:sz="12" w:space="0" w:color="auto"/>
          </w:tcBorders>
          <w:shd w:val="clear" w:color="auto" w:fill="auto"/>
        </w:tcPr>
        <w:p w:rsidR="005F70D5" w:rsidRPr="00D0257D" w:rsidRDefault="005F70D5" w:rsidP="005F70D5">
          <w:pPr>
            <w:pStyle w:val="Distribution"/>
            <w:rPr>
              <w:color w:val="000000"/>
              <w:lang w:val="en-US"/>
            </w:rPr>
          </w:pPr>
          <w:r w:rsidRPr="00D0257D">
            <w:rPr>
              <w:color w:val="000000"/>
              <w:lang w:val="en-US"/>
            </w:rPr>
            <w:t>Distr.: General</w:t>
          </w:r>
        </w:p>
        <w:p w:rsidR="005F70D5" w:rsidRPr="00D0257D" w:rsidRDefault="005F70D5" w:rsidP="005F70D5">
          <w:pPr>
            <w:pStyle w:val="Publication"/>
            <w:rPr>
              <w:color w:val="000000"/>
              <w:lang w:val="en-US"/>
            </w:rPr>
          </w:pPr>
          <w:r w:rsidRPr="00D0257D">
            <w:rPr>
              <w:color w:val="000000"/>
              <w:lang w:val="en-US"/>
            </w:rPr>
            <w:t>3 November 2015</w:t>
          </w:r>
        </w:p>
        <w:p w:rsidR="005F70D5" w:rsidRPr="00D0257D" w:rsidRDefault="005F70D5" w:rsidP="005F70D5">
          <w:pPr>
            <w:rPr>
              <w:color w:val="000000"/>
              <w:lang w:val="en-US"/>
            </w:rPr>
          </w:pPr>
          <w:r w:rsidRPr="00D0257D">
            <w:rPr>
              <w:color w:val="000000"/>
              <w:lang w:val="en-US"/>
            </w:rPr>
            <w:t>Russian</w:t>
          </w:r>
        </w:p>
        <w:p w:rsidR="005F70D5" w:rsidRPr="00D0257D" w:rsidRDefault="005F70D5" w:rsidP="005F70D5">
          <w:pPr>
            <w:pStyle w:val="Original"/>
            <w:rPr>
              <w:color w:val="000000"/>
              <w:lang w:val="en-US"/>
            </w:rPr>
          </w:pPr>
          <w:r w:rsidRPr="00D0257D">
            <w:rPr>
              <w:color w:val="000000"/>
              <w:lang w:val="en-US"/>
            </w:rPr>
            <w:t>Original: French</w:t>
          </w:r>
        </w:p>
        <w:p w:rsidR="005F70D5" w:rsidRPr="00D0257D" w:rsidRDefault="005F70D5" w:rsidP="005F70D5">
          <w:pPr>
            <w:rPr>
              <w:lang w:val="en-US"/>
            </w:rPr>
          </w:pPr>
        </w:p>
      </w:tc>
    </w:tr>
  </w:tbl>
  <w:p w:rsidR="005F70D5" w:rsidRPr="00D0257D" w:rsidRDefault="005F70D5" w:rsidP="005F70D5">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9121*"/>
    <w:docVar w:name="CreationDt" w:val="12/16/2015 8:39: AM"/>
    <w:docVar w:name="DocCategory" w:val="Doc"/>
    <w:docVar w:name="DocType" w:val="Final"/>
    <w:docVar w:name="DutyStation" w:val="Geneva"/>
    <w:docVar w:name="FooterJN" w:val="GE.15-19121"/>
    <w:docVar w:name="jobn" w:val="GE.15-19121 (R)"/>
    <w:docVar w:name="jobnDT" w:val="GE.15-19121 (R)   161215"/>
    <w:docVar w:name="jobnDTDT" w:val="GE.15-19121 (R)   161215   161215"/>
    <w:docVar w:name="JobNo" w:val="GE.1519121R"/>
    <w:docVar w:name="JobNo2" w:val="1524966R"/>
    <w:docVar w:name="LocalDrive" w:val="0"/>
    <w:docVar w:name="OandT" w:val="ei"/>
    <w:docVar w:name="PaperSize" w:val="A4"/>
    <w:docVar w:name="sss1" w:val="ECE/TRANS/WP.15/AC.2/2016/17"/>
    <w:docVar w:name="sss2" w:val="-"/>
    <w:docVar w:name="Symbol1" w:val="ECE/TRANS/WP.15/AC.2/2016/17"/>
    <w:docVar w:name="Symbol2" w:val="-"/>
  </w:docVars>
  <w:rsids>
    <w:rsidRoot w:val="00AF68D1"/>
    <w:rsid w:val="00004615"/>
    <w:rsid w:val="00004756"/>
    <w:rsid w:val="00010735"/>
    <w:rsid w:val="00013E03"/>
    <w:rsid w:val="00015201"/>
    <w:rsid w:val="000156A4"/>
    <w:rsid w:val="0001588C"/>
    <w:rsid w:val="000162FB"/>
    <w:rsid w:val="00024A67"/>
    <w:rsid w:val="00025CF3"/>
    <w:rsid w:val="0002669B"/>
    <w:rsid w:val="00026F3D"/>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A5D45"/>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25F8"/>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C4AC0"/>
    <w:rsid w:val="003D0825"/>
    <w:rsid w:val="003D2003"/>
    <w:rsid w:val="003D5DA2"/>
    <w:rsid w:val="003E5193"/>
    <w:rsid w:val="003E5F22"/>
    <w:rsid w:val="00401CDD"/>
    <w:rsid w:val="00402244"/>
    <w:rsid w:val="00410A3F"/>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5D8D"/>
    <w:rsid w:val="004A63C9"/>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301"/>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5F70D5"/>
    <w:rsid w:val="00602F9D"/>
    <w:rsid w:val="0060593E"/>
    <w:rsid w:val="0060786C"/>
    <w:rsid w:val="00611EE5"/>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6867"/>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E0E39"/>
    <w:rsid w:val="007E2B60"/>
    <w:rsid w:val="007E3F2D"/>
    <w:rsid w:val="007E5E30"/>
    <w:rsid w:val="007F0E54"/>
    <w:rsid w:val="007F5107"/>
    <w:rsid w:val="00803EC5"/>
    <w:rsid w:val="008040BA"/>
    <w:rsid w:val="008042D6"/>
    <w:rsid w:val="00806380"/>
    <w:rsid w:val="00821CE2"/>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84FCE"/>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056D"/>
    <w:rsid w:val="0094745A"/>
    <w:rsid w:val="00952B5F"/>
    <w:rsid w:val="00953546"/>
    <w:rsid w:val="009541F6"/>
    <w:rsid w:val="0095649D"/>
    <w:rsid w:val="009565AD"/>
    <w:rsid w:val="00960332"/>
    <w:rsid w:val="00963BDB"/>
    <w:rsid w:val="0097006F"/>
    <w:rsid w:val="00971375"/>
    <w:rsid w:val="00984EE4"/>
    <w:rsid w:val="00990168"/>
    <w:rsid w:val="0099354F"/>
    <w:rsid w:val="00996CBB"/>
    <w:rsid w:val="009A0D8F"/>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90F41"/>
    <w:rsid w:val="00A910E7"/>
    <w:rsid w:val="00A91E3F"/>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AF68D1"/>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27F5"/>
    <w:rsid w:val="00BC75AA"/>
    <w:rsid w:val="00BD0770"/>
    <w:rsid w:val="00BD2F16"/>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3797"/>
    <w:rsid w:val="00C448F9"/>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D5756"/>
    <w:rsid w:val="00CE4211"/>
    <w:rsid w:val="00CF021B"/>
    <w:rsid w:val="00CF066B"/>
    <w:rsid w:val="00CF07BE"/>
    <w:rsid w:val="00CF40E0"/>
    <w:rsid w:val="00CF4412"/>
    <w:rsid w:val="00CF5B33"/>
    <w:rsid w:val="00D01748"/>
    <w:rsid w:val="00D0257D"/>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80424"/>
    <w:rsid w:val="00D961D6"/>
    <w:rsid w:val="00D97B17"/>
    <w:rsid w:val="00DA1A4A"/>
    <w:rsid w:val="00DA4AFE"/>
    <w:rsid w:val="00DA4BD0"/>
    <w:rsid w:val="00DA7B41"/>
    <w:rsid w:val="00DB058E"/>
    <w:rsid w:val="00DB058F"/>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954"/>
    <w:rsid w:val="00EF1FBD"/>
    <w:rsid w:val="00EF29BE"/>
    <w:rsid w:val="00EF7FD0"/>
    <w:rsid w:val="00F05B3F"/>
    <w:rsid w:val="00F07943"/>
    <w:rsid w:val="00F07DDF"/>
    <w:rsid w:val="00F11204"/>
    <w:rsid w:val="00F16256"/>
    <w:rsid w:val="00F209ED"/>
    <w:rsid w:val="00F231E8"/>
    <w:rsid w:val="00F26EA8"/>
    <w:rsid w:val="00F30632"/>
    <w:rsid w:val="00F31B97"/>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82E20-66D4-482E-9DF1-15CA19DD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5F70D5"/>
    <w:rPr>
      <w:sz w:val="16"/>
      <w:szCs w:val="16"/>
    </w:rPr>
  </w:style>
  <w:style w:type="paragraph" w:styleId="CommentText">
    <w:name w:val="annotation text"/>
    <w:basedOn w:val="Normal"/>
    <w:link w:val="CommentTextChar"/>
    <w:uiPriority w:val="99"/>
    <w:semiHidden/>
    <w:unhideWhenUsed/>
    <w:rsid w:val="005F70D5"/>
    <w:pPr>
      <w:spacing w:line="240" w:lineRule="auto"/>
    </w:pPr>
    <w:rPr>
      <w:szCs w:val="20"/>
    </w:rPr>
  </w:style>
  <w:style w:type="character" w:customStyle="1" w:styleId="CommentTextChar">
    <w:name w:val="Comment Text Char"/>
    <w:basedOn w:val="DefaultParagraphFont"/>
    <w:link w:val="CommentText"/>
    <w:uiPriority w:val="99"/>
    <w:semiHidden/>
    <w:rsid w:val="005F70D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F70D5"/>
    <w:rPr>
      <w:b/>
      <w:bCs/>
    </w:rPr>
  </w:style>
  <w:style w:type="character" w:customStyle="1" w:styleId="CommentSubjectChar">
    <w:name w:val="Comment Subject Char"/>
    <w:basedOn w:val="CommentTextChar"/>
    <w:link w:val="CommentSubject"/>
    <w:uiPriority w:val="99"/>
    <w:semiHidden/>
    <w:rsid w:val="005F70D5"/>
    <w:rPr>
      <w:rFonts w:ascii="Times New Roman" w:hAnsi="Times New Roman" w:cs="Times New Roman"/>
      <w:b/>
      <w:bCs/>
      <w:spacing w:val="4"/>
      <w:w w:val="103"/>
      <w:kern w:val="14"/>
      <w:sz w:val="20"/>
      <w:szCs w:val="20"/>
      <w:lang w:val="ru-RU"/>
    </w:rPr>
  </w:style>
  <w:style w:type="table" w:styleId="TableGrid">
    <w:name w:val="Table Grid"/>
    <w:basedOn w:val="TableNormal"/>
    <w:uiPriority w:val="59"/>
    <w:rsid w:val="00D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5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6D"/>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F4E2-BD98-472B-94D2-947542DA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Izotova Elena</dc:creator>
  <cp:lastModifiedBy>Caillot</cp:lastModifiedBy>
  <cp:revision>2</cp:revision>
  <cp:lastPrinted>2015-12-16T09:28:00Z</cp:lastPrinted>
  <dcterms:created xsi:type="dcterms:W3CDTF">2015-12-16T14:28:00Z</dcterms:created>
  <dcterms:modified xsi:type="dcterms:W3CDTF">2015-12-16T14:28:00Z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1519121R</vt:lpwstr>
  </property>
  <property fmtid="{D5CDD505-2E9C-101B-9397-08002B2CF9AE}" pid="3" name="ODSRefJobNo">
    <vt:lpwstr>1524966R</vt:lpwstr>
  </property>
  <property fmtid="{D5CDD505-2E9C-101B-9397-08002B2CF9AE}" pid="4" name="Symbol1">
    <vt:lpwstr>ECE/TRANS/WP.15/AC.2/2016/17</vt:lpwstr>
  </property>
  <property fmtid="{D5CDD505-2E9C-101B-9397-08002B2CF9AE}" pid="5" name="Symbol2">
    <vt:lpwstr/>
  </property>
  <property fmtid="{D5CDD505-2E9C-101B-9397-08002B2CF9AE}" pid="6" name="Translator">
    <vt:lpwstr/>
  </property>
  <property fmtid="{D5CDD505-2E9C-101B-9397-08002B2CF9AE}" pid="7" name="Operator">
    <vt:lpwstr>ei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November 2015</vt:lpwstr>
  </property>
  <property fmtid="{D5CDD505-2E9C-101B-9397-08002B2CF9AE}" pid="12" name="Original">
    <vt:lpwstr>French</vt:lpwstr>
  </property>
  <property fmtid="{D5CDD505-2E9C-101B-9397-08002B2CF9AE}" pid="13" name="Release Date">
    <vt:lpwstr>161215</vt:lpwstr>
  </property>
</Properties>
</file>