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D1DF3" w:rsidRPr="00DB58B5" w:rsidTr="00F01516">
        <w:trPr>
          <w:trHeight w:hRule="exact" w:val="851"/>
        </w:trPr>
        <w:tc>
          <w:tcPr>
            <w:tcW w:w="1277" w:type="dxa"/>
            <w:tcBorders>
              <w:bottom w:val="single" w:sz="4" w:space="0" w:color="auto"/>
            </w:tcBorders>
          </w:tcPr>
          <w:p w:rsidR="003D1DF3" w:rsidRPr="00DB58B5" w:rsidRDefault="003D1DF3" w:rsidP="00F01516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D1DF3" w:rsidRPr="00DB58B5" w:rsidRDefault="003D1DF3" w:rsidP="00F0151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4" w:type="dxa"/>
            <w:gridSpan w:val="2"/>
            <w:tcBorders>
              <w:bottom w:val="single" w:sz="4" w:space="0" w:color="auto"/>
            </w:tcBorders>
            <w:vAlign w:val="bottom"/>
          </w:tcPr>
          <w:p w:rsidR="003D1DF3" w:rsidRPr="00DB58B5" w:rsidRDefault="00CD4281" w:rsidP="00626D5C">
            <w:pPr>
              <w:jc w:val="right"/>
            </w:pPr>
            <w:r w:rsidRPr="00CD4281">
              <w:rPr>
                <w:sz w:val="40"/>
              </w:rPr>
              <w:t>ECE</w:t>
            </w:r>
            <w:r w:rsidR="00AF1499">
              <w:t>/TRANS/WP.15/AC.2/201</w:t>
            </w:r>
            <w:r w:rsidR="00CB0B63">
              <w:t>6</w:t>
            </w:r>
            <w:r>
              <w:t>/</w:t>
            </w:r>
            <w:r w:rsidR="007D70C8">
              <w:t>1</w:t>
            </w:r>
            <w:r w:rsidR="00626D5C">
              <w:t>5</w:t>
            </w:r>
          </w:p>
        </w:tc>
      </w:tr>
      <w:tr w:rsidR="003D1DF3" w:rsidRPr="00DB58B5" w:rsidTr="00F0151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D1DF3" w:rsidRPr="00DB58B5" w:rsidRDefault="00523538" w:rsidP="00F01516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16280" cy="586740"/>
                  <wp:effectExtent l="0" t="0" r="7620" b="381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D1DF3" w:rsidRPr="00740562" w:rsidRDefault="003D1DF3" w:rsidP="00F0151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CD4281" w:rsidRDefault="00CD4281" w:rsidP="00F01516">
            <w:pPr>
              <w:spacing w:before="240"/>
            </w:pPr>
            <w:r>
              <w:t>Distr. générale</w:t>
            </w:r>
          </w:p>
          <w:p w:rsidR="00CD4281" w:rsidRDefault="00EC298B" w:rsidP="00CD4281">
            <w:pPr>
              <w:spacing w:line="240" w:lineRule="exact"/>
            </w:pPr>
            <w:r>
              <w:t>23</w:t>
            </w:r>
            <w:r w:rsidR="00426657">
              <w:t xml:space="preserve"> </w:t>
            </w:r>
            <w:r w:rsidR="00497E7A">
              <w:t>octobre</w:t>
            </w:r>
            <w:r w:rsidR="00911DA7">
              <w:t xml:space="preserve"> </w:t>
            </w:r>
            <w:r w:rsidR="00CD4281">
              <w:t>201</w:t>
            </w:r>
            <w:r w:rsidR="006B6C93">
              <w:t>5</w:t>
            </w:r>
          </w:p>
          <w:p w:rsidR="001B0BE2" w:rsidRDefault="001B0BE2" w:rsidP="00CD4281">
            <w:pPr>
              <w:spacing w:line="240" w:lineRule="exact"/>
            </w:pPr>
          </w:p>
          <w:p w:rsidR="003D1DF3" w:rsidRPr="00DB58B5" w:rsidRDefault="00CD4281" w:rsidP="00AF1499">
            <w:pPr>
              <w:spacing w:line="240" w:lineRule="exact"/>
            </w:pPr>
            <w:r>
              <w:t xml:space="preserve">Original: </w:t>
            </w:r>
            <w:r w:rsidR="001B0BE2">
              <w:t>français</w:t>
            </w:r>
          </w:p>
        </w:tc>
      </w:tr>
    </w:tbl>
    <w:p w:rsidR="00FF1DBD" w:rsidRPr="000312C0" w:rsidRDefault="000312C0" w:rsidP="000312C0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4D0439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B93E72" w:rsidRPr="009E01B8" w:rsidRDefault="00B93E72" w:rsidP="00B93E72">
      <w:pPr>
        <w:spacing w:before="120"/>
        <w:rPr>
          <w:sz w:val="28"/>
          <w:szCs w:val="28"/>
        </w:rPr>
      </w:pPr>
      <w:r w:rsidRPr="009E01B8">
        <w:rPr>
          <w:sz w:val="28"/>
          <w:szCs w:val="28"/>
        </w:rPr>
        <w:t>Comité des transports intérieurs</w:t>
      </w:r>
    </w:p>
    <w:p w:rsidR="00B93E72" w:rsidRPr="009E01B8" w:rsidRDefault="00B93E72" w:rsidP="00B93E72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</w:t>
      </w:r>
      <w:r w:rsidR="00CE5BF6">
        <w:rPr>
          <w:b/>
          <w:sz w:val="24"/>
          <w:szCs w:val="24"/>
        </w:rPr>
        <w:t xml:space="preserve"> </w:t>
      </w:r>
      <w:r w:rsidRPr="009E01B8">
        <w:rPr>
          <w:b/>
          <w:sz w:val="24"/>
          <w:szCs w:val="24"/>
        </w:rPr>
        <w:t>de marchandises dangereuses</w:t>
      </w:r>
    </w:p>
    <w:p w:rsidR="00B93E72" w:rsidRPr="004812F5" w:rsidRDefault="00234E40" w:rsidP="00B93E72">
      <w:pPr>
        <w:spacing w:before="120"/>
        <w:rPr>
          <w:b/>
        </w:rPr>
      </w:pPr>
      <w:r w:rsidRPr="004812F5">
        <w:rPr>
          <w:b/>
          <w:lang w:val="fr-FR"/>
        </w:rPr>
        <w:t>Réunion commune d</w:t>
      </w:r>
      <w:r w:rsidR="004D0439">
        <w:rPr>
          <w:b/>
          <w:lang w:val="fr-FR"/>
        </w:rPr>
        <w:t>’</w:t>
      </w:r>
      <w:r w:rsidRPr="004812F5">
        <w:rPr>
          <w:b/>
          <w:lang w:val="fr-FR"/>
        </w:rPr>
        <w:t>experts sur le Règlement annexé</w:t>
      </w:r>
      <w:r w:rsidR="00CE5BF6">
        <w:rPr>
          <w:b/>
          <w:lang w:val="fr-FR"/>
        </w:rPr>
        <w:br/>
      </w:r>
      <w:r w:rsidRPr="004812F5">
        <w:rPr>
          <w:b/>
          <w:lang w:val="fr-FR"/>
        </w:rPr>
        <w:t>à l</w:t>
      </w:r>
      <w:r w:rsidR="004D0439">
        <w:rPr>
          <w:b/>
          <w:lang w:val="fr-FR"/>
        </w:rPr>
        <w:t>’</w:t>
      </w:r>
      <w:r w:rsidRPr="004812F5">
        <w:rPr>
          <w:b/>
          <w:lang w:val="fr-FR"/>
        </w:rPr>
        <w:t>Accord européen</w:t>
      </w:r>
      <w:r w:rsidR="00CE5BF6">
        <w:rPr>
          <w:b/>
          <w:lang w:val="fr-FR"/>
        </w:rPr>
        <w:t xml:space="preserve"> </w:t>
      </w:r>
      <w:r w:rsidRPr="004812F5">
        <w:rPr>
          <w:b/>
          <w:lang w:val="fr-FR"/>
        </w:rPr>
        <w:t>relatif au transport international</w:t>
      </w:r>
      <w:r w:rsidR="00CE5BF6">
        <w:rPr>
          <w:b/>
          <w:lang w:val="fr-FR"/>
        </w:rPr>
        <w:br/>
      </w:r>
      <w:r w:rsidRPr="004812F5">
        <w:rPr>
          <w:b/>
          <w:lang w:val="fr-FR"/>
        </w:rPr>
        <w:t xml:space="preserve">des marchandises </w:t>
      </w:r>
      <w:r w:rsidRPr="004812F5">
        <w:rPr>
          <w:b/>
          <w:bCs/>
          <w:iCs/>
          <w:lang w:val="fr-FR"/>
        </w:rPr>
        <w:t>dangereuses par voies</w:t>
      </w:r>
      <w:r w:rsidR="00CE5BF6">
        <w:rPr>
          <w:b/>
          <w:bCs/>
          <w:iCs/>
          <w:lang w:val="fr-FR"/>
        </w:rPr>
        <w:t xml:space="preserve"> </w:t>
      </w:r>
      <w:r w:rsidRPr="004812F5">
        <w:rPr>
          <w:b/>
          <w:bCs/>
          <w:iCs/>
          <w:lang w:val="fr-FR"/>
        </w:rPr>
        <w:t>de navigation</w:t>
      </w:r>
      <w:r w:rsidR="00CE5BF6">
        <w:rPr>
          <w:b/>
          <w:bCs/>
          <w:iCs/>
          <w:lang w:val="fr-FR"/>
        </w:rPr>
        <w:br/>
      </w:r>
      <w:r w:rsidRPr="004812F5">
        <w:rPr>
          <w:b/>
          <w:bCs/>
          <w:iCs/>
          <w:lang w:val="fr-FR"/>
        </w:rPr>
        <w:t xml:space="preserve">intérieures (ADN) </w:t>
      </w:r>
      <w:r w:rsidRPr="004812F5">
        <w:rPr>
          <w:b/>
          <w:bCs/>
          <w:lang w:val="fr-FR"/>
        </w:rPr>
        <w:t>(Comité de sécurité de l</w:t>
      </w:r>
      <w:r w:rsidR="004D0439">
        <w:rPr>
          <w:b/>
          <w:bCs/>
          <w:lang w:val="fr-FR"/>
        </w:rPr>
        <w:t>’</w:t>
      </w:r>
      <w:r w:rsidRPr="004812F5">
        <w:rPr>
          <w:b/>
          <w:bCs/>
          <w:lang w:val="fr-FR"/>
        </w:rPr>
        <w:t>ADN)</w:t>
      </w:r>
    </w:p>
    <w:p w:rsidR="00234E40" w:rsidRPr="00234E40" w:rsidRDefault="004A5935" w:rsidP="004812F5">
      <w:pPr>
        <w:spacing w:before="120"/>
        <w:rPr>
          <w:b/>
        </w:rPr>
      </w:pPr>
      <w:r>
        <w:rPr>
          <w:b/>
        </w:rPr>
        <w:t>Vingt</w:t>
      </w:r>
      <w:r w:rsidR="001B0BE2">
        <w:rPr>
          <w:b/>
        </w:rPr>
        <w:t>-</w:t>
      </w:r>
      <w:r w:rsidR="00523538">
        <w:rPr>
          <w:b/>
        </w:rPr>
        <w:t>huitième</w:t>
      </w:r>
      <w:r>
        <w:rPr>
          <w:b/>
        </w:rPr>
        <w:t xml:space="preserve"> </w:t>
      </w:r>
      <w:r w:rsidR="00234E40" w:rsidRPr="00234E40">
        <w:rPr>
          <w:b/>
        </w:rPr>
        <w:t>session</w:t>
      </w:r>
    </w:p>
    <w:p w:rsidR="00B93E72" w:rsidRDefault="003E5551" w:rsidP="00B93E72">
      <w:r>
        <w:t xml:space="preserve">Genève, </w:t>
      </w:r>
      <w:r w:rsidR="004A5935">
        <w:t>2</w:t>
      </w:r>
      <w:r w:rsidR="00CB0B63">
        <w:t>5</w:t>
      </w:r>
      <w:r w:rsidR="004A5935">
        <w:t>-</w:t>
      </w:r>
      <w:r w:rsidR="006B6C93">
        <w:t>2</w:t>
      </w:r>
      <w:r w:rsidR="00CB0B63">
        <w:t>9</w:t>
      </w:r>
      <w:r w:rsidR="004A5935">
        <w:t xml:space="preserve"> </w:t>
      </w:r>
      <w:r w:rsidR="00CB0B63">
        <w:t>janvier</w:t>
      </w:r>
      <w:r w:rsidR="00B73AAE">
        <w:t xml:space="preserve"> 20</w:t>
      </w:r>
      <w:r w:rsidR="00263074">
        <w:t>1</w:t>
      </w:r>
      <w:r w:rsidR="00CB0B63">
        <w:t>6</w:t>
      </w:r>
    </w:p>
    <w:p w:rsidR="000312C0" w:rsidRDefault="00B93E72" w:rsidP="00B93E72">
      <w:r w:rsidRPr="00B93E72">
        <w:t xml:space="preserve">Point </w:t>
      </w:r>
      <w:r w:rsidR="00D92026">
        <w:t>5</w:t>
      </w:r>
      <w:r w:rsidR="006B6C93">
        <w:t xml:space="preserve"> b</w:t>
      </w:r>
      <w:r w:rsidR="001636E0">
        <w:t>)</w:t>
      </w:r>
      <w:r w:rsidRPr="00B93E72">
        <w:t xml:space="preserve"> de l</w:t>
      </w:r>
      <w:r w:rsidR="004D0439">
        <w:t>’</w:t>
      </w:r>
      <w:r w:rsidRPr="00B93E72">
        <w:t>ordre du jour provisoire</w:t>
      </w:r>
    </w:p>
    <w:p w:rsidR="00602512" w:rsidRPr="00602512" w:rsidRDefault="00602512" w:rsidP="00602512">
      <w:pPr>
        <w:rPr>
          <w:b/>
          <w:lang w:val="fr-FR"/>
        </w:rPr>
      </w:pPr>
      <w:r w:rsidRPr="00602512">
        <w:rPr>
          <w:b/>
          <w:lang w:val="fr-FR"/>
        </w:rPr>
        <w:t>Propositions d’amendements au règlement annexé à l’ADN</w:t>
      </w:r>
      <w:r>
        <w:rPr>
          <w:b/>
          <w:lang w:val="fr-FR"/>
        </w:rPr>
        <w:t>:</w:t>
      </w:r>
    </w:p>
    <w:p w:rsidR="00602512" w:rsidRPr="00602512" w:rsidRDefault="00602512" w:rsidP="00602512">
      <w:pPr>
        <w:suppressAutoHyphens w:val="0"/>
        <w:spacing w:line="240" w:lineRule="auto"/>
        <w:rPr>
          <w:color w:val="000000"/>
          <w:szCs w:val="24"/>
          <w:lang w:val="fr-FR" w:eastAsia="fr-FR"/>
        </w:rPr>
      </w:pPr>
      <w:r w:rsidRPr="00602512">
        <w:rPr>
          <w:b/>
          <w:color w:val="000000"/>
          <w:szCs w:val="24"/>
          <w:lang w:val="fr-FR" w:eastAsia="fr-FR"/>
        </w:rPr>
        <w:t>Autres propositions</w:t>
      </w:r>
    </w:p>
    <w:p w:rsidR="00626D5C" w:rsidRPr="00626D5C" w:rsidRDefault="00626D5C" w:rsidP="00E00351">
      <w:pPr>
        <w:pStyle w:val="HChG"/>
        <w:rPr>
          <w:lang w:val="fr-FR"/>
        </w:rPr>
      </w:pPr>
      <w:r w:rsidRPr="00626D5C">
        <w:rPr>
          <w:lang w:val="fr-FR"/>
        </w:rPr>
        <w:tab/>
      </w:r>
      <w:r>
        <w:rPr>
          <w:lang w:val="fr-FR"/>
        </w:rPr>
        <w:tab/>
      </w:r>
      <w:r w:rsidRPr="00626D5C">
        <w:rPr>
          <w:lang w:val="fr-FR"/>
        </w:rPr>
        <w:t xml:space="preserve">7.2.4.16.9 b) </w:t>
      </w:r>
      <w:r>
        <w:rPr>
          <w:lang w:val="fr-FR"/>
        </w:rPr>
        <w:t>de l'</w:t>
      </w:r>
      <w:r w:rsidRPr="00626D5C">
        <w:rPr>
          <w:lang w:val="fr-FR"/>
        </w:rPr>
        <w:t xml:space="preserve">ADN – </w:t>
      </w:r>
      <w:r w:rsidRPr="00626D5C">
        <w:rPr>
          <w:snapToGrid w:val="0"/>
          <w:lang w:val="fr-FR" w:eastAsia="fr-FR"/>
        </w:rPr>
        <w:t>Décompression des citernes à cargaison</w:t>
      </w:r>
    </w:p>
    <w:p w:rsidR="00626D5C" w:rsidRPr="00626D5C" w:rsidRDefault="00626D5C" w:rsidP="00E00351">
      <w:pPr>
        <w:pStyle w:val="H1G"/>
        <w:rPr>
          <w:lang w:val="fr-FR"/>
        </w:rPr>
      </w:pPr>
      <w:r w:rsidRPr="00626D5C">
        <w:rPr>
          <w:lang w:val="fr-FR"/>
        </w:rPr>
        <w:tab/>
      </w:r>
      <w:r w:rsidRPr="00626D5C">
        <w:rPr>
          <w:lang w:val="fr-FR"/>
        </w:rPr>
        <w:tab/>
      </w:r>
      <w:r w:rsidRPr="00626D5C">
        <w:rPr>
          <w:lang w:val="fr-FR" w:bidi="fr-FR"/>
        </w:rPr>
        <w:t>Communication du Gouvernement de l'</w:t>
      </w:r>
      <w:r>
        <w:rPr>
          <w:lang w:val="fr-FR" w:bidi="fr-FR"/>
        </w:rPr>
        <w:t>Allemagne</w:t>
      </w:r>
      <w:r w:rsidRPr="00626D5C">
        <w:rPr>
          <w:snapToGrid w:val="0"/>
          <w:szCs w:val="24"/>
          <w:vertAlign w:val="superscript"/>
          <w:lang w:val="fr-FR" w:eastAsia="fr-FR"/>
        </w:rPr>
        <w:footnoteReference w:id="2"/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953"/>
      </w:tblGrid>
      <w:tr w:rsidR="00626D5C" w:rsidRPr="00626D5C" w:rsidTr="00B76D43">
        <w:trPr>
          <w:jc w:val="center"/>
        </w:trPr>
        <w:tc>
          <w:tcPr>
            <w:tcW w:w="2552" w:type="dxa"/>
          </w:tcPr>
          <w:p w:rsidR="00626D5C" w:rsidRPr="00626D5C" w:rsidRDefault="00626D5C" w:rsidP="00626D5C">
            <w:pPr>
              <w:tabs>
                <w:tab w:val="left" w:pos="284"/>
              </w:tabs>
              <w:spacing w:before="120" w:after="120"/>
              <w:rPr>
                <w:lang w:val="fr-FR"/>
              </w:rPr>
            </w:pPr>
            <w:r w:rsidRPr="00626D5C">
              <w:rPr>
                <w:i/>
                <w:sz w:val="24"/>
                <w:lang w:val="fr-FR"/>
              </w:rPr>
              <w:t>Résumé</w:t>
            </w:r>
          </w:p>
        </w:tc>
        <w:tc>
          <w:tcPr>
            <w:tcW w:w="5953" w:type="dxa"/>
          </w:tcPr>
          <w:p w:rsidR="00626D5C" w:rsidRPr="00626D5C" w:rsidRDefault="00626D5C" w:rsidP="00626D5C">
            <w:pPr>
              <w:spacing w:before="120" w:after="120"/>
              <w:rPr>
                <w:lang w:val="de-DE"/>
              </w:rPr>
            </w:pPr>
          </w:p>
        </w:tc>
      </w:tr>
      <w:tr w:rsidR="00626D5C" w:rsidRPr="00626D5C" w:rsidTr="00B76D43">
        <w:trPr>
          <w:jc w:val="center"/>
        </w:trPr>
        <w:tc>
          <w:tcPr>
            <w:tcW w:w="2552" w:type="dxa"/>
          </w:tcPr>
          <w:p w:rsidR="00626D5C" w:rsidRPr="00626D5C" w:rsidRDefault="00626D5C" w:rsidP="00626D5C">
            <w:pPr>
              <w:tabs>
                <w:tab w:val="left" w:pos="284"/>
              </w:tabs>
              <w:spacing w:before="120" w:after="120"/>
              <w:rPr>
                <w:lang w:val="fr-FR"/>
              </w:rPr>
            </w:pPr>
            <w:r w:rsidRPr="00626D5C">
              <w:rPr>
                <w:b/>
                <w:lang w:val="fr-FR"/>
              </w:rPr>
              <w:t>Résumé analytique:</w:t>
            </w:r>
          </w:p>
        </w:tc>
        <w:tc>
          <w:tcPr>
            <w:tcW w:w="5953" w:type="dxa"/>
          </w:tcPr>
          <w:p w:rsidR="00626D5C" w:rsidRPr="00626D5C" w:rsidRDefault="00626D5C" w:rsidP="00626D5C">
            <w:pPr>
              <w:spacing w:before="120" w:after="120"/>
              <w:jc w:val="both"/>
              <w:rPr>
                <w:snapToGrid w:val="0"/>
                <w:lang w:val="fr-FR" w:eastAsia="fr-FR"/>
              </w:rPr>
            </w:pPr>
            <w:r w:rsidRPr="00626D5C">
              <w:rPr>
                <w:snapToGrid w:val="0"/>
                <w:lang w:val="fr-FR" w:eastAsia="fr-FR"/>
              </w:rPr>
              <w:t>Le 7.2.4.16.9 b) prévoit que, pour leur décompression, les citernes à cargaison peuvent être ouvertes entre autres également par « une autre ouverture appropriée du collecteur de gaz [allemand: Gassammelleitung / anglais: vapour pipe].</w:t>
            </w:r>
          </w:p>
          <w:p w:rsidR="00626D5C" w:rsidRPr="00626D5C" w:rsidRDefault="00626D5C" w:rsidP="00626D5C">
            <w:pPr>
              <w:spacing w:before="120" w:after="120"/>
              <w:jc w:val="both"/>
              <w:rPr>
                <w:lang w:val="fr-FR"/>
              </w:rPr>
            </w:pPr>
            <w:r w:rsidRPr="00626D5C">
              <w:rPr>
                <w:lang w:val="fr-FR"/>
              </w:rPr>
              <w:t>Pour l’ADN 2015, dans la t</w:t>
            </w:r>
            <w:r w:rsidR="00AB40FF">
              <w:rPr>
                <w:lang w:val="fr-FR"/>
              </w:rPr>
              <w:t>raduction allemande, le terme «</w:t>
            </w:r>
            <w:r w:rsidR="00AB40FF">
              <w:rPr>
                <w:snapToGrid w:val="0"/>
                <w:lang w:val="fr-FR" w:eastAsia="fr-FR"/>
              </w:rPr>
              <w:t>Gassammelleitung» a été remplacé par le terme «</w:t>
            </w:r>
            <w:r w:rsidR="00AB40FF">
              <w:rPr>
                <w:lang w:val="fr-FR"/>
              </w:rPr>
              <w:t>Gasabfuhrleitung</w:t>
            </w:r>
            <w:r w:rsidRPr="00626D5C">
              <w:rPr>
                <w:lang w:val="fr-FR"/>
              </w:rPr>
              <w:t>».</w:t>
            </w:r>
          </w:p>
          <w:p w:rsidR="00626D5C" w:rsidRPr="00626D5C" w:rsidRDefault="00626D5C" w:rsidP="00626D5C">
            <w:pPr>
              <w:spacing w:before="120" w:after="120"/>
              <w:jc w:val="both"/>
              <w:rPr>
                <w:lang w:val="fr-FR"/>
              </w:rPr>
            </w:pPr>
            <w:r w:rsidRPr="00626D5C">
              <w:rPr>
                <w:lang w:val="fr-FR"/>
              </w:rPr>
              <w:t xml:space="preserve">Dans la version linguistique anglaise/respectivement française, il n’existait et il n’existe toujours pas </w:t>
            </w:r>
            <w:r w:rsidR="00AB40FF">
              <w:rPr>
                <w:lang w:val="fr-FR"/>
              </w:rPr>
              <w:t>dans l’ADN de définition pour «</w:t>
            </w:r>
            <w:r w:rsidRPr="00626D5C">
              <w:rPr>
                <w:lang w:val="fr-FR"/>
              </w:rPr>
              <w:t>vapour pi</w:t>
            </w:r>
            <w:r w:rsidR="00AB40FF">
              <w:rPr>
                <w:lang w:val="fr-FR"/>
              </w:rPr>
              <w:t>pe»/respectivement «collecteur de gaz</w:t>
            </w:r>
            <w:r w:rsidRPr="00626D5C">
              <w:rPr>
                <w:lang w:val="fr-FR"/>
              </w:rPr>
              <w:t>».</w:t>
            </w:r>
          </w:p>
          <w:p w:rsidR="00626D5C" w:rsidRPr="00626D5C" w:rsidRDefault="00626D5C" w:rsidP="00626D5C">
            <w:pPr>
              <w:spacing w:before="120" w:after="120"/>
              <w:jc w:val="both"/>
              <w:rPr>
                <w:lang w:val="fr-FR"/>
              </w:rPr>
            </w:pPr>
            <w:r w:rsidRPr="00626D5C">
              <w:rPr>
                <w:lang w:val="fr-FR"/>
              </w:rPr>
              <w:t>Dans la prescription actuelle, on ne distingue donc pas clairement quelle est la conduite qui peut être utilisée.</w:t>
            </w:r>
          </w:p>
          <w:p w:rsidR="00626D5C" w:rsidRPr="00626D5C" w:rsidRDefault="00626D5C" w:rsidP="00626D5C">
            <w:pPr>
              <w:spacing w:before="120" w:after="120"/>
              <w:jc w:val="both"/>
              <w:rPr>
                <w:lang w:val="fr-FR"/>
              </w:rPr>
            </w:pPr>
            <w:r w:rsidRPr="00626D5C">
              <w:rPr>
                <w:lang w:val="fr-FR"/>
              </w:rPr>
              <w:lastRenderedPageBreak/>
              <w:t>La traduction allemande diffère du texte anglais/respectivement français par l’absence d’un détail important concernant la nécessité de refermer les ouvertures.</w:t>
            </w:r>
          </w:p>
        </w:tc>
      </w:tr>
      <w:tr w:rsidR="00626D5C" w:rsidRPr="00626D5C" w:rsidTr="00B76D43">
        <w:trPr>
          <w:jc w:val="center"/>
        </w:trPr>
        <w:tc>
          <w:tcPr>
            <w:tcW w:w="2552" w:type="dxa"/>
          </w:tcPr>
          <w:p w:rsidR="00626D5C" w:rsidRPr="00626D5C" w:rsidRDefault="00626D5C" w:rsidP="00626D5C">
            <w:pPr>
              <w:tabs>
                <w:tab w:val="left" w:pos="284"/>
              </w:tabs>
              <w:spacing w:before="120" w:after="120"/>
              <w:rPr>
                <w:b/>
                <w:lang w:val="fr-FR"/>
              </w:rPr>
            </w:pPr>
            <w:r w:rsidRPr="00626D5C">
              <w:rPr>
                <w:b/>
                <w:lang w:val="fr-FR"/>
              </w:rPr>
              <w:lastRenderedPageBreak/>
              <w:t>Mesures à prendre :</w:t>
            </w:r>
          </w:p>
        </w:tc>
        <w:tc>
          <w:tcPr>
            <w:tcW w:w="5953" w:type="dxa"/>
          </w:tcPr>
          <w:p w:rsidR="00626D5C" w:rsidRPr="00626D5C" w:rsidRDefault="00AB40FF" w:rsidP="00626D5C">
            <w:pPr>
              <w:spacing w:before="120" w:after="120"/>
              <w:jc w:val="both"/>
              <w:rPr>
                <w:snapToGrid w:val="0"/>
                <w:lang w:val="fr-FR" w:eastAsia="fr-FR"/>
              </w:rPr>
            </w:pPr>
            <w:r>
              <w:rPr>
                <w:snapToGrid w:val="0"/>
                <w:lang w:val="fr-FR" w:eastAsia="fr-FR"/>
              </w:rPr>
              <w:t>Remplacer «Gassammelleitung»/«vapour pipe»/«collecteur de gaz» par «conduite d’évacuation de gaz</w:t>
            </w:r>
            <w:r w:rsidR="00626D5C" w:rsidRPr="00626D5C">
              <w:rPr>
                <w:snapToGrid w:val="0"/>
                <w:lang w:val="fr-FR" w:eastAsia="fr-FR"/>
              </w:rPr>
              <w:t>» au 7.2.4.16.9 b) de l’ADN.</w:t>
            </w:r>
          </w:p>
          <w:p w:rsidR="00626D5C" w:rsidRPr="00626D5C" w:rsidRDefault="00626D5C" w:rsidP="00626D5C">
            <w:pPr>
              <w:spacing w:before="120" w:after="120"/>
              <w:rPr>
                <w:lang w:val="fr-FR"/>
              </w:rPr>
            </w:pPr>
            <w:r w:rsidRPr="00626D5C">
              <w:rPr>
                <w:snapToGrid w:val="0"/>
                <w:lang w:val="fr-FR" w:eastAsia="fr-FR"/>
              </w:rPr>
              <w:t>Compléter la traduction allemande.</w:t>
            </w:r>
          </w:p>
        </w:tc>
      </w:tr>
      <w:tr w:rsidR="00626D5C" w:rsidRPr="00626D5C" w:rsidTr="00B76D43">
        <w:trPr>
          <w:jc w:val="center"/>
        </w:trPr>
        <w:tc>
          <w:tcPr>
            <w:tcW w:w="2552" w:type="dxa"/>
          </w:tcPr>
          <w:p w:rsidR="00626D5C" w:rsidRPr="00626D5C" w:rsidRDefault="00626D5C" w:rsidP="00626D5C">
            <w:pPr>
              <w:tabs>
                <w:tab w:val="left" w:pos="284"/>
              </w:tabs>
              <w:spacing w:before="120" w:after="120"/>
              <w:rPr>
                <w:b/>
                <w:lang w:val="fr-FR"/>
              </w:rPr>
            </w:pPr>
            <w:r w:rsidRPr="00626D5C">
              <w:rPr>
                <w:b/>
                <w:snapToGrid w:val="0"/>
                <w:lang w:val="fr-FR" w:eastAsia="fr-FR"/>
              </w:rPr>
              <w:t>Documents connexes :</w:t>
            </w:r>
          </w:p>
        </w:tc>
        <w:tc>
          <w:tcPr>
            <w:tcW w:w="5953" w:type="dxa"/>
          </w:tcPr>
          <w:p w:rsidR="00626D5C" w:rsidRPr="00626D5C" w:rsidRDefault="00626D5C" w:rsidP="00626D5C">
            <w:pPr>
              <w:spacing w:before="120" w:after="120"/>
              <w:rPr>
                <w:lang w:val="fr-FR"/>
              </w:rPr>
            </w:pPr>
            <w:r w:rsidRPr="00626D5C">
              <w:rPr>
                <w:snapToGrid w:val="0"/>
                <w:lang w:val="fr-FR" w:eastAsia="fr-FR"/>
              </w:rPr>
              <w:t xml:space="preserve">ECE/TRANS/WP.15/AC.2/2014/11 et </w:t>
            </w:r>
            <w:r>
              <w:rPr>
                <w:snapToGrid w:val="0"/>
                <w:lang w:val="fr-FR" w:eastAsia="fr-FR"/>
              </w:rPr>
              <w:t xml:space="preserve">document informel </w:t>
            </w:r>
            <w:r w:rsidRPr="00626D5C">
              <w:rPr>
                <w:snapToGrid w:val="0"/>
                <w:lang w:val="fr-FR" w:eastAsia="fr-FR"/>
              </w:rPr>
              <w:t>INF.28 (Sociétés de classification) de la 24</w:t>
            </w:r>
            <w:r w:rsidRPr="00626D5C">
              <w:rPr>
                <w:snapToGrid w:val="0"/>
                <w:vertAlign w:val="superscript"/>
                <w:lang w:val="fr-FR" w:eastAsia="fr-FR"/>
              </w:rPr>
              <w:t>ème</w:t>
            </w:r>
            <w:r w:rsidRPr="00626D5C">
              <w:rPr>
                <w:snapToGrid w:val="0"/>
                <w:lang w:val="fr-FR" w:eastAsia="fr-FR"/>
              </w:rPr>
              <w:t xml:space="preserve"> session; </w:t>
            </w:r>
            <w:r w:rsidR="00935909">
              <w:rPr>
                <w:snapToGrid w:val="0"/>
                <w:lang w:val="fr-FR" w:eastAsia="fr-FR"/>
              </w:rPr>
              <w:t>ECE/</w:t>
            </w:r>
            <w:r w:rsidRPr="00626D5C">
              <w:rPr>
                <w:snapToGrid w:val="0"/>
                <w:lang w:val="fr-FR" w:eastAsia="fr-FR"/>
              </w:rPr>
              <w:t>ADN/27</w:t>
            </w:r>
          </w:p>
        </w:tc>
      </w:tr>
    </w:tbl>
    <w:p w:rsidR="00626D5C" w:rsidRPr="00626D5C" w:rsidRDefault="00626D5C" w:rsidP="00E00351">
      <w:pPr>
        <w:pStyle w:val="HChG"/>
        <w:rPr>
          <w:lang w:val="fr-FR"/>
        </w:rPr>
      </w:pPr>
      <w:r w:rsidRPr="00626D5C">
        <w:rPr>
          <w:lang w:val="fr-FR"/>
        </w:rPr>
        <w:tab/>
      </w:r>
      <w:r w:rsidR="00935909">
        <w:rPr>
          <w:lang w:val="fr-FR"/>
        </w:rPr>
        <w:tab/>
      </w:r>
      <w:r w:rsidRPr="00E00351">
        <w:t>Introduct</w:t>
      </w:r>
      <w:bookmarkStart w:id="0" w:name="_GoBack"/>
      <w:bookmarkEnd w:id="0"/>
      <w:r w:rsidRPr="00E00351">
        <w:t>ion</w:t>
      </w:r>
    </w:p>
    <w:p w:rsidR="00626D5C" w:rsidRPr="00626D5C" w:rsidRDefault="00626D5C" w:rsidP="00E00351">
      <w:pPr>
        <w:pStyle w:val="SingleTxtG"/>
        <w:rPr>
          <w:snapToGrid w:val="0"/>
          <w:lang w:val="fr-FR" w:eastAsia="fr-FR"/>
        </w:rPr>
      </w:pPr>
      <w:r w:rsidRPr="00626D5C">
        <w:rPr>
          <w:snapToGrid w:val="0"/>
          <w:lang w:val="fr-FR" w:eastAsia="fr-FR"/>
        </w:rPr>
        <w:t>1.</w:t>
      </w:r>
      <w:r w:rsidRPr="00626D5C">
        <w:rPr>
          <w:snapToGrid w:val="0"/>
          <w:lang w:val="fr-FR" w:eastAsia="fr-FR"/>
        </w:rPr>
        <w:tab/>
        <w:t xml:space="preserve">Au cours de sa 24ème session en janvier 2014, à la demande du groupe informel des sociétés de </w:t>
      </w:r>
      <w:r w:rsidRPr="00E00351">
        <w:t>classification</w:t>
      </w:r>
      <w:r w:rsidRPr="00626D5C">
        <w:rPr>
          <w:snapToGrid w:val="0"/>
          <w:lang w:val="fr-FR" w:eastAsia="fr-FR"/>
        </w:rPr>
        <w:t xml:space="preserve"> recommandées, le Comité de sécurité ADN avait décidé pour l’ADN 2015 de nombreuses modifications concernant la désignation des conduites à bord et à terre par lesquelles les gaz sont évacués lors du chargement et du déchargement.</w:t>
      </w:r>
    </w:p>
    <w:p w:rsidR="00626D5C" w:rsidRPr="00626D5C" w:rsidRDefault="00626D5C" w:rsidP="00E00351">
      <w:pPr>
        <w:pStyle w:val="SingleTxtG"/>
        <w:rPr>
          <w:snapToGrid w:val="0"/>
          <w:lang w:val="fr-FR" w:eastAsia="fr-FR"/>
        </w:rPr>
      </w:pPr>
      <w:r w:rsidRPr="00626D5C">
        <w:rPr>
          <w:snapToGrid w:val="0"/>
          <w:lang w:val="fr-FR" w:eastAsia="fr-FR"/>
        </w:rPr>
        <w:t>2.</w:t>
      </w:r>
      <w:r w:rsidRPr="00626D5C">
        <w:rPr>
          <w:snapToGrid w:val="0"/>
          <w:lang w:val="fr-FR" w:eastAsia="fr-FR"/>
        </w:rPr>
        <w:tab/>
        <w:t>Le 7.2.4.16.9 ADN, dans</w:t>
      </w:r>
      <w:r w:rsidR="00E00351">
        <w:rPr>
          <w:snapToGrid w:val="0"/>
          <w:lang w:val="fr-FR" w:eastAsia="fr-FR"/>
        </w:rPr>
        <w:t xml:space="preserve"> lequel on utilise les termes «Gassammelleitung»/«vapour pipe»/«collecteur de gaz</w:t>
      </w:r>
      <w:r w:rsidRPr="00626D5C">
        <w:rPr>
          <w:snapToGrid w:val="0"/>
          <w:lang w:val="fr-FR" w:eastAsia="fr-FR"/>
        </w:rPr>
        <w:t xml:space="preserve">» qui ne sont pas ou plus connus dans l’ADN 2015, a </w:t>
      </w:r>
      <w:r w:rsidRPr="00E00351">
        <w:t>échappé</w:t>
      </w:r>
      <w:r w:rsidRPr="00626D5C">
        <w:rPr>
          <w:snapToGrid w:val="0"/>
          <w:lang w:val="fr-FR" w:eastAsia="fr-FR"/>
        </w:rPr>
        <w:t xml:space="preserve"> à ces modifications.</w:t>
      </w:r>
    </w:p>
    <w:p w:rsidR="00626D5C" w:rsidRPr="00626D5C" w:rsidRDefault="00626D5C" w:rsidP="00E00351">
      <w:pPr>
        <w:pStyle w:val="SingleTxtG"/>
        <w:rPr>
          <w:snapToGrid w:val="0"/>
          <w:lang w:val="fr-FR" w:eastAsia="fr-FR"/>
        </w:rPr>
      </w:pPr>
      <w:r w:rsidRPr="00626D5C">
        <w:rPr>
          <w:snapToGrid w:val="0"/>
          <w:lang w:val="fr-FR" w:eastAsia="fr-FR"/>
        </w:rPr>
        <w:t>3.</w:t>
      </w:r>
      <w:r w:rsidRPr="00626D5C">
        <w:rPr>
          <w:snapToGrid w:val="0"/>
          <w:lang w:val="fr-FR" w:eastAsia="fr-FR"/>
        </w:rPr>
        <w:tab/>
        <w:t>Il a été constaté que la traduction allemande du 7.2.4.16.9 b) diffère des versions anglaise et française de l’ADN 2015 par un dé</w:t>
      </w:r>
      <w:r w:rsidR="00E00351">
        <w:rPr>
          <w:snapToGrid w:val="0"/>
          <w:lang w:val="fr-FR" w:eastAsia="fr-FR"/>
        </w:rPr>
        <w:t>tail important pour la sécurité</w:t>
      </w:r>
      <w:r w:rsidRPr="00626D5C">
        <w:rPr>
          <w:snapToGrid w:val="0"/>
          <w:lang w:val="fr-FR" w:eastAsia="fr-FR"/>
        </w:rPr>
        <w:t>: il y manque l’obligation de refermer comme il convient après le chargement ou le déchargement les ouvertures utilisées pour la décompression.</w:t>
      </w:r>
    </w:p>
    <w:p w:rsidR="00626D5C" w:rsidRPr="00626D5C" w:rsidRDefault="00935909" w:rsidP="00E00351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626D5C" w:rsidRPr="00626D5C">
        <w:rPr>
          <w:lang w:val="fr-FR"/>
        </w:rPr>
        <w:t xml:space="preserve">Proposition de </w:t>
      </w:r>
      <w:r w:rsidR="00626D5C" w:rsidRPr="00E00351">
        <w:t>modification</w:t>
      </w:r>
    </w:p>
    <w:p w:rsidR="00626D5C" w:rsidRPr="00626D5C" w:rsidRDefault="00626D5C" w:rsidP="00626D5C">
      <w:pPr>
        <w:pStyle w:val="SingleTxtG"/>
        <w:rPr>
          <w:lang w:val="fr-FR" w:eastAsia="de-DE"/>
        </w:rPr>
      </w:pPr>
      <w:r w:rsidRPr="00626D5C">
        <w:rPr>
          <w:lang w:val="fr-FR" w:eastAsia="de-DE"/>
        </w:rPr>
        <w:t xml:space="preserve">(Suppression: texte </w:t>
      </w:r>
      <w:r w:rsidRPr="00626D5C">
        <w:rPr>
          <w:strike/>
          <w:lang w:val="fr-FR" w:eastAsia="de-DE"/>
        </w:rPr>
        <w:t>barré</w:t>
      </w:r>
      <w:r w:rsidRPr="00626D5C">
        <w:rPr>
          <w:lang w:val="fr-FR" w:eastAsia="de-DE"/>
        </w:rPr>
        <w:t xml:space="preserve">, </w:t>
      </w:r>
      <w:r w:rsidRPr="00626D5C">
        <w:rPr>
          <w:snapToGrid w:val="0"/>
          <w:lang w:val="fr-FR"/>
        </w:rPr>
        <w:t xml:space="preserve">le nouveau texte est </w:t>
      </w:r>
      <w:r w:rsidRPr="00626D5C">
        <w:rPr>
          <w:snapToGrid w:val="0"/>
          <w:u w:val="single"/>
          <w:lang w:val="fr-FR"/>
        </w:rPr>
        <w:t>souligné</w:t>
      </w:r>
      <w:r w:rsidRPr="00626D5C">
        <w:rPr>
          <w:lang w:val="fr-FR" w:eastAsia="de-DE"/>
        </w:rPr>
        <w:t>)</w:t>
      </w:r>
    </w:p>
    <w:p w:rsidR="00626D5C" w:rsidRPr="00626D5C" w:rsidRDefault="00626D5C" w:rsidP="00E00351">
      <w:pPr>
        <w:pStyle w:val="SingleTxtG"/>
        <w:rPr>
          <w:snapToGrid w:val="0"/>
          <w:lang w:val="fr-FR" w:eastAsia="fr-FR"/>
        </w:rPr>
      </w:pPr>
      <w:r w:rsidRPr="00626D5C">
        <w:rPr>
          <w:snapToGrid w:val="0"/>
          <w:lang w:val="fr-FR" w:eastAsia="fr-FR"/>
        </w:rPr>
        <w:t>4.</w:t>
      </w:r>
      <w:r w:rsidRPr="00626D5C">
        <w:rPr>
          <w:snapToGrid w:val="0"/>
          <w:lang w:val="fr-FR" w:eastAsia="fr-FR"/>
        </w:rPr>
        <w:tab/>
        <w:t>Le paragraphe 7.2.4.16.9 b) est modifié comme suit :</w:t>
      </w:r>
    </w:p>
    <w:p w:rsidR="00626D5C" w:rsidRPr="00626D5C" w:rsidRDefault="00E00351" w:rsidP="00E00351">
      <w:pPr>
        <w:pStyle w:val="SingleTxtG"/>
        <w:rPr>
          <w:lang w:val="de-DE"/>
        </w:rPr>
      </w:pPr>
      <w:r>
        <w:rPr>
          <w:lang w:val="de-DE"/>
        </w:rPr>
        <w:t>«</w:t>
      </w:r>
      <w:r w:rsidR="00626D5C" w:rsidRPr="00626D5C">
        <w:rPr>
          <w:lang w:val="de-DE"/>
        </w:rPr>
        <w:t xml:space="preserve">b) Beim Laden oder Löschen von Stoffen, für die in Kapitel 3.2 Tabelle C Spalte (6) und 7 ein Typ N offen gefordert wird, dürfen bei einem geschlossenen Tankschiff die Ladetanks mittels der in Absatz 9.3.2.22.4 a) oder 9.3.3.22.4 a) genannten </w:t>
      </w:r>
      <w:r w:rsidR="00626D5C" w:rsidRPr="00E00351">
        <w:t>Einrichtung</w:t>
      </w:r>
      <w:r w:rsidR="00626D5C" w:rsidRPr="00626D5C">
        <w:rPr>
          <w:lang w:val="de-DE"/>
        </w:rPr>
        <w:t xml:space="preserve"> zum gefahrlosen Entspannen der Ladetanks oder über eine andere geeignete Öffnung der </w:t>
      </w:r>
      <w:r w:rsidR="00626D5C" w:rsidRPr="00626D5C">
        <w:rPr>
          <w:strike/>
          <w:lang w:val="de-DE"/>
        </w:rPr>
        <w:t>Gassammelleitung</w:t>
      </w:r>
      <w:r w:rsidR="00626D5C" w:rsidRPr="00626D5C">
        <w:rPr>
          <w:lang w:val="de-DE"/>
        </w:rPr>
        <w:t xml:space="preserve"> </w:t>
      </w:r>
      <w:r w:rsidR="00626D5C" w:rsidRPr="00626D5C">
        <w:rPr>
          <w:u w:val="single"/>
          <w:lang w:val="de-DE"/>
        </w:rPr>
        <w:t>Gasabfuhrleitung</w:t>
      </w:r>
      <w:r w:rsidR="00626D5C" w:rsidRPr="00626D5C">
        <w:rPr>
          <w:lang w:val="de-DE"/>
        </w:rPr>
        <w:t xml:space="preserve"> geöffnet werden</w:t>
      </w:r>
      <w:r w:rsidR="00626D5C" w:rsidRPr="00626D5C">
        <w:rPr>
          <w:strike/>
          <w:lang w:val="de-DE"/>
        </w:rPr>
        <w:t>.</w:t>
      </w:r>
      <w:r w:rsidR="00626D5C" w:rsidRPr="00626D5C">
        <w:rPr>
          <w:u w:val="single"/>
          <w:lang w:val="de-DE"/>
        </w:rPr>
        <w:t xml:space="preserve">,  </w:t>
      </w:r>
      <w:r w:rsidR="00626D5C" w:rsidRPr="00626D5C">
        <w:rPr>
          <w:strike/>
          <w:lang w:val="de-DE"/>
        </w:rPr>
        <w:t>Diese</w:t>
      </w:r>
      <w:r w:rsidR="00626D5C" w:rsidRPr="00626D5C">
        <w:rPr>
          <w:lang w:val="de-DE"/>
        </w:rPr>
        <w:t xml:space="preserve"> </w:t>
      </w:r>
      <w:r w:rsidR="00626D5C" w:rsidRPr="00626D5C">
        <w:rPr>
          <w:strike/>
          <w:lang w:val="de-DE"/>
        </w:rPr>
        <w:t>Öffnung</w:t>
      </w:r>
      <w:r w:rsidR="00626D5C" w:rsidRPr="00626D5C">
        <w:rPr>
          <w:lang w:val="de-DE"/>
        </w:rPr>
        <w:t xml:space="preserve"> </w:t>
      </w:r>
      <w:r w:rsidR="00626D5C" w:rsidRPr="00626D5C">
        <w:rPr>
          <w:strike/>
          <w:lang w:val="de-DE"/>
        </w:rPr>
        <w:t>muss so gebaut</w:t>
      </w:r>
      <w:r w:rsidR="00626D5C" w:rsidRPr="00626D5C">
        <w:rPr>
          <w:lang w:val="de-DE"/>
        </w:rPr>
        <w:t xml:space="preserve"> </w:t>
      </w:r>
      <w:r w:rsidR="00626D5C" w:rsidRPr="00626D5C">
        <w:rPr>
          <w:strike/>
          <w:lang w:val="de-DE"/>
        </w:rPr>
        <w:t>sein, dass</w:t>
      </w:r>
      <w:r w:rsidR="00626D5C" w:rsidRPr="00626D5C">
        <w:rPr>
          <w:lang w:val="de-DE"/>
        </w:rPr>
        <w:t xml:space="preserve"> </w:t>
      </w:r>
      <w:r w:rsidR="00626D5C" w:rsidRPr="00626D5C">
        <w:rPr>
          <w:u w:val="single"/>
          <w:lang w:val="de-DE"/>
        </w:rPr>
        <w:t>wenn</w:t>
      </w:r>
      <w:r w:rsidR="00626D5C" w:rsidRPr="00626D5C">
        <w:rPr>
          <w:lang w:val="de-DE"/>
        </w:rPr>
        <w:t xml:space="preserve"> jede Ansammlung von Wasser und dessen Eindringen in die Ladetanks verhindert wird </w:t>
      </w:r>
      <w:r w:rsidR="00626D5C" w:rsidRPr="00626D5C">
        <w:rPr>
          <w:u w:val="single"/>
          <w:lang w:val="de-DE"/>
        </w:rPr>
        <w:t>und die Öffnung nach dem Laden oder Löschen [ordnungsgemäß] verschlossen wird</w:t>
      </w:r>
      <w:r w:rsidR="00626D5C" w:rsidRPr="00626D5C">
        <w:rPr>
          <w:lang w:val="de-DE"/>
        </w:rPr>
        <w:t>.</w:t>
      </w:r>
    </w:p>
    <w:p w:rsidR="00626D5C" w:rsidRPr="00626D5C" w:rsidRDefault="00626D5C" w:rsidP="00626D5C">
      <w:pPr>
        <w:pStyle w:val="SingleTxtG"/>
        <w:rPr>
          <w:lang w:val="en-US"/>
        </w:rPr>
      </w:pPr>
      <w:r w:rsidRPr="00626D5C">
        <w:rPr>
          <w:lang w:val="en-US"/>
        </w:rPr>
        <w:t xml:space="preserve">(b) During loading or unloading in a closed tank vessel of substances for which an open type N vessel is sufficient according to columns (6) and (7) of Table C of Chapter 3.2, the cargo tanks may be opened using the safe pressure-relief device referred to in 9.3.2.22.4 (a) or 9.3.3.22.4 (a) or using another suitable opening in the </w:t>
      </w:r>
      <w:r w:rsidRPr="00626D5C">
        <w:rPr>
          <w:strike/>
          <w:lang w:val="en-US"/>
        </w:rPr>
        <w:t>vapour pipe</w:t>
      </w:r>
      <w:r w:rsidRPr="00626D5C">
        <w:rPr>
          <w:lang w:val="en-US"/>
        </w:rPr>
        <w:t xml:space="preserve"> </w:t>
      </w:r>
      <w:r w:rsidRPr="00626D5C">
        <w:rPr>
          <w:u w:val="single"/>
          <w:lang w:val="en-US"/>
        </w:rPr>
        <w:t>venting piping</w:t>
      </w:r>
      <w:r w:rsidRPr="00626D5C">
        <w:rPr>
          <w:lang w:val="en-US"/>
        </w:rPr>
        <w:t xml:space="preserve"> if any accumulation of water and its penetration into the cargo tanks is prevented and the opening is appropriately closed again after loading or unloading. </w:t>
      </w:r>
    </w:p>
    <w:p w:rsidR="00626D5C" w:rsidRPr="00626D5C" w:rsidRDefault="00626D5C" w:rsidP="00626D5C">
      <w:pPr>
        <w:pStyle w:val="SingleTxtG"/>
        <w:rPr>
          <w:rFonts w:ascii="TimesNewRomanPSMT" w:eastAsia="TimesNewRomanPSMT" w:cs="TimesNewRomanPSMT"/>
          <w:sz w:val="22"/>
          <w:szCs w:val="22"/>
          <w:lang w:val="fr-FR" w:eastAsia="de-DE"/>
        </w:rPr>
      </w:pPr>
      <w:r w:rsidRPr="00626D5C">
        <w:rPr>
          <w:lang w:val="fr-FR"/>
        </w:rPr>
        <w:t xml:space="preserve">b) Pendant le chargement ou le déchargement de matières dans un bateau-citerne fermé, pour lesquelles aux colonnes (6) et (7) du tableau C du chapitre 3.2 un type N ouvert suffit, les citernes à cargaison peuvent être ouvertes au moyen du dispositif permettant de décompresser sans danger, visé au 9.3.2.22.4 a) ou au 9.3.3.22.4 a) ou par une autre </w:t>
      </w:r>
      <w:r w:rsidRPr="00626D5C">
        <w:rPr>
          <w:lang w:val="fr-FR"/>
        </w:rPr>
        <w:lastRenderedPageBreak/>
        <w:t xml:space="preserve">ouverture appropriée </w:t>
      </w:r>
      <w:r w:rsidRPr="00626D5C">
        <w:rPr>
          <w:strike/>
          <w:lang w:val="fr-FR"/>
        </w:rPr>
        <w:t>du collecteur de gaz</w:t>
      </w:r>
      <w:r w:rsidRPr="00626D5C">
        <w:rPr>
          <w:lang w:val="fr-FR"/>
        </w:rPr>
        <w:t xml:space="preserve"> </w:t>
      </w:r>
      <w:r w:rsidRPr="00626D5C">
        <w:rPr>
          <w:u w:val="single"/>
          <w:lang w:val="fr-FR"/>
        </w:rPr>
        <w:t xml:space="preserve">de la </w:t>
      </w:r>
      <w:r w:rsidRPr="00626D5C">
        <w:rPr>
          <w:iCs/>
          <w:snapToGrid w:val="0"/>
          <w:u w:val="single"/>
          <w:lang w:val="fr-FR" w:eastAsia="de-DE"/>
        </w:rPr>
        <w:t>conduite d’évacuation de gaz</w:t>
      </w:r>
      <w:r w:rsidRPr="00626D5C">
        <w:rPr>
          <w:i/>
          <w:iCs/>
          <w:snapToGrid w:val="0"/>
          <w:lang w:val="fr-FR" w:eastAsia="de-DE"/>
        </w:rPr>
        <w:t xml:space="preserve"> </w:t>
      </w:r>
      <w:r w:rsidRPr="00626D5C">
        <w:rPr>
          <w:lang w:val="fr-FR"/>
        </w:rPr>
        <w:t>si des dispositions sont prises pour empêcher toute accumulation d'eau et sa pénétration dans la citerne à cargaison et si l'ouverture est refermée comme il convient après le chargement ou le déchargement.</w:t>
      </w:r>
      <w:r w:rsidR="00E00351">
        <w:rPr>
          <w:lang w:val="fr-FR"/>
        </w:rPr>
        <w:t>»</w:t>
      </w:r>
    </w:p>
    <w:p w:rsidR="00626D5C" w:rsidRPr="00626D5C" w:rsidRDefault="00935909" w:rsidP="00E00351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626D5C" w:rsidRPr="00E00351">
        <w:t>Motif</w:t>
      </w:r>
    </w:p>
    <w:p w:rsidR="00626D5C" w:rsidRPr="00626D5C" w:rsidRDefault="00626D5C" w:rsidP="00E00351">
      <w:pPr>
        <w:pStyle w:val="SingleTxtG"/>
        <w:rPr>
          <w:snapToGrid w:val="0"/>
          <w:lang w:val="fr-FR" w:eastAsia="fr-FR"/>
        </w:rPr>
      </w:pPr>
      <w:r w:rsidRPr="00626D5C">
        <w:rPr>
          <w:snapToGrid w:val="0"/>
          <w:lang w:val="fr-FR" w:eastAsia="fr-FR"/>
        </w:rPr>
        <w:t>5.</w:t>
      </w:r>
      <w:r w:rsidRPr="00626D5C">
        <w:rPr>
          <w:snapToGrid w:val="0"/>
          <w:lang w:val="fr-FR" w:eastAsia="fr-FR"/>
        </w:rPr>
        <w:tab/>
        <w:t xml:space="preserve">Du fait de la divergence par rapport aux définitions du 1.2.1 </w:t>
      </w:r>
      <w:r w:rsidR="00935909">
        <w:rPr>
          <w:snapToGrid w:val="0"/>
          <w:lang w:val="fr-FR" w:eastAsia="fr-FR"/>
        </w:rPr>
        <w:t>de l'</w:t>
      </w:r>
      <w:r w:rsidRPr="00626D5C">
        <w:rPr>
          <w:snapToGrid w:val="0"/>
          <w:lang w:val="fr-FR" w:eastAsia="fr-FR"/>
        </w:rPr>
        <w:t xml:space="preserve">ADN, on ne distingue pas clairement quelle est la conduite qui est ici concernée. </w:t>
      </w:r>
      <w:r w:rsidRPr="00E00351">
        <w:t>Cela</w:t>
      </w:r>
      <w:r w:rsidRPr="00626D5C">
        <w:rPr>
          <w:snapToGrid w:val="0"/>
          <w:lang w:val="fr-FR" w:eastAsia="fr-FR"/>
        </w:rPr>
        <w:t xml:space="preserve"> pourrait engendrer lors de l’opération de chargement ou de déchargement des malentendus importants pour la sécurité, pouvant aller jusqu’à l’utilisation d’ouvertures incorrectes pour la décompression des citernes à cargaison.</w:t>
      </w:r>
    </w:p>
    <w:p w:rsidR="00626D5C" w:rsidRPr="00626D5C" w:rsidRDefault="00626D5C" w:rsidP="00E00351">
      <w:pPr>
        <w:pStyle w:val="SingleTxtG"/>
        <w:rPr>
          <w:snapToGrid w:val="0"/>
          <w:lang w:val="fr-FR" w:eastAsia="fr-FR"/>
        </w:rPr>
      </w:pPr>
      <w:r w:rsidRPr="00626D5C">
        <w:rPr>
          <w:snapToGrid w:val="0"/>
          <w:lang w:val="fr-FR" w:eastAsia="fr-FR"/>
        </w:rPr>
        <w:t>6.</w:t>
      </w:r>
      <w:r w:rsidRPr="00626D5C">
        <w:rPr>
          <w:snapToGrid w:val="0"/>
          <w:lang w:val="fr-FR" w:eastAsia="fr-FR"/>
        </w:rPr>
        <w:tab/>
        <w:t>L’utilisation dans l’ADN des termes pour les équipements de construction navale doit être partout identique et cohérente.</w:t>
      </w:r>
    </w:p>
    <w:p w:rsidR="00626D5C" w:rsidRPr="00626D5C" w:rsidRDefault="00626D5C" w:rsidP="00E00351">
      <w:pPr>
        <w:pStyle w:val="SingleTxtG"/>
        <w:rPr>
          <w:snapToGrid w:val="0"/>
          <w:lang w:val="fr-FR" w:eastAsia="fr-FR"/>
        </w:rPr>
      </w:pPr>
      <w:r w:rsidRPr="00626D5C">
        <w:rPr>
          <w:snapToGrid w:val="0"/>
          <w:lang w:val="fr-FR" w:eastAsia="fr-FR"/>
        </w:rPr>
        <w:t>7.</w:t>
      </w:r>
      <w:r w:rsidRPr="00626D5C">
        <w:rPr>
          <w:snapToGrid w:val="0"/>
          <w:lang w:val="fr-FR" w:eastAsia="fr-FR"/>
        </w:rPr>
        <w:tab/>
        <w:t xml:space="preserve">La divergence de contenu dans la traduction allemande du 7.4.2.16.9 b) </w:t>
      </w:r>
      <w:r w:rsidR="00935909">
        <w:rPr>
          <w:snapToGrid w:val="0"/>
          <w:lang w:val="fr-FR" w:eastAsia="fr-FR"/>
        </w:rPr>
        <w:t>dans l'</w:t>
      </w:r>
      <w:r w:rsidRPr="00626D5C">
        <w:rPr>
          <w:snapToGrid w:val="0"/>
          <w:lang w:val="fr-FR" w:eastAsia="fr-FR"/>
        </w:rPr>
        <w:t>ADN 2015 pourrait engendrer un comportement défectueux pour les utilisateurs de cette version linguistique, et par suite un dégagement incontrôlé de vapeurs/gaz toxiques ou explosibles provenant de la citerne à cargaison, ou encore la pénétration d’eau dans les citernes à cargaison lors du voyage suivant du bateau.</w:t>
      </w:r>
    </w:p>
    <w:p w:rsidR="00626D5C" w:rsidRPr="00626D5C" w:rsidRDefault="00626D5C" w:rsidP="00E00351">
      <w:pPr>
        <w:pStyle w:val="SingleTxtG"/>
        <w:rPr>
          <w:snapToGrid w:val="0"/>
          <w:lang w:val="fr-FR" w:eastAsia="fr-FR"/>
        </w:rPr>
      </w:pPr>
      <w:r w:rsidRPr="00626D5C">
        <w:rPr>
          <w:snapToGrid w:val="0"/>
          <w:lang w:val="fr-FR" w:eastAsia="fr-FR"/>
        </w:rPr>
        <w:t>8.</w:t>
      </w:r>
      <w:r w:rsidRPr="00626D5C">
        <w:rPr>
          <w:snapToGrid w:val="0"/>
          <w:lang w:val="fr-FR" w:eastAsia="fr-FR"/>
        </w:rPr>
        <w:tab/>
        <w:t xml:space="preserve">La phrase en question est formulée en tant que règle de construction, mais la Partie 7 délivre des consignes opérationnelles pour les mesures à prendre </w:t>
      </w:r>
      <w:r w:rsidRPr="00E00351">
        <w:t>pendant</w:t>
      </w:r>
      <w:r w:rsidRPr="00626D5C">
        <w:rPr>
          <w:snapToGrid w:val="0"/>
          <w:lang w:val="fr-FR" w:eastAsia="fr-FR"/>
        </w:rPr>
        <w:t xml:space="preserve"> le chargement, le déchargement, le transport et autres manipulations de la cargaison. La formulation de la prescription doit en tenir compte.</w:t>
      </w:r>
    </w:p>
    <w:p w:rsidR="00626D5C" w:rsidRPr="00626D5C" w:rsidRDefault="00626D5C" w:rsidP="00935909">
      <w:pPr>
        <w:pStyle w:val="SingleTxtG"/>
        <w:rPr>
          <w:snapToGrid w:val="0"/>
          <w:lang w:val="fr-FR" w:eastAsia="fr-FR"/>
        </w:rPr>
      </w:pPr>
      <w:r w:rsidRPr="00626D5C">
        <w:rPr>
          <w:snapToGrid w:val="0"/>
          <w:lang w:val="fr-FR" w:eastAsia="fr-FR"/>
        </w:rPr>
        <w:t>9.</w:t>
      </w:r>
      <w:r w:rsidRPr="00626D5C">
        <w:rPr>
          <w:snapToGrid w:val="0"/>
          <w:lang w:val="fr-FR" w:eastAsia="fr-FR"/>
        </w:rPr>
        <w:tab/>
        <w:t>Les versions linguistiques de l’ADN doivent avoir une teneur réglementaire matérielle identique.</w:t>
      </w:r>
    </w:p>
    <w:p w:rsidR="00626D5C" w:rsidRPr="00626D5C" w:rsidRDefault="00935909" w:rsidP="00E00351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626D5C" w:rsidRPr="00E00351">
        <w:t>Sécurité</w:t>
      </w:r>
    </w:p>
    <w:p w:rsidR="00626D5C" w:rsidRPr="00626D5C" w:rsidRDefault="00626D5C" w:rsidP="00935909">
      <w:pPr>
        <w:pStyle w:val="SingleTxtG"/>
        <w:rPr>
          <w:snapToGrid w:val="0"/>
          <w:lang w:val="fr-FR" w:eastAsia="fr-FR"/>
        </w:rPr>
      </w:pPr>
      <w:r w:rsidRPr="00626D5C">
        <w:rPr>
          <w:snapToGrid w:val="0"/>
          <w:lang w:val="fr-FR" w:eastAsia="fr-FR"/>
        </w:rPr>
        <w:t>10.</w:t>
      </w:r>
      <w:r w:rsidRPr="00626D5C">
        <w:rPr>
          <w:snapToGrid w:val="0"/>
          <w:lang w:val="fr-FR" w:eastAsia="fr-FR"/>
        </w:rPr>
        <w:tab/>
        <w:t>La sécurité du transport est conservée et améliorée.</w:t>
      </w:r>
    </w:p>
    <w:p w:rsidR="00626D5C" w:rsidRPr="00626D5C" w:rsidRDefault="00935909" w:rsidP="00935909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626D5C" w:rsidRPr="00626D5C">
        <w:rPr>
          <w:lang w:val="fr-FR"/>
        </w:rPr>
        <w:t>Mise en œuvre</w:t>
      </w:r>
    </w:p>
    <w:p w:rsidR="000E10DA" w:rsidRPr="00935909" w:rsidRDefault="00626D5C" w:rsidP="00935909">
      <w:pPr>
        <w:pStyle w:val="SingleTxtG"/>
      </w:pPr>
      <w:r w:rsidRPr="00935909">
        <w:t>11.</w:t>
      </w:r>
      <w:r w:rsidRPr="00935909">
        <w:tab/>
        <w:t xml:space="preserve">Le paragraphe 7.2.4.16.9 b) </w:t>
      </w:r>
      <w:r w:rsidR="00935909">
        <w:t>de l'</w:t>
      </w:r>
      <w:r w:rsidRPr="00935909">
        <w:t>ADN est une pure consigne opérationnelle pendant le chargement et le déchargement, de sorte qu’aucun investissement n’est nécessaire. L’adaptation nécessaire des modes opératoires à la modification dudit paragraphe peut être signalée au plus tard lors de l’instruction du personnel et pendant les cours de renouvellement de l’attestation d’expertise.</w:t>
      </w:r>
    </w:p>
    <w:p w:rsidR="00191B0F" w:rsidRPr="00191B0F" w:rsidRDefault="00191B0F" w:rsidP="00191B0F">
      <w:pPr>
        <w:pStyle w:val="SingleTxtG"/>
        <w:spacing w:before="240" w:after="0"/>
        <w:jc w:val="center"/>
        <w:rPr>
          <w:u w:val="single"/>
          <w:lang w:val="fr-FR" w:eastAsia="de-DE"/>
        </w:rPr>
      </w:pPr>
      <w:r>
        <w:rPr>
          <w:u w:val="single"/>
          <w:lang w:val="fr-FR" w:eastAsia="de-DE"/>
        </w:rPr>
        <w:tab/>
      </w:r>
      <w:r>
        <w:rPr>
          <w:u w:val="single"/>
          <w:lang w:val="fr-FR" w:eastAsia="de-DE"/>
        </w:rPr>
        <w:tab/>
      </w:r>
      <w:r>
        <w:rPr>
          <w:u w:val="single"/>
          <w:lang w:val="fr-FR" w:eastAsia="de-DE"/>
        </w:rPr>
        <w:tab/>
      </w:r>
    </w:p>
    <w:sectPr w:rsidR="00191B0F" w:rsidRPr="00191B0F" w:rsidSect="00BD44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E56" w:rsidRDefault="00B45E56"/>
  </w:endnote>
  <w:endnote w:type="continuationSeparator" w:id="0">
    <w:p w:rsidR="00B45E56" w:rsidRDefault="00B45E56"/>
  </w:endnote>
  <w:endnote w:type="continuationNotice" w:id="1">
    <w:p w:rsidR="00B45E56" w:rsidRPr="00BF38EF" w:rsidRDefault="00B45E56" w:rsidP="00BF38EF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893" w:rsidRPr="00CD4281" w:rsidRDefault="00CF1893" w:rsidP="00CD4281">
    <w:pPr>
      <w:pStyle w:val="Footer"/>
      <w:tabs>
        <w:tab w:val="right" w:pos="9638"/>
      </w:tabs>
    </w:pPr>
    <w:r w:rsidRPr="00CD4281">
      <w:rPr>
        <w:b/>
        <w:sz w:val="18"/>
      </w:rPr>
      <w:fldChar w:fldCharType="begin"/>
    </w:r>
    <w:r w:rsidRPr="00CD4281">
      <w:rPr>
        <w:b/>
        <w:sz w:val="18"/>
      </w:rPr>
      <w:instrText xml:space="preserve"> PAGE  \* MERGEFORMAT </w:instrText>
    </w:r>
    <w:r w:rsidRPr="00CD4281">
      <w:rPr>
        <w:b/>
        <w:sz w:val="18"/>
      </w:rPr>
      <w:fldChar w:fldCharType="separate"/>
    </w:r>
    <w:r w:rsidR="00284489">
      <w:rPr>
        <w:b/>
        <w:noProof/>
        <w:sz w:val="18"/>
      </w:rPr>
      <w:t>2</w:t>
    </w:r>
    <w:r w:rsidRPr="00CD4281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893" w:rsidRPr="00CD4281" w:rsidRDefault="00CF1893" w:rsidP="00CD4281">
    <w:pPr>
      <w:pStyle w:val="Footer"/>
      <w:tabs>
        <w:tab w:val="right" w:pos="9638"/>
      </w:tabs>
      <w:rPr>
        <w:b/>
        <w:sz w:val="18"/>
      </w:rPr>
    </w:pPr>
    <w:r>
      <w:tab/>
    </w:r>
    <w:r w:rsidRPr="00CD4281">
      <w:rPr>
        <w:b/>
        <w:sz w:val="18"/>
      </w:rPr>
      <w:fldChar w:fldCharType="begin"/>
    </w:r>
    <w:r w:rsidRPr="00CD4281">
      <w:rPr>
        <w:b/>
        <w:sz w:val="18"/>
      </w:rPr>
      <w:instrText xml:space="preserve"> PAGE  \* MERGEFORMAT </w:instrText>
    </w:r>
    <w:r w:rsidRPr="00CD4281">
      <w:rPr>
        <w:b/>
        <w:sz w:val="18"/>
      </w:rPr>
      <w:fldChar w:fldCharType="separate"/>
    </w:r>
    <w:r w:rsidR="00284489">
      <w:rPr>
        <w:b/>
        <w:noProof/>
        <w:sz w:val="18"/>
      </w:rPr>
      <w:t>3</w:t>
    </w:r>
    <w:r w:rsidRPr="00CD428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893" w:rsidRPr="00CD4281" w:rsidRDefault="00CF1893">
    <w:pPr>
      <w:pStyle w:val="Footer"/>
      <w:rPr>
        <w:sz w:val="20"/>
      </w:rPr>
    </w:pPr>
    <w:r>
      <w:rPr>
        <w:sz w:val="20"/>
      </w:rPr>
      <w:t>GE.</w:t>
    </w:r>
    <w:r w:rsidR="00523538">
      <w:rPr>
        <w:noProof/>
        <w:lang w:val="fr-FR"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5040630</wp:posOffset>
          </wp:positionH>
          <wp:positionV relativeFrom="line">
            <wp:posOffset>-107950</wp:posOffset>
          </wp:positionV>
          <wp:extent cx="1104265" cy="233045"/>
          <wp:effectExtent l="0" t="0" r="635" b="0"/>
          <wp:wrapNone/>
          <wp:docPr id="2" name="Pictur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3074">
      <w:rPr>
        <w:sz w:val="20"/>
      </w:rPr>
      <w:t>1</w:t>
    </w:r>
    <w:r w:rsidR="006B6C93">
      <w:rPr>
        <w:sz w:val="20"/>
      </w:rPr>
      <w:t>5</w:t>
    </w:r>
    <w:r>
      <w:rPr>
        <w:sz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E56" w:rsidRPr="00D27D5E" w:rsidRDefault="00B45E56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45E56" w:rsidRPr="00836A24" w:rsidRDefault="00B45E56" w:rsidP="00836A24">
      <w:pPr>
        <w:tabs>
          <w:tab w:val="right" w:pos="2155"/>
        </w:tabs>
        <w:spacing w:after="80"/>
        <w:ind w:left="680"/>
        <w:rPr>
          <w:u w:val="single"/>
        </w:rPr>
      </w:pPr>
      <w:r w:rsidRPr="00836A24">
        <w:rPr>
          <w:u w:val="single"/>
        </w:rPr>
        <w:tab/>
      </w:r>
    </w:p>
  </w:footnote>
  <w:footnote w:type="continuationNotice" w:id="1">
    <w:p w:rsidR="00B45E56" w:rsidRPr="00BF38EF" w:rsidRDefault="00B45E56" w:rsidP="00BF38EF">
      <w:pPr>
        <w:spacing w:line="240" w:lineRule="auto"/>
        <w:rPr>
          <w:sz w:val="2"/>
          <w:szCs w:val="2"/>
        </w:rPr>
      </w:pPr>
    </w:p>
  </w:footnote>
  <w:footnote w:id="2">
    <w:p w:rsidR="00626D5C" w:rsidRPr="00D3039D" w:rsidRDefault="00626D5C" w:rsidP="00626D5C">
      <w:pPr>
        <w:pStyle w:val="FootnoteText"/>
        <w:rPr>
          <w:sz w:val="16"/>
          <w:szCs w:val="24"/>
          <w:lang w:val="fr-FR"/>
        </w:rPr>
      </w:pPr>
      <w:r w:rsidRPr="00D3039D">
        <w:rPr>
          <w:sz w:val="16"/>
          <w:szCs w:val="24"/>
          <w:lang w:val="fr-FR"/>
        </w:rPr>
        <w:tab/>
      </w:r>
      <w:r w:rsidRPr="00D3039D">
        <w:rPr>
          <w:rStyle w:val="FootnoteReference"/>
          <w:sz w:val="16"/>
          <w:szCs w:val="24"/>
          <w:lang w:val="de-DE"/>
        </w:rPr>
        <w:footnoteRef/>
      </w:r>
      <w:r w:rsidRPr="00D3039D">
        <w:rPr>
          <w:sz w:val="16"/>
          <w:szCs w:val="24"/>
          <w:lang w:val="fr-FR"/>
        </w:rPr>
        <w:tab/>
      </w:r>
      <w:r w:rsidRPr="00D3039D">
        <w:rPr>
          <w:lang w:val="fr-FR"/>
        </w:rPr>
        <w:t>Texte diffusé en langue allemande par la Commission centrale pour la navigation du Rhin sous la cote CCNR/ZKR/ADN/WP.15/AC.2/2016/</w:t>
      </w:r>
      <w:r>
        <w:rPr>
          <w:lang w:val="fr-FR"/>
        </w:rPr>
        <w:t>15</w:t>
      </w:r>
      <w:r w:rsidRPr="00D3039D">
        <w:rPr>
          <w:noProof/>
          <w:sz w:val="16"/>
          <w:szCs w:val="24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893" w:rsidRPr="00CD4281" w:rsidRDefault="00263074">
    <w:pPr>
      <w:pStyle w:val="Header"/>
    </w:pPr>
    <w:r>
      <w:t>ECE/TRANS/WP.15/AC.2/201</w:t>
    </w:r>
    <w:r w:rsidR="00CB0B63">
      <w:t>6</w:t>
    </w:r>
    <w:r w:rsidR="006B6C93">
      <w:t>/</w:t>
    </w:r>
    <w:r w:rsidR="007D70C8">
      <w:t>1</w:t>
    </w:r>
    <w:r w:rsidR="00626D5C"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893" w:rsidRPr="00CD4281" w:rsidRDefault="00AA4C53" w:rsidP="00CD4281">
    <w:pPr>
      <w:pStyle w:val="Header"/>
      <w:jc w:val="right"/>
    </w:pPr>
    <w:r>
      <w:t>ECE/TRANS/WP.15/AC.2/201</w:t>
    </w:r>
    <w:r w:rsidR="00EC298B">
      <w:t>6</w:t>
    </w:r>
    <w:r w:rsidR="00626D5C">
      <w:t>/15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98B" w:rsidRDefault="00EC29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7212"/>
    <w:multiLevelType w:val="hybridMultilevel"/>
    <w:tmpl w:val="46967074"/>
    <w:lvl w:ilvl="0" w:tplc="81AE7D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9571F96"/>
    <w:multiLevelType w:val="hybridMultilevel"/>
    <w:tmpl w:val="D58CD566"/>
    <w:lvl w:ilvl="0" w:tplc="E5E2B3DE">
      <w:start w:val="2"/>
      <w:numFmt w:val="bullet"/>
      <w:lvlText w:val="•"/>
      <w:lvlJc w:val="left"/>
      <w:pPr>
        <w:ind w:left="2772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</w:abstractNum>
  <w:abstractNum w:abstractNumId="2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3BBA7BD7"/>
    <w:multiLevelType w:val="hybridMultilevel"/>
    <w:tmpl w:val="46C2CE76"/>
    <w:lvl w:ilvl="0" w:tplc="41D4EDE0">
      <w:start w:val="5"/>
      <w:numFmt w:val="upperRoman"/>
      <w:lvlText w:val="%1."/>
      <w:lvlJc w:val="left"/>
      <w:pPr>
        <w:tabs>
          <w:tab w:val="num" w:pos="1848"/>
        </w:tabs>
        <w:ind w:left="184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4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36"/>
    <w:rsid w:val="00016AC5"/>
    <w:rsid w:val="000229BE"/>
    <w:rsid w:val="00023FAD"/>
    <w:rsid w:val="00030ADE"/>
    <w:rsid w:val="000312C0"/>
    <w:rsid w:val="00075AF8"/>
    <w:rsid w:val="00090A5D"/>
    <w:rsid w:val="000A0D7D"/>
    <w:rsid w:val="000A55CE"/>
    <w:rsid w:val="000B0D4D"/>
    <w:rsid w:val="000B60CE"/>
    <w:rsid w:val="000D17BF"/>
    <w:rsid w:val="000E10DA"/>
    <w:rsid w:val="000F41F2"/>
    <w:rsid w:val="00103471"/>
    <w:rsid w:val="00111648"/>
    <w:rsid w:val="00114D3F"/>
    <w:rsid w:val="001260A6"/>
    <w:rsid w:val="00133F18"/>
    <w:rsid w:val="00135C0D"/>
    <w:rsid w:val="001542D1"/>
    <w:rsid w:val="00160540"/>
    <w:rsid w:val="001636E0"/>
    <w:rsid w:val="001701DC"/>
    <w:rsid w:val="0017182C"/>
    <w:rsid w:val="0017360A"/>
    <w:rsid w:val="00177007"/>
    <w:rsid w:val="001823D4"/>
    <w:rsid w:val="00186EE9"/>
    <w:rsid w:val="00191B0F"/>
    <w:rsid w:val="00192EEB"/>
    <w:rsid w:val="001947FF"/>
    <w:rsid w:val="001A20FB"/>
    <w:rsid w:val="001B0BE2"/>
    <w:rsid w:val="001B46BD"/>
    <w:rsid w:val="001B6F40"/>
    <w:rsid w:val="001C4184"/>
    <w:rsid w:val="001C61AA"/>
    <w:rsid w:val="001D7F8A"/>
    <w:rsid w:val="001E3FEB"/>
    <w:rsid w:val="001E4A02"/>
    <w:rsid w:val="00223B89"/>
    <w:rsid w:val="002255DD"/>
    <w:rsid w:val="00225A8C"/>
    <w:rsid w:val="00234E40"/>
    <w:rsid w:val="00243103"/>
    <w:rsid w:val="00251000"/>
    <w:rsid w:val="00263074"/>
    <w:rsid w:val="002659F1"/>
    <w:rsid w:val="00271AAD"/>
    <w:rsid w:val="00271C7C"/>
    <w:rsid w:val="00284489"/>
    <w:rsid w:val="00287E79"/>
    <w:rsid w:val="002928F9"/>
    <w:rsid w:val="002A5D07"/>
    <w:rsid w:val="002B4585"/>
    <w:rsid w:val="002B64EB"/>
    <w:rsid w:val="002C4C91"/>
    <w:rsid w:val="002D31AC"/>
    <w:rsid w:val="002D7669"/>
    <w:rsid w:val="002E6444"/>
    <w:rsid w:val="002E6F0D"/>
    <w:rsid w:val="003016B7"/>
    <w:rsid w:val="003044AA"/>
    <w:rsid w:val="00330F9C"/>
    <w:rsid w:val="00331156"/>
    <w:rsid w:val="00340C35"/>
    <w:rsid w:val="00343C15"/>
    <w:rsid w:val="003515AA"/>
    <w:rsid w:val="00364866"/>
    <w:rsid w:val="00370352"/>
    <w:rsid w:val="00370E0F"/>
    <w:rsid w:val="00374106"/>
    <w:rsid w:val="003976D5"/>
    <w:rsid w:val="003A2976"/>
    <w:rsid w:val="003C3BD4"/>
    <w:rsid w:val="003D1DF3"/>
    <w:rsid w:val="003D46A7"/>
    <w:rsid w:val="003D6C68"/>
    <w:rsid w:val="003E5551"/>
    <w:rsid w:val="004159D0"/>
    <w:rsid w:val="00416747"/>
    <w:rsid w:val="00416BBB"/>
    <w:rsid w:val="0042377E"/>
    <w:rsid w:val="004249E7"/>
    <w:rsid w:val="00426657"/>
    <w:rsid w:val="0043292F"/>
    <w:rsid w:val="00442D65"/>
    <w:rsid w:val="004532CE"/>
    <w:rsid w:val="00460C54"/>
    <w:rsid w:val="004812F5"/>
    <w:rsid w:val="004856F9"/>
    <w:rsid w:val="00493C5D"/>
    <w:rsid w:val="004958E9"/>
    <w:rsid w:val="00497E7A"/>
    <w:rsid w:val="004A5935"/>
    <w:rsid w:val="004D0439"/>
    <w:rsid w:val="004E6373"/>
    <w:rsid w:val="00523538"/>
    <w:rsid w:val="00530F2E"/>
    <w:rsid w:val="00543D5E"/>
    <w:rsid w:val="00571F41"/>
    <w:rsid w:val="00580744"/>
    <w:rsid w:val="00580EEC"/>
    <w:rsid w:val="00595BE4"/>
    <w:rsid w:val="005A20B5"/>
    <w:rsid w:val="005A69D3"/>
    <w:rsid w:val="005B76A3"/>
    <w:rsid w:val="005E0BAE"/>
    <w:rsid w:val="005E5D1F"/>
    <w:rsid w:val="00602512"/>
    <w:rsid w:val="00603391"/>
    <w:rsid w:val="00610771"/>
    <w:rsid w:val="00611D43"/>
    <w:rsid w:val="00612D48"/>
    <w:rsid w:val="00616B45"/>
    <w:rsid w:val="00626D5C"/>
    <w:rsid w:val="00630D9B"/>
    <w:rsid w:val="00631953"/>
    <w:rsid w:val="006320E9"/>
    <w:rsid w:val="006439EC"/>
    <w:rsid w:val="00650FD4"/>
    <w:rsid w:val="00653D13"/>
    <w:rsid w:val="006606BB"/>
    <w:rsid w:val="006834E6"/>
    <w:rsid w:val="00694F83"/>
    <w:rsid w:val="006B4590"/>
    <w:rsid w:val="006B6C93"/>
    <w:rsid w:val="006C340C"/>
    <w:rsid w:val="006C7F8A"/>
    <w:rsid w:val="006D3C84"/>
    <w:rsid w:val="006E5FC7"/>
    <w:rsid w:val="0070347C"/>
    <w:rsid w:val="007176C1"/>
    <w:rsid w:val="007330FE"/>
    <w:rsid w:val="00735A79"/>
    <w:rsid w:val="00757352"/>
    <w:rsid w:val="00763EB9"/>
    <w:rsid w:val="00790336"/>
    <w:rsid w:val="00790F2F"/>
    <w:rsid w:val="007A1954"/>
    <w:rsid w:val="007B0F68"/>
    <w:rsid w:val="007C3462"/>
    <w:rsid w:val="007C3C4F"/>
    <w:rsid w:val="007D70C8"/>
    <w:rsid w:val="007E6519"/>
    <w:rsid w:val="007F55CB"/>
    <w:rsid w:val="00805BAD"/>
    <w:rsid w:val="00812C1A"/>
    <w:rsid w:val="00812C43"/>
    <w:rsid w:val="00830891"/>
    <w:rsid w:val="008317F6"/>
    <w:rsid w:val="00836A24"/>
    <w:rsid w:val="00844750"/>
    <w:rsid w:val="00846C19"/>
    <w:rsid w:val="00852754"/>
    <w:rsid w:val="0086369F"/>
    <w:rsid w:val="008940D7"/>
    <w:rsid w:val="008A767B"/>
    <w:rsid w:val="008B09B3"/>
    <w:rsid w:val="008B44C4"/>
    <w:rsid w:val="008B7879"/>
    <w:rsid w:val="008D3919"/>
    <w:rsid w:val="008E7FAE"/>
    <w:rsid w:val="008F059B"/>
    <w:rsid w:val="00911BF7"/>
    <w:rsid w:val="00911DA7"/>
    <w:rsid w:val="00916183"/>
    <w:rsid w:val="009165B3"/>
    <w:rsid w:val="00935909"/>
    <w:rsid w:val="00945FF8"/>
    <w:rsid w:val="009461E5"/>
    <w:rsid w:val="00952FDB"/>
    <w:rsid w:val="0095536D"/>
    <w:rsid w:val="00974DF0"/>
    <w:rsid w:val="00975B8F"/>
    <w:rsid w:val="009761FC"/>
    <w:rsid w:val="00977EC8"/>
    <w:rsid w:val="00980B3E"/>
    <w:rsid w:val="00984468"/>
    <w:rsid w:val="009A5E81"/>
    <w:rsid w:val="009B18A3"/>
    <w:rsid w:val="009D3A8C"/>
    <w:rsid w:val="009E01B8"/>
    <w:rsid w:val="009E2194"/>
    <w:rsid w:val="009E7956"/>
    <w:rsid w:val="00A15CB2"/>
    <w:rsid w:val="00A24903"/>
    <w:rsid w:val="00A2492E"/>
    <w:rsid w:val="00A31A6B"/>
    <w:rsid w:val="00A666CE"/>
    <w:rsid w:val="00A70163"/>
    <w:rsid w:val="00A96408"/>
    <w:rsid w:val="00A97D9A"/>
    <w:rsid w:val="00AA4C53"/>
    <w:rsid w:val="00AA5935"/>
    <w:rsid w:val="00AB40FF"/>
    <w:rsid w:val="00AB7D3D"/>
    <w:rsid w:val="00AC2802"/>
    <w:rsid w:val="00AC67A1"/>
    <w:rsid w:val="00AC7977"/>
    <w:rsid w:val="00AE352C"/>
    <w:rsid w:val="00AF1499"/>
    <w:rsid w:val="00AF4C64"/>
    <w:rsid w:val="00B02214"/>
    <w:rsid w:val="00B03463"/>
    <w:rsid w:val="00B32E2D"/>
    <w:rsid w:val="00B4466B"/>
    <w:rsid w:val="00B45E56"/>
    <w:rsid w:val="00B5393D"/>
    <w:rsid w:val="00B57132"/>
    <w:rsid w:val="00B60BEC"/>
    <w:rsid w:val="00B61990"/>
    <w:rsid w:val="00B6334B"/>
    <w:rsid w:val="00B73AAE"/>
    <w:rsid w:val="00B75DC2"/>
    <w:rsid w:val="00B75EC5"/>
    <w:rsid w:val="00B85D99"/>
    <w:rsid w:val="00B86EA9"/>
    <w:rsid w:val="00B93E72"/>
    <w:rsid w:val="00BA5250"/>
    <w:rsid w:val="00BB5362"/>
    <w:rsid w:val="00BC5FA7"/>
    <w:rsid w:val="00BD44CD"/>
    <w:rsid w:val="00BD67A2"/>
    <w:rsid w:val="00BF0556"/>
    <w:rsid w:val="00BF38EF"/>
    <w:rsid w:val="00C24B53"/>
    <w:rsid w:val="00C261F8"/>
    <w:rsid w:val="00C26F66"/>
    <w:rsid w:val="00C27150"/>
    <w:rsid w:val="00C33100"/>
    <w:rsid w:val="00C57892"/>
    <w:rsid w:val="00C7089E"/>
    <w:rsid w:val="00C74D15"/>
    <w:rsid w:val="00C908B9"/>
    <w:rsid w:val="00C940E9"/>
    <w:rsid w:val="00CA1414"/>
    <w:rsid w:val="00CB0B63"/>
    <w:rsid w:val="00CB373C"/>
    <w:rsid w:val="00CB6267"/>
    <w:rsid w:val="00CB694A"/>
    <w:rsid w:val="00CD1A25"/>
    <w:rsid w:val="00CD1A71"/>
    <w:rsid w:val="00CD1FBB"/>
    <w:rsid w:val="00CD3488"/>
    <w:rsid w:val="00CD4281"/>
    <w:rsid w:val="00CE5BF6"/>
    <w:rsid w:val="00CF1893"/>
    <w:rsid w:val="00CF7A47"/>
    <w:rsid w:val="00D016B5"/>
    <w:rsid w:val="00D034F1"/>
    <w:rsid w:val="00D04D8B"/>
    <w:rsid w:val="00D11B17"/>
    <w:rsid w:val="00D205A3"/>
    <w:rsid w:val="00D24779"/>
    <w:rsid w:val="00D24B1D"/>
    <w:rsid w:val="00D27D5E"/>
    <w:rsid w:val="00D46004"/>
    <w:rsid w:val="00D60301"/>
    <w:rsid w:val="00D64213"/>
    <w:rsid w:val="00D73AC5"/>
    <w:rsid w:val="00D761E2"/>
    <w:rsid w:val="00D92026"/>
    <w:rsid w:val="00DA4A3C"/>
    <w:rsid w:val="00DA57D4"/>
    <w:rsid w:val="00DB4793"/>
    <w:rsid w:val="00DB6CD1"/>
    <w:rsid w:val="00DC794A"/>
    <w:rsid w:val="00DE01E3"/>
    <w:rsid w:val="00DE45DF"/>
    <w:rsid w:val="00DE56E5"/>
    <w:rsid w:val="00DE6D90"/>
    <w:rsid w:val="00DF002F"/>
    <w:rsid w:val="00E00351"/>
    <w:rsid w:val="00E0244D"/>
    <w:rsid w:val="00E0331A"/>
    <w:rsid w:val="00E2484C"/>
    <w:rsid w:val="00E37AE2"/>
    <w:rsid w:val="00E401F2"/>
    <w:rsid w:val="00E413D8"/>
    <w:rsid w:val="00E47862"/>
    <w:rsid w:val="00E50079"/>
    <w:rsid w:val="00E55D71"/>
    <w:rsid w:val="00E56ED3"/>
    <w:rsid w:val="00E75221"/>
    <w:rsid w:val="00E81E94"/>
    <w:rsid w:val="00E82607"/>
    <w:rsid w:val="00EA31C2"/>
    <w:rsid w:val="00EA320D"/>
    <w:rsid w:val="00EC298B"/>
    <w:rsid w:val="00EC510E"/>
    <w:rsid w:val="00EE2EA3"/>
    <w:rsid w:val="00EE56CB"/>
    <w:rsid w:val="00EF1183"/>
    <w:rsid w:val="00EF486C"/>
    <w:rsid w:val="00F01516"/>
    <w:rsid w:val="00F32462"/>
    <w:rsid w:val="00F50F4F"/>
    <w:rsid w:val="00F56DE8"/>
    <w:rsid w:val="00F57129"/>
    <w:rsid w:val="00FA5A79"/>
    <w:rsid w:val="00FB00CB"/>
    <w:rsid w:val="00FB0BFE"/>
    <w:rsid w:val="00FB44CA"/>
    <w:rsid w:val="00FB4C51"/>
    <w:rsid w:val="00FC017A"/>
    <w:rsid w:val="00FD3CA2"/>
    <w:rsid w:val="00FF0745"/>
    <w:rsid w:val="00FF10CF"/>
    <w:rsid w:val="00FF1DBD"/>
    <w:rsid w:val="00FF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D7E374B-8021-4093-A6DC-ABB8D628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8EF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BF38EF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BF38EF"/>
    <w:pPr>
      <w:outlineLvl w:val="1"/>
    </w:pPr>
  </w:style>
  <w:style w:type="paragraph" w:styleId="Heading3">
    <w:name w:val="heading 3"/>
    <w:basedOn w:val="Normal"/>
    <w:next w:val="Normal"/>
    <w:qFormat/>
    <w:rsid w:val="00BF38EF"/>
    <w:pPr>
      <w:outlineLvl w:val="2"/>
    </w:pPr>
  </w:style>
  <w:style w:type="paragraph" w:styleId="Heading4">
    <w:name w:val="heading 4"/>
    <w:basedOn w:val="Normal"/>
    <w:next w:val="Normal"/>
    <w:qFormat/>
    <w:rsid w:val="00BF38EF"/>
    <w:pPr>
      <w:outlineLvl w:val="3"/>
    </w:pPr>
  </w:style>
  <w:style w:type="paragraph" w:styleId="Heading5">
    <w:name w:val="heading 5"/>
    <w:basedOn w:val="Normal"/>
    <w:next w:val="Normal"/>
    <w:qFormat/>
    <w:rsid w:val="00BF38EF"/>
    <w:pPr>
      <w:outlineLvl w:val="4"/>
    </w:pPr>
  </w:style>
  <w:style w:type="paragraph" w:styleId="Heading6">
    <w:name w:val="heading 6"/>
    <w:basedOn w:val="Normal"/>
    <w:next w:val="Normal"/>
    <w:qFormat/>
    <w:rsid w:val="00BF38EF"/>
    <w:pPr>
      <w:outlineLvl w:val="5"/>
    </w:pPr>
  </w:style>
  <w:style w:type="paragraph" w:styleId="Heading7">
    <w:name w:val="heading 7"/>
    <w:basedOn w:val="Normal"/>
    <w:next w:val="Normal"/>
    <w:qFormat/>
    <w:rsid w:val="00BF38EF"/>
    <w:pPr>
      <w:outlineLvl w:val="6"/>
    </w:pPr>
  </w:style>
  <w:style w:type="paragraph" w:styleId="Heading8">
    <w:name w:val="heading 8"/>
    <w:basedOn w:val="Normal"/>
    <w:next w:val="Normal"/>
    <w:qFormat/>
    <w:rsid w:val="00BF38EF"/>
    <w:pPr>
      <w:outlineLvl w:val="7"/>
    </w:pPr>
  </w:style>
  <w:style w:type="paragraph" w:styleId="Heading9">
    <w:name w:val="heading 9"/>
    <w:basedOn w:val="Normal"/>
    <w:next w:val="Normal"/>
    <w:qFormat/>
    <w:rsid w:val="00BF38E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BF38EF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BF38EF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BF38EF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BF38E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BF38E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BF38E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BF38EF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BF38EF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BF38EF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BF38EF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BF38EF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BF38EF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BF38EF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rsid w:val="00BF38EF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BF38EF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BF38EF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rsid w:val="00BF38EF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BF38EF"/>
  </w:style>
  <w:style w:type="character" w:styleId="PageNumber">
    <w:name w:val="page number"/>
    <w:aliases w:val="7_G"/>
    <w:rsid w:val="00BF38EF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BF38EF"/>
    <w:pPr>
      <w:spacing w:line="240" w:lineRule="auto"/>
    </w:pPr>
    <w:rPr>
      <w:sz w:val="16"/>
    </w:rPr>
  </w:style>
  <w:style w:type="character" w:styleId="Hyperlink">
    <w:name w:val="Hyperlink"/>
    <w:semiHidden/>
    <w:rsid w:val="00BF38EF"/>
    <w:rPr>
      <w:color w:val="auto"/>
      <w:u w:val="none"/>
    </w:rPr>
  </w:style>
  <w:style w:type="character" w:styleId="FollowedHyperlink">
    <w:name w:val="FollowedHyperlink"/>
    <w:semiHidden/>
    <w:rsid w:val="00BF38EF"/>
    <w:rPr>
      <w:color w:val="auto"/>
      <w:u w:val="none"/>
    </w:rPr>
  </w:style>
  <w:style w:type="character" w:customStyle="1" w:styleId="H1GChar">
    <w:name w:val="_ H_1_G Char"/>
    <w:link w:val="H1G"/>
    <w:rsid w:val="00CD4281"/>
    <w:rPr>
      <w:b/>
      <w:sz w:val="24"/>
      <w:lang w:val="fr-CH" w:eastAsia="en-US" w:bidi="ar-SA"/>
    </w:rPr>
  </w:style>
  <w:style w:type="table" w:styleId="TableGrid">
    <w:name w:val="Table Grid"/>
    <w:basedOn w:val="TableNormal"/>
    <w:semiHidden/>
    <w:rsid w:val="00BF38E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locked/>
    <w:rsid w:val="002E6F0D"/>
    <w:rPr>
      <w:lang w:val="fr-CH" w:eastAsia="en-US"/>
    </w:rPr>
  </w:style>
  <w:style w:type="character" w:customStyle="1" w:styleId="H23GChar">
    <w:name w:val="_ H_2/3_G Char"/>
    <w:link w:val="H23G"/>
    <w:rsid w:val="002E6F0D"/>
    <w:rPr>
      <w:b/>
      <w:lang w:val="fr-CH" w:eastAsia="en-US"/>
    </w:rPr>
  </w:style>
  <w:style w:type="paragraph" w:styleId="BalloonText">
    <w:name w:val="Balloon Text"/>
    <w:basedOn w:val="Normal"/>
    <w:link w:val="BalloonTextChar"/>
    <w:rsid w:val="00023F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3FAD"/>
    <w:rPr>
      <w:rFonts w:ascii="Tahoma" w:hAnsi="Tahoma" w:cs="Tahoma"/>
      <w:sz w:val="16"/>
      <w:szCs w:val="16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3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8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69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0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1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1083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18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7A5F-712E-4575-B1A9-D8720D163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ECE/TRANS/WP.15/AC.2/2012/7</vt:lpstr>
    </vt:vector>
  </TitlesOfParts>
  <Company>CSD</Company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ECE/TRANS/WP.15/AC.2/2012/7</dc:title>
  <dc:subject>Semifinal</dc:subject>
  <dc:creator>Letaillieur</dc:creator>
  <cp:lastModifiedBy>Caillot</cp:lastModifiedBy>
  <cp:revision>2</cp:revision>
  <cp:lastPrinted>2015-04-23T08:25:00Z</cp:lastPrinted>
  <dcterms:created xsi:type="dcterms:W3CDTF">2015-10-23T14:32:00Z</dcterms:created>
  <dcterms:modified xsi:type="dcterms:W3CDTF">2015-10-23T14:32:00Z</dcterms:modified>
</cp:coreProperties>
</file>