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3A" w:rsidRPr="006E36F7" w:rsidRDefault="0030663A" w:rsidP="0030663A">
      <w:pPr>
        <w:spacing w:line="60" w:lineRule="exact"/>
        <w:rPr>
          <w:color w:val="010000"/>
          <w:sz w:val="6"/>
        </w:rPr>
        <w:sectPr w:rsidR="0030663A" w:rsidRPr="006E36F7" w:rsidSect="003066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6E36F7" w:rsidRPr="006E36F7" w:rsidRDefault="006E36F7" w:rsidP="006E36F7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6E36F7">
        <w:rPr>
          <w:lang w:bidi="ru-RU"/>
        </w:rPr>
        <w:lastRenderedPageBreak/>
        <w:t>Европейская экономическая комиссия</w:t>
      </w:r>
    </w:p>
    <w:p w:rsidR="006E36F7" w:rsidRPr="006E36F7" w:rsidRDefault="006E36F7" w:rsidP="006E36F7">
      <w:pPr>
        <w:spacing w:line="120" w:lineRule="exact"/>
        <w:rPr>
          <w:sz w:val="10"/>
          <w:lang w:bidi="ru-RU"/>
        </w:rPr>
      </w:pPr>
    </w:p>
    <w:p w:rsidR="006E36F7" w:rsidRPr="006E36F7" w:rsidRDefault="006E36F7" w:rsidP="006E36F7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lang w:bidi="ru-RU"/>
        </w:rPr>
      </w:pPr>
      <w:r w:rsidRPr="006E36F7">
        <w:rPr>
          <w:b w:val="0"/>
          <w:lang w:bidi="ru-RU"/>
        </w:rPr>
        <w:t>Комитет по внутреннему транспорту</w:t>
      </w:r>
    </w:p>
    <w:p w:rsidR="006E36F7" w:rsidRPr="006E36F7" w:rsidRDefault="006E36F7" w:rsidP="006E36F7">
      <w:pPr>
        <w:spacing w:line="120" w:lineRule="exact"/>
        <w:rPr>
          <w:sz w:val="10"/>
          <w:lang w:bidi="ru-RU"/>
        </w:rPr>
      </w:pPr>
    </w:p>
    <w:p w:rsidR="006E36F7" w:rsidRPr="006E36F7" w:rsidRDefault="006E36F7" w:rsidP="006E36F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6E36F7">
        <w:rPr>
          <w:lang w:bidi="ru-RU"/>
        </w:rPr>
        <w:t>Рабочая группа по перевозкам опасных грузов</w:t>
      </w:r>
    </w:p>
    <w:p w:rsidR="006E36F7" w:rsidRPr="006E36F7" w:rsidRDefault="006E36F7" w:rsidP="006E36F7">
      <w:pPr>
        <w:spacing w:line="120" w:lineRule="exact"/>
        <w:rPr>
          <w:sz w:val="10"/>
          <w:lang w:bidi="ru-RU"/>
        </w:rPr>
      </w:pPr>
    </w:p>
    <w:p w:rsidR="006E36F7" w:rsidRPr="006E36F7" w:rsidRDefault="006E36F7" w:rsidP="006E36F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6E36F7">
        <w:rPr>
          <w:lang w:bidi="ru-RU"/>
        </w:rPr>
        <w:t xml:space="preserve">Совместное совещание экспертов по Правилам, </w:t>
      </w:r>
      <w:r w:rsidRPr="006E36F7">
        <w:rPr>
          <w:lang w:bidi="ru-RU"/>
        </w:rPr>
        <w:br/>
        <w:t xml:space="preserve">прилагаемым к Европейскому соглашению </w:t>
      </w:r>
      <w:r>
        <w:rPr>
          <w:lang w:val="en-US" w:bidi="ru-RU"/>
        </w:rPr>
        <w:br/>
      </w:r>
      <w:r w:rsidRPr="006E36F7">
        <w:rPr>
          <w:lang w:bidi="ru-RU"/>
        </w:rPr>
        <w:t xml:space="preserve">о международной перевозке опасных грузов </w:t>
      </w:r>
      <w:r w:rsidRPr="006E36F7">
        <w:rPr>
          <w:lang w:bidi="ru-RU"/>
        </w:rPr>
        <w:br/>
        <w:t xml:space="preserve">по внутренним водным путям (ВОПОГ) </w:t>
      </w:r>
      <w:r w:rsidRPr="006E36F7">
        <w:rPr>
          <w:lang w:bidi="ru-RU"/>
        </w:rPr>
        <w:br/>
        <w:t>(Комитет по вопросам безопасности ВОПОГ)</w:t>
      </w:r>
    </w:p>
    <w:p w:rsidR="006E36F7" w:rsidRPr="006E36F7" w:rsidRDefault="006E36F7" w:rsidP="006E36F7">
      <w:pPr>
        <w:spacing w:line="120" w:lineRule="exact"/>
        <w:rPr>
          <w:sz w:val="10"/>
          <w:lang w:bidi="ru-RU"/>
        </w:rPr>
      </w:pPr>
    </w:p>
    <w:p w:rsidR="006E36F7" w:rsidRPr="006E36F7" w:rsidRDefault="006E36F7" w:rsidP="006E36F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6E36F7">
        <w:rPr>
          <w:lang w:bidi="ru-RU"/>
        </w:rPr>
        <w:t>Двадцать восьмая сессия</w:t>
      </w:r>
    </w:p>
    <w:p w:rsidR="006E36F7" w:rsidRPr="006E36F7" w:rsidRDefault="006E36F7" w:rsidP="006E36F7">
      <w:pPr>
        <w:rPr>
          <w:lang w:bidi="ru-RU"/>
        </w:rPr>
      </w:pPr>
      <w:r w:rsidRPr="006E36F7">
        <w:rPr>
          <w:lang w:bidi="ru-RU"/>
        </w:rPr>
        <w:t>Женева, 25–29 января 2016 года</w:t>
      </w:r>
    </w:p>
    <w:p w:rsidR="006E36F7" w:rsidRPr="006E36F7" w:rsidRDefault="006E36F7" w:rsidP="006E36F7">
      <w:pPr>
        <w:rPr>
          <w:lang w:bidi="ru-RU"/>
        </w:rPr>
      </w:pPr>
      <w:r w:rsidRPr="006E36F7">
        <w:rPr>
          <w:lang w:bidi="ru-RU"/>
        </w:rPr>
        <w:t>Пункт 5 b) предварительной повестки дня</w:t>
      </w:r>
    </w:p>
    <w:p w:rsidR="006E36F7" w:rsidRPr="006E36F7" w:rsidRDefault="006E36F7" w:rsidP="006E36F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6E36F7">
        <w:rPr>
          <w:lang w:bidi="ru-RU"/>
        </w:rPr>
        <w:t xml:space="preserve">Предложения о внесении поправок в Правила, </w:t>
      </w:r>
      <w:r w:rsidRPr="006E36F7">
        <w:rPr>
          <w:lang w:bidi="ru-RU"/>
        </w:rPr>
        <w:br/>
        <w:t>прилагаемые к ВОПОГ: Другие предложения</w:t>
      </w:r>
    </w:p>
    <w:p w:rsidR="006E36F7" w:rsidRPr="006E36F7" w:rsidRDefault="006E36F7" w:rsidP="006E36F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6E36F7" w:rsidRPr="006E36F7" w:rsidRDefault="006E36F7" w:rsidP="006E36F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6E36F7" w:rsidRPr="006E36F7" w:rsidRDefault="006E36F7" w:rsidP="006E36F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6E36F7" w:rsidRPr="006E36F7" w:rsidRDefault="006E36F7" w:rsidP="006E36F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6E36F7">
        <w:rPr>
          <w:lang w:bidi="ru-RU"/>
        </w:rPr>
        <w:tab/>
      </w:r>
      <w:r w:rsidRPr="006E36F7">
        <w:rPr>
          <w:lang w:bidi="ru-RU"/>
        </w:rPr>
        <w:tab/>
        <w:t>Предложения в отношении формулировок и включения замечаний 35 и 36 в таблице</w:t>
      </w:r>
      <w:proofErr w:type="gramStart"/>
      <w:r w:rsidRPr="006E36F7">
        <w:rPr>
          <w:lang w:bidi="ru-RU"/>
        </w:rPr>
        <w:t xml:space="preserve"> С</w:t>
      </w:r>
      <w:proofErr w:type="gramEnd"/>
    </w:p>
    <w:p w:rsidR="006E36F7" w:rsidRPr="006E36F7" w:rsidRDefault="006E36F7" w:rsidP="006E36F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6E36F7" w:rsidRPr="006E36F7" w:rsidRDefault="006E36F7" w:rsidP="006E36F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6E36F7" w:rsidRPr="006E36F7" w:rsidRDefault="006E36F7" w:rsidP="006E36F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6E36F7">
        <w:rPr>
          <w:lang w:bidi="ru-RU"/>
        </w:rPr>
        <w:tab/>
      </w:r>
      <w:r w:rsidRPr="006E36F7">
        <w:rPr>
          <w:lang w:bidi="ru-RU"/>
        </w:rPr>
        <w:tab/>
        <w:t>Передано Центральной комиссией судоходства по Рейну (ЦКСР)</w:t>
      </w:r>
      <w:r w:rsidRPr="006E36F7">
        <w:rPr>
          <w:b w:val="0"/>
          <w:sz w:val="20"/>
          <w:vertAlign w:val="superscript"/>
          <w:lang w:bidi="ru-RU"/>
        </w:rPr>
        <w:footnoteReference w:id="1"/>
      </w:r>
    </w:p>
    <w:p w:rsidR="006E36F7" w:rsidRPr="006E36F7" w:rsidRDefault="006E36F7" w:rsidP="006E36F7">
      <w:pPr>
        <w:pStyle w:val="SingleTxt"/>
        <w:spacing w:after="0" w:line="120" w:lineRule="exact"/>
        <w:rPr>
          <w:sz w:val="10"/>
          <w:lang w:bidi="ru-RU"/>
        </w:rPr>
      </w:pPr>
    </w:p>
    <w:p w:rsidR="006E36F7" w:rsidRPr="006E36F7" w:rsidRDefault="006E36F7" w:rsidP="006E36F7">
      <w:pPr>
        <w:pStyle w:val="SingleTxt"/>
        <w:spacing w:after="0" w:line="120" w:lineRule="exact"/>
        <w:rPr>
          <w:sz w:val="10"/>
          <w:lang w:bidi="ru-RU"/>
        </w:rPr>
      </w:pPr>
    </w:p>
    <w:p w:rsidR="006E36F7" w:rsidRPr="006E36F7" w:rsidRDefault="006E36F7" w:rsidP="006E36F7">
      <w:pPr>
        <w:pStyle w:val="SingleTxt"/>
        <w:rPr>
          <w:bCs/>
          <w:lang w:bidi="ru-RU"/>
        </w:rPr>
      </w:pPr>
      <w:r w:rsidRPr="006E36F7">
        <w:rPr>
          <w:lang w:bidi="ru-RU"/>
        </w:rPr>
        <w:t>1.</w:t>
      </w:r>
      <w:r w:rsidRPr="006E36F7">
        <w:rPr>
          <w:lang w:bidi="ru-RU"/>
        </w:rPr>
        <w:tab/>
        <w:t>На основе неофициального документа, представленного бельгийской дел</w:t>
      </w:r>
      <w:r w:rsidRPr="006E36F7">
        <w:rPr>
          <w:lang w:bidi="ru-RU"/>
        </w:rPr>
        <w:t>е</w:t>
      </w:r>
      <w:r w:rsidRPr="006E36F7">
        <w:rPr>
          <w:lang w:bidi="ru-RU"/>
        </w:rPr>
        <w:t>гацией, Комитет по вопросам безопасности ВОПОГ принял к сведению тот факт, что предусмотренные пунктами 9.3.x.27.6 замечания 35 и 36 в колонке 20 табл</w:t>
      </w:r>
      <w:r w:rsidRPr="006E36F7">
        <w:rPr>
          <w:lang w:bidi="ru-RU"/>
        </w:rPr>
        <w:t>и</w:t>
      </w:r>
      <w:r w:rsidRPr="006E36F7">
        <w:rPr>
          <w:lang w:bidi="ru-RU"/>
        </w:rPr>
        <w:t>цы</w:t>
      </w:r>
      <w:proofErr w:type="gramStart"/>
      <w:r w:rsidRPr="006E36F7">
        <w:rPr>
          <w:lang w:bidi="ru-RU"/>
        </w:rPr>
        <w:t xml:space="preserve"> С</w:t>
      </w:r>
      <w:proofErr w:type="gramEnd"/>
      <w:r w:rsidRPr="006E36F7">
        <w:rPr>
          <w:lang w:bidi="ru-RU"/>
        </w:rPr>
        <w:t xml:space="preserve"> не указаны ни по одному веществу. Комитет предложил </w:t>
      </w:r>
      <w:proofErr w:type="gramStart"/>
      <w:r w:rsidRPr="006E36F7">
        <w:rPr>
          <w:lang w:bidi="ru-RU"/>
        </w:rPr>
        <w:t>неофициальной</w:t>
      </w:r>
      <w:proofErr w:type="gramEnd"/>
      <w:r w:rsidRPr="006E36F7">
        <w:rPr>
          <w:lang w:bidi="ru-RU"/>
        </w:rPr>
        <w:t xml:space="preserve"> р</w:t>
      </w:r>
      <w:r w:rsidRPr="006E36F7">
        <w:rPr>
          <w:lang w:bidi="ru-RU"/>
        </w:rPr>
        <w:t>а</w:t>
      </w:r>
      <w:r w:rsidRPr="006E36F7">
        <w:rPr>
          <w:lang w:bidi="ru-RU"/>
        </w:rPr>
        <w:t>бочей группе по веществам заняться этим вопросом.</w:t>
      </w:r>
    </w:p>
    <w:p w:rsidR="006E36F7" w:rsidRPr="006E36F7" w:rsidRDefault="006E36F7" w:rsidP="006E36F7">
      <w:pPr>
        <w:pStyle w:val="SingleTxt"/>
        <w:rPr>
          <w:bCs/>
          <w:lang w:bidi="ru-RU"/>
        </w:rPr>
      </w:pPr>
      <w:r w:rsidRPr="006E36F7">
        <w:rPr>
          <w:lang w:bidi="ru-RU"/>
        </w:rPr>
        <w:t>2.</w:t>
      </w:r>
      <w:r w:rsidRPr="006E36F7">
        <w:rPr>
          <w:lang w:bidi="ru-RU"/>
        </w:rPr>
        <w:tab/>
        <w:t>Неофициальная рабочая группа по веществам рассмотрела данный вопрос. В соответствии с требованиями к конструкции помимо прямой и непрямой с</w:t>
      </w:r>
      <w:r w:rsidRPr="006E36F7">
        <w:rPr>
          <w:lang w:bidi="ru-RU"/>
        </w:rPr>
        <w:t>и</w:t>
      </w:r>
      <w:r w:rsidRPr="006E36F7">
        <w:rPr>
          <w:lang w:bidi="ru-RU"/>
        </w:rPr>
        <w:t>стем охлаждения существуют смешанные системы. В замечании 35 содержится указание на то, что установка прямых систем охлаждения не разрешается. Зам</w:t>
      </w:r>
      <w:r w:rsidRPr="006E36F7">
        <w:rPr>
          <w:lang w:bidi="ru-RU"/>
        </w:rPr>
        <w:t>е</w:t>
      </w:r>
      <w:r w:rsidRPr="006E36F7">
        <w:rPr>
          <w:lang w:bidi="ru-RU"/>
        </w:rPr>
        <w:t>чание 36 требует использования прямой системы охлаждения. В соответствии с действующими правилами предписание в виде замечаний 35 и 36 не указано ни для одной позиции таблицы С.</w:t>
      </w:r>
    </w:p>
    <w:p w:rsidR="006E36F7" w:rsidRPr="006E36F7" w:rsidRDefault="006E36F7" w:rsidP="006E36F7">
      <w:pPr>
        <w:pStyle w:val="SingleTxt"/>
        <w:rPr>
          <w:bCs/>
          <w:lang w:bidi="ru-RU"/>
        </w:rPr>
      </w:pPr>
      <w:r w:rsidRPr="006E36F7">
        <w:rPr>
          <w:lang w:bidi="ru-RU"/>
        </w:rPr>
        <w:t>3.</w:t>
      </w:r>
      <w:r w:rsidRPr="006E36F7">
        <w:rPr>
          <w:lang w:bidi="ru-RU"/>
        </w:rPr>
        <w:tab/>
        <w:t xml:space="preserve">Предписание в виде замечаний 35 и 36 указывается с целью не допустить использование систем охлаждения, предусматривающих частичное или полное охлаждение, сопровождающееся сжатием груза, в случае веществ, для которых </w:t>
      </w:r>
      <w:r w:rsidRPr="006E36F7">
        <w:rPr>
          <w:lang w:bidi="ru-RU"/>
        </w:rPr>
        <w:lastRenderedPageBreak/>
        <w:t>такое уменьшение объема приведет, скорее всего, к опасным реакциям. В табл</w:t>
      </w:r>
      <w:r w:rsidRPr="006E36F7">
        <w:rPr>
          <w:lang w:bidi="ru-RU"/>
        </w:rPr>
        <w:t>и</w:t>
      </w:r>
      <w:r w:rsidRPr="006E36F7">
        <w:rPr>
          <w:lang w:bidi="ru-RU"/>
        </w:rPr>
        <w:t>це</w:t>
      </w:r>
      <w:proofErr w:type="gramStart"/>
      <w:r w:rsidRPr="006E36F7">
        <w:rPr>
          <w:lang w:bidi="ru-RU"/>
        </w:rPr>
        <w:t xml:space="preserve"> С</w:t>
      </w:r>
      <w:proofErr w:type="gramEnd"/>
      <w:r w:rsidRPr="006E36F7">
        <w:rPr>
          <w:lang w:bidi="ru-RU"/>
        </w:rPr>
        <w:t xml:space="preserve"> это касается следующих четырех позиций:</w:t>
      </w:r>
    </w:p>
    <w:p w:rsidR="006E36F7" w:rsidRPr="006E36F7" w:rsidRDefault="006E36F7" w:rsidP="006E36F7">
      <w:pPr>
        <w:pStyle w:val="SingleTxt"/>
        <w:ind w:left="2693" w:hanging="1426"/>
        <w:rPr>
          <w:lang w:bidi="ru-RU"/>
        </w:rPr>
      </w:pPr>
      <w:r>
        <w:rPr>
          <w:lang w:bidi="ru-RU"/>
        </w:rPr>
        <w:t>№ ООН 1040</w:t>
      </w:r>
      <w:r w:rsidRPr="006E36F7">
        <w:rPr>
          <w:lang w:bidi="ru-RU"/>
        </w:rPr>
        <w:tab/>
        <w:t>ЭТИЛЕНА ОКСИД С АЗОТОМ при общем давлении до 1 МПа (10 бар) при температуре 50 °C;</w:t>
      </w:r>
    </w:p>
    <w:p w:rsidR="006E36F7" w:rsidRPr="006E36F7" w:rsidRDefault="006E36F7" w:rsidP="006E36F7">
      <w:pPr>
        <w:pStyle w:val="SingleTxt"/>
        <w:ind w:left="2693" w:hanging="1426"/>
        <w:rPr>
          <w:lang w:bidi="ru-RU"/>
        </w:rPr>
      </w:pPr>
      <w:r>
        <w:rPr>
          <w:lang w:bidi="ru-RU"/>
        </w:rPr>
        <w:t>№ ООН 1089</w:t>
      </w:r>
      <w:r w:rsidRPr="006E36F7">
        <w:rPr>
          <w:lang w:bidi="ru-RU"/>
        </w:rPr>
        <w:tab/>
        <w:t>АЦЕТАЛЬДЕГИД (</w:t>
      </w:r>
      <w:proofErr w:type="spellStart"/>
      <w:r w:rsidRPr="006E36F7">
        <w:rPr>
          <w:lang w:bidi="ru-RU"/>
        </w:rPr>
        <w:t>этаналь</w:t>
      </w:r>
      <w:proofErr w:type="spellEnd"/>
      <w:r w:rsidRPr="006E36F7">
        <w:rPr>
          <w:lang w:bidi="ru-RU"/>
        </w:rPr>
        <w:t>);</w:t>
      </w:r>
    </w:p>
    <w:p w:rsidR="006E36F7" w:rsidRPr="006E36F7" w:rsidRDefault="006E36F7" w:rsidP="006E36F7">
      <w:pPr>
        <w:pStyle w:val="SingleTxt"/>
        <w:ind w:left="2693" w:hanging="1426"/>
        <w:rPr>
          <w:lang w:bidi="ru-RU"/>
        </w:rPr>
      </w:pPr>
      <w:r>
        <w:rPr>
          <w:lang w:bidi="ru-RU"/>
        </w:rPr>
        <w:t>№ ООН 1280</w:t>
      </w:r>
      <w:r w:rsidRPr="006E36F7">
        <w:rPr>
          <w:lang w:bidi="ru-RU"/>
        </w:rPr>
        <w:tab/>
        <w:t>ПРОПИЛЕНОКСИД и</w:t>
      </w:r>
    </w:p>
    <w:p w:rsidR="006E36F7" w:rsidRPr="006E36F7" w:rsidRDefault="006E36F7" w:rsidP="006E36F7">
      <w:pPr>
        <w:pStyle w:val="SingleTxt"/>
        <w:ind w:left="2693" w:hanging="1426"/>
        <w:rPr>
          <w:lang w:bidi="ru-RU"/>
        </w:rPr>
      </w:pPr>
      <w:r>
        <w:rPr>
          <w:lang w:bidi="ru-RU"/>
        </w:rPr>
        <w:t>№ ООН 2983</w:t>
      </w:r>
      <w:r w:rsidRPr="006E36F7">
        <w:rPr>
          <w:lang w:bidi="ru-RU"/>
        </w:rPr>
        <w:tab/>
        <w:t>ЭТИЛЕНА ОКСИДА И ПРОПИЛЕНА ОКСИДА СМЕСЬ, соде</w:t>
      </w:r>
      <w:r w:rsidRPr="006E36F7">
        <w:rPr>
          <w:lang w:bidi="ru-RU"/>
        </w:rPr>
        <w:t>р</w:t>
      </w:r>
      <w:r w:rsidRPr="006E36F7">
        <w:rPr>
          <w:lang w:bidi="ru-RU"/>
        </w:rPr>
        <w:t>жащая не более 30% этилена оксида.</w:t>
      </w:r>
    </w:p>
    <w:p w:rsidR="006E36F7" w:rsidRPr="006E36F7" w:rsidRDefault="006E36F7" w:rsidP="006E36F7">
      <w:pPr>
        <w:pStyle w:val="SingleTxt"/>
        <w:rPr>
          <w:lang w:bidi="ru-RU"/>
        </w:rPr>
      </w:pPr>
      <w:r w:rsidRPr="006E36F7">
        <w:rPr>
          <w:lang w:bidi="ru-RU"/>
        </w:rPr>
        <w:t>4.</w:t>
      </w:r>
      <w:r w:rsidRPr="006E36F7">
        <w:rPr>
          <w:lang w:bidi="ru-RU"/>
        </w:rPr>
        <w:tab/>
        <w:t>Члены неофициальной рабочей группы пришли к выводу, что замечания 35 и 36 могли бы быть объединены для удобства использования.</w:t>
      </w:r>
    </w:p>
    <w:p w:rsidR="006E36F7" w:rsidRPr="006E36F7" w:rsidRDefault="006E36F7" w:rsidP="006E36F7">
      <w:pPr>
        <w:pStyle w:val="SingleTxt"/>
        <w:rPr>
          <w:lang w:bidi="ru-RU"/>
        </w:rPr>
      </w:pPr>
      <w:r w:rsidRPr="006E36F7">
        <w:rPr>
          <w:lang w:bidi="ru-RU"/>
        </w:rPr>
        <w:t>5.</w:t>
      </w:r>
      <w:r w:rsidRPr="006E36F7">
        <w:rPr>
          <w:lang w:bidi="ru-RU"/>
        </w:rPr>
        <w:tab/>
        <w:t>В связи с этим пре</w:t>
      </w:r>
      <w:r>
        <w:rPr>
          <w:lang w:bidi="ru-RU"/>
        </w:rPr>
        <w:t>длагается в подразделе 3.2.3.1 «</w:t>
      </w:r>
      <w:r w:rsidRPr="006E36F7">
        <w:rPr>
          <w:lang w:bidi="ru-RU"/>
        </w:rPr>
        <w:t>Пояснения к таблице</w:t>
      </w:r>
      <w:proofErr w:type="gramStart"/>
      <w:r w:rsidRPr="006E36F7">
        <w:rPr>
          <w:lang w:bidi="ru-RU"/>
        </w:rPr>
        <w:t xml:space="preserve"> С</w:t>
      </w:r>
      <w:proofErr w:type="gramEnd"/>
      <w:r>
        <w:rPr>
          <w:lang w:bidi="ru-RU"/>
        </w:rPr>
        <w:t>» в </w:t>
      </w:r>
      <w:r w:rsidRPr="006E36F7">
        <w:rPr>
          <w:lang w:bidi="ru-RU"/>
        </w:rPr>
        <w:t>пояснениях к колонке 20 изложить замечание 35 в следующей редакции:</w:t>
      </w:r>
    </w:p>
    <w:p w:rsidR="006E36F7" w:rsidRPr="006E36F7" w:rsidRDefault="006E36F7" w:rsidP="006E36F7">
      <w:pPr>
        <w:pStyle w:val="SingleTxt"/>
        <w:rPr>
          <w:lang w:bidi="ru-RU"/>
        </w:rPr>
      </w:pPr>
      <w:r>
        <w:rPr>
          <w:lang w:bidi="ru-RU"/>
        </w:rPr>
        <w:t>«</w:t>
      </w:r>
      <w:r w:rsidRPr="006E36F7">
        <w:rPr>
          <w:lang w:bidi="ru-RU"/>
        </w:rPr>
        <w:t>35.</w:t>
      </w:r>
      <w:r w:rsidRPr="006E36F7">
        <w:rPr>
          <w:lang w:bidi="ru-RU"/>
        </w:rPr>
        <w:tab/>
        <w:t>При перевозке этого вещества допускается установка только непрямой с</w:t>
      </w:r>
      <w:r w:rsidRPr="006E36F7">
        <w:rPr>
          <w:lang w:bidi="ru-RU"/>
        </w:rPr>
        <w:t>и</w:t>
      </w:r>
      <w:r w:rsidRPr="006E36F7">
        <w:rPr>
          <w:lang w:bidi="ru-RU"/>
        </w:rPr>
        <w:t>стемы охлаждения груза. Использование прямых и смешанных систем не разр</w:t>
      </w:r>
      <w:r w:rsidRPr="006E36F7">
        <w:rPr>
          <w:lang w:bidi="ru-RU"/>
        </w:rPr>
        <w:t>е</w:t>
      </w:r>
      <w:r w:rsidRPr="006E36F7">
        <w:rPr>
          <w:lang w:bidi="ru-RU"/>
        </w:rPr>
        <w:t>шается</w:t>
      </w:r>
      <w:r>
        <w:rPr>
          <w:lang w:bidi="ru-RU"/>
        </w:rPr>
        <w:t>»</w:t>
      </w:r>
      <w:r w:rsidRPr="006E36F7">
        <w:rPr>
          <w:lang w:bidi="ru-RU"/>
        </w:rPr>
        <w:t>.</w:t>
      </w:r>
    </w:p>
    <w:p w:rsidR="006E36F7" w:rsidRPr="006E36F7" w:rsidRDefault="006E36F7" w:rsidP="006E36F7">
      <w:pPr>
        <w:pStyle w:val="SingleTxt"/>
        <w:rPr>
          <w:lang w:bidi="ru-RU"/>
        </w:rPr>
      </w:pPr>
      <w:r w:rsidRPr="006E36F7">
        <w:rPr>
          <w:lang w:bidi="ru-RU"/>
        </w:rPr>
        <w:t>6.</w:t>
      </w:r>
      <w:r w:rsidRPr="006E36F7">
        <w:rPr>
          <w:lang w:bidi="ru-RU"/>
        </w:rPr>
        <w:tab/>
        <w:t>Предлагается следующая формулировка замечания 36:</w:t>
      </w:r>
    </w:p>
    <w:p w:rsidR="006E36F7" w:rsidRPr="006E36F7" w:rsidRDefault="006E36F7" w:rsidP="006E36F7">
      <w:pPr>
        <w:pStyle w:val="SingleTxt"/>
        <w:rPr>
          <w:lang w:bidi="ru-RU"/>
        </w:rPr>
      </w:pPr>
      <w:r>
        <w:rPr>
          <w:lang w:bidi="ru-RU"/>
        </w:rPr>
        <w:t>«</w:t>
      </w:r>
      <w:r w:rsidR="00D85D9F">
        <w:rPr>
          <w:lang w:bidi="ru-RU"/>
        </w:rPr>
        <w:t>36.</w:t>
      </w:r>
      <w:r w:rsidR="00D85D9F">
        <w:rPr>
          <w:lang w:bidi="ru-RU"/>
        </w:rPr>
        <w:tab/>
      </w:r>
      <w:r w:rsidRPr="006E36F7">
        <w:rPr>
          <w:lang w:bidi="ru-RU"/>
        </w:rPr>
        <w:t>Объединено с замечанием 35</w:t>
      </w:r>
      <w:r>
        <w:rPr>
          <w:lang w:bidi="ru-RU"/>
        </w:rPr>
        <w:t>»</w:t>
      </w:r>
      <w:r w:rsidRPr="006E36F7">
        <w:rPr>
          <w:lang w:bidi="ru-RU"/>
        </w:rPr>
        <w:t>.</w:t>
      </w:r>
    </w:p>
    <w:p w:rsidR="006E36F7" w:rsidRPr="006E36F7" w:rsidRDefault="006E36F7" w:rsidP="006E36F7">
      <w:pPr>
        <w:pStyle w:val="SingleTxt"/>
        <w:rPr>
          <w:lang w:bidi="ru-RU"/>
        </w:rPr>
      </w:pPr>
      <w:r w:rsidRPr="006E36F7">
        <w:rPr>
          <w:lang w:bidi="ru-RU"/>
        </w:rPr>
        <w:t>7.</w:t>
      </w:r>
      <w:r w:rsidRPr="006E36F7">
        <w:rPr>
          <w:lang w:bidi="ru-RU"/>
        </w:rPr>
        <w:tab/>
        <w:t>В этой связи предлагается изменить фор</w:t>
      </w:r>
      <w:r>
        <w:rPr>
          <w:lang w:bidi="ru-RU"/>
        </w:rPr>
        <w:t>мулировку замечания 35 в пун</w:t>
      </w:r>
      <w:r>
        <w:rPr>
          <w:lang w:bidi="ru-RU"/>
        </w:rPr>
        <w:t>к</w:t>
      </w:r>
      <w:r>
        <w:rPr>
          <w:lang w:bidi="ru-RU"/>
        </w:rPr>
        <w:t>те </w:t>
      </w:r>
      <w:r w:rsidRPr="006E36F7">
        <w:rPr>
          <w:lang w:bidi="ru-RU"/>
        </w:rPr>
        <w:t>3.2.3.3, Схема принятия решения, схемы и критерии для определения прим</w:t>
      </w:r>
      <w:r w:rsidRPr="006E36F7">
        <w:rPr>
          <w:lang w:bidi="ru-RU"/>
        </w:rPr>
        <w:t>е</w:t>
      </w:r>
      <w:r w:rsidRPr="006E36F7">
        <w:rPr>
          <w:lang w:bidi="ru-RU"/>
        </w:rPr>
        <w:t>нимых специальных требований (колонки 6</w:t>
      </w:r>
      <w:r>
        <w:rPr>
          <w:lang w:bidi="ru-RU"/>
        </w:rPr>
        <w:t>–</w:t>
      </w:r>
      <w:r w:rsidRPr="006E36F7">
        <w:rPr>
          <w:lang w:bidi="ru-RU"/>
        </w:rPr>
        <w:t xml:space="preserve">20 таблицы С), колонка 20: </w:t>
      </w:r>
      <w:proofErr w:type="gramStart"/>
      <w:r>
        <w:rPr>
          <w:lang w:bidi="ru-RU"/>
        </w:rPr>
        <w:t>«</w:t>
      </w:r>
      <w:r w:rsidRPr="006E36F7">
        <w:rPr>
          <w:lang w:bidi="ru-RU"/>
        </w:rPr>
        <w:t>Допо</w:t>
      </w:r>
      <w:r w:rsidRPr="006E36F7">
        <w:rPr>
          <w:lang w:bidi="ru-RU"/>
        </w:rPr>
        <w:t>л</w:t>
      </w:r>
      <w:r w:rsidRPr="006E36F7">
        <w:rPr>
          <w:lang w:bidi="ru-RU"/>
        </w:rPr>
        <w:t>нительные требования/замечания</w:t>
      </w:r>
      <w:r>
        <w:rPr>
          <w:lang w:bidi="ru-RU"/>
        </w:rPr>
        <w:t>»</w:t>
      </w:r>
      <w:r w:rsidRPr="006E36F7">
        <w:rPr>
          <w:lang w:bidi="ru-RU"/>
        </w:rPr>
        <w:t>, и пункта 3.2.4.3, Критерии классификации веществ (L.</w:t>
      </w:r>
      <w:proofErr w:type="gramEnd"/>
      <w:r w:rsidRPr="006E36F7">
        <w:rPr>
          <w:lang w:bidi="ru-RU"/>
        </w:rPr>
        <w:t xml:space="preserve"> Колонка 20: </w:t>
      </w:r>
      <w:proofErr w:type="gramStart"/>
      <w:r w:rsidRPr="006E36F7">
        <w:rPr>
          <w:lang w:bidi="ru-RU"/>
        </w:rPr>
        <w:t xml:space="preserve">Определение дополнительных требований и замечаний), следующим образом: </w:t>
      </w:r>
      <w:proofErr w:type="gramEnd"/>
    </w:p>
    <w:p w:rsidR="006E36F7" w:rsidRPr="006E36F7" w:rsidRDefault="006E36F7" w:rsidP="002E5583">
      <w:pPr>
        <w:pStyle w:val="SingleTxt"/>
        <w:tabs>
          <w:tab w:val="clear" w:pos="2693"/>
          <w:tab w:val="left" w:pos="2790"/>
          <w:tab w:val="left" w:pos="2970"/>
        </w:tabs>
        <w:rPr>
          <w:lang w:bidi="ru-RU"/>
        </w:rPr>
      </w:pPr>
      <w:r>
        <w:rPr>
          <w:lang w:bidi="ru-RU"/>
        </w:rPr>
        <w:t>«</w:t>
      </w:r>
      <w:r w:rsidRPr="006E36F7">
        <w:rPr>
          <w:lang w:bidi="ru-RU"/>
        </w:rPr>
        <w:t>Замечание 35</w:t>
      </w:r>
      <w:r w:rsidR="002E5583">
        <w:rPr>
          <w:lang w:bidi="ru-RU"/>
        </w:rPr>
        <w:t>:</w:t>
      </w:r>
      <w:r w:rsidRPr="006E36F7">
        <w:rPr>
          <w:lang w:bidi="ru-RU"/>
        </w:rPr>
        <w:tab/>
        <w:t>Замечание 35 должно указываться в колонке 20 для веществ, ч</w:t>
      </w:r>
      <w:r w:rsidRPr="006E36F7">
        <w:rPr>
          <w:lang w:bidi="ru-RU"/>
        </w:rPr>
        <w:t>а</w:t>
      </w:r>
      <w:r w:rsidRPr="006E36F7">
        <w:rPr>
          <w:lang w:bidi="ru-RU"/>
        </w:rPr>
        <w:t>стичное или полное охлаждение которых может вызвать опасные реакции в сл</w:t>
      </w:r>
      <w:r w:rsidRPr="006E36F7">
        <w:rPr>
          <w:lang w:bidi="ru-RU"/>
        </w:rPr>
        <w:t>у</w:t>
      </w:r>
      <w:r w:rsidRPr="006E36F7">
        <w:rPr>
          <w:lang w:bidi="ru-RU"/>
        </w:rPr>
        <w:t>чае сжатия</w:t>
      </w:r>
      <w:r w:rsidR="005A3B97">
        <w:rPr>
          <w:lang w:bidi="ru-RU"/>
        </w:rPr>
        <w:t>»</w:t>
      </w:r>
      <w:r w:rsidRPr="006E36F7">
        <w:rPr>
          <w:lang w:bidi="ru-RU"/>
        </w:rPr>
        <w:t>.</w:t>
      </w:r>
    </w:p>
    <w:p w:rsidR="006E36F7" w:rsidRPr="006E36F7" w:rsidRDefault="006E36F7" w:rsidP="006E36F7">
      <w:pPr>
        <w:pStyle w:val="SingleTxt"/>
        <w:rPr>
          <w:lang w:bidi="ru-RU"/>
        </w:rPr>
      </w:pPr>
      <w:r w:rsidRPr="006E36F7">
        <w:rPr>
          <w:lang w:bidi="ru-RU"/>
        </w:rPr>
        <w:t>8.</w:t>
      </w:r>
      <w:r w:rsidRPr="006E36F7">
        <w:rPr>
          <w:lang w:bidi="ru-RU"/>
        </w:rPr>
        <w:tab/>
        <w:t>Предлагается также исключить положение, касающееся замечания 36, в м</w:t>
      </w:r>
      <w:r w:rsidRPr="006E36F7">
        <w:rPr>
          <w:lang w:bidi="ru-RU"/>
        </w:rPr>
        <w:t>е</w:t>
      </w:r>
      <w:r w:rsidRPr="006E36F7">
        <w:rPr>
          <w:lang w:bidi="ru-RU"/>
        </w:rPr>
        <w:t>стах, указанных в пункте 7.</w:t>
      </w:r>
    </w:p>
    <w:p w:rsidR="006E36F7" w:rsidRPr="006E36F7" w:rsidRDefault="006E36F7" w:rsidP="006E36F7">
      <w:pPr>
        <w:pStyle w:val="SingleTxt"/>
        <w:rPr>
          <w:lang w:bidi="ru-RU"/>
        </w:rPr>
      </w:pPr>
      <w:r w:rsidRPr="006E36F7">
        <w:rPr>
          <w:lang w:bidi="ru-RU"/>
        </w:rPr>
        <w:t>9.</w:t>
      </w:r>
      <w:r w:rsidRPr="006E36F7">
        <w:rPr>
          <w:lang w:bidi="ru-RU"/>
        </w:rPr>
        <w:tab/>
        <w:t>В колонке 20 таблицы</w:t>
      </w:r>
      <w:proofErr w:type="gramStart"/>
      <w:r w:rsidRPr="006E36F7">
        <w:rPr>
          <w:lang w:bidi="ru-RU"/>
        </w:rPr>
        <w:t xml:space="preserve"> С</w:t>
      </w:r>
      <w:proofErr w:type="gramEnd"/>
      <w:r w:rsidRPr="006E36F7">
        <w:rPr>
          <w:lang w:bidi="ru-RU"/>
        </w:rPr>
        <w:t xml:space="preserve"> добавить </w:t>
      </w:r>
      <w:r w:rsidR="005A3B97">
        <w:rPr>
          <w:lang w:bidi="ru-RU"/>
        </w:rPr>
        <w:t>«</w:t>
      </w:r>
      <w:r w:rsidRPr="006E36F7">
        <w:rPr>
          <w:lang w:bidi="ru-RU"/>
        </w:rPr>
        <w:t>; 35</w:t>
      </w:r>
      <w:r w:rsidR="005A3B97">
        <w:rPr>
          <w:lang w:bidi="ru-RU"/>
        </w:rPr>
        <w:t>»</w:t>
      </w:r>
      <w:r w:rsidRPr="006E36F7">
        <w:rPr>
          <w:lang w:bidi="ru-RU"/>
        </w:rPr>
        <w:t xml:space="preserve"> для следующих позиций:</w:t>
      </w:r>
    </w:p>
    <w:p w:rsidR="006E36F7" w:rsidRPr="006E36F7" w:rsidRDefault="006E36F7" w:rsidP="005A3B97">
      <w:pPr>
        <w:pStyle w:val="SingleTxt"/>
        <w:ind w:left="2693" w:hanging="1426"/>
        <w:rPr>
          <w:lang w:bidi="ru-RU"/>
        </w:rPr>
      </w:pPr>
      <w:r w:rsidRPr="006E36F7">
        <w:rPr>
          <w:lang w:bidi="ru-RU"/>
        </w:rPr>
        <w:t>№ ООН 1040</w:t>
      </w:r>
      <w:r w:rsidR="005A3B97">
        <w:rPr>
          <w:lang w:bidi="ru-RU"/>
        </w:rPr>
        <w:tab/>
      </w:r>
      <w:r w:rsidRPr="006E36F7">
        <w:rPr>
          <w:lang w:bidi="ru-RU"/>
        </w:rPr>
        <w:t>ЭТИЛЕНА ОКСИД С АЗОТОМ при общем давлении до 1 МПа (10 бар) при температуре 50 °C;</w:t>
      </w:r>
    </w:p>
    <w:p w:rsidR="006E36F7" w:rsidRPr="006E36F7" w:rsidRDefault="005A3B97" w:rsidP="005A3B97">
      <w:pPr>
        <w:pStyle w:val="SingleTxt"/>
        <w:ind w:left="2693" w:hanging="1426"/>
        <w:rPr>
          <w:lang w:bidi="ru-RU"/>
        </w:rPr>
      </w:pPr>
      <w:r>
        <w:rPr>
          <w:lang w:bidi="ru-RU"/>
        </w:rPr>
        <w:t>№ ООН 1089</w:t>
      </w:r>
      <w:r>
        <w:rPr>
          <w:lang w:bidi="ru-RU"/>
        </w:rPr>
        <w:tab/>
      </w:r>
      <w:r w:rsidR="006E36F7" w:rsidRPr="006E36F7">
        <w:rPr>
          <w:lang w:bidi="ru-RU"/>
        </w:rPr>
        <w:t>АЦЕТАЛЬДЕГИД (</w:t>
      </w:r>
      <w:proofErr w:type="spellStart"/>
      <w:r w:rsidR="006E36F7" w:rsidRPr="006E36F7">
        <w:rPr>
          <w:lang w:bidi="ru-RU"/>
        </w:rPr>
        <w:t>этаналь</w:t>
      </w:r>
      <w:proofErr w:type="spellEnd"/>
      <w:r w:rsidR="006E36F7" w:rsidRPr="006E36F7">
        <w:rPr>
          <w:lang w:bidi="ru-RU"/>
        </w:rPr>
        <w:t>);</w:t>
      </w:r>
    </w:p>
    <w:p w:rsidR="006E36F7" w:rsidRPr="006E36F7" w:rsidRDefault="005A3B97" w:rsidP="005A3B97">
      <w:pPr>
        <w:pStyle w:val="SingleTxt"/>
        <w:ind w:left="2693" w:hanging="1426"/>
        <w:rPr>
          <w:lang w:bidi="ru-RU"/>
        </w:rPr>
      </w:pPr>
      <w:r>
        <w:rPr>
          <w:lang w:bidi="ru-RU"/>
        </w:rPr>
        <w:t>№ ООН 1280</w:t>
      </w:r>
      <w:r>
        <w:rPr>
          <w:lang w:bidi="ru-RU"/>
        </w:rPr>
        <w:tab/>
      </w:r>
      <w:r w:rsidR="006E36F7" w:rsidRPr="006E36F7">
        <w:rPr>
          <w:lang w:bidi="ru-RU"/>
        </w:rPr>
        <w:t>ПРОПИЛЕНОКСИД и</w:t>
      </w:r>
    </w:p>
    <w:p w:rsidR="0030663A" w:rsidRDefault="005A3B97" w:rsidP="005A3B97">
      <w:pPr>
        <w:pStyle w:val="SingleTxt"/>
        <w:ind w:left="2693" w:hanging="1426"/>
        <w:rPr>
          <w:lang w:bidi="ru-RU"/>
        </w:rPr>
      </w:pPr>
      <w:r>
        <w:rPr>
          <w:lang w:bidi="ru-RU"/>
        </w:rPr>
        <w:t>№ ООН 2983</w:t>
      </w:r>
      <w:r>
        <w:rPr>
          <w:lang w:bidi="ru-RU"/>
        </w:rPr>
        <w:tab/>
      </w:r>
      <w:r w:rsidR="006E36F7" w:rsidRPr="006E36F7">
        <w:rPr>
          <w:lang w:bidi="ru-RU"/>
        </w:rPr>
        <w:t>ЭТИЛЕНА ОКСИДА И ПРОПИЛЕНА ОКСИДА СМЕСЬ, соде</w:t>
      </w:r>
      <w:r w:rsidR="006E36F7" w:rsidRPr="006E36F7">
        <w:rPr>
          <w:lang w:bidi="ru-RU"/>
        </w:rPr>
        <w:t>р</w:t>
      </w:r>
      <w:r w:rsidR="006E36F7" w:rsidRPr="006E36F7">
        <w:rPr>
          <w:lang w:bidi="ru-RU"/>
        </w:rPr>
        <w:t>жащая не более 30% этилена оксида.</w:t>
      </w:r>
    </w:p>
    <w:p w:rsidR="005A3B97" w:rsidRPr="005A3B97" w:rsidRDefault="005A3B97" w:rsidP="005A3B97">
      <w:pPr>
        <w:pStyle w:val="SingleTxt"/>
        <w:spacing w:after="0" w:line="240" w:lineRule="auto"/>
        <w:ind w:left="2693" w:hanging="1426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5A3B97" w:rsidRPr="005A3B97" w:rsidSect="0030663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55" w:rsidRDefault="00A77055" w:rsidP="008A1A7A">
      <w:pPr>
        <w:spacing w:line="240" w:lineRule="auto"/>
      </w:pPr>
      <w:r>
        <w:separator/>
      </w:r>
    </w:p>
  </w:endnote>
  <w:endnote w:type="continuationSeparator" w:id="0">
    <w:p w:rsidR="00A77055" w:rsidRDefault="00A7705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0663A" w:rsidTr="0030663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0663A" w:rsidRPr="0030663A" w:rsidRDefault="0030663A" w:rsidP="0030663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00F6B">
            <w:rPr>
              <w:noProof/>
            </w:rPr>
            <w:t>2</w:t>
          </w:r>
          <w:r>
            <w:fldChar w:fldCharType="end"/>
          </w:r>
          <w:r>
            <w:t>/</w:t>
          </w:r>
          <w:r w:rsidR="00000F6B">
            <w:fldChar w:fldCharType="begin"/>
          </w:r>
          <w:r w:rsidR="00000F6B">
            <w:instrText xml:space="preserve"> NUMPAGES  \* Arabic  \* MERGEFORMAT </w:instrText>
          </w:r>
          <w:r w:rsidR="00000F6B">
            <w:fldChar w:fldCharType="separate"/>
          </w:r>
          <w:r w:rsidR="00000F6B">
            <w:rPr>
              <w:noProof/>
            </w:rPr>
            <w:t>2</w:t>
          </w:r>
          <w:r w:rsidR="00000F6B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0663A" w:rsidRPr="0030663A" w:rsidRDefault="0030663A" w:rsidP="0030663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53D66">
            <w:rPr>
              <w:b w:val="0"/>
              <w:color w:val="000000"/>
              <w:sz w:val="14"/>
            </w:rPr>
            <w:t>GE.15-18556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30663A" w:rsidRPr="0030663A" w:rsidRDefault="0030663A" w:rsidP="00306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0663A" w:rsidTr="0030663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0663A" w:rsidRPr="0030663A" w:rsidRDefault="0030663A" w:rsidP="0030663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53D66">
            <w:rPr>
              <w:b w:val="0"/>
              <w:color w:val="000000"/>
              <w:sz w:val="14"/>
            </w:rPr>
            <w:t>GE.15-18556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0663A" w:rsidRPr="0030663A" w:rsidRDefault="0030663A" w:rsidP="0030663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53D66">
            <w:rPr>
              <w:noProof/>
            </w:rPr>
            <w:t>2</w:t>
          </w:r>
          <w:r>
            <w:fldChar w:fldCharType="end"/>
          </w:r>
          <w:r>
            <w:t>/</w:t>
          </w:r>
          <w:r w:rsidR="00000F6B">
            <w:fldChar w:fldCharType="begin"/>
          </w:r>
          <w:r w:rsidR="00000F6B">
            <w:instrText xml:space="preserve"> NUMPAGES  \* Arabic  \* MERGEFORMAT </w:instrText>
          </w:r>
          <w:r w:rsidR="00000F6B">
            <w:fldChar w:fldCharType="separate"/>
          </w:r>
          <w:r w:rsidR="00153D66">
            <w:rPr>
              <w:noProof/>
            </w:rPr>
            <w:t>2</w:t>
          </w:r>
          <w:r w:rsidR="00000F6B">
            <w:rPr>
              <w:noProof/>
            </w:rPr>
            <w:fldChar w:fldCharType="end"/>
          </w:r>
        </w:p>
      </w:tc>
    </w:tr>
  </w:tbl>
  <w:p w:rsidR="0030663A" w:rsidRPr="0030663A" w:rsidRDefault="0030663A" w:rsidP="003066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30663A" w:rsidTr="0030663A">
      <w:tc>
        <w:tcPr>
          <w:tcW w:w="3873" w:type="dxa"/>
        </w:tcPr>
        <w:p w:rsidR="0030663A" w:rsidRDefault="0030663A" w:rsidP="0030663A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A05EC5C" wp14:editId="1049651C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GE.15-18556 (R)</w:t>
          </w:r>
          <w:r>
            <w:rPr>
              <w:color w:val="010000"/>
            </w:rPr>
            <w:t xml:space="preserve">    181115    181115</w:t>
          </w:r>
        </w:p>
        <w:p w:rsidR="0030663A" w:rsidRPr="0030663A" w:rsidRDefault="0030663A" w:rsidP="0030663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*1518556*</w:t>
          </w:r>
        </w:p>
      </w:tc>
      <w:tc>
        <w:tcPr>
          <w:tcW w:w="5127" w:type="dxa"/>
        </w:tcPr>
        <w:p w:rsidR="0030663A" w:rsidRDefault="0030663A" w:rsidP="0030663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AB894EC" wp14:editId="463612F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0663A" w:rsidRPr="0030663A" w:rsidRDefault="0030663A" w:rsidP="0030663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55" w:rsidRPr="006E36F7" w:rsidRDefault="006E36F7" w:rsidP="006E36F7">
      <w:pPr>
        <w:pStyle w:val="Footer"/>
        <w:spacing w:after="80"/>
        <w:ind w:left="792"/>
        <w:rPr>
          <w:sz w:val="16"/>
        </w:rPr>
      </w:pPr>
      <w:r w:rsidRPr="006E36F7">
        <w:rPr>
          <w:sz w:val="16"/>
        </w:rPr>
        <w:t>__________________</w:t>
      </w:r>
    </w:p>
  </w:footnote>
  <w:footnote w:type="continuationSeparator" w:id="0">
    <w:p w:rsidR="00A77055" w:rsidRPr="006E36F7" w:rsidRDefault="006E36F7" w:rsidP="006E36F7">
      <w:pPr>
        <w:pStyle w:val="Footer"/>
        <w:spacing w:after="80"/>
        <w:ind w:left="792"/>
        <w:rPr>
          <w:sz w:val="16"/>
        </w:rPr>
      </w:pPr>
      <w:r w:rsidRPr="006E36F7">
        <w:rPr>
          <w:sz w:val="16"/>
        </w:rPr>
        <w:t>__________________</w:t>
      </w:r>
    </w:p>
  </w:footnote>
  <w:footnote w:id="1">
    <w:p w:rsidR="006E36F7" w:rsidRPr="00F337B3" w:rsidRDefault="006E36F7" w:rsidP="006E36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Распространено на немецком языке Центральной комиссией судоходства по Рейну в качестве документа CCNR/ZKR/ADN/WP.15/AC.2/2016/8.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0663A" w:rsidTr="0030663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0663A" w:rsidRPr="0030663A" w:rsidRDefault="0030663A" w:rsidP="0030663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53D66">
            <w:rPr>
              <w:b/>
            </w:rPr>
            <w:t>ECE/TRANS/WP.15/AC.2/2016/8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0663A" w:rsidRDefault="0030663A" w:rsidP="0030663A">
          <w:pPr>
            <w:pStyle w:val="Header"/>
          </w:pPr>
        </w:p>
      </w:tc>
    </w:tr>
  </w:tbl>
  <w:p w:rsidR="0030663A" w:rsidRPr="0030663A" w:rsidRDefault="0030663A" w:rsidP="003066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0663A" w:rsidTr="0030663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0663A" w:rsidRDefault="0030663A" w:rsidP="0030663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30663A" w:rsidRPr="0030663A" w:rsidRDefault="0030663A" w:rsidP="0030663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53D66">
            <w:rPr>
              <w:b/>
            </w:rPr>
            <w:t>ECE/TRANS/WP.15/AC.2/2016/8</w:t>
          </w:r>
          <w:r>
            <w:rPr>
              <w:b/>
            </w:rPr>
            <w:fldChar w:fldCharType="end"/>
          </w:r>
        </w:p>
      </w:tc>
    </w:tr>
  </w:tbl>
  <w:p w:rsidR="0030663A" w:rsidRPr="0030663A" w:rsidRDefault="0030663A" w:rsidP="003066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30663A" w:rsidTr="0030663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0663A" w:rsidRPr="0030663A" w:rsidRDefault="0030663A" w:rsidP="0030663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0663A" w:rsidRDefault="0030663A" w:rsidP="0030663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0663A" w:rsidRPr="0030663A" w:rsidRDefault="0030663A" w:rsidP="0030663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/TRANS/WP.15/AC.2/2016/8</w:t>
          </w:r>
        </w:p>
      </w:tc>
    </w:tr>
    <w:tr w:rsidR="0030663A" w:rsidRPr="006E36F7" w:rsidTr="0030663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0663A" w:rsidRPr="0030663A" w:rsidRDefault="0030663A" w:rsidP="0030663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8903239" wp14:editId="3EE388D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0663A" w:rsidRPr="0030663A" w:rsidRDefault="0030663A" w:rsidP="0030663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0663A" w:rsidRPr="0030663A" w:rsidRDefault="0030663A" w:rsidP="0030663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0663A" w:rsidRPr="006E36F7" w:rsidRDefault="0030663A" w:rsidP="0030663A">
          <w:pPr>
            <w:pStyle w:val="Distribution"/>
            <w:rPr>
              <w:color w:val="000000"/>
              <w:lang w:val="en-US"/>
            </w:rPr>
          </w:pPr>
          <w:r w:rsidRPr="006E36F7">
            <w:rPr>
              <w:color w:val="000000"/>
              <w:lang w:val="en-US"/>
            </w:rPr>
            <w:t>Distr.: General</w:t>
          </w:r>
        </w:p>
        <w:p w:rsidR="0030663A" w:rsidRPr="006E36F7" w:rsidRDefault="006E36F7" w:rsidP="0030663A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23 October</w:t>
          </w:r>
          <w:r w:rsidR="0030663A" w:rsidRPr="006E36F7">
            <w:rPr>
              <w:color w:val="000000"/>
              <w:lang w:val="en-US"/>
            </w:rPr>
            <w:t xml:space="preserve"> 2015</w:t>
          </w:r>
        </w:p>
        <w:p w:rsidR="0030663A" w:rsidRPr="006E36F7" w:rsidRDefault="0030663A" w:rsidP="0030663A">
          <w:pPr>
            <w:rPr>
              <w:color w:val="000000"/>
              <w:lang w:val="en-US"/>
            </w:rPr>
          </w:pPr>
          <w:r w:rsidRPr="006E36F7">
            <w:rPr>
              <w:color w:val="000000"/>
              <w:lang w:val="en-US"/>
            </w:rPr>
            <w:t>Russian</w:t>
          </w:r>
        </w:p>
        <w:p w:rsidR="0030663A" w:rsidRPr="006E36F7" w:rsidRDefault="0030663A" w:rsidP="0030663A">
          <w:pPr>
            <w:pStyle w:val="Original"/>
            <w:rPr>
              <w:color w:val="000000"/>
              <w:lang w:val="en-US"/>
            </w:rPr>
          </w:pPr>
          <w:r w:rsidRPr="006E36F7">
            <w:rPr>
              <w:color w:val="000000"/>
              <w:lang w:val="en-US"/>
            </w:rPr>
            <w:t xml:space="preserve">Original: </w:t>
          </w:r>
          <w:r w:rsidR="006E36F7">
            <w:rPr>
              <w:color w:val="000000"/>
              <w:lang w:val="en-US"/>
            </w:rPr>
            <w:t>French</w:t>
          </w:r>
        </w:p>
        <w:p w:rsidR="0030663A" w:rsidRPr="006E36F7" w:rsidRDefault="0030663A" w:rsidP="0030663A">
          <w:pPr>
            <w:rPr>
              <w:lang w:val="en-US"/>
            </w:rPr>
          </w:pPr>
        </w:p>
      </w:tc>
    </w:tr>
  </w:tbl>
  <w:p w:rsidR="0030663A" w:rsidRPr="006E36F7" w:rsidRDefault="0030663A" w:rsidP="0030663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revisionView w:inkAnnotations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556*"/>
    <w:docVar w:name="CreationDt" w:val="11/18/2015 3:50: PM"/>
    <w:docVar w:name="DocCategory" w:val="Doc"/>
    <w:docVar w:name="DocType" w:val="Final"/>
    <w:docVar w:name="DutyStation" w:val="Geneva"/>
    <w:docVar w:name="FooterJN" w:val="GE.15-18556"/>
    <w:docVar w:name="jobn" w:val="GE.15-18556 (R)"/>
    <w:docVar w:name="jobnDT" w:val="GE.15-18556 (R)   181115"/>
    <w:docVar w:name="jobnDTDT" w:val="GE.15-18556 (R)   181115   181115"/>
    <w:docVar w:name="JobNo" w:val="GE.1518556R"/>
    <w:docVar w:name="JobNo2" w:val="1524436R"/>
    <w:docVar w:name="LocalDrive" w:val="0"/>
    <w:docVar w:name="OandT" w:val="ES"/>
    <w:docVar w:name="PaperSize" w:val="A4"/>
    <w:docVar w:name="sss1" w:val="ECE/TRANS/WP.15/AC.2/2016/8"/>
    <w:docVar w:name="sss2" w:val="-"/>
    <w:docVar w:name="Symbol1" w:val="ECE/TRANS/WP.15/AC.2/2016/8"/>
    <w:docVar w:name="Symbol2" w:val="-"/>
  </w:docVars>
  <w:rsids>
    <w:rsidRoot w:val="00A77055"/>
    <w:rsid w:val="00000F6B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D66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C6F1A"/>
    <w:rsid w:val="002D396F"/>
    <w:rsid w:val="002D4606"/>
    <w:rsid w:val="002D4A88"/>
    <w:rsid w:val="002D666D"/>
    <w:rsid w:val="002E1F79"/>
    <w:rsid w:val="002E5583"/>
    <w:rsid w:val="002F3CF9"/>
    <w:rsid w:val="002F5C45"/>
    <w:rsid w:val="002F6149"/>
    <w:rsid w:val="002F7D25"/>
    <w:rsid w:val="0030663A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0BB"/>
    <w:rsid w:val="00526E12"/>
    <w:rsid w:val="00532578"/>
    <w:rsid w:val="00533411"/>
    <w:rsid w:val="00533DAB"/>
    <w:rsid w:val="00536169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3B97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350D"/>
    <w:rsid w:val="006D58BE"/>
    <w:rsid w:val="006E09D5"/>
    <w:rsid w:val="006E1418"/>
    <w:rsid w:val="006E36F7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77055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85D9F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306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6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63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63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6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306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6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63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63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6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8EDD-A9ED-4D4E-BECD-3F61BABB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Салынская Екатерина</dc:creator>
  <cp:lastModifiedBy>Caillot</cp:lastModifiedBy>
  <cp:revision>2</cp:revision>
  <cp:lastPrinted>2015-11-18T15:21:00Z</cp:lastPrinted>
  <dcterms:created xsi:type="dcterms:W3CDTF">2015-11-26T17:04:00Z</dcterms:created>
  <dcterms:modified xsi:type="dcterms:W3CDTF">2015-11-26T17:04:00Z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1518556R</vt:lpwstr>
  </property>
  <property fmtid="{D5CDD505-2E9C-101B-9397-08002B2CF9AE}" pid="3" name="ODSRefJobNo">
    <vt:lpwstr>1524436R</vt:lpwstr>
  </property>
  <property fmtid="{D5CDD505-2E9C-101B-9397-08002B2CF9AE}" pid="4" name="Symbol1">
    <vt:lpwstr>ECE/TRANS/WP.15/AC.2/2016/8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18 November 2015</vt:lpwstr>
  </property>
  <property fmtid="{D5CDD505-2E9C-101B-9397-08002B2CF9AE}" pid="12" name="Original">
    <vt:lpwstr>English</vt:lpwstr>
  </property>
  <property fmtid="{D5CDD505-2E9C-101B-9397-08002B2CF9AE}" pid="13" name="Release Date">
    <vt:lpwstr>181115</vt:lpwstr>
  </property>
</Properties>
</file>