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CD4281" w:rsidP="009107B1">
            <w:pPr>
              <w:jc w:val="right"/>
            </w:pPr>
            <w:r w:rsidRPr="00CD4281">
              <w:rPr>
                <w:sz w:val="40"/>
              </w:rPr>
              <w:t>ECE</w:t>
            </w:r>
            <w:r w:rsidR="00AF1499">
              <w:t>/TRANS/WP.15/AC.2/201</w:t>
            </w:r>
            <w:r w:rsidR="00CB0B63">
              <w:t>6</w:t>
            </w:r>
            <w:r>
              <w:t>/</w:t>
            </w:r>
            <w:r w:rsidR="009107B1">
              <w:t>8</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523538" w:rsidP="00F01516">
            <w:pPr>
              <w:spacing w:before="120"/>
              <w:jc w:val="center"/>
            </w:pPr>
            <w:r>
              <w:rPr>
                <w:noProof/>
                <w:lang w:val="fr-FR" w:eastAsia="fr-FR"/>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D4281" w:rsidRDefault="00CD4281" w:rsidP="00F01516">
            <w:pPr>
              <w:spacing w:before="240"/>
            </w:pPr>
            <w:r>
              <w:t>Distr. générale</w:t>
            </w:r>
          </w:p>
          <w:p w:rsidR="00CD4281" w:rsidRDefault="00826472" w:rsidP="00CD4281">
            <w:pPr>
              <w:spacing w:line="240" w:lineRule="exact"/>
            </w:pPr>
            <w:r>
              <w:t>23</w:t>
            </w:r>
            <w:r w:rsidR="00426657">
              <w:t xml:space="preserve"> </w:t>
            </w:r>
            <w:r w:rsidR="002F3CCA">
              <w:t>octobre</w:t>
            </w:r>
            <w:r w:rsidR="00911DA7">
              <w:t xml:space="preserve"> </w:t>
            </w:r>
            <w:r w:rsidR="00CD4281">
              <w:t>201</w:t>
            </w:r>
            <w:r w:rsidR="006B6C93">
              <w:t>5</w:t>
            </w:r>
          </w:p>
          <w:p w:rsidR="001B0BE2" w:rsidRDefault="001B0BE2" w:rsidP="00CD4281">
            <w:pPr>
              <w:spacing w:line="240" w:lineRule="exact"/>
            </w:pPr>
          </w:p>
          <w:p w:rsidR="003D1DF3" w:rsidRPr="00DB58B5" w:rsidRDefault="00CD4281" w:rsidP="00AF1499">
            <w:pPr>
              <w:spacing w:line="240" w:lineRule="exact"/>
            </w:pPr>
            <w:r>
              <w:t xml:space="preserve">Original: </w:t>
            </w:r>
            <w:r w:rsidR="001B0BE2">
              <w:t>français</w:t>
            </w:r>
          </w:p>
        </w:tc>
      </w:tr>
    </w:tbl>
    <w:p w:rsidR="00FF1DBD" w:rsidRPr="000312C0" w:rsidRDefault="000312C0" w:rsidP="000312C0">
      <w:pPr>
        <w:spacing w:before="120"/>
        <w:rPr>
          <w:b/>
          <w:sz w:val="28"/>
          <w:szCs w:val="28"/>
        </w:rPr>
      </w:pPr>
      <w:r w:rsidRPr="000312C0">
        <w:rPr>
          <w:b/>
          <w:sz w:val="28"/>
          <w:szCs w:val="28"/>
        </w:rPr>
        <w:t>Commission économique pour l</w:t>
      </w:r>
      <w:r w:rsidR="004D0439">
        <w:rPr>
          <w:b/>
          <w:sz w:val="28"/>
          <w:szCs w:val="28"/>
        </w:rPr>
        <w:t>’</w:t>
      </w:r>
      <w:r w:rsidRPr="000312C0">
        <w:rPr>
          <w:b/>
          <w:sz w:val="28"/>
          <w:szCs w:val="28"/>
        </w:rPr>
        <w:t>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CE5BF6">
        <w:rPr>
          <w:b/>
          <w:sz w:val="24"/>
          <w:szCs w:val="24"/>
        </w:rPr>
        <w:t xml:space="preserve"> </w:t>
      </w:r>
      <w:r w:rsidRPr="009E01B8">
        <w:rPr>
          <w:b/>
          <w:sz w:val="24"/>
          <w:szCs w:val="24"/>
        </w:rPr>
        <w:t>de marchandises dangereuses</w:t>
      </w:r>
    </w:p>
    <w:p w:rsidR="00B93E72" w:rsidRPr="004812F5" w:rsidRDefault="00234E40" w:rsidP="00B93E72">
      <w:pPr>
        <w:spacing w:before="120"/>
        <w:rPr>
          <w:b/>
        </w:rPr>
      </w:pPr>
      <w:r w:rsidRPr="004812F5">
        <w:rPr>
          <w:b/>
          <w:lang w:val="fr-FR"/>
        </w:rPr>
        <w:t>Réunion commune d</w:t>
      </w:r>
      <w:r w:rsidR="004D0439">
        <w:rPr>
          <w:b/>
          <w:lang w:val="fr-FR"/>
        </w:rPr>
        <w:t>’</w:t>
      </w:r>
      <w:r w:rsidRPr="004812F5">
        <w:rPr>
          <w:b/>
          <w:lang w:val="fr-FR"/>
        </w:rPr>
        <w:t>experts sur le Règlement annexé</w:t>
      </w:r>
      <w:r w:rsidR="00CE5BF6">
        <w:rPr>
          <w:b/>
          <w:lang w:val="fr-FR"/>
        </w:rPr>
        <w:br/>
      </w:r>
      <w:r w:rsidRPr="004812F5">
        <w:rPr>
          <w:b/>
          <w:lang w:val="fr-FR"/>
        </w:rPr>
        <w:t>à l</w:t>
      </w:r>
      <w:r w:rsidR="004D0439">
        <w:rPr>
          <w:b/>
          <w:lang w:val="fr-FR"/>
        </w:rPr>
        <w:t>’</w:t>
      </w:r>
      <w:r w:rsidRPr="004812F5">
        <w:rPr>
          <w:b/>
          <w:lang w:val="fr-FR"/>
        </w:rPr>
        <w:t>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w:t>
      </w:r>
      <w:r w:rsidR="004D0439">
        <w:rPr>
          <w:b/>
          <w:bCs/>
          <w:lang w:val="fr-FR"/>
        </w:rPr>
        <w:t>’</w:t>
      </w:r>
      <w:r w:rsidRPr="004812F5">
        <w:rPr>
          <w:b/>
          <w:bCs/>
          <w:lang w:val="fr-FR"/>
        </w:rPr>
        <w:t>ADN)</w:t>
      </w:r>
    </w:p>
    <w:p w:rsidR="00234E40" w:rsidRPr="00234E40" w:rsidRDefault="004A5935" w:rsidP="004812F5">
      <w:pPr>
        <w:spacing w:before="120"/>
        <w:rPr>
          <w:b/>
        </w:rPr>
      </w:pPr>
      <w:r>
        <w:rPr>
          <w:b/>
        </w:rPr>
        <w:t>Vingt</w:t>
      </w:r>
      <w:r w:rsidR="001B0BE2">
        <w:rPr>
          <w:b/>
        </w:rPr>
        <w:t>-</w:t>
      </w:r>
      <w:r w:rsidR="00523538">
        <w:rPr>
          <w:b/>
        </w:rPr>
        <w:t>huitième</w:t>
      </w:r>
      <w:r>
        <w:rPr>
          <w:b/>
        </w:rPr>
        <w:t xml:space="preserve"> </w:t>
      </w:r>
      <w:r w:rsidR="00234E40" w:rsidRPr="00234E40">
        <w:rPr>
          <w:b/>
        </w:rPr>
        <w:t>session</w:t>
      </w:r>
    </w:p>
    <w:p w:rsidR="00B93E72" w:rsidRDefault="003E5551" w:rsidP="00B93E72">
      <w:r>
        <w:t xml:space="preserve">Genève, </w:t>
      </w:r>
      <w:r w:rsidR="004A5935">
        <w:t>2</w:t>
      </w:r>
      <w:r w:rsidR="00CB0B63">
        <w:t>5</w:t>
      </w:r>
      <w:r w:rsidR="004A5935">
        <w:t>-</w:t>
      </w:r>
      <w:r w:rsidR="006B6C93">
        <w:t>2</w:t>
      </w:r>
      <w:r w:rsidR="00CB0B63">
        <w:t>9</w:t>
      </w:r>
      <w:r w:rsidR="004A5935">
        <w:t xml:space="preserve"> </w:t>
      </w:r>
      <w:r w:rsidR="00CB0B63">
        <w:t>janvier</w:t>
      </w:r>
      <w:r w:rsidR="00B73AAE">
        <w:t xml:space="preserve"> 20</w:t>
      </w:r>
      <w:r w:rsidR="00263074">
        <w:t>1</w:t>
      </w:r>
      <w:r w:rsidR="00CB0B63">
        <w:t>6</w:t>
      </w:r>
    </w:p>
    <w:p w:rsidR="000312C0" w:rsidRDefault="00B93E72" w:rsidP="00B93E72">
      <w:r w:rsidRPr="00B93E72">
        <w:t xml:space="preserve">Point </w:t>
      </w:r>
      <w:r w:rsidR="00D92026">
        <w:t>5</w:t>
      </w:r>
      <w:r w:rsidR="006B6C93">
        <w:t xml:space="preserve"> b</w:t>
      </w:r>
      <w:r w:rsidR="001636E0">
        <w:t>)</w:t>
      </w:r>
      <w:r w:rsidRPr="00B93E72">
        <w:t xml:space="preserve"> de l</w:t>
      </w:r>
      <w:r w:rsidR="004D0439">
        <w:t>’</w:t>
      </w:r>
      <w:r w:rsidRPr="00B93E72">
        <w:t>ordre du jour provisoire</w:t>
      </w:r>
    </w:p>
    <w:p w:rsidR="00602512" w:rsidRPr="00602512" w:rsidRDefault="00602512" w:rsidP="00602512">
      <w:pPr>
        <w:rPr>
          <w:b/>
          <w:lang w:val="fr-FR"/>
        </w:rPr>
      </w:pPr>
      <w:r w:rsidRPr="00602512">
        <w:rPr>
          <w:b/>
          <w:lang w:val="fr-FR"/>
        </w:rPr>
        <w:t>Propositions d’amendements au règlement annexé à l’ADN</w:t>
      </w:r>
      <w:r>
        <w:rPr>
          <w:b/>
          <w:lang w:val="fr-FR"/>
        </w:rPr>
        <w:t>:</w:t>
      </w:r>
    </w:p>
    <w:p w:rsidR="00602512" w:rsidRPr="00602512" w:rsidRDefault="00602512" w:rsidP="00602512">
      <w:pPr>
        <w:suppressAutoHyphens w:val="0"/>
        <w:spacing w:line="240" w:lineRule="auto"/>
        <w:rPr>
          <w:color w:val="000000"/>
          <w:szCs w:val="24"/>
          <w:lang w:val="fr-FR" w:eastAsia="fr-FR"/>
        </w:rPr>
      </w:pPr>
      <w:r w:rsidRPr="00602512">
        <w:rPr>
          <w:b/>
          <w:color w:val="000000"/>
          <w:szCs w:val="24"/>
          <w:lang w:val="fr-FR" w:eastAsia="fr-FR"/>
        </w:rPr>
        <w:t>Autres propositions</w:t>
      </w:r>
    </w:p>
    <w:p w:rsidR="00C26F66" w:rsidRPr="00E2394D" w:rsidRDefault="00C26F66" w:rsidP="00D64213">
      <w:pPr>
        <w:pStyle w:val="HChG"/>
        <w:rPr>
          <w:snapToGrid w:val="0"/>
          <w:lang w:eastAsia="fr-FR"/>
        </w:rPr>
      </w:pPr>
      <w:r>
        <w:rPr>
          <w:snapToGrid w:val="0"/>
          <w:lang w:val="fr-FR" w:eastAsia="fr-FR"/>
        </w:rPr>
        <w:tab/>
      </w:r>
      <w:r>
        <w:rPr>
          <w:snapToGrid w:val="0"/>
          <w:lang w:val="fr-FR" w:eastAsia="fr-FR"/>
        </w:rPr>
        <w:tab/>
      </w:r>
      <w:r w:rsidR="00E2394D" w:rsidRPr="00E2394D">
        <w:rPr>
          <w:bCs/>
          <w:iCs/>
          <w:snapToGrid w:val="0"/>
          <w:szCs w:val="24"/>
        </w:rPr>
        <w:t>Propositions pour la formulation et l'affectation des observations 35 et 36</w:t>
      </w:r>
      <w:r w:rsidR="00826472">
        <w:rPr>
          <w:bCs/>
          <w:iCs/>
          <w:snapToGrid w:val="0"/>
          <w:szCs w:val="24"/>
        </w:rPr>
        <w:t xml:space="preserve"> du tableau C</w:t>
      </w:r>
    </w:p>
    <w:p w:rsidR="00C26F66" w:rsidRPr="00C26F66" w:rsidRDefault="00D64213" w:rsidP="00D64213">
      <w:pPr>
        <w:pStyle w:val="H1G"/>
        <w:rPr>
          <w:snapToGrid w:val="0"/>
          <w:lang w:val="fr-FR" w:eastAsia="fr-FR"/>
        </w:rPr>
      </w:pPr>
      <w:r>
        <w:rPr>
          <w:snapToGrid w:val="0"/>
          <w:lang w:val="fr-FR" w:eastAsia="fr-FR" w:bidi="fr-FR"/>
        </w:rPr>
        <w:tab/>
      </w:r>
      <w:r>
        <w:rPr>
          <w:snapToGrid w:val="0"/>
          <w:lang w:val="fr-FR" w:eastAsia="fr-FR" w:bidi="fr-FR"/>
        </w:rPr>
        <w:tab/>
      </w:r>
      <w:r w:rsidR="005F7C84" w:rsidRPr="005F7C84">
        <w:rPr>
          <w:snapToGrid w:val="0"/>
          <w:lang w:val="fr-FR" w:eastAsia="fr-FR" w:bidi="fr-FR"/>
        </w:rPr>
        <w:t>Communication de la Commission Centrale pour la Navigation du Rhin (CCNR)</w:t>
      </w:r>
      <w:bookmarkStart w:id="0" w:name="_GoBack"/>
      <w:bookmarkEnd w:id="0"/>
      <w:r w:rsidR="00C26F66" w:rsidRPr="005F7C84">
        <w:rPr>
          <w:noProof/>
          <w:snapToGrid w:val="0"/>
          <w:szCs w:val="24"/>
          <w:vertAlign w:val="superscript"/>
          <w:lang w:val="fr-FR" w:eastAsia="fr-FR"/>
        </w:rPr>
        <w:footnoteReference w:id="2"/>
      </w:r>
    </w:p>
    <w:p w:rsidR="009107B1" w:rsidRPr="009107B1" w:rsidRDefault="009107B1" w:rsidP="009107B1">
      <w:pPr>
        <w:pStyle w:val="SingleTxtG"/>
        <w:rPr>
          <w:bCs/>
          <w:lang w:val="fr-FR" w:eastAsia="de-DE" w:bidi="fr-FR"/>
        </w:rPr>
      </w:pPr>
      <w:r w:rsidRPr="009107B1">
        <w:rPr>
          <w:bCs/>
          <w:lang w:val="fr-FR" w:eastAsia="de-DE" w:bidi="fr-FR"/>
        </w:rPr>
        <w:t>1.</w:t>
      </w:r>
      <w:r w:rsidRPr="009107B1">
        <w:rPr>
          <w:bCs/>
          <w:lang w:val="fr-FR" w:eastAsia="de-DE" w:bidi="fr-FR"/>
        </w:rPr>
        <w:tab/>
        <w:t>Sur la base d'un document informel émanant de la délégation belge, le Comité de sécurité de l'ADN a pris acte du fait qu'au 9.3.x.27.6, les observations 35 et 36 du tableau</w:t>
      </w:r>
      <w:r w:rsidR="006D1A1D">
        <w:rPr>
          <w:bCs/>
          <w:lang w:val="fr-FR" w:eastAsia="de-DE" w:bidi="fr-FR"/>
        </w:rPr>
        <w:t> </w:t>
      </w:r>
      <w:r w:rsidRPr="009107B1">
        <w:rPr>
          <w:bCs/>
          <w:lang w:val="fr-FR" w:eastAsia="de-DE" w:bidi="fr-FR"/>
        </w:rPr>
        <w:t xml:space="preserve">C, colonne 20, ne sont affectées à aucune matière.  Le comité a invité le groupe de travail </w:t>
      </w:r>
      <w:r w:rsidR="006D1A1D">
        <w:rPr>
          <w:bCs/>
          <w:lang w:val="fr-FR" w:eastAsia="de-DE" w:bidi="fr-FR"/>
        </w:rPr>
        <w:t xml:space="preserve">informel </w:t>
      </w:r>
      <w:r w:rsidRPr="009107B1">
        <w:rPr>
          <w:bCs/>
          <w:lang w:val="fr-FR" w:eastAsia="de-DE" w:bidi="fr-FR"/>
        </w:rPr>
        <w:t>Matières à examiner ce point.</w:t>
      </w:r>
    </w:p>
    <w:p w:rsidR="009107B1" w:rsidRPr="009107B1" w:rsidRDefault="009107B1" w:rsidP="009107B1">
      <w:pPr>
        <w:pStyle w:val="SingleTxtG"/>
        <w:rPr>
          <w:bCs/>
          <w:lang w:val="fr-FR" w:eastAsia="de-DE" w:bidi="fr-FR"/>
        </w:rPr>
      </w:pPr>
      <w:r w:rsidRPr="009107B1">
        <w:rPr>
          <w:bCs/>
          <w:lang w:val="fr-FR" w:eastAsia="de-DE" w:bidi="fr-FR"/>
        </w:rPr>
        <w:t>2.</w:t>
      </w:r>
      <w:r w:rsidRPr="009107B1">
        <w:rPr>
          <w:bCs/>
          <w:lang w:val="fr-FR" w:eastAsia="de-DE" w:bidi="fr-FR"/>
        </w:rPr>
        <w:tab/>
        <w:t>Le groupe de travail informel Matières a examiné la question. Selon les prescriptions relatives à la construction il existe, outre les systèmes de réfrigération directs et indirects, des systèmes combinés. L'observation 35 indique que les systèmes de réfrigération directs ne sont pas admis. L'observation 36 exige l'utilisation d'un système de réfrigération direct. Dans les prescriptions actuelles, les observations 35 et 36 ne sont affectées à aucune entrée du tableau C.</w:t>
      </w:r>
    </w:p>
    <w:p w:rsidR="009107B1" w:rsidRPr="009107B1" w:rsidRDefault="009107B1" w:rsidP="009107B1">
      <w:pPr>
        <w:pStyle w:val="SingleTxtG"/>
        <w:rPr>
          <w:bCs/>
          <w:lang w:val="fr-FR" w:eastAsia="de-DE" w:bidi="fr-FR"/>
        </w:rPr>
      </w:pPr>
      <w:r w:rsidRPr="009107B1">
        <w:rPr>
          <w:bCs/>
          <w:lang w:val="fr-FR" w:eastAsia="de-DE" w:bidi="fr-FR"/>
        </w:rPr>
        <w:t>3.</w:t>
      </w:r>
      <w:r w:rsidRPr="009107B1">
        <w:rPr>
          <w:bCs/>
          <w:lang w:val="fr-FR" w:eastAsia="de-DE" w:bidi="fr-FR"/>
        </w:rPr>
        <w:tab/>
        <w:t xml:space="preserve">L'affectation des observations 35 et 36 a pour objectif d'empêcher l’utilisation de systèmes de réfrigération avec lesquels intervient une réfrigération partielle ou totale avec compression de la cargaison, lorsqu'il s'agit de matières pour lesquelles une telle </w:t>
      </w:r>
      <w:r w:rsidRPr="009107B1">
        <w:rPr>
          <w:bCs/>
          <w:lang w:val="fr-FR" w:eastAsia="de-DE" w:bidi="fr-FR"/>
        </w:rPr>
        <w:lastRenderedPageBreak/>
        <w:t>densification est susceptible de donner lieu à des réactions dangereuses. Dans le tableau C, cela concerne les quatre entrées suivantes :</w:t>
      </w:r>
    </w:p>
    <w:p w:rsidR="009107B1" w:rsidRPr="009107B1" w:rsidRDefault="009107B1" w:rsidP="009107B1">
      <w:pPr>
        <w:pStyle w:val="SingleTxtG"/>
        <w:ind w:left="2835" w:hanging="1701"/>
        <w:rPr>
          <w:lang w:val="fr-FR" w:eastAsia="de-DE"/>
        </w:rPr>
      </w:pPr>
      <w:r w:rsidRPr="009107B1">
        <w:rPr>
          <w:lang w:val="fr-FR" w:eastAsia="de-DE"/>
        </w:rPr>
        <w:t>No ONU 1040</w:t>
      </w:r>
      <w:r w:rsidRPr="009107B1">
        <w:rPr>
          <w:lang w:val="fr-FR" w:eastAsia="de-DE"/>
        </w:rPr>
        <w:tab/>
        <w:t xml:space="preserve">OXYDE D'ÉTHYLÈNE AVEC DE L'AZOTE jusqu'à une pression totale de 1 </w:t>
      </w:r>
      <w:proofErr w:type="spellStart"/>
      <w:r w:rsidRPr="009107B1">
        <w:rPr>
          <w:lang w:val="fr-FR" w:eastAsia="de-DE"/>
        </w:rPr>
        <w:t>MPa</w:t>
      </w:r>
      <w:proofErr w:type="spellEnd"/>
      <w:r w:rsidRPr="009107B1">
        <w:rPr>
          <w:lang w:val="fr-FR" w:eastAsia="de-DE"/>
        </w:rPr>
        <w:t xml:space="preserve"> (10 bar) à 50 °C</w:t>
      </w:r>
    </w:p>
    <w:p w:rsidR="009107B1" w:rsidRPr="009107B1" w:rsidRDefault="009107B1" w:rsidP="009107B1">
      <w:pPr>
        <w:pStyle w:val="SingleTxtG"/>
        <w:ind w:left="2835" w:hanging="1701"/>
        <w:rPr>
          <w:lang w:val="fr-FR" w:eastAsia="de-DE"/>
        </w:rPr>
      </w:pPr>
      <w:r w:rsidRPr="009107B1">
        <w:rPr>
          <w:lang w:val="fr-FR" w:eastAsia="de-DE"/>
        </w:rPr>
        <w:t>No ONU 1089</w:t>
      </w:r>
      <w:r w:rsidRPr="009107B1">
        <w:rPr>
          <w:lang w:val="fr-FR" w:eastAsia="de-DE"/>
        </w:rPr>
        <w:tab/>
        <w:t>ACÉTALDÉHYDE (éthanal)</w:t>
      </w:r>
    </w:p>
    <w:p w:rsidR="009107B1" w:rsidRPr="009107B1" w:rsidRDefault="009107B1" w:rsidP="009107B1">
      <w:pPr>
        <w:pStyle w:val="SingleTxtG"/>
        <w:ind w:left="2835" w:hanging="1701"/>
        <w:rPr>
          <w:lang w:val="fr-FR" w:eastAsia="de-DE"/>
        </w:rPr>
      </w:pPr>
      <w:r w:rsidRPr="009107B1">
        <w:rPr>
          <w:lang w:val="fr-FR" w:eastAsia="de-DE"/>
        </w:rPr>
        <w:t>No ONU 1280</w:t>
      </w:r>
      <w:r w:rsidRPr="009107B1">
        <w:rPr>
          <w:lang w:val="fr-FR" w:eastAsia="de-DE"/>
        </w:rPr>
        <w:tab/>
        <w:t>OXYDE DE PROPYLÈNE et</w:t>
      </w:r>
    </w:p>
    <w:p w:rsidR="009107B1" w:rsidRPr="009107B1" w:rsidRDefault="009107B1" w:rsidP="009107B1">
      <w:pPr>
        <w:pStyle w:val="SingleTxtG"/>
        <w:ind w:left="2835" w:hanging="1701"/>
        <w:rPr>
          <w:lang w:val="fr-FR" w:eastAsia="de-DE"/>
        </w:rPr>
      </w:pPr>
      <w:r w:rsidRPr="009107B1">
        <w:rPr>
          <w:lang w:val="fr-FR" w:eastAsia="de-DE"/>
        </w:rPr>
        <w:t>No ONU 2983</w:t>
      </w:r>
      <w:r w:rsidRPr="009107B1">
        <w:rPr>
          <w:lang w:val="fr-FR" w:eastAsia="de-DE"/>
        </w:rPr>
        <w:tab/>
        <w:t>OXYDE D'ÉTHYLÈNE ET OXYDE DE PROPYLÈNE EN MÉLANGE, contenant au plus 30 % d'oxyde d'éthylène</w:t>
      </w:r>
    </w:p>
    <w:p w:rsidR="005F7C84" w:rsidRDefault="009107B1" w:rsidP="005F7C84">
      <w:pPr>
        <w:pStyle w:val="SingleTxtG"/>
        <w:rPr>
          <w:lang w:val="fr-FR" w:eastAsia="de-DE"/>
        </w:rPr>
      </w:pPr>
      <w:r w:rsidRPr="009107B1">
        <w:rPr>
          <w:lang w:val="fr-FR" w:eastAsia="de-DE"/>
        </w:rPr>
        <w:t>4.</w:t>
      </w:r>
      <w:r w:rsidRPr="009107B1">
        <w:rPr>
          <w:lang w:val="fr-FR" w:eastAsia="de-DE"/>
        </w:rPr>
        <w:tab/>
        <w:t>Les membres du groupe de travail informel sont parvenus à la conclusion que les observations 35 et 36 pouvaient être fusionnées afin d'en faciliter l'utilisation.</w:t>
      </w:r>
    </w:p>
    <w:p w:rsidR="009107B1" w:rsidRPr="009107B1" w:rsidRDefault="009107B1" w:rsidP="009107B1">
      <w:pPr>
        <w:pStyle w:val="SingleTxtG"/>
        <w:rPr>
          <w:lang w:val="fr-FR" w:eastAsia="de-DE"/>
        </w:rPr>
      </w:pPr>
      <w:r w:rsidRPr="009107B1">
        <w:rPr>
          <w:lang w:val="fr-FR" w:eastAsia="de-DE"/>
        </w:rPr>
        <w:t>5.</w:t>
      </w:r>
      <w:r w:rsidRPr="009107B1">
        <w:rPr>
          <w:lang w:val="fr-FR" w:eastAsia="de-DE"/>
        </w:rPr>
        <w:tab/>
        <w:t>Il est par conséquent proposé, au 3.2.3.1 Explications concernant le tableau C, dans les explications pour la colonne (20) de rédiger comme suit l'observation 35 :</w:t>
      </w:r>
    </w:p>
    <w:p w:rsidR="009107B1" w:rsidRPr="009107B1" w:rsidRDefault="009107B1" w:rsidP="009107B1">
      <w:pPr>
        <w:pStyle w:val="SingleTxtG"/>
        <w:rPr>
          <w:lang w:val="fr-FR" w:eastAsia="de-DE"/>
        </w:rPr>
      </w:pPr>
      <w:r>
        <w:rPr>
          <w:lang w:val="fr-FR" w:eastAsia="de-DE"/>
        </w:rPr>
        <w:t>«</w:t>
      </w:r>
      <w:r w:rsidRPr="009107B1">
        <w:rPr>
          <w:lang w:val="fr-FR" w:eastAsia="de-DE"/>
        </w:rPr>
        <w:t>35.</w:t>
      </w:r>
      <w:r w:rsidRPr="009107B1">
        <w:rPr>
          <w:lang w:val="fr-FR" w:eastAsia="de-DE"/>
        </w:rPr>
        <w:tab/>
        <w:t xml:space="preserve">Pour cette matière seul un système indirect pour l’installation de réfrigération de la cargaison est admis. Les systèmes directs et </w:t>
      </w:r>
      <w:r>
        <w:rPr>
          <w:lang w:val="fr-FR" w:eastAsia="de-DE"/>
        </w:rPr>
        <w:t>combinés ne sont pas autorisés.</w:t>
      </w:r>
      <w:r w:rsidRPr="009107B1">
        <w:rPr>
          <w:lang w:val="fr-FR" w:eastAsia="de-DE"/>
        </w:rPr>
        <w:t>»</w:t>
      </w:r>
    </w:p>
    <w:p w:rsidR="009107B1" w:rsidRPr="009107B1" w:rsidRDefault="009107B1" w:rsidP="009107B1">
      <w:pPr>
        <w:pStyle w:val="SingleTxtG"/>
        <w:rPr>
          <w:lang w:val="fr-FR" w:eastAsia="de-DE"/>
        </w:rPr>
      </w:pPr>
      <w:r w:rsidRPr="009107B1">
        <w:rPr>
          <w:lang w:val="fr-FR" w:eastAsia="de-DE"/>
        </w:rPr>
        <w:t>6.</w:t>
      </w:r>
      <w:r w:rsidRPr="009107B1">
        <w:rPr>
          <w:lang w:val="fr-FR" w:eastAsia="de-DE"/>
        </w:rPr>
        <w:tab/>
        <w:t>Pour l'observation 36 est proposée la rédaction suivante :</w:t>
      </w:r>
    </w:p>
    <w:p w:rsidR="009107B1" w:rsidRPr="009107B1" w:rsidRDefault="009107B1" w:rsidP="009107B1">
      <w:pPr>
        <w:pStyle w:val="SingleTxtG"/>
        <w:rPr>
          <w:lang w:val="fr-FR" w:eastAsia="de-DE"/>
        </w:rPr>
      </w:pPr>
      <w:r>
        <w:rPr>
          <w:lang w:val="fr-FR" w:eastAsia="de-DE"/>
        </w:rPr>
        <w:t>«</w:t>
      </w:r>
      <w:r w:rsidRPr="009107B1">
        <w:rPr>
          <w:lang w:val="fr-FR" w:eastAsia="de-DE"/>
        </w:rPr>
        <w:t>36.</w:t>
      </w:r>
      <w:r w:rsidRPr="009107B1">
        <w:rPr>
          <w:lang w:val="fr-FR" w:eastAsia="de-DE"/>
        </w:rPr>
        <w:tab/>
        <w:t>fusionné avec l'observation 35.»</w:t>
      </w:r>
    </w:p>
    <w:p w:rsidR="009107B1" w:rsidRPr="009107B1" w:rsidRDefault="009107B1" w:rsidP="009107B1">
      <w:pPr>
        <w:pStyle w:val="SingleTxtG"/>
        <w:rPr>
          <w:lang w:val="fr-FR" w:eastAsia="de-DE"/>
        </w:rPr>
      </w:pPr>
      <w:r w:rsidRPr="009107B1">
        <w:rPr>
          <w:lang w:val="fr-FR" w:eastAsia="de-DE"/>
        </w:rPr>
        <w:t>7.</w:t>
      </w:r>
      <w:r w:rsidRPr="009107B1">
        <w:rPr>
          <w:lang w:val="fr-FR" w:eastAsia="de-DE"/>
        </w:rPr>
        <w:tab/>
        <w:t>En conséquence, il est aussi proposé de modifier la rédaction de l'observation 35 au 3.2.3.3 Diagramme de décision</w:t>
      </w:r>
      <w:r w:rsidR="006D1A1D">
        <w:rPr>
          <w:lang w:val="fr-FR" w:eastAsia="de-DE"/>
        </w:rPr>
        <w:t>,</w:t>
      </w:r>
      <w:r w:rsidRPr="009107B1">
        <w:rPr>
          <w:lang w:val="fr-FR" w:eastAsia="de-DE"/>
        </w:rPr>
        <w:t xml:space="preserve"> schémas et critères pour la détermination des prescriptions spéciales applicables (colonnes (6) à (20) du tableau C), colonne (20) : Détermination des exigences supplémentaires et observations et au 3.2.4.3 Critères d’affectation des matières, L., Colonne (20) Détermination des exigences supplémentaires et observations, en la rédigeant comme suit : </w:t>
      </w:r>
    </w:p>
    <w:p w:rsidR="009107B1" w:rsidRPr="009107B1" w:rsidRDefault="009107B1" w:rsidP="009107B1">
      <w:pPr>
        <w:pStyle w:val="SingleTxtG"/>
        <w:rPr>
          <w:lang w:val="fr-FR" w:eastAsia="de-DE"/>
        </w:rPr>
      </w:pPr>
      <w:r>
        <w:rPr>
          <w:lang w:val="fr-FR" w:eastAsia="de-DE"/>
        </w:rPr>
        <w:t>«</w:t>
      </w:r>
      <w:r w:rsidRPr="009107B1">
        <w:rPr>
          <w:lang w:val="fr-FR" w:eastAsia="de-DE"/>
        </w:rPr>
        <w:t>Observation 35</w:t>
      </w:r>
      <w:r w:rsidRPr="009107B1">
        <w:rPr>
          <w:lang w:val="fr-FR" w:eastAsia="de-DE"/>
        </w:rPr>
        <w:tab/>
        <w:t>L’observation 35 doit être mentionnée dans la colonne 20 pour les matières pour lesquelles la réfrigération partielle ou totale peut provoquer des réactions dangereuses en cas de compression.»</w:t>
      </w:r>
    </w:p>
    <w:p w:rsidR="009107B1" w:rsidRPr="009107B1" w:rsidRDefault="009107B1" w:rsidP="009107B1">
      <w:pPr>
        <w:pStyle w:val="SingleTxtG"/>
        <w:rPr>
          <w:lang w:val="fr-FR" w:eastAsia="de-DE"/>
        </w:rPr>
      </w:pPr>
      <w:r w:rsidRPr="009107B1">
        <w:rPr>
          <w:lang w:val="fr-FR" w:eastAsia="de-DE"/>
        </w:rPr>
        <w:t>8.</w:t>
      </w:r>
      <w:r w:rsidRPr="009107B1">
        <w:rPr>
          <w:lang w:val="fr-FR" w:eastAsia="de-DE"/>
        </w:rPr>
        <w:tab/>
        <w:t>Il est également proposé de supprimer la disposition pour l'observation 36 dans les passages mentionnés au point 7.</w:t>
      </w:r>
    </w:p>
    <w:p w:rsidR="009107B1" w:rsidRPr="009107B1" w:rsidRDefault="009107B1" w:rsidP="009107B1">
      <w:pPr>
        <w:pStyle w:val="SingleTxtG"/>
        <w:rPr>
          <w:lang w:val="fr-FR" w:eastAsia="de-DE"/>
        </w:rPr>
      </w:pPr>
      <w:r w:rsidRPr="009107B1">
        <w:rPr>
          <w:lang w:val="fr-FR" w:eastAsia="de-DE"/>
        </w:rPr>
        <w:t>9.</w:t>
      </w:r>
      <w:r w:rsidRPr="009107B1">
        <w:rPr>
          <w:lang w:val="fr-FR" w:eastAsia="de-DE"/>
        </w:rPr>
        <w:tab/>
        <w:t>Pour les entrées ci-après, dans la colonne (20) du tableau C, ajouter «; 35».</w:t>
      </w:r>
    </w:p>
    <w:p w:rsidR="009107B1" w:rsidRPr="009107B1" w:rsidRDefault="009107B1" w:rsidP="009107B1">
      <w:pPr>
        <w:pStyle w:val="SingleTxtG"/>
        <w:ind w:left="2835" w:hanging="1701"/>
        <w:rPr>
          <w:lang w:val="fr-FR" w:eastAsia="de-DE"/>
        </w:rPr>
      </w:pPr>
      <w:r w:rsidRPr="009107B1">
        <w:rPr>
          <w:lang w:val="fr-FR" w:eastAsia="de-DE"/>
        </w:rPr>
        <w:t>No ONU 1040</w:t>
      </w:r>
      <w:r w:rsidRPr="009107B1">
        <w:rPr>
          <w:lang w:val="fr-FR" w:eastAsia="de-DE"/>
        </w:rPr>
        <w:tab/>
        <w:t xml:space="preserve">OXYDE D'ÉTHYLÈNE AVEC DE L'AZOTE jusqu'à une pression totale de 1 </w:t>
      </w:r>
      <w:proofErr w:type="spellStart"/>
      <w:r w:rsidRPr="009107B1">
        <w:rPr>
          <w:lang w:val="fr-FR" w:eastAsia="de-DE"/>
        </w:rPr>
        <w:t>MPa</w:t>
      </w:r>
      <w:proofErr w:type="spellEnd"/>
      <w:r w:rsidRPr="009107B1">
        <w:rPr>
          <w:lang w:val="fr-FR" w:eastAsia="de-DE"/>
        </w:rPr>
        <w:t xml:space="preserve"> (10 bar) à 50 °C</w:t>
      </w:r>
    </w:p>
    <w:p w:rsidR="009107B1" w:rsidRPr="009107B1" w:rsidRDefault="009107B1" w:rsidP="009107B1">
      <w:pPr>
        <w:pStyle w:val="SingleTxtG"/>
        <w:ind w:left="2835" w:hanging="1701"/>
        <w:rPr>
          <w:lang w:val="fr-FR" w:eastAsia="de-DE"/>
        </w:rPr>
      </w:pPr>
      <w:r w:rsidRPr="009107B1">
        <w:rPr>
          <w:lang w:val="fr-FR" w:eastAsia="de-DE"/>
        </w:rPr>
        <w:t>No ONU 1089</w:t>
      </w:r>
      <w:r w:rsidRPr="009107B1">
        <w:rPr>
          <w:lang w:val="fr-FR" w:eastAsia="de-DE"/>
        </w:rPr>
        <w:tab/>
        <w:t>ACÉTALDÉHYDE (éthanal)</w:t>
      </w:r>
    </w:p>
    <w:p w:rsidR="009107B1" w:rsidRPr="009107B1" w:rsidRDefault="009107B1" w:rsidP="009107B1">
      <w:pPr>
        <w:pStyle w:val="SingleTxtG"/>
        <w:ind w:left="2835" w:hanging="1701"/>
        <w:rPr>
          <w:lang w:val="fr-FR" w:eastAsia="de-DE"/>
        </w:rPr>
      </w:pPr>
      <w:r w:rsidRPr="009107B1">
        <w:rPr>
          <w:lang w:val="fr-FR" w:eastAsia="de-DE"/>
        </w:rPr>
        <w:t>No ONU 1280</w:t>
      </w:r>
      <w:r w:rsidRPr="009107B1">
        <w:rPr>
          <w:lang w:val="fr-FR" w:eastAsia="de-DE"/>
        </w:rPr>
        <w:tab/>
        <w:t>OXYDE DE PROPYLÈNE et</w:t>
      </w:r>
    </w:p>
    <w:p w:rsidR="009107B1" w:rsidRPr="009107B1" w:rsidRDefault="009107B1" w:rsidP="009107B1">
      <w:pPr>
        <w:pStyle w:val="SingleTxtG"/>
        <w:ind w:left="2835" w:hanging="1701"/>
        <w:rPr>
          <w:lang w:val="fr-FR" w:eastAsia="de-DE"/>
        </w:rPr>
      </w:pPr>
      <w:r w:rsidRPr="009107B1">
        <w:rPr>
          <w:lang w:val="fr-FR" w:eastAsia="de-DE"/>
        </w:rPr>
        <w:t>No ONU 2983</w:t>
      </w:r>
      <w:r w:rsidRPr="009107B1">
        <w:rPr>
          <w:lang w:val="fr-FR" w:eastAsia="de-DE"/>
        </w:rPr>
        <w:tab/>
        <w:t>OXYDE D'ÉTHYLÈNE ET OXYDE DE PROPYLÈNE EN MÉLANGE, contenant au plus 30 % d'oxyde d'éthylène</w:t>
      </w:r>
    </w:p>
    <w:p w:rsidR="00191B0F" w:rsidRPr="00191B0F" w:rsidRDefault="00191B0F" w:rsidP="00191B0F">
      <w:pPr>
        <w:pStyle w:val="SingleTxtG"/>
        <w:spacing w:before="240" w:after="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191B0F" w:rsidRPr="00191B0F" w:rsidSect="00BD44C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807" w:rsidRDefault="00A02807"/>
  </w:endnote>
  <w:endnote w:type="continuationSeparator" w:id="0">
    <w:p w:rsidR="00A02807" w:rsidRDefault="00A02807"/>
  </w:endnote>
  <w:endnote w:type="continuationNotice" w:id="1">
    <w:p w:rsidR="00A02807" w:rsidRPr="00BF38EF" w:rsidRDefault="00A02807"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333A36">
      <w:rPr>
        <w:b/>
        <w:noProof/>
        <w:sz w:val="18"/>
      </w:rPr>
      <w:t>2</w:t>
    </w:r>
    <w:r w:rsidRPr="00CD428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9107B1">
      <w:rPr>
        <w:b/>
        <w:noProof/>
        <w:sz w:val="18"/>
      </w:rPr>
      <w:t>3</w:t>
    </w:r>
    <w:r w:rsidRPr="00CD42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pPr>
      <w:pStyle w:val="Footer"/>
      <w:rPr>
        <w:sz w:val="20"/>
      </w:rPr>
    </w:pPr>
    <w:r>
      <w:rPr>
        <w:sz w:val="20"/>
      </w:rPr>
      <w:t>GE.</w:t>
    </w:r>
    <w:r w:rsidR="00523538">
      <w:rPr>
        <w:noProof/>
        <w:lang w:val="fr-FR" w:eastAsia="fr-FR"/>
      </w:rPr>
      <w:drawing>
        <wp:anchor distT="0" distB="0" distL="114300" distR="114300" simplePos="0" relativeHeight="251657728" behindDoc="0" locked="0" layoutInCell="1" allowOverlap="1">
          <wp:simplePos x="0" y="0"/>
          <wp:positionH relativeFrom="column">
            <wp:posOffset>5040630</wp:posOffset>
          </wp:positionH>
          <wp:positionV relativeFrom="line">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074">
      <w:rPr>
        <w:sz w:val="20"/>
      </w:rPr>
      <w:t>1</w:t>
    </w:r>
    <w:r w:rsidR="006B6C93">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807" w:rsidRPr="00D27D5E" w:rsidRDefault="00A02807" w:rsidP="00D27D5E">
      <w:pPr>
        <w:tabs>
          <w:tab w:val="right" w:pos="2155"/>
        </w:tabs>
        <w:spacing w:after="80"/>
        <w:ind w:left="680"/>
        <w:rPr>
          <w:u w:val="single"/>
        </w:rPr>
      </w:pPr>
      <w:r>
        <w:rPr>
          <w:u w:val="single"/>
        </w:rPr>
        <w:tab/>
      </w:r>
    </w:p>
  </w:footnote>
  <w:footnote w:type="continuationSeparator" w:id="0">
    <w:p w:rsidR="00A02807" w:rsidRPr="00836A24" w:rsidRDefault="00A02807" w:rsidP="00836A24">
      <w:pPr>
        <w:tabs>
          <w:tab w:val="right" w:pos="2155"/>
        </w:tabs>
        <w:spacing w:after="80"/>
        <w:ind w:left="680"/>
        <w:rPr>
          <w:u w:val="single"/>
        </w:rPr>
      </w:pPr>
      <w:r w:rsidRPr="00836A24">
        <w:rPr>
          <w:u w:val="single"/>
        </w:rPr>
        <w:tab/>
      </w:r>
    </w:p>
  </w:footnote>
  <w:footnote w:type="continuationNotice" w:id="1">
    <w:p w:rsidR="00A02807" w:rsidRPr="00BF38EF" w:rsidRDefault="00A02807" w:rsidP="00BF38EF">
      <w:pPr>
        <w:spacing w:line="240" w:lineRule="auto"/>
        <w:rPr>
          <w:sz w:val="2"/>
          <w:szCs w:val="2"/>
        </w:rPr>
      </w:pPr>
    </w:p>
  </w:footnote>
  <w:footnote w:id="2">
    <w:p w:rsidR="00C26F66" w:rsidRPr="00F337B3" w:rsidRDefault="00D64213" w:rsidP="00D64213">
      <w:pPr>
        <w:pStyle w:val="FootnoteText"/>
      </w:pPr>
      <w:r>
        <w:rPr>
          <w:szCs w:val="24"/>
        </w:rPr>
        <w:tab/>
      </w:r>
      <w:r w:rsidR="00C26F66" w:rsidRPr="00F337B3">
        <w:rPr>
          <w:rStyle w:val="FootnoteReference"/>
          <w:szCs w:val="24"/>
        </w:rPr>
        <w:footnoteRef/>
      </w:r>
      <w:r w:rsidR="00C26F66" w:rsidRPr="00F337B3">
        <w:rPr>
          <w:szCs w:val="24"/>
        </w:rPr>
        <w:tab/>
      </w:r>
      <w:r w:rsidR="00C26F66" w:rsidRPr="00F337B3">
        <w:t xml:space="preserve">Diffusé en langue </w:t>
      </w:r>
      <w:r w:rsidR="00C26F66" w:rsidRPr="00D64213">
        <w:t>allemande</w:t>
      </w:r>
      <w:r w:rsidR="00C26F66" w:rsidRPr="00F337B3">
        <w:t xml:space="preserve"> par la Commission centrale pour la navigation du Rhin sous la cote</w:t>
      </w:r>
      <w:r w:rsidR="00C26F66">
        <w:t xml:space="preserve"> CCNR/ZKR/ADN/WP.15/AC.2/201</w:t>
      </w:r>
      <w:r w:rsidR="00CB0B63">
        <w:t>6</w:t>
      </w:r>
      <w:r w:rsidR="00C26F66">
        <w:t>/</w:t>
      </w:r>
      <w:r w:rsidR="009107B1">
        <w:t>8</w:t>
      </w:r>
      <w:r w:rsidR="00C26F66" w:rsidRPr="00F337B3">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263074">
    <w:pPr>
      <w:pStyle w:val="Header"/>
    </w:pPr>
    <w:r>
      <w:t>ECE/TRANS/WP.15/AC.2/201</w:t>
    </w:r>
    <w:r w:rsidR="00CB0B63">
      <w:t>6</w:t>
    </w:r>
    <w:r w:rsidR="006B6C93">
      <w:t>/</w:t>
    </w:r>
    <w:r w:rsidR="004179EF">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AA4C53" w:rsidP="00CD4281">
    <w:pPr>
      <w:pStyle w:val="Header"/>
      <w:jc w:val="right"/>
    </w:pPr>
    <w:r>
      <w:t>ECE/TRANS/WP.15/AC.2/2015</w:t>
    </w:r>
    <w:r w:rsidR="00812C43">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3BBA7BD7"/>
    <w:multiLevelType w:val="hybridMultilevel"/>
    <w:tmpl w:val="46C2CE76"/>
    <w:lvl w:ilvl="0" w:tplc="41D4EDE0">
      <w:start w:val="5"/>
      <w:numFmt w:val="upperRoman"/>
      <w:lvlText w:val="%1."/>
      <w:lvlJc w:val="left"/>
      <w:pPr>
        <w:tabs>
          <w:tab w:val="num" w:pos="1848"/>
        </w:tabs>
        <w:ind w:left="1848" w:hanging="720"/>
      </w:pPr>
      <w:rPr>
        <w:rFonts w:hint="default"/>
      </w:rPr>
    </w:lvl>
    <w:lvl w:ilvl="1" w:tplc="040C0019" w:tentative="1">
      <w:start w:val="1"/>
      <w:numFmt w:val="lowerLetter"/>
      <w:lvlText w:val="%2."/>
      <w:lvlJc w:val="left"/>
      <w:pPr>
        <w:tabs>
          <w:tab w:val="num" w:pos="2208"/>
        </w:tabs>
        <w:ind w:left="2208" w:hanging="360"/>
      </w:pPr>
    </w:lvl>
    <w:lvl w:ilvl="2" w:tplc="040C001B" w:tentative="1">
      <w:start w:val="1"/>
      <w:numFmt w:val="lowerRoman"/>
      <w:lvlText w:val="%3."/>
      <w:lvlJc w:val="right"/>
      <w:pPr>
        <w:tabs>
          <w:tab w:val="num" w:pos="2928"/>
        </w:tabs>
        <w:ind w:left="2928" w:hanging="180"/>
      </w:pPr>
    </w:lvl>
    <w:lvl w:ilvl="3" w:tplc="040C000F" w:tentative="1">
      <w:start w:val="1"/>
      <w:numFmt w:val="decimal"/>
      <w:lvlText w:val="%4."/>
      <w:lvlJc w:val="left"/>
      <w:pPr>
        <w:tabs>
          <w:tab w:val="num" w:pos="3648"/>
        </w:tabs>
        <w:ind w:left="3648" w:hanging="360"/>
      </w:pPr>
    </w:lvl>
    <w:lvl w:ilvl="4" w:tplc="040C0019" w:tentative="1">
      <w:start w:val="1"/>
      <w:numFmt w:val="lowerLetter"/>
      <w:lvlText w:val="%5."/>
      <w:lvlJc w:val="left"/>
      <w:pPr>
        <w:tabs>
          <w:tab w:val="num" w:pos="4368"/>
        </w:tabs>
        <w:ind w:left="4368" w:hanging="360"/>
      </w:pPr>
    </w:lvl>
    <w:lvl w:ilvl="5" w:tplc="040C001B" w:tentative="1">
      <w:start w:val="1"/>
      <w:numFmt w:val="lowerRoman"/>
      <w:lvlText w:val="%6."/>
      <w:lvlJc w:val="right"/>
      <w:pPr>
        <w:tabs>
          <w:tab w:val="num" w:pos="5088"/>
        </w:tabs>
        <w:ind w:left="5088" w:hanging="180"/>
      </w:pPr>
    </w:lvl>
    <w:lvl w:ilvl="6" w:tplc="040C000F" w:tentative="1">
      <w:start w:val="1"/>
      <w:numFmt w:val="decimal"/>
      <w:lvlText w:val="%7."/>
      <w:lvlJc w:val="left"/>
      <w:pPr>
        <w:tabs>
          <w:tab w:val="num" w:pos="5808"/>
        </w:tabs>
        <w:ind w:left="5808" w:hanging="360"/>
      </w:pPr>
    </w:lvl>
    <w:lvl w:ilvl="7" w:tplc="040C0019" w:tentative="1">
      <w:start w:val="1"/>
      <w:numFmt w:val="lowerLetter"/>
      <w:lvlText w:val="%8."/>
      <w:lvlJc w:val="left"/>
      <w:pPr>
        <w:tabs>
          <w:tab w:val="num" w:pos="6528"/>
        </w:tabs>
        <w:ind w:left="6528" w:hanging="360"/>
      </w:pPr>
    </w:lvl>
    <w:lvl w:ilvl="8" w:tplc="040C001B" w:tentative="1">
      <w:start w:val="1"/>
      <w:numFmt w:val="lowerRoman"/>
      <w:lvlText w:val="%9."/>
      <w:lvlJc w:val="right"/>
      <w:pPr>
        <w:tabs>
          <w:tab w:val="num" w:pos="7248"/>
        </w:tabs>
        <w:ind w:left="7248"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16AC5"/>
    <w:rsid w:val="000229BE"/>
    <w:rsid w:val="00023FAD"/>
    <w:rsid w:val="00030ADE"/>
    <w:rsid w:val="000312C0"/>
    <w:rsid w:val="00090A5D"/>
    <w:rsid w:val="000A0D7D"/>
    <w:rsid w:val="000A55CE"/>
    <w:rsid w:val="000B0D4D"/>
    <w:rsid w:val="000B60CE"/>
    <w:rsid w:val="000D17BF"/>
    <w:rsid w:val="000F41F2"/>
    <w:rsid w:val="00103471"/>
    <w:rsid w:val="00111648"/>
    <w:rsid w:val="00114D3F"/>
    <w:rsid w:val="001260A6"/>
    <w:rsid w:val="00133F18"/>
    <w:rsid w:val="00135C0D"/>
    <w:rsid w:val="001542D1"/>
    <w:rsid w:val="00160540"/>
    <w:rsid w:val="001636E0"/>
    <w:rsid w:val="001701DC"/>
    <w:rsid w:val="0017182C"/>
    <w:rsid w:val="0017360A"/>
    <w:rsid w:val="00177007"/>
    <w:rsid w:val="001823D4"/>
    <w:rsid w:val="00186EE9"/>
    <w:rsid w:val="00191B0F"/>
    <w:rsid w:val="00192EEB"/>
    <w:rsid w:val="001947FF"/>
    <w:rsid w:val="001A20FB"/>
    <w:rsid w:val="001B0BE2"/>
    <w:rsid w:val="001B46BD"/>
    <w:rsid w:val="001B6F40"/>
    <w:rsid w:val="001C4184"/>
    <w:rsid w:val="001C61AA"/>
    <w:rsid w:val="001D7F8A"/>
    <w:rsid w:val="001E3FEB"/>
    <w:rsid w:val="001E4A02"/>
    <w:rsid w:val="00223B89"/>
    <w:rsid w:val="002255DD"/>
    <w:rsid w:val="00225A8C"/>
    <w:rsid w:val="00234E40"/>
    <w:rsid w:val="00251000"/>
    <w:rsid w:val="00263074"/>
    <w:rsid w:val="002659F1"/>
    <w:rsid w:val="00271AAD"/>
    <w:rsid w:val="00271C7C"/>
    <w:rsid w:val="00287E79"/>
    <w:rsid w:val="002928F9"/>
    <w:rsid w:val="002A5D07"/>
    <w:rsid w:val="002B4585"/>
    <w:rsid w:val="002B64EB"/>
    <w:rsid w:val="002C4C91"/>
    <w:rsid w:val="002D31AC"/>
    <w:rsid w:val="002D7669"/>
    <w:rsid w:val="002E6444"/>
    <w:rsid w:val="002E6F0D"/>
    <w:rsid w:val="002F3CCA"/>
    <w:rsid w:val="003016B7"/>
    <w:rsid w:val="003044AA"/>
    <w:rsid w:val="00330F9C"/>
    <w:rsid w:val="00331156"/>
    <w:rsid w:val="00333A36"/>
    <w:rsid w:val="00340C35"/>
    <w:rsid w:val="00343C15"/>
    <w:rsid w:val="003515AA"/>
    <w:rsid w:val="00364866"/>
    <w:rsid w:val="00370352"/>
    <w:rsid w:val="00370E0F"/>
    <w:rsid w:val="00374106"/>
    <w:rsid w:val="003976D5"/>
    <w:rsid w:val="003A2976"/>
    <w:rsid w:val="003C3BD4"/>
    <w:rsid w:val="003D1DF3"/>
    <w:rsid w:val="003D46A7"/>
    <w:rsid w:val="003D6C68"/>
    <w:rsid w:val="003E5551"/>
    <w:rsid w:val="004159D0"/>
    <w:rsid w:val="00416747"/>
    <w:rsid w:val="004179EF"/>
    <w:rsid w:val="0042377E"/>
    <w:rsid w:val="004249E7"/>
    <w:rsid w:val="00426657"/>
    <w:rsid w:val="0043292F"/>
    <w:rsid w:val="00442D65"/>
    <w:rsid w:val="004532CE"/>
    <w:rsid w:val="00460C54"/>
    <w:rsid w:val="004812F5"/>
    <w:rsid w:val="004856F9"/>
    <w:rsid w:val="00493C5D"/>
    <w:rsid w:val="004958E9"/>
    <w:rsid w:val="004A5935"/>
    <w:rsid w:val="004D0439"/>
    <w:rsid w:val="004E6373"/>
    <w:rsid w:val="00523538"/>
    <w:rsid w:val="00530F2E"/>
    <w:rsid w:val="00543D5E"/>
    <w:rsid w:val="00571F41"/>
    <w:rsid w:val="00580744"/>
    <w:rsid w:val="00580EEC"/>
    <w:rsid w:val="00595BE4"/>
    <w:rsid w:val="005A20B5"/>
    <w:rsid w:val="005A69D3"/>
    <w:rsid w:val="005B76A3"/>
    <w:rsid w:val="005E0BAE"/>
    <w:rsid w:val="005E5D1F"/>
    <w:rsid w:val="005F7C84"/>
    <w:rsid w:val="00602512"/>
    <w:rsid w:val="00603391"/>
    <w:rsid w:val="00611D43"/>
    <w:rsid w:val="00612D48"/>
    <w:rsid w:val="00616B45"/>
    <w:rsid w:val="00630D9B"/>
    <w:rsid w:val="00631953"/>
    <w:rsid w:val="006320E9"/>
    <w:rsid w:val="006439EC"/>
    <w:rsid w:val="00650FD4"/>
    <w:rsid w:val="00653D13"/>
    <w:rsid w:val="006834E6"/>
    <w:rsid w:val="00694F83"/>
    <w:rsid w:val="006B4590"/>
    <w:rsid w:val="006B6C93"/>
    <w:rsid w:val="006C340C"/>
    <w:rsid w:val="006C7F8A"/>
    <w:rsid w:val="006D1A1D"/>
    <w:rsid w:val="006D3C84"/>
    <w:rsid w:val="006E5FC7"/>
    <w:rsid w:val="0070347C"/>
    <w:rsid w:val="007176C1"/>
    <w:rsid w:val="007330FE"/>
    <w:rsid w:val="00735A79"/>
    <w:rsid w:val="00757352"/>
    <w:rsid w:val="00763EB9"/>
    <w:rsid w:val="00790336"/>
    <w:rsid w:val="00790F2F"/>
    <w:rsid w:val="007A1954"/>
    <w:rsid w:val="007B0F68"/>
    <w:rsid w:val="007C3462"/>
    <w:rsid w:val="007C3C4F"/>
    <w:rsid w:val="007F55CB"/>
    <w:rsid w:val="00805BAD"/>
    <w:rsid w:val="00812C1A"/>
    <w:rsid w:val="00812C43"/>
    <w:rsid w:val="00826472"/>
    <w:rsid w:val="00830891"/>
    <w:rsid w:val="008317F6"/>
    <w:rsid w:val="00836A24"/>
    <w:rsid w:val="00844750"/>
    <w:rsid w:val="00846C19"/>
    <w:rsid w:val="008940D7"/>
    <w:rsid w:val="008A767B"/>
    <w:rsid w:val="008B09B3"/>
    <w:rsid w:val="008B44C4"/>
    <w:rsid w:val="008B7879"/>
    <w:rsid w:val="008D3919"/>
    <w:rsid w:val="008D678E"/>
    <w:rsid w:val="008E7FAE"/>
    <w:rsid w:val="008F059B"/>
    <w:rsid w:val="009107B1"/>
    <w:rsid w:val="00911BF7"/>
    <w:rsid w:val="00911DA7"/>
    <w:rsid w:val="00916183"/>
    <w:rsid w:val="009165B3"/>
    <w:rsid w:val="00945FF8"/>
    <w:rsid w:val="009461E5"/>
    <w:rsid w:val="00952FDB"/>
    <w:rsid w:val="0095536D"/>
    <w:rsid w:val="00974DF0"/>
    <w:rsid w:val="00975B8F"/>
    <w:rsid w:val="009761FC"/>
    <w:rsid w:val="00977EC8"/>
    <w:rsid w:val="00980B3E"/>
    <w:rsid w:val="00984468"/>
    <w:rsid w:val="009A5E81"/>
    <w:rsid w:val="009B18A3"/>
    <w:rsid w:val="009D3A8C"/>
    <w:rsid w:val="009E01B8"/>
    <w:rsid w:val="009E2194"/>
    <w:rsid w:val="009E7956"/>
    <w:rsid w:val="00A02807"/>
    <w:rsid w:val="00A15CB2"/>
    <w:rsid w:val="00A24903"/>
    <w:rsid w:val="00A2492E"/>
    <w:rsid w:val="00A31A6B"/>
    <w:rsid w:val="00A666CE"/>
    <w:rsid w:val="00A70163"/>
    <w:rsid w:val="00A96408"/>
    <w:rsid w:val="00A97D9A"/>
    <w:rsid w:val="00AA4C53"/>
    <w:rsid w:val="00AA5935"/>
    <w:rsid w:val="00AB1789"/>
    <w:rsid w:val="00AC2802"/>
    <w:rsid w:val="00AC67A1"/>
    <w:rsid w:val="00AC7977"/>
    <w:rsid w:val="00AE352C"/>
    <w:rsid w:val="00AF1499"/>
    <w:rsid w:val="00AF4C64"/>
    <w:rsid w:val="00B03463"/>
    <w:rsid w:val="00B32E2D"/>
    <w:rsid w:val="00B4466B"/>
    <w:rsid w:val="00B5393D"/>
    <w:rsid w:val="00B57132"/>
    <w:rsid w:val="00B60BEC"/>
    <w:rsid w:val="00B61990"/>
    <w:rsid w:val="00B6334B"/>
    <w:rsid w:val="00B73AAE"/>
    <w:rsid w:val="00B75DC2"/>
    <w:rsid w:val="00B75EC5"/>
    <w:rsid w:val="00B85D99"/>
    <w:rsid w:val="00B86EA9"/>
    <w:rsid w:val="00B93E72"/>
    <w:rsid w:val="00BA5250"/>
    <w:rsid w:val="00BC5FA7"/>
    <w:rsid w:val="00BD44CD"/>
    <w:rsid w:val="00BD67A2"/>
    <w:rsid w:val="00BF0556"/>
    <w:rsid w:val="00BF38EF"/>
    <w:rsid w:val="00C24B53"/>
    <w:rsid w:val="00C261F8"/>
    <w:rsid w:val="00C26F66"/>
    <w:rsid w:val="00C27150"/>
    <w:rsid w:val="00C33100"/>
    <w:rsid w:val="00C57892"/>
    <w:rsid w:val="00C74D15"/>
    <w:rsid w:val="00C908B9"/>
    <w:rsid w:val="00C940E9"/>
    <w:rsid w:val="00CA1414"/>
    <w:rsid w:val="00CB0B63"/>
    <w:rsid w:val="00CB373C"/>
    <w:rsid w:val="00CB6267"/>
    <w:rsid w:val="00CB694A"/>
    <w:rsid w:val="00CD1A25"/>
    <w:rsid w:val="00CD1A71"/>
    <w:rsid w:val="00CD1FBB"/>
    <w:rsid w:val="00CD3488"/>
    <w:rsid w:val="00CD4281"/>
    <w:rsid w:val="00CE5BF6"/>
    <w:rsid w:val="00CF1893"/>
    <w:rsid w:val="00CF7A47"/>
    <w:rsid w:val="00D016B5"/>
    <w:rsid w:val="00D034F1"/>
    <w:rsid w:val="00D04D8B"/>
    <w:rsid w:val="00D11B17"/>
    <w:rsid w:val="00D205A3"/>
    <w:rsid w:val="00D24779"/>
    <w:rsid w:val="00D24B1D"/>
    <w:rsid w:val="00D27D5E"/>
    <w:rsid w:val="00D46004"/>
    <w:rsid w:val="00D60301"/>
    <w:rsid w:val="00D64213"/>
    <w:rsid w:val="00D761E2"/>
    <w:rsid w:val="00D92026"/>
    <w:rsid w:val="00DA57D4"/>
    <w:rsid w:val="00DB4793"/>
    <w:rsid w:val="00DB6CD1"/>
    <w:rsid w:val="00DC794A"/>
    <w:rsid w:val="00DE01E3"/>
    <w:rsid w:val="00DE45DF"/>
    <w:rsid w:val="00DE56E5"/>
    <w:rsid w:val="00DE6D90"/>
    <w:rsid w:val="00DF002F"/>
    <w:rsid w:val="00E0244D"/>
    <w:rsid w:val="00E0331A"/>
    <w:rsid w:val="00E206C7"/>
    <w:rsid w:val="00E2394D"/>
    <w:rsid w:val="00E2484C"/>
    <w:rsid w:val="00E37AE2"/>
    <w:rsid w:val="00E401F2"/>
    <w:rsid w:val="00E413D8"/>
    <w:rsid w:val="00E47862"/>
    <w:rsid w:val="00E50079"/>
    <w:rsid w:val="00E55D71"/>
    <w:rsid w:val="00E56ED3"/>
    <w:rsid w:val="00E75221"/>
    <w:rsid w:val="00E81E94"/>
    <w:rsid w:val="00E82607"/>
    <w:rsid w:val="00EA31C2"/>
    <w:rsid w:val="00EA320D"/>
    <w:rsid w:val="00EC510E"/>
    <w:rsid w:val="00EE2EA3"/>
    <w:rsid w:val="00EE56CB"/>
    <w:rsid w:val="00EF1183"/>
    <w:rsid w:val="00EF486C"/>
    <w:rsid w:val="00F01516"/>
    <w:rsid w:val="00F32462"/>
    <w:rsid w:val="00F50F4F"/>
    <w:rsid w:val="00F56DE8"/>
    <w:rsid w:val="00F57129"/>
    <w:rsid w:val="00F60D4A"/>
    <w:rsid w:val="00FA5A79"/>
    <w:rsid w:val="00FB00CB"/>
    <w:rsid w:val="00FB0BFE"/>
    <w:rsid w:val="00FB44CA"/>
    <w:rsid w:val="00FB4C51"/>
    <w:rsid w:val="00FC017A"/>
    <w:rsid w:val="00FD3CA2"/>
    <w:rsid w:val="00FF0745"/>
    <w:rsid w:val="00FF10CF"/>
    <w:rsid w:val="00FF1DBD"/>
    <w:rsid w:val="00FF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562AD2D-5060-4CDC-9C58-11014162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4138">
      <w:bodyDiv w:val="1"/>
      <w:marLeft w:val="0"/>
      <w:marRight w:val="0"/>
      <w:marTop w:val="0"/>
      <w:marBottom w:val="0"/>
      <w:divBdr>
        <w:top w:val="none" w:sz="0" w:space="0" w:color="auto"/>
        <w:left w:val="none" w:sz="0" w:space="0" w:color="auto"/>
        <w:bottom w:val="none" w:sz="0" w:space="0" w:color="auto"/>
        <w:right w:val="none" w:sz="0" w:space="0" w:color="auto"/>
      </w:divBdr>
      <w:divsChild>
        <w:div w:id="1267957048">
          <w:marLeft w:val="0"/>
          <w:marRight w:val="0"/>
          <w:marTop w:val="0"/>
          <w:marBottom w:val="0"/>
          <w:divBdr>
            <w:top w:val="none" w:sz="0" w:space="0" w:color="auto"/>
            <w:left w:val="none" w:sz="0" w:space="0" w:color="auto"/>
            <w:bottom w:val="none" w:sz="0" w:space="0" w:color="auto"/>
            <w:right w:val="none" w:sz="0" w:space="0" w:color="auto"/>
          </w:divBdr>
          <w:divsChild>
            <w:div w:id="1375034013">
              <w:marLeft w:val="0"/>
              <w:marRight w:val="0"/>
              <w:marTop w:val="0"/>
              <w:marBottom w:val="0"/>
              <w:divBdr>
                <w:top w:val="none" w:sz="0" w:space="0" w:color="auto"/>
                <w:left w:val="none" w:sz="0" w:space="0" w:color="auto"/>
                <w:bottom w:val="none" w:sz="0" w:space="0" w:color="auto"/>
                <w:right w:val="none" w:sz="0" w:space="0" w:color="auto"/>
              </w:divBdr>
              <w:divsChild>
                <w:div w:id="2036538188">
                  <w:marLeft w:val="0"/>
                  <w:marRight w:val="0"/>
                  <w:marTop w:val="0"/>
                  <w:marBottom w:val="0"/>
                  <w:divBdr>
                    <w:top w:val="none" w:sz="0" w:space="0" w:color="auto"/>
                    <w:left w:val="none" w:sz="0" w:space="0" w:color="auto"/>
                    <w:bottom w:val="none" w:sz="0" w:space="0" w:color="auto"/>
                    <w:right w:val="none" w:sz="0" w:space="0" w:color="auto"/>
                  </w:divBdr>
                  <w:divsChild>
                    <w:div w:id="721487795">
                      <w:marLeft w:val="0"/>
                      <w:marRight w:val="0"/>
                      <w:marTop w:val="0"/>
                      <w:marBottom w:val="0"/>
                      <w:divBdr>
                        <w:top w:val="none" w:sz="0" w:space="0" w:color="auto"/>
                        <w:left w:val="none" w:sz="0" w:space="0" w:color="auto"/>
                        <w:bottom w:val="none" w:sz="0" w:space="0" w:color="auto"/>
                        <w:right w:val="none" w:sz="0" w:space="0" w:color="auto"/>
                      </w:divBdr>
                      <w:divsChild>
                        <w:div w:id="1303922587">
                          <w:marLeft w:val="0"/>
                          <w:marRight w:val="0"/>
                          <w:marTop w:val="0"/>
                          <w:marBottom w:val="0"/>
                          <w:divBdr>
                            <w:top w:val="none" w:sz="0" w:space="0" w:color="auto"/>
                            <w:left w:val="none" w:sz="0" w:space="0" w:color="auto"/>
                            <w:bottom w:val="none" w:sz="0" w:space="0" w:color="auto"/>
                            <w:right w:val="none" w:sz="0" w:space="0" w:color="auto"/>
                          </w:divBdr>
                          <w:divsChild>
                            <w:div w:id="1575698532">
                              <w:marLeft w:val="0"/>
                              <w:marRight w:val="0"/>
                              <w:marTop w:val="0"/>
                              <w:marBottom w:val="0"/>
                              <w:divBdr>
                                <w:top w:val="none" w:sz="0" w:space="0" w:color="auto"/>
                                <w:left w:val="none" w:sz="0" w:space="0" w:color="auto"/>
                                <w:bottom w:val="none" w:sz="0" w:space="0" w:color="auto"/>
                                <w:right w:val="none" w:sz="0" w:space="0" w:color="auto"/>
                              </w:divBdr>
                              <w:divsChild>
                                <w:div w:id="1814903297">
                                  <w:marLeft w:val="0"/>
                                  <w:marRight w:val="0"/>
                                  <w:marTop w:val="0"/>
                                  <w:marBottom w:val="0"/>
                                  <w:divBdr>
                                    <w:top w:val="none" w:sz="0" w:space="0" w:color="auto"/>
                                    <w:left w:val="none" w:sz="0" w:space="0" w:color="auto"/>
                                    <w:bottom w:val="none" w:sz="0" w:space="0" w:color="auto"/>
                                    <w:right w:val="none" w:sz="0" w:space="0" w:color="auto"/>
                                  </w:divBdr>
                                  <w:divsChild>
                                    <w:div w:id="1885217430">
                                      <w:marLeft w:val="0"/>
                                      <w:marRight w:val="0"/>
                                      <w:marTop w:val="0"/>
                                      <w:marBottom w:val="0"/>
                                      <w:divBdr>
                                        <w:top w:val="single" w:sz="6" w:space="0" w:color="F5F5F5"/>
                                        <w:left w:val="single" w:sz="6" w:space="0" w:color="F5F5F5"/>
                                        <w:bottom w:val="single" w:sz="6" w:space="0" w:color="F5F5F5"/>
                                        <w:right w:val="single" w:sz="6" w:space="0" w:color="F5F5F5"/>
                                      </w:divBdr>
                                      <w:divsChild>
                                        <w:div w:id="1010832895">
                                          <w:marLeft w:val="0"/>
                                          <w:marRight w:val="0"/>
                                          <w:marTop w:val="0"/>
                                          <w:marBottom w:val="0"/>
                                          <w:divBdr>
                                            <w:top w:val="none" w:sz="0" w:space="0" w:color="auto"/>
                                            <w:left w:val="none" w:sz="0" w:space="0" w:color="auto"/>
                                            <w:bottom w:val="none" w:sz="0" w:space="0" w:color="auto"/>
                                            <w:right w:val="none" w:sz="0" w:space="0" w:color="auto"/>
                                          </w:divBdr>
                                          <w:divsChild>
                                            <w:div w:id="19961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1CED-547A-4CCF-B288-4389F093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Caillot</cp:lastModifiedBy>
  <cp:revision>3</cp:revision>
  <cp:lastPrinted>2015-04-23T08:25:00Z</cp:lastPrinted>
  <dcterms:created xsi:type="dcterms:W3CDTF">2015-10-23T14:22:00Z</dcterms:created>
  <dcterms:modified xsi:type="dcterms:W3CDTF">2015-10-23T14:33:00Z</dcterms:modified>
</cp:coreProperties>
</file>