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DB" w:rsidRPr="00CB5C81" w:rsidRDefault="000109FF" w:rsidP="005E05DB">
      <w:pPr>
        <w:suppressAutoHyphens w:val="0"/>
        <w:spacing w:line="240" w:lineRule="auto"/>
        <w:ind w:left="5387" w:right="-286"/>
        <w:outlineLvl w:val="0"/>
        <w:rPr>
          <w:rFonts w:ascii="Arial" w:hAnsi="Arial"/>
          <w:snapToGrid w:val="0"/>
          <w:lang w:val="en-US" w:bidi="fr-FR"/>
        </w:rPr>
      </w:pPr>
      <w:r>
        <w:rPr>
          <w:noProof/>
          <w:lang w:val="fr-FR"/>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5DB" w:rsidRPr="00CB5C81">
        <w:rPr>
          <w:rFonts w:ascii="Arial" w:eastAsia="Arial" w:hAnsi="Arial" w:cs="Arial"/>
          <w:bCs/>
          <w:szCs w:val="24"/>
          <w:lang w:val="en-US" w:eastAsia="de-DE"/>
        </w:rPr>
        <w:t>CCNR-ZKR/ADN/WP.15/AC.2/201</w:t>
      </w:r>
      <w:r w:rsidR="00D31DF8">
        <w:rPr>
          <w:rFonts w:ascii="Arial" w:eastAsia="Arial" w:hAnsi="Arial" w:cs="Arial"/>
          <w:bCs/>
          <w:szCs w:val="24"/>
          <w:lang w:val="en-US" w:eastAsia="de-DE"/>
        </w:rPr>
        <w:t>6</w:t>
      </w:r>
      <w:r w:rsidR="005E05DB" w:rsidRPr="00CB5C81">
        <w:rPr>
          <w:rFonts w:ascii="Arial" w:eastAsia="Arial" w:hAnsi="Arial" w:cs="Arial"/>
          <w:bCs/>
          <w:szCs w:val="24"/>
          <w:lang w:val="en-US" w:eastAsia="de-DE"/>
        </w:rPr>
        <w:t>/</w:t>
      </w:r>
      <w:r w:rsidR="00FA4E55">
        <w:rPr>
          <w:rFonts w:ascii="Arial" w:eastAsia="Arial" w:hAnsi="Arial" w:cs="Arial"/>
          <w:bCs/>
          <w:szCs w:val="24"/>
          <w:lang w:val="en-US" w:eastAsia="de-DE"/>
        </w:rPr>
        <w:t>7</w:t>
      </w:r>
    </w:p>
    <w:p w:rsidR="005E05DB" w:rsidRPr="00CB5C81" w:rsidRDefault="005E05DB" w:rsidP="005E05DB">
      <w:pPr>
        <w:tabs>
          <w:tab w:val="left" w:pos="5670"/>
        </w:tabs>
        <w:suppressAutoHyphens w:val="0"/>
        <w:spacing w:line="240" w:lineRule="auto"/>
        <w:ind w:left="5387"/>
        <w:rPr>
          <w:rFonts w:ascii="Arial" w:hAnsi="Arial" w:cs="Arial"/>
          <w:sz w:val="16"/>
          <w:szCs w:val="24"/>
          <w:lang w:val="de-DE" w:eastAsia="de-DE"/>
        </w:rPr>
      </w:pPr>
      <w:r w:rsidRPr="00CB5C81">
        <w:rPr>
          <w:rFonts w:ascii="Arial" w:hAnsi="Arial" w:cs="Arial"/>
          <w:sz w:val="16"/>
          <w:szCs w:val="24"/>
          <w:lang w:val="de-DE" w:eastAsia="de-DE"/>
        </w:rPr>
        <w:t>Allgemeine Verteilung</w:t>
      </w:r>
    </w:p>
    <w:p w:rsidR="005E05DB" w:rsidRPr="00CB5C81" w:rsidRDefault="00D9162B" w:rsidP="005E05DB">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2</w:t>
      </w:r>
      <w:r w:rsidR="00FA4E55">
        <w:rPr>
          <w:rFonts w:ascii="Arial" w:eastAsia="Arial" w:hAnsi="Arial" w:cs="Arial"/>
          <w:szCs w:val="24"/>
          <w:lang w:val="de-DE" w:eastAsia="de-DE"/>
        </w:rPr>
        <w:t>3</w:t>
      </w:r>
      <w:r w:rsidR="005E05DB" w:rsidRPr="00CB5C81">
        <w:rPr>
          <w:rFonts w:ascii="Arial" w:eastAsia="Arial" w:hAnsi="Arial" w:cs="Arial"/>
          <w:szCs w:val="24"/>
          <w:lang w:val="de-DE" w:eastAsia="de-DE"/>
        </w:rPr>
        <w:t xml:space="preserve">. </w:t>
      </w:r>
      <w:r w:rsidR="00FA4E55">
        <w:rPr>
          <w:rFonts w:ascii="Arial" w:eastAsia="Arial" w:hAnsi="Arial" w:cs="Arial"/>
          <w:szCs w:val="24"/>
          <w:lang w:val="de-DE" w:eastAsia="de-DE"/>
        </w:rPr>
        <w:t>Oktober</w:t>
      </w:r>
      <w:r w:rsidR="005E05DB" w:rsidRPr="00CB5C81">
        <w:rPr>
          <w:rFonts w:ascii="Arial" w:eastAsia="Arial" w:hAnsi="Arial" w:cs="Arial"/>
          <w:szCs w:val="24"/>
          <w:lang w:val="de-DE" w:eastAsia="de-DE"/>
        </w:rPr>
        <w:t xml:space="preserve"> 2015</w:t>
      </w:r>
    </w:p>
    <w:p w:rsidR="005E05DB" w:rsidRPr="00CB5C81" w:rsidRDefault="005E05DB" w:rsidP="005E05DB">
      <w:pPr>
        <w:tabs>
          <w:tab w:val="right" w:pos="3856"/>
          <w:tab w:val="left" w:pos="5670"/>
        </w:tabs>
        <w:suppressAutoHyphens w:val="0"/>
        <w:spacing w:line="240" w:lineRule="auto"/>
        <w:ind w:left="5387" w:right="565"/>
        <w:rPr>
          <w:rFonts w:ascii="Arial" w:hAnsi="Arial" w:cs="Arial"/>
          <w:snapToGrid w:val="0"/>
          <w:kern w:val="1"/>
          <w:lang w:val="de-DE" w:eastAsia="de-DE"/>
        </w:rPr>
      </w:pPr>
      <w:proofErr w:type="spellStart"/>
      <w:r w:rsidRPr="00CB5C81">
        <w:rPr>
          <w:rFonts w:ascii="Arial" w:eastAsia="Arial" w:hAnsi="Arial" w:cs="Arial"/>
          <w:sz w:val="16"/>
          <w:szCs w:val="24"/>
          <w:lang w:val="de-DE" w:eastAsia="de-DE"/>
        </w:rPr>
        <w:t>Or</w:t>
      </w:r>
      <w:proofErr w:type="spellEnd"/>
      <w:r w:rsidRPr="00CB5C81">
        <w:rPr>
          <w:rFonts w:ascii="Arial" w:eastAsia="Arial" w:hAnsi="Arial" w:cs="Arial"/>
          <w:sz w:val="16"/>
          <w:szCs w:val="24"/>
          <w:lang w:val="de-DE" w:eastAsia="de-DE"/>
        </w:rPr>
        <w:t>. DEUTSCH</w:t>
      </w:r>
    </w:p>
    <w:p w:rsidR="005E05DB" w:rsidRPr="00CB5C81" w:rsidRDefault="005E05DB" w:rsidP="005E05DB">
      <w:pPr>
        <w:suppressAutoHyphens w:val="0"/>
        <w:spacing w:line="240" w:lineRule="auto"/>
        <w:rPr>
          <w:rFonts w:ascii="Arial" w:hAnsi="Arial" w:cs="Arial"/>
          <w:sz w:val="16"/>
          <w:szCs w:val="24"/>
          <w:lang w:val="de-DE" w:eastAsia="de-DE"/>
        </w:rPr>
      </w:pPr>
    </w:p>
    <w:p w:rsidR="005E05DB" w:rsidRPr="00CB5C81" w:rsidRDefault="005E05DB" w:rsidP="005E05DB">
      <w:pPr>
        <w:suppressAutoHyphens w:val="0"/>
        <w:spacing w:line="240" w:lineRule="auto"/>
        <w:rPr>
          <w:rFonts w:ascii="Arial" w:hAnsi="Arial" w:cs="Arial"/>
          <w:sz w:val="16"/>
          <w:szCs w:val="24"/>
          <w:lang w:val="de-DE" w:eastAsia="de-DE"/>
        </w:rPr>
      </w:pP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GEMEINSAME EXPERTENTAGUNG FÜR DIE DEM</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ÜBEREINKOMMEN ÜBER DIE INTERNATIONALE BEFÖRDERUNG</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sz w:val="16"/>
          <w:szCs w:val="24"/>
          <w:lang w:val="de-DE"/>
        </w:rPr>
        <w:t>VON GEFÄHRLICHEN GÜTERN AUF BINNENWASSERSTRASSEN</w:t>
      </w:r>
    </w:p>
    <w:p w:rsidR="00274776" w:rsidRPr="00E8760A" w:rsidRDefault="00274776" w:rsidP="00274776">
      <w:pPr>
        <w:tabs>
          <w:tab w:val="left" w:pos="2977"/>
        </w:tabs>
        <w:suppressAutoHyphens w:val="0"/>
        <w:spacing w:line="240" w:lineRule="auto"/>
        <w:ind w:left="3958"/>
        <w:rPr>
          <w:rFonts w:ascii="Arial" w:hAnsi="Arial"/>
          <w:snapToGrid w:val="0"/>
          <w:position w:val="2"/>
          <w:sz w:val="16"/>
          <w:szCs w:val="24"/>
          <w:lang w:val="de-DE"/>
        </w:rPr>
      </w:pPr>
      <w:r w:rsidRPr="00E8760A">
        <w:rPr>
          <w:rFonts w:ascii="Arial" w:hAnsi="Arial"/>
          <w:noProof/>
          <w:snapToGrid w:val="0"/>
          <w:sz w:val="16"/>
          <w:szCs w:val="24"/>
          <w:lang w:val="de-DE"/>
        </w:rPr>
        <w:t>BEIGEFÜGTE VERORDNUNG (ADN)</w:t>
      </w:r>
    </w:p>
    <w:p w:rsidR="00274776" w:rsidRPr="00E8760A" w:rsidRDefault="00274776" w:rsidP="00274776">
      <w:pPr>
        <w:tabs>
          <w:tab w:val="left" w:pos="2977"/>
        </w:tabs>
        <w:suppressAutoHyphens w:val="0"/>
        <w:spacing w:line="240" w:lineRule="auto"/>
        <w:ind w:left="3958"/>
        <w:rPr>
          <w:rFonts w:ascii="Arial" w:hAnsi="Arial"/>
          <w:snapToGrid w:val="0"/>
          <w:sz w:val="16"/>
          <w:szCs w:val="24"/>
          <w:lang w:val="de-DE"/>
        </w:rPr>
      </w:pPr>
      <w:r w:rsidRPr="00E8760A">
        <w:rPr>
          <w:rFonts w:ascii="Arial" w:hAnsi="Arial"/>
          <w:noProof/>
          <w:snapToGrid w:val="0"/>
          <w:position w:val="2"/>
          <w:sz w:val="16"/>
          <w:szCs w:val="24"/>
          <w:lang w:val="de-DE"/>
        </w:rPr>
        <w:t>(SICHERHEITSAUSSCHUSS)</w:t>
      </w:r>
    </w:p>
    <w:p w:rsidR="00274776" w:rsidRDefault="00274776" w:rsidP="00274776">
      <w:pPr>
        <w:tabs>
          <w:tab w:val="left" w:pos="2977"/>
        </w:tabs>
        <w:suppressAutoHyphens w:val="0"/>
        <w:spacing w:line="240" w:lineRule="auto"/>
        <w:ind w:left="3960"/>
        <w:rPr>
          <w:rFonts w:ascii="Arial" w:hAnsi="Arial"/>
          <w:noProof/>
          <w:snapToGrid w:val="0"/>
          <w:sz w:val="16"/>
          <w:szCs w:val="24"/>
          <w:lang w:val="de-DE"/>
        </w:rPr>
      </w:pPr>
      <w:r w:rsidRPr="00E8760A">
        <w:rPr>
          <w:rFonts w:ascii="Arial" w:hAnsi="Arial"/>
          <w:snapToGrid w:val="0"/>
          <w:sz w:val="16"/>
          <w:szCs w:val="24"/>
          <w:lang w:val="de-DE"/>
        </w:rPr>
        <w:t>(2</w:t>
      </w:r>
      <w:r w:rsidR="00D9162B">
        <w:rPr>
          <w:rFonts w:ascii="Arial" w:hAnsi="Arial"/>
          <w:snapToGrid w:val="0"/>
          <w:sz w:val="16"/>
          <w:szCs w:val="24"/>
          <w:lang w:val="de-DE"/>
        </w:rPr>
        <w:t>8</w:t>
      </w:r>
      <w:r w:rsidRPr="00E8760A">
        <w:rPr>
          <w:rFonts w:ascii="Arial" w:hAnsi="Arial"/>
          <w:snapToGrid w:val="0"/>
          <w:sz w:val="16"/>
          <w:szCs w:val="24"/>
          <w:lang w:val="de-DE"/>
        </w:rPr>
        <w:t xml:space="preserve">. </w:t>
      </w:r>
      <w:r w:rsidRPr="00E8760A">
        <w:rPr>
          <w:rFonts w:ascii="Arial" w:hAnsi="Arial"/>
          <w:noProof/>
          <w:snapToGrid w:val="0"/>
          <w:sz w:val="16"/>
          <w:szCs w:val="24"/>
          <w:lang w:val="de-DE"/>
        </w:rPr>
        <w:t>Tagung, Genf, 2</w:t>
      </w:r>
      <w:r w:rsidR="00A573CE">
        <w:rPr>
          <w:rFonts w:ascii="Arial" w:hAnsi="Arial"/>
          <w:noProof/>
          <w:snapToGrid w:val="0"/>
          <w:sz w:val="16"/>
          <w:szCs w:val="24"/>
          <w:lang w:val="de-DE"/>
        </w:rPr>
        <w:t>5</w:t>
      </w:r>
      <w:r w:rsidRPr="00E8760A">
        <w:rPr>
          <w:rFonts w:ascii="Arial" w:hAnsi="Arial"/>
          <w:noProof/>
          <w:snapToGrid w:val="0"/>
          <w:sz w:val="16"/>
          <w:szCs w:val="24"/>
          <w:lang w:val="de-DE"/>
        </w:rPr>
        <w:t xml:space="preserve">. bis </w:t>
      </w:r>
      <w:r w:rsidR="00324350">
        <w:rPr>
          <w:rFonts w:ascii="Arial" w:hAnsi="Arial"/>
          <w:noProof/>
          <w:snapToGrid w:val="0"/>
          <w:sz w:val="16"/>
          <w:szCs w:val="24"/>
          <w:lang w:val="de-DE"/>
        </w:rPr>
        <w:t>2</w:t>
      </w:r>
      <w:r w:rsidR="00A573CE">
        <w:rPr>
          <w:rFonts w:ascii="Arial" w:hAnsi="Arial"/>
          <w:noProof/>
          <w:snapToGrid w:val="0"/>
          <w:sz w:val="16"/>
          <w:szCs w:val="24"/>
          <w:lang w:val="de-DE"/>
        </w:rPr>
        <w:t>9</w:t>
      </w:r>
      <w:r w:rsidRPr="00E8760A">
        <w:rPr>
          <w:rFonts w:ascii="Arial" w:hAnsi="Arial"/>
          <w:noProof/>
          <w:snapToGrid w:val="0"/>
          <w:sz w:val="16"/>
          <w:szCs w:val="24"/>
          <w:lang w:val="de-DE"/>
        </w:rPr>
        <w:t xml:space="preserve">. </w:t>
      </w:r>
      <w:r w:rsidR="00A573CE">
        <w:rPr>
          <w:rFonts w:ascii="Arial" w:hAnsi="Arial"/>
          <w:noProof/>
          <w:snapToGrid w:val="0"/>
          <w:sz w:val="16"/>
          <w:szCs w:val="24"/>
          <w:lang w:val="de-DE"/>
        </w:rPr>
        <w:t>Januar</w:t>
      </w:r>
      <w:r w:rsidRPr="00E8760A">
        <w:rPr>
          <w:rFonts w:ascii="Arial" w:hAnsi="Arial"/>
          <w:noProof/>
          <w:snapToGrid w:val="0"/>
          <w:sz w:val="16"/>
          <w:szCs w:val="24"/>
          <w:lang w:val="de-DE"/>
        </w:rPr>
        <w:t xml:space="preserve"> 201</w:t>
      </w:r>
      <w:r w:rsidR="00A573CE">
        <w:rPr>
          <w:rFonts w:ascii="Arial" w:hAnsi="Arial"/>
          <w:noProof/>
          <w:snapToGrid w:val="0"/>
          <w:sz w:val="16"/>
          <w:szCs w:val="24"/>
          <w:lang w:val="de-DE"/>
        </w:rPr>
        <w:t>6</w:t>
      </w:r>
      <w:r w:rsidRPr="00E8760A">
        <w:rPr>
          <w:rFonts w:ascii="Arial" w:hAnsi="Arial"/>
          <w:noProof/>
          <w:snapToGrid w:val="0"/>
          <w:sz w:val="16"/>
          <w:szCs w:val="24"/>
          <w:lang w:val="de-DE"/>
        </w:rPr>
        <w:t>)</w:t>
      </w:r>
    </w:p>
    <w:p w:rsidR="00773EAF" w:rsidRDefault="00773EAF" w:rsidP="00773EAF">
      <w:pPr>
        <w:tabs>
          <w:tab w:val="left" w:pos="2977"/>
        </w:tabs>
        <w:suppressAutoHyphens w:val="0"/>
        <w:spacing w:line="240" w:lineRule="auto"/>
        <w:ind w:left="3960"/>
        <w:rPr>
          <w:rFonts w:ascii="Arial" w:hAnsi="Arial" w:cs="Arial"/>
          <w:sz w:val="16"/>
          <w:szCs w:val="16"/>
          <w:lang w:val="de-DE" w:eastAsia="en-US"/>
        </w:rPr>
      </w:pPr>
      <w:r w:rsidRPr="00804331">
        <w:rPr>
          <w:rFonts w:ascii="Arial" w:hAnsi="Arial" w:cs="Arial"/>
          <w:sz w:val="16"/>
          <w:szCs w:val="16"/>
          <w:lang w:val="de-DE" w:eastAsia="en-US"/>
        </w:rPr>
        <w:t xml:space="preserve">Punkt </w:t>
      </w:r>
      <w:r w:rsidR="00FA4E55">
        <w:rPr>
          <w:rFonts w:ascii="Arial" w:hAnsi="Arial" w:cs="Arial"/>
          <w:sz w:val="16"/>
          <w:szCs w:val="16"/>
          <w:lang w:val="de-DE" w:eastAsia="en-US"/>
        </w:rPr>
        <w:t>5 b</w:t>
      </w:r>
      <w:r w:rsidR="00455426" w:rsidRPr="00804331">
        <w:rPr>
          <w:rFonts w:ascii="Arial" w:hAnsi="Arial" w:cs="Arial"/>
          <w:sz w:val="16"/>
          <w:szCs w:val="16"/>
          <w:lang w:val="de-DE" w:eastAsia="en-US"/>
        </w:rPr>
        <w:t>)</w:t>
      </w:r>
      <w:r w:rsidRPr="00804331">
        <w:rPr>
          <w:rFonts w:ascii="Arial" w:hAnsi="Arial" w:cs="Arial"/>
          <w:sz w:val="16"/>
          <w:szCs w:val="16"/>
          <w:lang w:val="de-DE" w:eastAsia="en-US"/>
        </w:rPr>
        <w:t xml:space="preserve"> zur vorläufigen Tagesordnung</w:t>
      </w:r>
    </w:p>
    <w:p w:rsidR="00FA4E55" w:rsidRPr="00DD02AE" w:rsidRDefault="00FA4E55" w:rsidP="00FA4E55">
      <w:pPr>
        <w:tabs>
          <w:tab w:val="left" w:pos="2977"/>
        </w:tabs>
        <w:suppressAutoHyphens w:val="0"/>
        <w:spacing w:line="240" w:lineRule="auto"/>
        <w:ind w:left="3969" w:right="-2"/>
        <w:rPr>
          <w:rFonts w:ascii="Arial" w:hAnsi="Arial" w:cs="Arial"/>
          <w:b/>
          <w:snapToGrid w:val="0"/>
          <w:sz w:val="16"/>
          <w:szCs w:val="16"/>
          <w:lang w:val="de-DE"/>
        </w:rPr>
      </w:pPr>
      <w:r w:rsidRPr="00DD02AE">
        <w:rPr>
          <w:rFonts w:ascii="Arial" w:hAnsi="Arial" w:cs="Arial"/>
          <w:b/>
          <w:snapToGrid w:val="0"/>
          <w:sz w:val="16"/>
          <w:szCs w:val="16"/>
          <w:lang w:val="de-DE"/>
        </w:rPr>
        <w:t>Vorschläge für Änderungen der dem ADN beigefügten Verordnung</w:t>
      </w:r>
    </w:p>
    <w:p w:rsidR="00FA4E55" w:rsidRPr="00DD02AE" w:rsidRDefault="00FA4E55" w:rsidP="00FA4E55">
      <w:pPr>
        <w:tabs>
          <w:tab w:val="left" w:pos="2977"/>
        </w:tabs>
        <w:suppressAutoHyphens w:val="0"/>
        <w:spacing w:line="240" w:lineRule="auto"/>
        <w:ind w:left="3969" w:right="-2"/>
        <w:rPr>
          <w:rFonts w:ascii="Arial" w:hAnsi="Arial" w:cs="Arial"/>
          <w:b/>
          <w:snapToGrid w:val="0"/>
          <w:sz w:val="16"/>
          <w:szCs w:val="16"/>
          <w:lang w:val="de-DE"/>
        </w:rPr>
      </w:pPr>
      <w:r w:rsidRPr="00DD02AE">
        <w:rPr>
          <w:rFonts w:ascii="Arial" w:hAnsi="Arial" w:cs="Arial"/>
          <w:b/>
          <w:snapToGrid w:val="0"/>
          <w:sz w:val="16"/>
          <w:szCs w:val="16"/>
          <w:lang w:val="de-DE"/>
        </w:rPr>
        <w:t>Weitere Änderungsvorschläge</w:t>
      </w:r>
    </w:p>
    <w:p w:rsidR="00FA4E55" w:rsidRDefault="00FA4E55" w:rsidP="00FA4E55">
      <w:pPr>
        <w:suppressAutoHyphens w:val="0"/>
        <w:spacing w:line="240" w:lineRule="auto"/>
        <w:rPr>
          <w:rFonts w:ascii="Arial" w:hAnsi="Arial"/>
          <w:b/>
          <w:snapToGrid w:val="0"/>
          <w:szCs w:val="24"/>
          <w:lang w:val="de-DE"/>
        </w:rPr>
      </w:pPr>
    </w:p>
    <w:p w:rsidR="00D4632B" w:rsidRDefault="00D4632B" w:rsidP="00D4632B">
      <w:pPr>
        <w:suppressAutoHyphens w:val="0"/>
        <w:spacing w:line="240" w:lineRule="auto"/>
        <w:rPr>
          <w:rFonts w:ascii="Arial" w:hAnsi="Arial"/>
          <w:b/>
          <w:snapToGrid w:val="0"/>
          <w:szCs w:val="24"/>
          <w:lang w:val="de-DE"/>
        </w:rPr>
      </w:pPr>
    </w:p>
    <w:p w:rsidR="00E2227C" w:rsidRPr="00D4632B" w:rsidRDefault="00E2227C" w:rsidP="00D4632B">
      <w:pPr>
        <w:suppressAutoHyphens w:val="0"/>
        <w:spacing w:line="240" w:lineRule="auto"/>
        <w:rPr>
          <w:rFonts w:ascii="Arial" w:hAnsi="Arial"/>
          <w:b/>
          <w:snapToGrid w:val="0"/>
          <w:szCs w:val="24"/>
          <w:lang w:val="de-DE"/>
        </w:rPr>
      </w:pPr>
    </w:p>
    <w:p w:rsidR="00C25CC0" w:rsidRPr="00C25CC0" w:rsidRDefault="00BD7AF5" w:rsidP="005069AD">
      <w:pPr>
        <w:tabs>
          <w:tab w:val="right" w:pos="851"/>
          <w:tab w:val="left" w:pos="1701"/>
        </w:tabs>
        <w:spacing w:line="300" w:lineRule="exact"/>
        <w:ind w:left="1134" w:right="1134"/>
        <w:jc w:val="both"/>
        <w:rPr>
          <w:b/>
          <w:bCs/>
          <w:iCs/>
          <w:snapToGrid w:val="0"/>
          <w:sz w:val="28"/>
          <w:szCs w:val="24"/>
          <w:lang w:val="de-DE"/>
        </w:rPr>
      </w:pPr>
      <w:r w:rsidRPr="00BD7AF5">
        <w:rPr>
          <w:b/>
          <w:bCs/>
          <w:iCs/>
          <w:snapToGrid w:val="0"/>
          <w:sz w:val="28"/>
          <w:szCs w:val="24"/>
          <w:lang w:val="de-DE"/>
        </w:rPr>
        <w:t>Textvorschläge für Erläuterungen zur Tabelle C und</w:t>
      </w:r>
      <w:r w:rsidR="00804331">
        <w:rPr>
          <w:b/>
          <w:bCs/>
          <w:iCs/>
          <w:snapToGrid w:val="0"/>
          <w:sz w:val="28"/>
          <w:szCs w:val="24"/>
          <w:lang w:val="de-DE"/>
        </w:rPr>
        <w:t xml:space="preserve"> </w:t>
      </w:r>
      <w:r w:rsidRPr="00BD7AF5">
        <w:rPr>
          <w:b/>
          <w:bCs/>
          <w:iCs/>
          <w:snapToGrid w:val="0"/>
          <w:sz w:val="28"/>
          <w:szCs w:val="24"/>
          <w:lang w:val="de-DE"/>
        </w:rPr>
        <w:t>zur Spalte</w:t>
      </w:r>
      <w:r w:rsidR="00804331">
        <w:rPr>
          <w:b/>
          <w:bCs/>
          <w:iCs/>
          <w:snapToGrid w:val="0"/>
          <w:sz w:val="28"/>
          <w:szCs w:val="24"/>
          <w:lang w:val="de-DE"/>
        </w:rPr>
        <w:t> </w:t>
      </w:r>
      <w:r w:rsidRPr="00BD7AF5">
        <w:rPr>
          <w:b/>
          <w:bCs/>
          <w:iCs/>
          <w:snapToGrid w:val="0"/>
          <w:sz w:val="28"/>
          <w:szCs w:val="24"/>
          <w:lang w:val="de-DE"/>
        </w:rPr>
        <w:t>(5) Gefahren</w:t>
      </w:r>
    </w:p>
    <w:p w:rsidR="00C25CC0" w:rsidRDefault="00C25CC0" w:rsidP="005069AD">
      <w:pPr>
        <w:keepNext/>
        <w:keepLines/>
        <w:tabs>
          <w:tab w:val="right" w:pos="851"/>
          <w:tab w:val="left" w:pos="1701"/>
        </w:tabs>
        <w:spacing w:before="360" w:after="240" w:line="270" w:lineRule="exact"/>
        <w:ind w:left="1134" w:right="1134"/>
        <w:rPr>
          <w:b/>
          <w:snapToGrid w:val="0"/>
          <w:sz w:val="24"/>
          <w:lang w:val="de-DE"/>
        </w:rPr>
      </w:pPr>
      <w:r w:rsidRPr="00C25CC0">
        <w:rPr>
          <w:b/>
          <w:snapToGrid w:val="0"/>
          <w:sz w:val="24"/>
          <w:lang w:val="de-DE"/>
        </w:rPr>
        <w:t>Vorgelegt von der Zentralkommission für die Rheinschifffahrt (ZKR)</w:t>
      </w:r>
      <w:r w:rsidRPr="00C25CC0">
        <w:rPr>
          <w:b/>
          <w:bCs/>
          <w:snapToGrid w:val="0"/>
          <w:sz w:val="24"/>
          <w:vertAlign w:val="superscript"/>
          <w:lang w:val="de-DE"/>
        </w:rPr>
        <w:t xml:space="preserve"> </w:t>
      </w:r>
      <w:r w:rsidR="00455426" w:rsidRPr="00455426">
        <w:rPr>
          <w:noProof/>
          <w:snapToGrid w:val="0"/>
          <w:sz w:val="18"/>
          <w:szCs w:val="24"/>
          <w:vertAlign w:val="superscript"/>
          <w:lang w:val="de-DE"/>
        </w:rPr>
        <w:footnoteReference w:id="2"/>
      </w:r>
    </w:p>
    <w:p w:rsidR="00C25CC0" w:rsidRPr="00C25CC0" w:rsidRDefault="00C25CC0" w:rsidP="005069AD">
      <w:pPr>
        <w:tabs>
          <w:tab w:val="left" w:pos="1701"/>
        </w:tabs>
        <w:suppressAutoHyphens w:val="0"/>
        <w:spacing w:after="120"/>
        <w:ind w:left="1134"/>
        <w:rPr>
          <w:rFonts w:ascii="Arial" w:eastAsia="Calibri" w:hAnsi="Arial" w:cs="Arial"/>
          <w:lang w:val="de-DE" w:eastAsia="en-US"/>
        </w:rPr>
      </w:pPr>
    </w:p>
    <w:p w:rsidR="004126BD" w:rsidRPr="004126BD" w:rsidRDefault="00832BF2" w:rsidP="005069AD">
      <w:pPr>
        <w:tabs>
          <w:tab w:val="left" w:pos="567"/>
          <w:tab w:val="left" w:pos="1701"/>
        </w:tabs>
        <w:suppressAutoHyphens w:val="0"/>
        <w:ind w:left="1134"/>
        <w:jc w:val="both"/>
        <w:outlineLvl w:val="0"/>
        <w:rPr>
          <w:rFonts w:ascii="Arial" w:eastAsia="Calibri" w:hAnsi="Arial" w:cs="Arial"/>
          <w:color w:val="000000"/>
          <w:lang w:val="de-DE" w:eastAsia="en-US"/>
        </w:rPr>
      </w:pPr>
      <w:r w:rsidRPr="00832BF2">
        <w:rPr>
          <w:rFonts w:ascii="Arial" w:eastAsia="Calibri" w:hAnsi="Arial" w:cs="Arial"/>
          <w:color w:val="000000"/>
          <w:lang w:val="de-DE" w:eastAsia="en-US"/>
        </w:rPr>
        <w:t>1.</w:t>
      </w:r>
      <w:r>
        <w:rPr>
          <w:rFonts w:ascii="Arial" w:eastAsia="Calibri" w:hAnsi="Arial" w:cs="Arial"/>
          <w:color w:val="000000"/>
          <w:lang w:val="de-DE" w:eastAsia="en-US"/>
        </w:rPr>
        <w:tab/>
      </w:r>
      <w:r w:rsidR="004126BD" w:rsidRPr="004126BD">
        <w:rPr>
          <w:rFonts w:ascii="Arial" w:eastAsia="Calibri" w:hAnsi="Arial" w:cs="Arial"/>
          <w:color w:val="000000"/>
          <w:lang w:val="de-DE" w:eastAsia="en-US"/>
        </w:rPr>
        <w:t>Deutschland ist darauf aufmerksam geworden, dass es in Unterabschnitt 3.2.3.1 ADN unter „Erläuternde Bemerkungen für jede Spalte“ zu Spalte 5 keine Bemerkung gibt, warum bei verschiedenen Einträgen die Nebengefahren in Klammern aufgeführt werden. Eine Erklärung ist auch an keiner anderen Stelle des ADN zu finden.</w:t>
      </w:r>
    </w:p>
    <w:p w:rsidR="004126BD" w:rsidRPr="004126BD" w:rsidRDefault="004126BD" w:rsidP="005069AD">
      <w:pPr>
        <w:tabs>
          <w:tab w:val="left" w:pos="567"/>
          <w:tab w:val="left" w:pos="1701"/>
        </w:tabs>
        <w:suppressAutoHyphens w:val="0"/>
        <w:ind w:left="1134"/>
        <w:jc w:val="both"/>
        <w:outlineLvl w:val="0"/>
        <w:rPr>
          <w:rFonts w:ascii="Arial" w:eastAsia="Calibri" w:hAnsi="Arial" w:cs="Arial"/>
          <w:color w:val="000000"/>
          <w:lang w:val="de-DE" w:eastAsia="en-US"/>
        </w:rPr>
      </w:pPr>
    </w:p>
    <w:p w:rsidR="00A573CE" w:rsidRDefault="004126BD" w:rsidP="005069AD">
      <w:pPr>
        <w:tabs>
          <w:tab w:val="left" w:pos="567"/>
          <w:tab w:val="left" w:pos="1701"/>
        </w:tabs>
        <w:suppressAutoHyphens w:val="0"/>
        <w:ind w:left="1134"/>
        <w:jc w:val="both"/>
        <w:outlineLvl w:val="0"/>
        <w:rPr>
          <w:rFonts w:ascii="Arial" w:eastAsia="Calibri" w:hAnsi="Arial" w:cs="Arial"/>
          <w:color w:val="000000"/>
          <w:lang w:val="de-DE" w:eastAsia="en-US"/>
        </w:rPr>
      </w:pPr>
      <w:r>
        <w:rPr>
          <w:rFonts w:ascii="Arial" w:eastAsia="Calibri" w:hAnsi="Arial" w:cs="Arial"/>
          <w:color w:val="000000"/>
          <w:lang w:val="de-DE" w:eastAsia="en-US"/>
        </w:rPr>
        <w:t>2.</w:t>
      </w:r>
      <w:r>
        <w:rPr>
          <w:rFonts w:ascii="Arial" w:eastAsia="Calibri" w:hAnsi="Arial" w:cs="Arial"/>
          <w:color w:val="000000"/>
          <w:lang w:val="de-DE" w:eastAsia="en-US"/>
        </w:rPr>
        <w:tab/>
      </w:r>
      <w:r w:rsidRPr="004126BD">
        <w:rPr>
          <w:rFonts w:ascii="Arial" w:eastAsia="Calibri" w:hAnsi="Arial" w:cs="Arial"/>
          <w:color w:val="000000"/>
          <w:lang w:val="de-DE" w:eastAsia="en-US"/>
        </w:rPr>
        <w:t xml:space="preserve">Auch die Bedeutung des Eintrags „*“ in den Spalten 6 bis 18 ist nicht in Unterabschnitt 3.2.3.1 „Erläuterungen zur Tabelle C“ beschrieben, wo </w:t>
      </w:r>
      <w:r w:rsidR="00A573CE">
        <w:rPr>
          <w:rFonts w:ascii="Arial" w:eastAsia="Calibri" w:hAnsi="Arial" w:cs="Arial"/>
          <w:color w:val="000000"/>
          <w:lang w:val="de-DE" w:eastAsia="en-US"/>
        </w:rPr>
        <w:t>sie zu erwarten wäre.</w:t>
      </w:r>
    </w:p>
    <w:p w:rsidR="00C25CC0" w:rsidRDefault="00C25CC0" w:rsidP="005069AD">
      <w:pPr>
        <w:tabs>
          <w:tab w:val="left" w:pos="567"/>
          <w:tab w:val="left" w:pos="1701"/>
        </w:tabs>
        <w:suppressAutoHyphens w:val="0"/>
        <w:ind w:left="1134"/>
        <w:jc w:val="both"/>
        <w:outlineLvl w:val="0"/>
        <w:rPr>
          <w:rFonts w:ascii="Arial" w:eastAsia="Calibri" w:hAnsi="Arial" w:cs="Arial"/>
          <w:color w:val="000000"/>
          <w:lang w:val="de-DE" w:eastAsia="en-US"/>
        </w:rPr>
      </w:pPr>
    </w:p>
    <w:p w:rsidR="00C25CC0" w:rsidRDefault="00A573CE" w:rsidP="005069AD">
      <w:pPr>
        <w:tabs>
          <w:tab w:val="left" w:pos="567"/>
          <w:tab w:val="left" w:pos="1701"/>
        </w:tabs>
        <w:suppressAutoHyphens w:val="0"/>
        <w:ind w:left="1134"/>
        <w:jc w:val="both"/>
        <w:rPr>
          <w:rFonts w:ascii="Arial" w:eastAsia="Calibri" w:hAnsi="Arial" w:cs="Arial"/>
          <w:color w:val="000000"/>
          <w:lang w:val="de-DE" w:eastAsia="en-US"/>
        </w:rPr>
      </w:pPr>
      <w:r>
        <w:rPr>
          <w:rFonts w:ascii="Arial" w:eastAsia="Calibri" w:hAnsi="Arial" w:cs="Arial"/>
          <w:color w:val="000000"/>
          <w:lang w:val="de-DE" w:eastAsia="en-US"/>
        </w:rPr>
        <w:t>3</w:t>
      </w:r>
      <w:r w:rsidR="00ED76D9">
        <w:rPr>
          <w:rFonts w:ascii="Arial" w:eastAsia="Calibri" w:hAnsi="Arial" w:cs="Arial"/>
          <w:color w:val="000000"/>
          <w:lang w:val="de-DE" w:eastAsia="en-US"/>
        </w:rPr>
        <w:t>.</w:t>
      </w:r>
      <w:r w:rsidR="00ED76D9">
        <w:rPr>
          <w:rFonts w:ascii="Arial" w:eastAsia="Calibri" w:hAnsi="Arial" w:cs="Arial"/>
          <w:color w:val="000000"/>
          <w:lang w:val="de-DE" w:eastAsia="en-US"/>
        </w:rPr>
        <w:tab/>
      </w:r>
      <w:r w:rsidR="00BD7AF5">
        <w:rPr>
          <w:rFonts w:ascii="Arial" w:eastAsia="Calibri" w:hAnsi="Arial" w:cs="Arial"/>
          <w:color w:val="000000"/>
          <w:lang w:val="de-DE" w:eastAsia="en-US"/>
        </w:rPr>
        <w:t>Im Ergebnis der Beratung im Sicherheitsausschuss wurde d</w:t>
      </w:r>
      <w:r w:rsidRPr="00A573CE">
        <w:rPr>
          <w:rFonts w:ascii="Arial" w:eastAsia="Calibri" w:hAnsi="Arial" w:cs="Arial"/>
          <w:color w:val="000000"/>
          <w:lang w:val="de-DE" w:eastAsia="en-US"/>
        </w:rPr>
        <w:t xml:space="preserve">ie informelle Arbeitsgruppe Stoffe </w:t>
      </w:r>
      <w:r>
        <w:rPr>
          <w:rFonts w:ascii="Arial" w:eastAsia="Calibri" w:hAnsi="Arial" w:cs="Arial"/>
          <w:color w:val="000000"/>
          <w:lang w:val="de-DE" w:eastAsia="en-US"/>
        </w:rPr>
        <w:t>gebeten</w:t>
      </w:r>
      <w:r w:rsidRPr="00A573CE">
        <w:rPr>
          <w:rFonts w:ascii="Arial" w:eastAsia="Calibri" w:hAnsi="Arial" w:cs="Arial"/>
          <w:color w:val="000000"/>
          <w:lang w:val="de-DE" w:eastAsia="en-US"/>
        </w:rPr>
        <w:t>, eine entsprechende Ergänzung in Unterabschnitt 3.2.3.1 „Erläuterungen zur Tabelle C“ zur Entscheidung vorzulegen.</w:t>
      </w:r>
    </w:p>
    <w:p w:rsidR="00A573CE" w:rsidRDefault="00A573CE" w:rsidP="005069AD">
      <w:pPr>
        <w:tabs>
          <w:tab w:val="left" w:pos="567"/>
          <w:tab w:val="left" w:pos="1701"/>
        </w:tabs>
        <w:suppressAutoHyphens w:val="0"/>
        <w:ind w:left="1134"/>
        <w:jc w:val="both"/>
        <w:rPr>
          <w:rFonts w:ascii="Arial" w:eastAsia="Calibri" w:hAnsi="Arial" w:cs="Arial"/>
          <w:color w:val="000000"/>
          <w:lang w:val="de-DE" w:eastAsia="en-US"/>
        </w:rPr>
      </w:pPr>
    </w:p>
    <w:p w:rsidR="00832BF2" w:rsidRPr="00C25CC0" w:rsidRDefault="00A573CE" w:rsidP="005069AD">
      <w:pPr>
        <w:tabs>
          <w:tab w:val="left" w:pos="567"/>
          <w:tab w:val="left" w:pos="1701"/>
        </w:tabs>
        <w:suppressAutoHyphens w:val="0"/>
        <w:ind w:left="1134"/>
        <w:jc w:val="both"/>
        <w:rPr>
          <w:rFonts w:ascii="Arial" w:eastAsia="Calibri" w:hAnsi="Arial" w:cs="Arial"/>
          <w:color w:val="000000"/>
          <w:lang w:val="de-DE" w:eastAsia="en-US"/>
        </w:rPr>
      </w:pPr>
      <w:r>
        <w:rPr>
          <w:rFonts w:ascii="Arial" w:eastAsia="Calibri" w:hAnsi="Arial" w:cs="Arial"/>
          <w:color w:val="000000"/>
          <w:lang w:val="de-DE" w:eastAsia="en-US"/>
        </w:rPr>
        <w:t>4</w:t>
      </w:r>
      <w:r w:rsidR="00832BF2">
        <w:rPr>
          <w:rFonts w:ascii="Arial" w:eastAsia="Calibri" w:hAnsi="Arial" w:cs="Arial"/>
          <w:color w:val="000000"/>
          <w:lang w:val="de-DE" w:eastAsia="en-US"/>
        </w:rPr>
        <w:t>.</w:t>
      </w:r>
      <w:r w:rsidR="00832BF2">
        <w:rPr>
          <w:rFonts w:ascii="Arial" w:eastAsia="Calibri" w:hAnsi="Arial" w:cs="Arial"/>
          <w:color w:val="000000"/>
          <w:lang w:val="de-DE" w:eastAsia="en-US"/>
        </w:rPr>
        <w:tab/>
        <w:t xml:space="preserve">Es wird vorgeschlagen, die </w:t>
      </w:r>
      <w:r w:rsidR="00BD7AF5" w:rsidRPr="00BD7AF5">
        <w:rPr>
          <w:rFonts w:ascii="Arial" w:eastAsia="Calibri" w:hAnsi="Arial" w:cs="Arial"/>
          <w:color w:val="000000"/>
          <w:lang w:val="de-DE" w:eastAsia="en-US"/>
        </w:rPr>
        <w:t>Erläuterungen zur Tabelle C und</w:t>
      </w:r>
      <w:r w:rsidR="00BD7AF5">
        <w:rPr>
          <w:rFonts w:ascii="Arial" w:eastAsia="Calibri" w:hAnsi="Arial" w:cs="Arial"/>
          <w:color w:val="000000"/>
          <w:lang w:val="de-DE" w:eastAsia="en-US"/>
        </w:rPr>
        <w:t xml:space="preserve"> </w:t>
      </w:r>
      <w:r w:rsidR="00BD7AF5" w:rsidRPr="00BD7AF5">
        <w:rPr>
          <w:rFonts w:ascii="Arial" w:eastAsia="Calibri" w:hAnsi="Arial" w:cs="Arial"/>
          <w:color w:val="000000"/>
          <w:lang w:val="de-DE" w:eastAsia="en-US"/>
        </w:rPr>
        <w:t>zur Spalte (5) Gefahren</w:t>
      </w:r>
      <w:r w:rsidR="00BD7AF5">
        <w:rPr>
          <w:rFonts w:ascii="Arial" w:eastAsia="Calibri" w:hAnsi="Arial" w:cs="Arial"/>
          <w:color w:val="000000"/>
          <w:lang w:val="de-DE" w:eastAsia="en-US"/>
        </w:rPr>
        <w:t xml:space="preserve"> wie folgt zu formulieren (die Änderungen sind durch Streichung/Unterstreichung kenntlich gemacht)</w:t>
      </w:r>
      <w:r w:rsidR="00832BF2">
        <w:rPr>
          <w:rFonts w:ascii="Arial" w:eastAsia="Calibri" w:hAnsi="Arial" w:cs="Arial"/>
          <w:color w:val="000000"/>
          <w:lang w:val="de-DE" w:eastAsia="en-US"/>
        </w:rPr>
        <w:t>:</w:t>
      </w:r>
    </w:p>
    <w:p w:rsidR="00832BF2" w:rsidRDefault="00832BF2" w:rsidP="005069AD">
      <w:pPr>
        <w:tabs>
          <w:tab w:val="left" w:pos="1418"/>
          <w:tab w:val="left" w:pos="1701"/>
          <w:tab w:val="left" w:pos="1985"/>
          <w:tab w:val="left" w:pos="2552"/>
          <w:tab w:val="left" w:pos="3119"/>
          <w:tab w:val="left" w:pos="3686"/>
        </w:tabs>
        <w:ind w:left="1134" w:right="566"/>
        <w:jc w:val="both"/>
        <w:rPr>
          <w:lang w:val="de-DE"/>
        </w:rPr>
      </w:pPr>
    </w:p>
    <w:p w:rsidR="00FA4E55" w:rsidRDefault="00FA4E55" w:rsidP="005069AD">
      <w:pPr>
        <w:tabs>
          <w:tab w:val="left" w:pos="1701"/>
        </w:tabs>
        <w:suppressAutoHyphens w:val="0"/>
        <w:spacing w:line="240" w:lineRule="auto"/>
        <w:ind w:left="1134"/>
        <w:rPr>
          <w:rFonts w:ascii="Arial" w:hAnsi="Arial" w:cs="Arial"/>
          <w:b/>
          <w:lang w:val="de-DE"/>
        </w:rPr>
      </w:pPr>
      <w:r>
        <w:rPr>
          <w:rFonts w:ascii="Arial" w:hAnsi="Arial" w:cs="Arial"/>
          <w:b/>
          <w:lang w:val="de-DE"/>
        </w:rPr>
        <w:br w:type="page"/>
      </w:r>
    </w:p>
    <w:p w:rsidR="00FA4E55" w:rsidRDefault="00FA4E55" w:rsidP="00D74660">
      <w:pPr>
        <w:tabs>
          <w:tab w:val="left" w:pos="1134"/>
          <w:tab w:val="left" w:pos="1985"/>
          <w:tab w:val="left" w:pos="2552"/>
          <w:tab w:val="left" w:pos="3119"/>
          <w:tab w:val="left" w:pos="3686"/>
        </w:tabs>
        <w:ind w:right="566"/>
        <w:jc w:val="both"/>
        <w:rPr>
          <w:rFonts w:ascii="Arial" w:hAnsi="Arial" w:cs="Arial"/>
          <w:b/>
          <w:lang w:val="de-DE"/>
        </w:rPr>
      </w:pPr>
    </w:p>
    <w:p w:rsidR="00BD7AF5" w:rsidRDefault="00BD7AF5" w:rsidP="005069AD">
      <w:pPr>
        <w:tabs>
          <w:tab w:val="left" w:pos="1134"/>
          <w:tab w:val="left" w:pos="1560"/>
          <w:tab w:val="left" w:pos="1985"/>
          <w:tab w:val="left" w:pos="2552"/>
          <w:tab w:val="left" w:pos="3119"/>
          <w:tab w:val="left" w:pos="3686"/>
        </w:tabs>
        <w:ind w:left="1134" w:right="566"/>
        <w:jc w:val="both"/>
        <w:rPr>
          <w:rFonts w:ascii="Arial" w:hAnsi="Arial" w:cs="Arial"/>
          <w:lang w:val="de-DE"/>
        </w:rPr>
      </w:pPr>
      <w:r w:rsidRPr="00D74660">
        <w:rPr>
          <w:rFonts w:ascii="Arial" w:hAnsi="Arial" w:cs="Arial"/>
          <w:b/>
          <w:lang w:val="de-DE"/>
        </w:rPr>
        <w:t>„</w:t>
      </w:r>
      <w:r w:rsidR="00D74660" w:rsidRPr="00D74660">
        <w:rPr>
          <w:rFonts w:ascii="Arial" w:hAnsi="Arial" w:cs="Arial"/>
          <w:b/>
          <w:lang w:val="de-DE"/>
        </w:rPr>
        <w:t>3.</w:t>
      </w:r>
      <w:r w:rsidRPr="00BD7AF5">
        <w:rPr>
          <w:rFonts w:ascii="Arial" w:hAnsi="Arial" w:cs="Arial"/>
          <w:b/>
          <w:lang w:val="de-DE"/>
        </w:rPr>
        <w:t>2.3.1</w:t>
      </w:r>
      <w:r w:rsidRPr="00BD7AF5">
        <w:rPr>
          <w:rFonts w:ascii="Arial" w:hAnsi="Arial" w:cs="Arial"/>
          <w:b/>
          <w:lang w:val="de-DE"/>
        </w:rPr>
        <w:tab/>
        <w:t>Erläuterungen zur Tabelle C</w:t>
      </w:r>
    </w:p>
    <w:p w:rsidR="00BD7AF5" w:rsidRPr="00BD7AF5" w:rsidRDefault="00BD7AF5" w:rsidP="005069AD">
      <w:pPr>
        <w:tabs>
          <w:tab w:val="left" w:pos="1134"/>
          <w:tab w:val="left" w:pos="1560"/>
          <w:tab w:val="left" w:pos="1985"/>
          <w:tab w:val="left" w:pos="2552"/>
          <w:tab w:val="left" w:pos="3119"/>
          <w:tab w:val="left" w:pos="3686"/>
        </w:tabs>
        <w:ind w:left="1134" w:right="566"/>
        <w:jc w:val="both"/>
        <w:rPr>
          <w:rFonts w:ascii="Arial" w:hAnsi="Arial" w:cs="Arial"/>
          <w:lang w:val="de-DE"/>
        </w:rPr>
      </w:pPr>
    </w:p>
    <w:p w:rsidR="00BD7AF5" w:rsidRDefault="00BD7AF5" w:rsidP="005069AD">
      <w:pPr>
        <w:tabs>
          <w:tab w:val="left" w:pos="1134"/>
          <w:tab w:val="left" w:pos="1418"/>
          <w:tab w:val="left" w:pos="1560"/>
          <w:tab w:val="left" w:pos="1985"/>
          <w:tab w:val="left" w:pos="2552"/>
          <w:tab w:val="left" w:pos="3119"/>
          <w:tab w:val="left" w:pos="3686"/>
        </w:tabs>
        <w:ind w:left="1134" w:right="566"/>
        <w:jc w:val="both"/>
        <w:rPr>
          <w:rFonts w:ascii="Arial" w:hAnsi="Arial" w:cs="Arial"/>
          <w:lang w:val="de-DE"/>
        </w:rPr>
      </w:pPr>
      <w:r w:rsidRPr="00BD7AF5">
        <w:rPr>
          <w:rFonts w:ascii="Arial" w:hAnsi="Arial" w:cs="Arial"/>
          <w:lang w:val="de-DE"/>
        </w:rPr>
        <w:t>Jede Zeile der Tabelle C behandelt in der Regel den (die) Stoff(e), der (die) durch eine bestimmte UN-Nummer oder Stoffnummer erfasst wird (werden). Wenn jedoch Stoffe, die zu ein und derselben UN-Nummer oder Stoffnummer gehören, unterschiedliche chemische Eigenschaften, physikalische Eigenschaften und/oder Beförderungsvorschriften haben, können für diese UN-Nummer oder Stoffnummer mehrere aufeinanderfolgende Zeilen verwendet werden.</w:t>
      </w:r>
    </w:p>
    <w:p w:rsidR="00BD7AF5" w:rsidRPr="00BD7AF5" w:rsidRDefault="00BD7AF5" w:rsidP="005069AD">
      <w:pPr>
        <w:tabs>
          <w:tab w:val="left" w:pos="1134"/>
          <w:tab w:val="left" w:pos="1418"/>
          <w:tab w:val="left" w:pos="1560"/>
          <w:tab w:val="left" w:pos="1985"/>
          <w:tab w:val="left" w:pos="2552"/>
          <w:tab w:val="left" w:pos="3119"/>
          <w:tab w:val="left" w:pos="3686"/>
        </w:tabs>
        <w:ind w:left="1134" w:right="566"/>
        <w:jc w:val="both"/>
        <w:rPr>
          <w:rFonts w:ascii="Arial" w:hAnsi="Arial" w:cs="Arial"/>
          <w:lang w:val="de-DE"/>
        </w:rPr>
      </w:pPr>
    </w:p>
    <w:p w:rsidR="00BD7AF5" w:rsidRDefault="00BD7AF5" w:rsidP="005069AD">
      <w:pPr>
        <w:tabs>
          <w:tab w:val="left" w:pos="1134"/>
          <w:tab w:val="left" w:pos="1418"/>
          <w:tab w:val="left" w:pos="1560"/>
          <w:tab w:val="left" w:pos="1985"/>
          <w:tab w:val="left" w:pos="2552"/>
          <w:tab w:val="left" w:pos="3119"/>
          <w:tab w:val="left" w:pos="3686"/>
        </w:tabs>
        <w:ind w:left="1134" w:right="566"/>
        <w:jc w:val="both"/>
        <w:rPr>
          <w:rFonts w:ascii="Arial" w:hAnsi="Arial" w:cs="Arial"/>
          <w:lang w:val="de-DE"/>
        </w:rPr>
      </w:pPr>
      <w:r w:rsidRPr="00BD7AF5">
        <w:rPr>
          <w:rFonts w:ascii="Arial" w:hAnsi="Arial" w:cs="Arial"/>
          <w:lang w:val="de-DE"/>
        </w:rPr>
        <w:t>Jede Spalte der Tabelle C ist, wie in den nachstehenden erläuternden Bemerkungen angegeben, einem bestimmten Thema gewidmet. Der Schnittpunkt von Spalten und Zeilen (Zelle) enthält Informationen zu dem in der Spalte behandelten Thema für den (die) Stoff(e) dieser Zeile:</w:t>
      </w:r>
    </w:p>
    <w:p w:rsidR="00BD7AF5" w:rsidRPr="00BD7AF5" w:rsidRDefault="00BD7AF5" w:rsidP="005069AD">
      <w:pPr>
        <w:tabs>
          <w:tab w:val="left" w:pos="1134"/>
          <w:tab w:val="left" w:pos="1418"/>
          <w:tab w:val="left" w:pos="1560"/>
          <w:tab w:val="left" w:pos="1985"/>
          <w:tab w:val="left" w:pos="2552"/>
          <w:tab w:val="left" w:pos="3119"/>
          <w:tab w:val="left" w:pos="3686"/>
        </w:tabs>
        <w:ind w:left="1134" w:right="566"/>
        <w:jc w:val="both"/>
        <w:rPr>
          <w:rFonts w:ascii="Arial" w:hAnsi="Arial" w:cs="Arial"/>
          <w:lang w:val="de-DE"/>
        </w:rPr>
      </w:pPr>
    </w:p>
    <w:p w:rsidR="00BD7AF5" w:rsidRPr="00BD7AF5" w:rsidRDefault="00BD7AF5" w:rsidP="005069AD">
      <w:pPr>
        <w:tabs>
          <w:tab w:val="left" w:pos="1560"/>
        </w:tabs>
        <w:spacing w:after="120"/>
        <w:ind w:left="1560" w:right="567" w:hanging="426"/>
        <w:jc w:val="both"/>
        <w:rPr>
          <w:rFonts w:ascii="Arial" w:hAnsi="Arial" w:cs="Arial"/>
          <w:lang w:val="de-DE"/>
        </w:rPr>
      </w:pPr>
      <w:r w:rsidRPr="00BD7AF5">
        <w:rPr>
          <w:rFonts w:ascii="Arial" w:hAnsi="Arial" w:cs="Arial"/>
          <w:lang w:val="de-DE"/>
        </w:rPr>
        <w:t>-</w:t>
      </w:r>
      <w:r w:rsidRPr="00BD7AF5">
        <w:rPr>
          <w:rFonts w:ascii="Arial" w:hAnsi="Arial" w:cs="Arial"/>
          <w:lang w:val="de-DE"/>
        </w:rPr>
        <w:tab/>
        <w:t>die ersten vier Zellen identifizieren den (die) zu dieser Zeile gehörenden Stoff(e);</w:t>
      </w:r>
    </w:p>
    <w:p w:rsidR="00BD7AF5" w:rsidRPr="00BD7AF5" w:rsidRDefault="00BD7AF5" w:rsidP="005069AD">
      <w:pPr>
        <w:tabs>
          <w:tab w:val="left" w:pos="1560"/>
        </w:tabs>
        <w:spacing w:after="120"/>
        <w:ind w:left="1560" w:right="567" w:hanging="426"/>
        <w:jc w:val="both"/>
        <w:rPr>
          <w:rFonts w:ascii="Arial" w:hAnsi="Arial" w:cs="Arial"/>
          <w:lang w:val="de-DE"/>
        </w:rPr>
      </w:pPr>
      <w:r w:rsidRPr="00BD7AF5">
        <w:rPr>
          <w:rFonts w:ascii="Arial" w:hAnsi="Arial" w:cs="Arial"/>
          <w:lang w:val="de-DE"/>
        </w:rPr>
        <w:t>-</w:t>
      </w:r>
      <w:r w:rsidRPr="00BD7AF5">
        <w:rPr>
          <w:rFonts w:ascii="Arial" w:hAnsi="Arial" w:cs="Arial"/>
          <w:lang w:val="de-DE"/>
        </w:rPr>
        <w:tab/>
        <w:t>die nachfolgenden Zellen geben die</w:t>
      </w:r>
      <w:r w:rsidRPr="00BD7AF5">
        <w:rPr>
          <w:rFonts w:ascii="Arial" w:hAnsi="Arial" w:cs="Arial"/>
          <w:strike/>
          <w:lang w:val="de-DE"/>
        </w:rPr>
        <w:t xml:space="preserve"> anwendbaren</w:t>
      </w:r>
      <w:r w:rsidRPr="00BD7AF5">
        <w:rPr>
          <w:rFonts w:ascii="Arial" w:hAnsi="Arial" w:cs="Arial"/>
          <w:lang w:val="de-DE"/>
        </w:rPr>
        <w:t xml:space="preserve"> </w:t>
      </w:r>
      <w:r w:rsidRPr="00BD7AF5">
        <w:rPr>
          <w:rFonts w:ascii="Arial" w:hAnsi="Arial" w:cs="Arial"/>
          <w:u w:val="single"/>
          <w:lang w:val="de-DE"/>
        </w:rPr>
        <w:t>anzuwendenden</w:t>
      </w:r>
      <w:r w:rsidRPr="00BD7AF5">
        <w:rPr>
          <w:rFonts w:ascii="Arial" w:hAnsi="Arial" w:cs="Arial"/>
          <w:lang w:val="de-DE"/>
        </w:rPr>
        <w:t xml:space="preserve"> besonderen Vorschriften entweder als vollständige Information oder in kodierter Form</w:t>
      </w:r>
      <w:bookmarkStart w:id="0" w:name="_GoBack"/>
      <w:bookmarkEnd w:id="0"/>
      <w:r w:rsidRPr="00BD7AF5">
        <w:rPr>
          <w:rFonts w:ascii="Arial" w:hAnsi="Arial" w:cs="Arial"/>
          <w:lang w:val="de-DE"/>
        </w:rPr>
        <w:t xml:space="preserve"> an. Die Codes verweisen auf detaillierte Informationen, die in den in den nachstehenden erläuternden Bemerkungen angegebenen Nummern enthalten sind. Eine leere Zelle bedeutet entweder, dass es keine besonderen Vorschriften gibt und nur die allgemeinen Vorschriften anwendbar sind oder dass die in den erläuternden Bemerkungen angegebene Beförderungseinschränkung gilt</w:t>
      </w:r>
      <w:r w:rsidRPr="00122B53">
        <w:rPr>
          <w:rFonts w:ascii="Arial" w:hAnsi="Arial" w:cs="Arial"/>
          <w:strike/>
          <w:lang w:val="de-DE"/>
        </w:rPr>
        <w:t>.</w:t>
      </w:r>
      <w:r w:rsidRPr="00122B53">
        <w:rPr>
          <w:rFonts w:ascii="Arial" w:hAnsi="Arial" w:cs="Arial"/>
          <w:u w:val="single"/>
          <w:lang w:val="de-DE"/>
        </w:rPr>
        <w:t>;</w:t>
      </w:r>
    </w:p>
    <w:p w:rsidR="00BD7AF5" w:rsidRPr="00122B53" w:rsidRDefault="00BD7AF5" w:rsidP="005069AD">
      <w:pPr>
        <w:tabs>
          <w:tab w:val="left" w:pos="1560"/>
        </w:tabs>
        <w:spacing w:after="120"/>
        <w:ind w:left="1560" w:right="567" w:hanging="426"/>
        <w:jc w:val="both"/>
        <w:rPr>
          <w:rFonts w:ascii="Arial" w:hAnsi="Arial" w:cs="Arial"/>
          <w:u w:val="single"/>
          <w:lang w:val="de-DE"/>
        </w:rPr>
      </w:pPr>
      <w:r w:rsidRPr="00122B53">
        <w:rPr>
          <w:rFonts w:ascii="Arial" w:hAnsi="Arial" w:cs="Arial"/>
          <w:u w:val="single"/>
          <w:lang w:val="de-DE"/>
        </w:rPr>
        <w:t>-</w:t>
      </w:r>
      <w:r w:rsidRPr="00122B53">
        <w:rPr>
          <w:rFonts w:ascii="Arial" w:hAnsi="Arial" w:cs="Arial"/>
          <w:u w:val="single"/>
          <w:lang w:val="de-DE"/>
        </w:rPr>
        <w:tab/>
        <w:t>ist in einer Zelle ein „*“ angegeben, so sind die anzuwendenden Vorschriften in Anwendung von 3.2.3.3 zu ermitteln.</w:t>
      </w:r>
    </w:p>
    <w:p w:rsidR="00122B53" w:rsidRPr="00BD7AF5" w:rsidRDefault="00122B53" w:rsidP="005069AD">
      <w:pPr>
        <w:tabs>
          <w:tab w:val="left" w:pos="1134"/>
          <w:tab w:val="left" w:pos="1418"/>
          <w:tab w:val="left" w:pos="1560"/>
          <w:tab w:val="left" w:pos="1985"/>
          <w:tab w:val="left" w:pos="2552"/>
          <w:tab w:val="left" w:pos="3119"/>
          <w:tab w:val="left" w:pos="3686"/>
        </w:tabs>
        <w:ind w:left="1134" w:right="566" w:hanging="284"/>
        <w:jc w:val="both"/>
        <w:rPr>
          <w:rFonts w:ascii="Arial" w:hAnsi="Arial" w:cs="Arial"/>
          <w:lang w:val="de-DE"/>
        </w:rPr>
      </w:pPr>
    </w:p>
    <w:p w:rsidR="00BD7AF5" w:rsidRPr="00BD7AF5" w:rsidRDefault="00BD7AF5" w:rsidP="005069AD">
      <w:pPr>
        <w:tabs>
          <w:tab w:val="left" w:pos="1134"/>
          <w:tab w:val="left" w:pos="1560"/>
          <w:tab w:val="left" w:pos="1985"/>
          <w:tab w:val="left" w:pos="2552"/>
          <w:tab w:val="left" w:pos="3119"/>
          <w:tab w:val="left" w:pos="3686"/>
        </w:tabs>
        <w:ind w:left="1134" w:right="566"/>
        <w:jc w:val="both"/>
        <w:rPr>
          <w:rFonts w:ascii="Arial" w:hAnsi="Arial" w:cs="Arial"/>
          <w:lang w:val="de-DE"/>
        </w:rPr>
      </w:pPr>
      <w:r w:rsidRPr="00BD7AF5">
        <w:rPr>
          <w:rFonts w:ascii="Arial" w:hAnsi="Arial" w:cs="Arial"/>
          <w:lang w:val="de-DE"/>
        </w:rPr>
        <w:t>Auf die anwendbaren allgemeinen Vorschriften wird in den entsprechenden Spalten nicht verwiesen.</w:t>
      </w:r>
      <w:r w:rsidR="005069AD">
        <w:rPr>
          <w:rFonts w:ascii="Arial" w:hAnsi="Arial" w:cs="Arial"/>
          <w:lang w:val="de-DE"/>
        </w:rPr>
        <w:t>“</w:t>
      </w:r>
    </w:p>
    <w:p w:rsidR="00BD7AF5" w:rsidRPr="00BD7AF5" w:rsidRDefault="00BD7AF5" w:rsidP="005069AD">
      <w:pPr>
        <w:tabs>
          <w:tab w:val="left" w:pos="1134"/>
          <w:tab w:val="left" w:pos="1418"/>
          <w:tab w:val="left" w:pos="1560"/>
          <w:tab w:val="left" w:pos="1985"/>
          <w:tab w:val="left" w:pos="2552"/>
          <w:tab w:val="left" w:pos="3119"/>
          <w:tab w:val="left" w:pos="3686"/>
        </w:tabs>
        <w:ind w:left="1134" w:right="566"/>
        <w:jc w:val="both"/>
        <w:rPr>
          <w:rFonts w:ascii="Arial" w:hAnsi="Arial" w:cs="Arial"/>
          <w:lang w:val="de-DE"/>
        </w:rPr>
      </w:pPr>
    </w:p>
    <w:p w:rsidR="00BD7AF5" w:rsidRPr="00BD7AF5" w:rsidRDefault="00BD7AF5" w:rsidP="005069AD">
      <w:pPr>
        <w:tabs>
          <w:tab w:val="left" w:pos="1134"/>
          <w:tab w:val="left" w:pos="1418"/>
          <w:tab w:val="left" w:pos="1560"/>
          <w:tab w:val="left" w:pos="1985"/>
          <w:tab w:val="left" w:pos="2552"/>
          <w:tab w:val="left" w:pos="3119"/>
          <w:tab w:val="left" w:pos="3686"/>
        </w:tabs>
        <w:ind w:left="1134" w:right="566"/>
        <w:jc w:val="both"/>
        <w:rPr>
          <w:rFonts w:ascii="Arial" w:hAnsi="Arial" w:cs="Arial"/>
          <w:lang w:val="de-DE"/>
        </w:rPr>
      </w:pPr>
    </w:p>
    <w:p w:rsidR="00BD7AF5" w:rsidRDefault="00122B53" w:rsidP="005069AD">
      <w:pPr>
        <w:tabs>
          <w:tab w:val="left" w:pos="1134"/>
          <w:tab w:val="left" w:pos="1418"/>
          <w:tab w:val="left" w:pos="1560"/>
          <w:tab w:val="left" w:pos="1985"/>
          <w:tab w:val="left" w:pos="2552"/>
          <w:tab w:val="left" w:pos="3119"/>
          <w:tab w:val="left" w:pos="3686"/>
        </w:tabs>
        <w:ind w:left="1134" w:right="566"/>
        <w:jc w:val="both"/>
        <w:rPr>
          <w:rFonts w:ascii="Arial" w:hAnsi="Arial" w:cs="Arial"/>
          <w:lang w:val="de-DE"/>
        </w:rPr>
      </w:pPr>
      <w:r>
        <w:rPr>
          <w:rFonts w:ascii="Arial" w:hAnsi="Arial" w:cs="Arial"/>
          <w:lang w:val="de-DE"/>
        </w:rPr>
        <w:t>„</w:t>
      </w:r>
      <w:r w:rsidR="00BD7AF5" w:rsidRPr="00122B53">
        <w:rPr>
          <w:rFonts w:ascii="Arial" w:hAnsi="Arial" w:cs="Arial"/>
          <w:b/>
          <w:lang w:val="de-DE"/>
        </w:rPr>
        <w:t>Spalte 5</w:t>
      </w:r>
      <w:r w:rsidR="00BD7AF5" w:rsidRPr="00122B53">
        <w:rPr>
          <w:rFonts w:ascii="Arial" w:hAnsi="Arial" w:cs="Arial"/>
          <w:b/>
          <w:lang w:val="de-DE"/>
        </w:rPr>
        <w:tab/>
      </w:r>
      <w:r>
        <w:rPr>
          <w:rFonts w:ascii="Arial" w:hAnsi="Arial" w:cs="Arial"/>
          <w:b/>
          <w:lang w:val="de-DE"/>
        </w:rPr>
        <w:tab/>
      </w:r>
      <w:r w:rsidR="00BD7AF5" w:rsidRPr="00122B53">
        <w:rPr>
          <w:rFonts w:ascii="Arial" w:hAnsi="Arial" w:cs="Arial"/>
          <w:b/>
          <w:lang w:val="de-DE"/>
        </w:rPr>
        <w:t>Gefahren</w:t>
      </w:r>
    </w:p>
    <w:p w:rsidR="00122B53" w:rsidRPr="00BD7AF5" w:rsidRDefault="00122B53" w:rsidP="005069AD">
      <w:pPr>
        <w:tabs>
          <w:tab w:val="left" w:pos="1134"/>
          <w:tab w:val="left" w:pos="1418"/>
          <w:tab w:val="left" w:pos="1560"/>
          <w:tab w:val="left" w:pos="1985"/>
          <w:tab w:val="left" w:pos="2552"/>
          <w:tab w:val="left" w:pos="3119"/>
          <w:tab w:val="left" w:pos="3686"/>
        </w:tabs>
        <w:ind w:left="1134" w:right="566"/>
        <w:jc w:val="both"/>
        <w:rPr>
          <w:rFonts w:ascii="Arial" w:hAnsi="Arial" w:cs="Arial"/>
          <w:lang w:val="de-DE"/>
        </w:rPr>
      </w:pPr>
    </w:p>
    <w:p w:rsidR="00122B53" w:rsidRPr="00BD7AF5" w:rsidRDefault="00BD7AF5" w:rsidP="005069AD">
      <w:pPr>
        <w:tabs>
          <w:tab w:val="left" w:pos="1134"/>
          <w:tab w:val="left" w:pos="1418"/>
          <w:tab w:val="left" w:pos="1560"/>
          <w:tab w:val="left" w:pos="1985"/>
          <w:tab w:val="left" w:pos="2552"/>
          <w:tab w:val="left" w:pos="3119"/>
          <w:tab w:val="left" w:pos="3686"/>
        </w:tabs>
        <w:spacing w:after="120"/>
        <w:ind w:left="1134" w:right="567"/>
        <w:jc w:val="both"/>
        <w:rPr>
          <w:rFonts w:ascii="Arial" w:hAnsi="Arial" w:cs="Arial"/>
          <w:lang w:val="de-DE"/>
        </w:rPr>
      </w:pPr>
      <w:r w:rsidRPr="00BD7AF5">
        <w:rPr>
          <w:rFonts w:ascii="Arial" w:hAnsi="Arial" w:cs="Arial"/>
          <w:lang w:val="de-DE"/>
        </w:rPr>
        <w:t>Diese Spalte enthält Angaben über die Gefahren, die von dem gefährlichen Stoff oder der gefährlichen Mischung ausgehen können. Dabei werden im Allgemeinen die Angaben über die Gefahrzettel in Tabelle A Spalte 5 übernommen.</w:t>
      </w:r>
    </w:p>
    <w:p w:rsidR="00BD7AF5" w:rsidRPr="00BD7AF5" w:rsidRDefault="00BD7AF5" w:rsidP="005069AD">
      <w:pPr>
        <w:tabs>
          <w:tab w:val="left" w:pos="1134"/>
          <w:tab w:val="left" w:pos="1418"/>
          <w:tab w:val="left" w:pos="1560"/>
          <w:tab w:val="left" w:pos="1985"/>
          <w:tab w:val="left" w:pos="2552"/>
          <w:tab w:val="left" w:pos="3119"/>
          <w:tab w:val="left" w:pos="3686"/>
        </w:tabs>
        <w:spacing w:after="120"/>
        <w:ind w:left="1134" w:right="567"/>
        <w:jc w:val="both"/>
        <w:rPr>
          <w:rFonts w:ascii="Arial" w:hAnsi="Arial" w:cs="Arial"/>
          <w:lang w:val="de-DE"/>
        </w:rPr>
      </w:pPr>
      <w:r w:rsidRPr="00BD7AF5">
        <w:rPr>
          <w:rFonts w:ascii="Arial" w:hAnsi="Arial" w:cs="Arial"/>
          <w:lang w:val="de-DE"/>
        </w:rPr>
        <w:t>Handelt es sich um einen chemisch instabilen Stoff, werden diese Angaben durch den Code „</w:t>
      </w:r>
      <w:proofErr w:type="spellStart"/>
      <w:r w:rsidRPr="00BD7AF5">
        <w:rPr>
          <w:rFonts w:ascii="Arial" w:hAnsi="Arial" w:cs="Arial"/>
          <w:lang w:val="de-DE"/>
        </w:rPr>
        <w:t>inst</w:t>
      </w:r>
      <w:proofErr w:type="spellEnd"/>
      <w:r w:rsidRPr="00BD7AF5">
        <w:rPr>
          <w:rFonts w:ascii="Arial" w:hAnsi="Arial" w:cs="Arial"/>
          <w:lang w:val="de-DE"/>
        </w:rPr>
        <w:t>.“ ergänzt.</w:t>
      </w:r>
    </w:p>
    <w:p w:rsidR="00BD7AF5" w:rsidRPr="00BD7AF5" w:rsidRDefault="00BD7AF5" w:rsidP="005069AD">
      <w:pPr>
        <w:tabs>
          <w:tab w:val="left" w:pos="1134"/>
          <w:tab w:val="left" w:pos="1418"/>
          <w:tab w:val="left" w:pos="1560"/>
          <w:tab w:val="left" w:pos="1985"/>
          <w:tab w:val="left" w:pos="2552"/>
          <w:tab w:val="left" w:pos="3119"/>
          <w:tab w:val="left" w:pos="3686"/>
        </w:tabs>
        <w:spacing w:after="120"/>
        <w:ind w:left="1134" w:right="567"/>
        <w:jc w:val="both"/>
        <w:rPr>
          <w:rFonts w:ascii="Arial" w:hAnsi="Arial" w:cs="Arial"/>
          <w:lang w:val="de-DE"/>
        </w:rPr>
      </w:pPr>
      <w:r w:rsidRPr="00BD7AF5">
        <w:rPr>
          <w:rFonts w:ascii="Arial" w:hAnsi="Arial" w:cs="Arial"/>
          <w:lang w:val="de-DE"/>
        </w:rPr>
        <w:t>Handelt es sich um einen wasserverunreinigenden Stoff oder um eine wasserverunreinigende Mischung, werden diese Angaben durch den Code „N1“, „N2“ oder „N3“ ergänzt.</w:t>
      </w:r>
    </w:p>
    <w:p w:rsidR="00BD7AF5" w:rsidRPr="00BD7AF5" w:rsidRDefault="00BD7AF5" w:rsidP="005069AD">
      <w:pPr>
        <w:tabs>
          <w:tab w:val="left" w:pos="1134"/>
          <w:tab w:val="left" w:pos="1418"/>
          <w:tab w:val="left" w:pos="1560"/>
          <w:tab w:val="left" w:pos="1985"/>
          <w:tab w:val="left" w:pos="2552"/>
          <w:tab w:val="left" w:pos="3119"/>
          <w:tab w:val="left" w:pos="3686"/>
        </w:tabs>
        <w:spacing w:after="120"/>
        <w:ind w:left="1134" w:right="567"/>
        <w:jc w:val="both"/>
        <w:rPr>
          <w:rFonts w:ascii="Arial" w:hAnsi="Arial" w:cs="Arial"/>
          <w:lang w:val="de-DE"/>
        </w:rPr>
      </w:pPr>
      <w:r w:rsidRPr="00BD7AF5">
        <w:rPr>
          <w:rFonts w:ascii="Arial" w:hAnsi="Arial" w:cs="Arial"/>
          <w:lang w:val="de-DE"/>
        </w:rPr>
        <w:t>Handelt es sich um einen Stoff oder um eine Mischung, mit CMR-Eigenschaften, werden diese Angaben durch den Code „CMR“ ergänzt.</w:t>
      </w:r>
    </w:p>
    <w:p w:rsidR="00BD7AF5" w:rsidRPr="00BD7AF5" w:rsidRDefault="00BD7AF5" w:rsidP="005069AD">
      <w:pPr>
        <w:tabs>
          <w:tab w:val="left" w:pos="1134"/>
          <w:tab w:val="left" w:pos="1418"/>
          <w:tab w:val="left" w:pos="1560"/>
          <w:tab w:val="left" w:pos="1985"/>
          <w:tab w:val="left" w:pos="2552"/>
          <w:tab w:val="left" w:pos="3119"/>
          <w:tab w:val="left" w:pos="3686"/>
        </w:tabs>
        <w:spacing w:after="120"/>
        <w:ind w:left="1134" w:right="567"/>
        <w:jc w:val="both"/>
        <w:rPr>
          <w:rFonts w:ascii="Arial" w:hAnsi="Arial" w:cs="Arial"/>
          <w:lang w:val="de-DE"/>
        </w:rPr>
      </w:pPr>
      <w:r w:rsidRPr="00BD7AF5">
        <w:rPr>
          <w:rFonts w:ascii="Arial" w:hAnsi="Arial" w:cs="Arial"/>
          <w:lang w:val="de-DE"/>
        </w:rPr>
        <w:t xml:space="preserve">Handelt es sich um einen Stoff oder um eine Mischung, der oder die auf der Wasseroberfläche aufschwimmt, nicht verdampft und schlecht </w:t>
      </w:r>
      <w:proofErr w:type="spellStart"/>
      <w:r w:rsidRPr="00BD7AF5">
        <w:rPr>
          <w:rFonts w:ascii="Arial" w:hAnsi="Arial" w:cs="Arial"/>
          <w:lang w:val="de-DE"/>
        </w:rPr>
        <w:t>wasserlöslisch</w:t>
      </w:r>
      <w:proofErr w:type="spellEnd"/>
      <w:r w:rsidRPr="00BD7AF5">
        <w:rPr>
          <w:rFonts w:ascii="Arial" w:hAnsi="Arial" w:cs="Arial"/>
          <w:lang w:val="de-DE"/>
        </w:rPr>
        <w:t xml:space="preserve"> ist bzw. auf den Gewässergrund absinkt und schlecht wasserlöslich ist, werden diese Angaben durch den Code „F“ (für den englischen Begriff „</w:t>
      </w:r>
      <w:proofErr w:type="spellStart"/>
      <w:r w:rsidRPr="00BD7AF5">
        <w:rPr>
          <w:rFonts w:ascii="Arial" w:hAnsi="Arial" w:cs="Arial"/>
          <w:lang w:val="de-DE"/>
        </w:rPr>
        <w:t>Floater</w:t>
      </w:r>
      <w:proofErr w:type="spellEnd"/>
      <w:r w:rsidRPr="00BD7AF5">
        <w:rPr>
          <w:rFonts w:ascii="Arial" w:hAnsi="Arial" w:cs="Arial"/>
          <w:lang w:val="de-DE"/>
        </w:rPr>
        <w:t>“) bzw. „S“ (für den englischen Begriff „</w:t>
      </w:r>
      <w:proofErr w:type="spellStart"/>
      <w:r w:rsidRPr="00BD7AF5">
        <w:rPr>
          <w:rFonts w:ascii="Arial" w:hAnsi="Arial" w:cs="Arial"/>
          <w:lang w:val="de-DE"/>
        </w:rPr>
        <w:t>Sinker</w:t>
      </w:r>
      <w:proofErr w:type="spellEnd"/>
      <w:r w:rsidRPr="00BD7AF5">
        <w:rPr>
          <w:rFonts w:ascii="Arial" w:hAnsi="Arial" w:cs="Arial"/>
          <w:lang w:val="de-DE"/>
        </w:rPr>
        <w:t>“) ergänzt.</w:t>
      </w:r>
    </w:p>
    <w:p w:rsidR="00BD7AF5" w:rsidRPr="00122B53" w:rsidRDefault="00BD7AF5" w:rsidP="005069AD">
      <w:pPr>
        <w:tabs>
          <w:tab w:val="left" w:pos="1134"/>
          <w:tab w:val="left" w:pos="1418"/>
          <w:tab w:val="left" w:pos="1560"/>
          <w:tab w:val="left" w:pos="1985"/>
          <w:tab w:val="left" w:pos="2552"/>
          <w:tab w:val="left" w:pos="3119"/>
          <w:tab w:val="left" w:pos="3686"/>
        </w:tabs>
        <w:spacing w:after="120"/>
        <w:ind w:left="1134" w:right="567"/>
        <w:jc w:val="both"/>
        <w:rPr>
          <w:rFonts w:ascii="Arial" w:hAnsi="Arial" w:cs="Arial"/>
          <w:u w:val="single"/>
          <w:lang w:val="de-DE"/>
        </w:rPr>
      </w:pPr>
      <w:r w:rsidRPr="00122B53">
        <w:rPr>
          <w:rFonts w:ascii="Arial" w:hAnsi="Arial" w:cs="Arial"/>
          <w:u w:val="single"/>
          <w:lang w:val="de-DE"/>
        </w:rPr>
        <w:t>Bei Angaben über Gefahren in Klammern sind nur die für die konkrete Beförderung zutreffenden Codes zu verwenden.</w:t>
      </w:r>
      <w:r w:rsidR="00122B53">
        <w:rPr>
          <w:rFonts w:ascii="Arial" w:hAnsi="Arial" w:cs="Arial"/>
          <w:u w:val="single"/>
          <w:lang w:val="de-DE"/>
        </w:rPr>
        <w:t>“</w:t>
      </w:r>
    </w:p>
    <w:p w:rsidR="00C25CC0" w:rsidRPr="00C25CC0" w:rsidRDefault="00C25CC0" w:rsidP="005069AD">
      <w:pPr>
        <w:tabs>
          <w:tab w:val="left" w:pos="1134"/>
          <w:tab w:val="left" w:pos="1560"/>
        </w:tabs>
        <w:suppressAutoHyphens w:val="0"/>
        <w:ind w:left="1134"/>
        <w:jc w:val="center"/>
        <w:rPr>
          <w:rFonts w:ascii="Arial" w:eastAsia="Calibri" w:hAnsi="Arial" w:cs="Arial"/>
          <w:color w:val="000000"/>
          <w:lang w:val="de-DE" w:eastAsia="en-US"/>
        </w:rPr>
      </w:pPr>
      <w:r w:rsidRPr="00C25CC0">
        <w:rPr>
          <w:rFonts w:ascii="Arial" w:eastAsia="Calibri" w:hAnsi="Arial" w:cs="Arial"/>
          <w:color w:val="000000"/>
          <w:lang w:val="de-DE" w:eastAsia="en-US"/>
        </w:rPr>
        <w:t>***</w:t>
      </w:r>
    </w:p>
    <w:sectPr w:rsidR="00C25CC0" w:rsidRPr="00C25CC0" w:rsidSect="00A573CE">
      <w:headerReference w:type="even" r:id="rId9"/>
      <w:headerReference w:type="default" r:id="rId10"/>
      <w:footerReference w:type="even" r:id="rId11"/>
      <w:footerReference w:type="default" r:id="rId12"/>
      <w:endnotePr>
        <w:numFmt w:val="decimal"/>
      </w:endnotePr>
      <w:pgSz w:w="11907" w:h="16840" w:code="9"/>
      <w:pgMar w:top="1304" w:right="1418" w:bottom="1134" w:left="1418"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AB" w:rsidRDefault="00AE31AB">
      <w:pPr>
        <w:rPr>
          <w:szCs w:val="24"/>
        </w:rPr>
      </w:pPr>
    </w:p>
  </w:endnote>
  <w:endnote w:type="continuationSeparator" w:id="0">
    <w:p w:rsidR="00AE31AB" w:rsidRDefault="00AE31AB">
      <w:pPr>
        <w:rPr>
          <w:szCs w:val="24"/>
        </w:rPr>
      </w:pPr>
    </w:p>
  </w:endnote>
  <w:endnote w:type="continuationNotice" w:id="1">
    <w:p w:rsidR="00AE31AB" w:rsidRDefault="00AE31AB">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31" w:rsidRDefault="00804331" w:rsidP="00804331">
    <w:pPr>
      <w:tabs>
        <w:tab w:val="center" w:pos="4536"/>
        <w:tab w:val="right" w:pos="9072"/>
      </w:tabs>
      <w:jc w:val="right"/>
    </w:pPr>
    <w:r w:rsidRPr="00804331">
      <w:rPr>
        <w:rFonts w:ascii="Arial" w:hAnsi="Arial"/>
        <w:noProof/>
        <w:sz w:val="12"/>
        <w:szCs w:val="24"/>
        <w:lang w:val="fr-FR"/>
      </w:rPr>
      <w:t>mm_adn_wp15_ac2_201</w:t>
    </w:r>
    <w:r w:rsidR="00FA4E55">
      <w:rPr>
        <w:rFonts w:ascii="Arial" w:hAnsi="Arial"/>
        <w:noProof/>
        <w:sz w:val="12"/>
        <w:szCs w:val="24"/>
        <w:lang w:val="fr-FR"/>
      </w:rPr>
      <w:t>6</w:t>
    </w:r>
    <w:r w:rsidRPr="00804331">
      <w:rPr>
        <w:rFonts w:ascii="Arial" w:hAnsi="Arial"/>
        <w:noProof/>
        <w:sz w:val="12"/>
        <w:szCs w:val="24"/>
        <w:lang w:val="fr-FR"/>
      </w:rPr>
      <w:t>_</w:t>
    </w:r>
    <w:r w:rsidR="00FA4E55">
      <w:rPr>
        <w:rFonts w:ascii="Arial" w:hAnsi="Arial"/>
        <w:noProof/>
        <w:sz w:val="12"/>
        <w:szCs w:val="24"/>
        <w:lang w:val="fr-FR"/>
      </w:rPr>
      <w:t>7</w:t>
    </w:r>
    <w:r w:rsidRPr="00804331">
      <w:rPr>
        <w:rFonts w:ascii="Arial" w:hAnsi="Arial"/>
        <w:noProof/>
        <w:sz w:val="12"/>
        <w:szCs w:val="24"/>
        <w:lang w:val="fr-FR"/>
      </w:rPr>
      <w:t>de</w:t>
    </w:r>
  </w:p>
  <w:p w:rsidR="00804331" w:rsidRDefault="008043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C0" w:rsidRPr="005E207B" w:rsidRDefault="002700C0" w:rsidP="002700C0">
    <w:pPr>
      <w:spacing w:line="240" w:lineRule="auto"/>
      <w:jc w:val="right"/>
      <w:rPr>
        <w:lang w:val="en-GB"/>
      </w:rPr>
    </w:pPr>
    <w:r w:rsidRPr="005E207B">
      <w:rPr>
        <w:rFonts w:ascii="Arial" w:hAnsi="Arial"/>
        <w:noProof/>
        <w:sz w:val="12"/>
        <w:szCs w:val="24"/>
        <w:lang w:val="en-GB"/>
      </w:rPr>
      <w:t>mm/adn_wp15_ac2_2</w:t>
    </w:r>
    <w:r w:rsidR="00794631">
      <w:rPr>
        <w:rFonts w:ascii="Arial" w:hAnsi="Arial"/>
        <w:noProof/>
        <w:sz w:val="12"/>
        <w:szCs w:val="24"/>
        <w:lang w:val="en-GB"/>
      </w:rPr>
      <w:t>015_</w:t>
    </w:r>
    <w:r w:rsidR="00F026F2">
      <w:rPr>
        <w:rFonts w:ascii="Arial" w:hAnsi="Arial"/>
        <w:noProof/>
        <w:sz w:val="12"/>
        <w:szCs w:val="24"/>
        <w:lang w:val="en-GB"/>
      </w:rPr>
      <w:t>9</w:t>
    </w:r>
    <w:r w:rsidR="00794631">
      <w:rPr>
        <w:rFonts w:ascii="Arial" w:hAnsi="Arial"/>
        <w:noProof/>
        <w:sz w:val="12"/>
        <w:szCs w:val="24"/>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AB" w:rsidRDefault="00AE31AB">
      <w:pPr>
        <w:tabs>
          <w:tab w:val="right" w:pos="2155"/>
        </w:tabs>
        <w:spacing w:after="80"/>
        <w:ind w:left="680"/>
        <w:rPr>
          <w:szCs w:val="24"/>
          <w:u w:val="single"/>
        </w:rPr>
      </w:pPr>
      <w:r>
        <w:rPr>
          <w:szCs w:val="24"/>
          <w:u w:val="single"/>
        </w:rPr>
        <w:tab/>
      </w:r>
    </w:p>
  </w:footnote>
  <w:footnote w:type="continuationSeparator" w:id="0">
    <w:p w:rsidR="00AE31AB" w:rsidRDefault="00AE31AB">
      <w:pPr>
        <w:tabs>
          <w:tab w:val="right" w:pos="2155"/>
        </w:tabs>
        <w:spacing w:after="80"/>
        <w:ind w:left="680"/>
        <w:rPr>
          <w:szCs w:val="24"/>
          <w:u w:val="single"/>
        </w:rPr>
      </w:pPr>
      <w:r>
        <w:rPr>
          <w:szCs w:val="24"/>
          <w:u w:val="single"/>
        </w:rPr>
        <w:tab/>
      </w:r>
    </w:p>
  </w:footnote>
  <w:footnote w:type="continuationNotice" w:id="1">
    <w:p w:rsidR="00AE31AB" w:rsidRDefault="00AE31AB">
      <w:pPr>
        <w:rPr>
          <w:szCs w:val="24"/>
        </w:rPr>
      </w:pPr>
    </w:p>
  </w:footnote>
  <w:footnote w:id="2">
    <w:p w:rsidR="00455426" w:rsidRDefault="00455426" w:rsidP="00DA39EF">
      <w:pPr>
        <w:pStyle w:val="Notedebasdepage"/>
        <w:widowControl w:val="0"/>
        <w:tabs>
          <w:tab w:val="clear" w:pos="1021"/>
          <w:tab w:val="left" w:pos="284"/>
          <w:tab w:val="right" w:pos="426"/>
        </w:tabs>
        <w:ind w:left="567" w:right="566" w:hanging="283"/>
        <w:rPr>
          <w:sz w:val="16"/>
          <w:szCs w:val="24"/>
          <w:lang w:val="de-DE"/>
        </w:rPr>
      </w:pPr>
      <w:r>
        <w:rPr>
          <w:rStyle w:val="Appelnotedebasdep"/>
          <w:sz w:val="16"/>
          <w:szCs w:val="24"/>
          <w:lang w:val="de-DE"/>
        </w:rPr>
        <w:footnoteRef/>
      </w:r>
      <w:r>
        <w:rPr>
          <w:sz w:val="16"/>
          <w:szCs w:val="24"/>
          <w:lang w:val="de-DE"/>
        </w:rPr>
        <w:tab/>
      </w:r>
      <w:r>
        <w:rPr>
          <w:sz w:val="16"/>
          <w:szCs w:val="24"/>
          <w:lang w:val="de-DE"/>
        </w:rPr>
        <w:tab/>
      </w:r>
      <w:r>
        <w:rPr>
          <w:noProof/>
          <w:sz w:val="16"/>
          <w:szCs w:val="24"/>
          <w:lang w:val="de-DE"/>
        </w:rPr>
        <w:t>Von der UN-ECE in Englisch, Französisch und Russisch unter dem Aktenzeichen ECE/</w:t>
      </w:r>
      <w:r>
        <w:rPr>
          <w:noProof/>
          <w:color w:val="000000"/>
          <w:sz w:val="16"/>
          <w:szCs w:val="24"/>
          <w:lang w:val="de-DE"/>
        </w:rPr>
        <w:t>TRANS/WP.15/AC.2/201</w:t>
      </w:r>
      <w:r w:rsidR="00832BF2">
        <w:rPr>
          <w:noProof/>
          <w:color w:val="000000"/>
          <w:sz w:val="16"/>
          <w:szCs w:val="24"/>
          <w:lang w:val="de-DE"/>
        </w:rPr>
        <w:t>6</w:t>
      </w:r>
      <w:r>
        <w:rPr>
          <w:noProof/>
          <w:color w:val="000000"/>
          <w:sz w:val="16"/>
          <w:szCs w:val="24"/>
          <w:lang w:val="de-DE"/>
        </w:rPr>
        <w:t>/</w:t>
      </w:r>
      <w:r w:rsidR="00FA4E55">
        <w:rPr>
          <w:noProof/>
          <w:color w:val="000000"/>
          <w:sz w:val="16"/>
          <w:szCs w:val="24"/>
          <w:lang w:val="de-DE"/>
        </w:rPr>
        <w:t>7</w:t>
      </w:r>
      <w:r>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C0" w:rsidRPr="003E5A1F" w:rsidRDefault="002700C0" w:rsidP="00F91E88">
    <w:pPr>
      <w:pStyle w:val="En-tte"/>
      <w:pBdr>
        <w:bottom w:val="none" w:sz="0" w:space="0" w:color="auto"/>
      </w:pBdr>
      <w:rPr>
        <w:rFonts w:ascii="Arial" w:hAnsi="Arial"/>
        <w:b w:val="0"/>
        <w:sz w:val="16"/>
        <w:szCs w:val="16"/>
        <w:lang w:val="en-GB"/>
      </w:rPr>
    </w:pPr>
    <w:r w:rsidRPr="003E5A1F">
      <w:rPr>
        <w:rFonts w:ascii="Arial" w:hAnsi="Arial"/>
        <w:b w:val="0"/>
        <w:sz w:val="16"/>
        <w:szCs w:val="16"/>
        <w:lang w:val="en-GB"/>
      </w:rPr>
      <w:t>CCNR-ZKR/ADN/WP.15/AC.2/</w:t>
    </w:r>
    <w:r w:rsidR="00D4632B">
      <w:rPr>
        <w:rFonts w:ascii="Arial" w:hAnsi="Arial"/>
        <w:b w:val="0"/>
        <w:sz w:val="16"/>
        <w:szCs w:val="16"/>
        <w:lang w:val="en-GB"/>
      </w:rPr>
      <w:t>201</w:t>
    </w:r>
    <w:r w:rsidR="000843B5">
      <w:rPr>
        <w:rFonts w:ascii="Arial" w:hAnsi="Arial"/>
        <w:b w:val="0"/>
        <w:sz w:val="16"/>
        <w:szCs w:val="16"/>
        <w:lang w:val="en-GB"/>
      </w:rPr>
      <w:t>6</w:t>
    </w:r>
    <w:r w:rsidR="00D4632B">
      <w:rPr>
        <w:rFonts w:ascii="Arial" w:hAnsi="Arial"/>
        <w:b w:val="0"/>
        <w:sz w:val="16"/>
        <w:szCs w:val="16"/>
        <w:lang w:val="en-GB"/>
      </w:rPr>
      <w:t>/</w:t>
    </w:r>
    <w:r w:rsidR="00FA4E55">
      <w:rPr>
        <w:rFonts w:ascii="Arial" w:hAnsi="Arial"/>
        <w:b w:val="0"/>
        <w:sz w:val="16"/>
        <w:szCs w:val="16"/>
        <w:lang w:val="en-GB"/>
      </w:rPr>
      <w:t>7</w:t>
    </w:r>
  </w:p>
  <w:p w:rsidR="002700C0" w:rsidRPr="008402EB" w:rsidRDefault="002700C0" w:rsidP="00F91E88">
    <w:pPr>
      <w:pStyle w:val="En-tte"/>
      <w:pBdr>
        <w:bottom w:val="none" w:sz="0" w:space="0" w:color="auto"/>
      </w:pBdr>
    </w:pPr>
    <w:proofErr w:type="spellStart"/>
    <w:r>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5069AD">
      <w:rPr>
        <w:rFonts w:ascii="Arial" w:hAnsi="Arial"/>
        <w:b w:val="0"/>
        <w:noProof/>
        <w:sz w:val="16"/>
        <w:szCs w:val="16"/>
      </w:rPr>
      <w:t>2</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EB" w:rsidRPr="003E5A1F" w:rsidRDefault="008402EB" w:rsidP="008402EB">
    <w:pPr>
      <w:pStyle w:val="En-tte"/>
      <w:pBdr>
        <w:bottom w:val="none" w:sz="0" w:space="0" w:color="auto"/>
      </w:pBdr>
      <w:jc w:val="right"/>
      <w:rPr>
        <w:rFonts w:ascii="Arial" w:hAnsi="Arial"/>
        <w:b w:val="0"/>
        <w:sz w:val="16"/>
        <w:szCs w:val="16"/>
        <w:lang w:val="en-GB"/>
      </w:rPr>
    </w:pPr>
    <w:r w:rsidRPr="003E5A1F">
      <w:rPr>
        <w:rFonts w:ascii="Arial" w:hAnsi="Arial"/>
        <w:b w:val="0"/>
        <w:sz w:val="16"/>
        <w:szCs w:val="16"/>
        <w:lang w:val="en-GB"/>
      </w:rPr>
      <w:t>CCNR-ZKR/ADN/WP.15/AC.2/</w:t>
    </w:r>
    <w:r w:rsidR="00794631">
      <w:rPr>
        <w:rFonts w:ascii="Arial" w:hAnsi="Arial"/>
        <w:b w:val="0"/>
        <w:sz w:val="16"/>
        <w:szCs w:val="16"/>
        <w:lang w:val="en-GB"/>
      </w:rPr>
      <w:t>2015/</w:t>
    </w:r>
    <w:r w:rsidR="00F026F2">
      <w:rPr>
        <w:rFonts w:ascii="Arial" w:hAnsi="Arial"/>
        <w:b w:val="0"/>
        <w:sz w:val="16"/>
        <w:szCs w:val="16"/>
        <w:lang w:val="en-GB"/>
      </w:rPr>
      <w:t>9</w:t>
    </w:r>
  </w:p>
  <w:p w:rsidR="00E13657" w:rsidRDefault="008402EB" w:rsidP="0073336F">
    <w:pPr>
      <w:pStyle w:val="En-tte"/>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FA4E55">
      <w:rPr>
        <w:rFonts w:ascii="Arial" w:hAnsi="Arial"/>
        <w:b w:val="0"/>
        <w:noProof/>
        <w:sz w:val="16"/>
        <w:szCs w:val="16"/>
      </w:rPr>
      <w:t>3</w:t>
    </w:r>
    <w:r w:rsidRPr="001B5B74">
      <w:rPr>
        <w:rFonts w:ascii="Arial" w:hAnsi="Arial"/>
        <w:b w:val="0"/>
        <w:sz w:val="16"/>
        <w:szCs w:val="16"/>
      </w:rPr>
      <w:fldChar w:fldCharType="end"/>
    </w:r>
  </w:p>
  <w:p w:rsidR="00FD09D9" w:rsidRPr="00FD09D9" w:rsidRDefault="00FD09D9" w:rsidP="00FD09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6">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1">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F7B1178"/>
    <w:multiLevelType w:val="hybridMultilevel"/>
    <w:tmpl w:val="0ECAB934"/>
    <w:lvl w:ilvl="0" w:tplc="673C02FE">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0"/>
  </w:num>
  <w:num w:numId="2">
    <w:abstractNumId w:val="5"/>
  </w:num>
  <w:num w:numId="3">
    <w:abstractNumId w:val="9"/>
  </w:num>
  <w:num w:numId="4">
    <w:abstractNumId w:val="3"/>
  </w:num>
  <w:num w:numId="5">
    <w:abstractNumId w:val="4"/>
  </w:num>
  <w:num w:numId="6">
    <w:abstractNumId w:val="11"/>
  </w:num>
  <w:num w:numId="7">
    <w:abstractNumId w:val="7"/>
  </w:num>
  <w:num w:numId="8">
    <w:abstractNumId w:val="8"/>
  </w:num>
  <w:num w:numId="9">
    <w:abstractNumId w:val="1"/>
  </w:num>
  <w:num w:numId="10">
    <w:abstractNumId w:val="2"/>
  </w:num>
  <w:num w:numId="11">
    <w:abstractNumId w:val="6"/>
  </w:num>
  <w:num w:numId="12">
    <w:abstractNumId w:val="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1"/>
    <w:rsid w:val="00001F3F"/>
    <w:rsid w:val="000103EC"/>
    <w:rsid w:val="000109FF"/>
    <w:rsid w:val="0001429B"/>
    <w:rsid w:val="000228C7"/>
    <w:rsid w:val="00053580"/>
    <w:rsid w:val="00054AF7"/>
    <w:rsid w:val="00054F75"/>
    <w:rsid w:val="00056EFE"/>
    <w:rsid w:val="00070DA1"/>
    <w:rsid w:val="0007687E"/>
    <w:rsid w:val="00081210"/>
    <w:rsid w:val="000815D1"/>
    <w:rsid w:val="000843B5"/>
    <w:rsid w:val="000A53C6"/>
    <w:rsid w:val="000C4394"/>
    <w:rsid w:val="000D5E6C"/>
    <w:rsid w:val="000E3D37"/>
    <w:rsid w:val="000E412C"/>
    <w:rsid w:val="000E481F"/>
    <w:rsid w:val="000E618C"/>
    <w:rsid w:val="000F097A"/>
    <w:rsid w:val="000F1118"/>
    <w:rsid w:val="000F1C41"/>
    <w:rsid w:val="00101638"/>
    <w:rsid w:val="00104A28"/>
    <w:rsid w:val="00105DDE"/>
    <w:rsid w:val="00107A03"/>
    <w:rsid w:val="001152BA"/>
    <w:rsid w:val="00122B53"/>
    <w:rsid w:val="001248B2"/>
    <w:rsid w:val="00124FBF"/>
    <w:rsid w:val="001274DF"/>
    <w:rsid w:val="00131AEE"/>
    <w:rsid w:val="00131E05"/>
    <w:rsid w:val="0013516F"/>
    <w:rsid w:val="00136F18"/>
    <w:rsid w:val="001440C8"/>
    <w:rsid w:val="001451D2"/>
    <w:rsid w:val="00147689"/>
    <w:rsid w:val="00150266"/>
    <w:rsid w:val="001522F0"/>
    <w:rsid w:val="00153C46"/>
    <w:rsid w:val="00160F49"/>
    <w:rsid w:val="0016225C"/>
    <w:rsid w:val="0016352A"/>
    <w:rsid w:val="0016368A"/>
    <w:rsid w:val="00163E6C"/>
    <w:rsid w:val="00164C66"/>
    <w:rsid w:val="00165942"/>
    <w:rsid w:val="00180DE3"/>
    <w:rsid w:val="00194002"/>
    <w:rsid w:val="001A79A0"/>
    <w:rsid w:val="001B6354"/>
    <w:rsid w:val="001B6F14"/>
    <w:rsid w:val="001B7545"/>
    <w:rsid w:val="001C5296"/>
    <w:rsid w:val="001C5EB6"/>
    <w:rsid w:val="001D224A"/>
    <w:rsid w:val="001D23FD"/>
    <w:rsid w:val="001F4467"/>
    <w:rsid w:val="001F5FB8"/>
    <w:rsid w:val="001F7434"/>
    <w:rsid w:val="00200B5B"/>
    <w:rsid w:val="002024F0"/>
    <w:rsid w:val="00204190"/>
    <w:rsid w:val="00206D8B"/>
    <w:rsid w:val="00214233"/>
    <w:rsid w:val="00215979"/>
    <w:rsid w:val="0023259F"/>
    <w:rsid w:val="00234A41"/>
    <w:rsid w:val="00236CBA"/>
    <w:rsid w:val="00237644"/>
    <w:rsid w:val="002376D2"/>
    <w:rsid w:val="00237F15"/>
    <w:rsid w:val="00240D91"/>
    <w:rsid w:val="002471FC"/>
    <w:rsid w:val="00250ED4"/>
    <w:rsid w:val="00251289"/>
    <w:rsid w:val="00252F0A"/>
    <w:rsid w:val="002700C0"/>
    <w:rsid w:val="00274776"/>
    <w:rsid w:val="002859C3"/>
    <w:rsid w:val="00286DBB"/>
    <w:rsid w:val="00293167"/>
    <w:rsid w:val="0029719A"/>
    <w:rsid w:val="002C6C1B"/>
    <w:rsid w:val="002C7E7C"/>
    <w:rsid w:val="002D5A57"/>
    <w:rsid w:val="002D6806"/>
    <w:rsid w:val="002E218C"/>
    <w:rsid w:val="002E4E64"/>
    <w:rsid w:val="003121E3"/>
    <w:rsid w:val="003130BB"/>
    <w:rsid w:val="00314C95"/>
    <w:rsid w:val="00315786"/>
    <w:rsid w:val="00316AFF"/>
    <w:rsid w:val="00324350"/>
    <w:rsid w:val="0034020D"/>
    <w:rsid w:val="00343872"/>
    <w:rsid w:val="00345251"/>
    <w:rsid w:val="00352AD4"/>
    <w:rsid w:val="00353447"/>
    <w:rsid w:val="00356FB6"/>
    <w:rsid w:val="0035766E"/>
    <w:rsid w:val="00360D9E"/>
    <w:rsid w:val="00361B7A"/>
    <w:rsid w:val="00367203"/>
    <w:rsid w:val="0037224C"/>
    <w:rsid w:val="00372B3B"/>
    <w:rsid w:val="0037775C"/>
    <w:rsid w:val="00380174"/>
    <w:rsid w:val="003808D1"/>
    <w:rsid w:val="003A24DB"/>
    <w:rsid w:val="003A4583"/>
    <w:rsid w:val="003B0D29"/>
    <w:rsid w:val="003B1E73"/>
    <w:rsid w:val="003D2478"/>
    <w:rsid w:val="003D695C"/>
    <w:rsid w:val="003E5A1F"/>
    <w:rsid w:val="003F4F51"/>
    <w:rsid w:val="004006AA"/>
    <w:rsid w:val="004126BD"/>
    <w:rsid w:val="00412C2C"/>
    <w:rsid w:val="004151E1"/>
    <w:rsid w:val="0042258B"/>
    <w:rsid w:val="004300B3"/>
    <w:rsid w:val="00431D3C"/>
    <w:rsid w:val="00432FAE"/>
    <w:rsid w:val="00434BB2"/>
    <w:rsid w:val="00441257"/>
    <w:rsid w:val="004418E6"/>
    <w:rsid w:val="00450834"/>
    <w:rsid w:val="00455426"/>
    <w:rsid w:val="00461D52"/>
    <w:rsid w:val="004806A5"/>
    <w:rsid w:val="004844D7"/>
    <w:rsid w:val="00487392"/>
    <w:rsid w:val="00493040"/>
    <w:rsid w:val="00494151"/>
    <w:rsid w:val="004979A7"/>
    <w:rsid w:val="004A3E28"/>
    <w:rsid w:val="004B4D86"/>
    <w:rsid w:val="004C06EF"/>
    <w:rsid w:val="004C0F46"/>
    <w:rsid w:val="004C180C"/>
    <w:rsid w:val="004C216B"/>
    <w:rsid w:val="004C50B4"/>
    <w:rsid w:val="004C5438"/>
    <w:rsid w:val="004D491C"/>
    <w:rsid w:val="004D4B62"/>
    <w:rsid w:val="004E0F7A"/>
    <w:rsid w:val="004E36E7"/>
    <w:rsid w:val="004E60C7"/>
    <w:rsid w:val="004E6F99"/>
    <w:rsid w:val="004F5537"/>
    <w:rsid w:val="00500A46"/>
    <w:rsid w:val="0050572E"/>
    <w:rsid w:val="005069AD"/>
    <w:rsid w:val="005069CA"/>
    <w:rsid w:val="0053079D"/>
    <w:rsid w:val="00532C09"/>
    <w:rsid w:val="00534D68"/>
    <w:rsid w:val="0053616E"/>
    <w:rsid w:val="00540A1B"/>
    <w:rsid w:val="005414A3"/>
    <w:rsid w:val="0054592B"/>
    <w:rsid w:val="00550909"/>
    <w:rsid w:val="00552804"/>
    <w:rsid w:val="00552DEB"/>
    <w:rsid w:val="00556278"/>
    <w:rsid w:val="00560B24"/>
    <w:rsid w:val="0056149C"/>
    <w:rsid w:val="0056425F"/>
    <w:rsid w:val="00564608"/>
    <w:rsid w:val="00570F04"/>
    <w:rsid w:val="00581E79"/>
    <w:rsid w:val="00582591"/>
    <w:rsid w:val="005855CD"/>
    <w:rsid w:val="005864AE"/>
    <w:rsid w:val="0059254F"/>
    <w:rsid w:val="005A6292"/>
    <w:rsid w:val="005B1D88"/>
    <w:rsid w:val="005C549C"/>
    <w:rsid w:val="005C662B"/>
    <w:rsid w:val="005C798E"/>
    <w:rsid w:val="005D0F24"/>
    <w:rsid w:val="005D21FA"/>
    <w:rsid w:val="005E05DB"/>
    <w:rsid w:val="005E1656"/>
    <w:rsid w:val="005E207B"/>
    <w:rsid w:val="005E6613"/>
    <w:rsid w:val="005F387D"/>
    <w:rsid w:val="00601F0F"/>
    <w:rsid w:val="0061643E"/>
    <w:rsid w:val="00624AF2"/>
    <w:rsid w:val="00624FF1"/>
    <w:rsid w:val="0062571A"/>
    <w:rsid w:val="00633268"/>
    <w:rsid w:val="0063611D"/>
    <w:rsid w:val="00645614"/>
    <w:rsid w:val="006464FF"/>
    <w:rsid w:val="0064707B"/>
    <w:rsid w:val="006542F9"/>
    <w:rsid w:val="006548B3"/>
    <w:rsid w:val="00660975"/>
    <w:rsid w:val="00661120"/>
    <w:rsid w:val="0066215A"/>
    <w:rsid w:val="00662A67"/>
    <w:rsid w:val="00663E6E"/>
    <w:rsid w:val="00665E68"/>
    <w:rsid w:val="00671B10"/>
    <w:rsid w:val="006723DF"/>
    <w:rsid w:val="00674479"/>
    <w:rsid w:val="00675C0F"/>
    <w:rsid w:val="0067602B"/>
    <w:rsid w:val="00677C5F"/>
    <w:rsid w:val="00677D51"/>
    <w:rsid w:val="006813DC"/>
    <w:rsid w:val="006910E7"/>
    <w:rsid w:val="00691DA9"/>
    <w:rsid w:val="006A2C39"/>
    <w:rsid w:val="006B09E4"/>
    <w:rsid w:val="006C5591"/>
    <w:rsid w:val="006D5335"/>
    <w:rsid w:val="006E45FC"/>
    <w:rsid w:val="006E60EF"/>
    <w:rsid w:val="006F0CC6"/>
    <w:rsid w:val="006F4C04"/>
    <w:rsid w:val="006F63E9"/>
    <w:rsid w:val="00705236"/>
    <w:rsid w:val="007165F5"/>
    <w:rsid w:val="00725F74"/>
    <w:rsid w:val="0073336F"/>
    <w:rsid w:val="00740C69"/>
    <w:rsid w:val="00744788"/>
    <w:rsid w:val="007452A1"/>
    <w:rsid w:val="0074576D"/>
    <w:rsid w:val="00750A9F"/>
    <w:rsid w:val="0075247B"/>
    <w:rsid w:val="00757AB8"/>
    <w:rsid w:val="00762070"/>
    <w:rsid w:val="00763AEB"/>
    <w:rsid w:val="00773EAF"/>
    <w:rsid w:val="007839E1"/>
    <w:rsid w:val="00793CBA"/>
    <w:rsid w:val="00794631"/>
    <w:rsid w:val="007A0AE8"/>
    <w:rsid w:val="007A3CAA"/>
    <w:rsid w:val="007B01F1"/>
    <w:rsid w:val="007D3EDB"/>
    <w:rsid w:val="007D48DE"/>
    <w:rsid w:val="007D5B5B"/>
    <w:rsid w:val="007E5388"/>
    <w:rsid w:val="0080196D"/>
    <w:rsid w:val="00804331"/>
    <w:rsid w:val="00806382"/>
    <w:rsid w:val="008072FF"/>
    <w:rsid w:val="00816710"/>
    <w:rsid w:val="0082739F"/>
    <w:rsid w:val="00831470"/>
    <w:rsid w:val="00832BF2"/>
    <w:rsid w:val="00833F74"/>
    <w:rsid w:val="008402EB"/>
    <w:rsid w:val="00844F2E"/>
    <w:rsid w:val="008502B0"/>
    <w:rsid w:val="008502B5"/>
    <w:rsid w:val="00852600"/>
    <w:rsid w:val="00852CB5"/>
    <w:rsid w:val="00853A8A"/>
    <w:rsid w:val="00865A0D"/>
    <w:rsid w:val="00866A3C"/>
    <w:rsid w:val="00872E53"/>
    <w:rsid w:val="00885E52"/>
    <w:rsid w:val="0088629B"/>
    <w:rsid w:val="008865B6"/>
    <w:rsid w:val="008A3557"/>
    <w:rsid w:val="008A6DA8"/>
    <w:rsid w:val="008B511D"/>
    <w:rsid w:val="008B69D4"/>
    <w:rsid w:val="008B7AFE"/>
    <w:rsid w:val="008C4007"/>
    <w:rsid w:val="008C57C4"/>
    <w:rsid w:val="008E1316"/>
    <w:rsid w:val="008F2DA9"/>
    <w:rsid w:val="008F4695"/>
    <w:rsid w:val="008F503D"/>
    <w:rsid w:val="008F543F"/>
    <w:rsid w:val="00904B83"/>
    <w:rsid w:val="00913AE9"/>
    <w:rsid w:val="009168DF"/>
    <w:rsid w:val="0093242E"/>
    <w:rsid w:val="009340E7"/>
    <w:rsid w:val="00935398"/>
    <w:rsid w:val="00935F30"/>
    <w:rsid w:val="0094114C"/>
    <w:rsid w:val="009461D6"/>
    <w:rsid w:val="00947575"/>
    <w:rsid w:val="00962900"/>
    <w:rsid w:val="00971946"/>
    <w:rsid w:val="00971F02"/>
    <w:rsid w:val="00972432"/>
    <w:rsid w:val="009770E6"/>
    <w:rsid w:val="00987C12"/>
    <w:rsid w:val="0099252F"/>
    <w:rsid w:val="009948C5"/>
    <w:rsid w:val="009A6A4A"/>
    <w:rsid w:val="009A7950"/>
    <w:rsid w:val="009B49A5"/>
    <w:rsid w:val="009C0719"/>
    <w:rsid w:val="009C5B9F"/>
    <w:rsid w:val="009D1C18"/>
    <w:rsid w:val="009D7738"/>
    <w:rsid w:val="009E08A1"/>
    <w:rsid w:val="009E112C"/>
    <w:rsid w:val="009E7819"/>
    <w:rsid w:val="009F3EA5"/>
    <w:rsid w:val="00A00EF6"/>
    <w:rsid w:val="00A015A3"/>
    <w:rsid w:val="00A02770"/>
    <w:rsid w:val="00A10A46"/>
    <w:rsid w:val="00A12784"/>
    <w:rsid w:val="00A15193"/>
    <w:rsid w:val="00A15707"/>
    <w:rsid w:val="00A318F1"/>
    <w:rsid w:val="00A34AE3"/>
    <w:rsid w:val="00A47EC0"/>
    <w:rsid w:val="00A50BB8"/>
    <w:rsid w:val="00A573CE"/>
    <w:rsid w:val="00A57E41"/>
    <w:rsid w:val="00A65DBA"/>
    <w:rsid w:val="00A713D9"/>
    <w:rsid w:val="00A73A5F"/>
    <w:rsid w:val="00A8403D"/>
    <w:rsid w:val="00A92E79"/>
    <w:rsid w:val="00A93F90"/>
    <w:rsid w:val="00AA470E"/>
    <w:rsid w:val="00AA6017"/>
    <w:rsid w:val="00AB117C"/>
    <w:rsid w:val="00AB7DB6"/>
    <w:rsid w:val="00AC0214"/>
    <w:rsid w:val="00AC0354"/>
    <w:rsid w:val="00AD2D0B"/>
    <w:rsid w:val="00AE31AB"/>
    <w:rsid w:val="00AE551B"/>
    <w:rsid w:val="00AE70A8"/>
    <w:rsid w:val="00AF042F"/>
    <w:rsid w:val="00AF2252"/>
    <w:rsid w:val="00AF3740"/>
    <w:rsid w:val="00AF544D"/>
    <w:rsid w:val="00AF7CE8"/>
    <w:rsid w:val="00B0158E"/>
    <w:rsid w:val="00B016B2"/>
    <w:rsid w:val="00B0414F"/>
    <w:rsid w:val="00B20164"/>
    <w:rsid w:val="00B27ACE"/>
    <w:rsid w:val="00B32CF8"/>
    <w:rsid w:val="00B375DC"/>
    <w:rsid w:val="00B402AA"/>
    <w:rsid w:val="00B40C89"/>
    <w:rsid w:val="00B40E63"/>
    <w:rsid w:val="00B50A0B"/>
    <w:rsid w:val="00B54DB0"/>
    <w:rsid w:val="00B606C3"/>
    <w:rsid w:val="00B645DB"/>
    <w:rsid w:val="00B72BD6"/>
    <w:rsid w:val="00B7561A"/>
    <w:rsid w:val="00B771B5"/>
    <w:rsid w:val="00B83486"/>
    <w:rsid w:val="00B90763"/>
    <w:rsid w:val="00B9112B"/>
    <w:rsid w:val="00B96DD1"/>
    <w:rsid w:val="00B9759F"/>
    <w:rsid w:val="00BA09AD"/>
    <w:rsid w:val="00BA4D9E"/>
    <w:rsid w:val="00BA5DB2"/>
    <w:rsid w:val="00BA7299"/>
    <w:rsid w:val="00BB4A0C"/>
    <w:rsid w:val="00BB650E"/>
    <w:rsid w:val="00BB6A7B"/>
    <w:rsid w:val="00BC42DE"/>
    <w:rsid w:val="00BD017F"/>
    <w:rsid w:val="00BD4067"/>
    <w:rsid w:val="00BD7AF5"/>
    <w:rsid w:val="00BE0885"/>
    <w:rsid w:val="00BE1108"/>
    <w:rsid w:val="00BE25E8"/>
    <w:rsid w:val="00BE42BB"/>
    <w:rsid w:val="00BE4721"/>
    <w:rsid w:val="00BE503A"/>
    <w:rsid w:val="00BE623D"/>
    <w:rsid w:val="00BF3EEC"/>
    <w:rsid w:val="00BF4EF8"/>
    <w:rsid w:val="00C00CFD"/>
    <w:rsid w:val="00C02785"/>
    <w:rsid w:val="00C10E69"/>
    <w:rsid w:val="00C17BB3"/>
    <w:rsid w:val="00C25CC0"/>
    <w:rsid w:val="00C263B1"/>
    <w:rsid w:val="00C274F9"/>
    <w:rsid w:val="00C316B7"/>
    <w:rsid w:val="00C3474C"/>
    <w:rsid w:val="00C34DDC"/>
    <w:rsid w:val="00C4363E"/>
    <w:rsid w:val="00C44C27"/>
    <w:rsid w:val="00C47C99"/>
    <w:rsid w:val="00C5309A"/>
    <w:rsid w:val="00C63D7F"/>
    <w:rsid w:val="00C73288"/>
    <w:rsid w:val="00C75775"/>
    <w:rsid w:val="00C77A56"/>
    <w:rsid w:val="00C830CF"/>
    <w:rsid w:val="00C83990"/>
    <w:rsid w:val="00C84539"/>
    <w:rsid w:val="00C91754"/>
    <w:rsid w:val="00C919D8"/>
    <w:rsid w:val="00C939E3"/>
    <w:rsid w:val="00C94E02"/>
    <w:rsid w:val="00C96B63"/>
    <w:rsid w:val="00C97F63"/>
    <w:rsid w:val="00CA37C4"/>
    <w:rsid w:val="00CB09AE"/>
    <w:rsid w:val="00CC08B6"/>
    <w:rsid w:val="00CC3E21"/>
    <w:rsid w:val="00CC6C3B"/>
    <w:rsid w:val="00CD5059"/>
    <w:rsid w:val="00CD6D1B"/>
    <w:rsid w:val="00CE0D94"/>
    <w:rsid w:val="00CE16A8"/>
    <w:rsid w:val="00CE1EB2"/>
    <w:rsid w:val="00CE4C7D"/>
    <w:rsid w:val="00CE7D43"/>
    <w:rsid w:val="00CF1961"/>
    <w:rsid w:val="00CF24A3"/>
    <w:rsid w:val="00CF3899"/>
    <w:rsid w:val="00CF3DC8"/>
    <w:rsid w:val="00CF4E96"/>
    <w:rsid w:val="00CF509E"/>
    <w:rsid w:val="00D02522"/>
    <w:rsid w:val="00D05E9B"/>
    <w:rsid w:val="00D11DB3"/>
    <w:rsid w:val="00D141F4"/>
    <w:rsid w:val="00D22C1D"/>
    <w:rsid w:val="00D256DC"/>
    <w:rsid w:val="00D26751"/>
    <w:rsid w:val="00D31DF8"/>
    <w:rsid w:val="00D32F05"/>
    <w:rsid w:val="00D424AF"/>
    <w:rsid w:val="00D4632B"/>
    <w:rsid w:val="00D47947"/>
    <w:rsid w:val="00D47BE8"/>
    <w:rsid w:val="00D60390"/>
    <w:rsid w:val="00D62095"/>
    <w:rsid w:val="00D62D1B"/>
    <w:rsid w:val="00D719C8"/>
    <w:rsid w:val="00D72A63"/>
    <w:rsid w:val="00D74660"/>
    <w:rsid w:val="00D81FFC"/>
    <w:rsid w:val="00D835CB"/>
    <w:rsid w:val="00D9162B"/>
    <w:rsid w:val="00D92618"/>
    <w:rsid w:val="00D95DB6"/>
    <w:rsid w:val="00D972C8"/>
    <w:rsid w:val="00DA02CD"/>
    <w:rsid w:val="00DA1B04"/>
    <w:rsid w:val="00DA2318"/>
    <w:rsid w:val="00DA39EF"/>
    <w:rsid w:val="00DA3F60"/>
    <w:rsid w:val="00DB6DFB"/>
    <w:rsid w:val="00DC1920"/>
    <w:rsid w:val="00DC73BC"/>
    <w:rsid w:val="00DD30E0"/>
    <w:rsid w:val="00DD3820"/>
    <w:rsid w:val="00DD7DA0"/>
    <w:rsid w:val="00DE2408"/>
    <w:rsid w:val="00DF3153"/>
    <w:rsid w:val="00E13657"/>
    <w:rsid w:val="00E2227C"/>
    <w:rsid w:val="00E272CA"/>
    <w:rsid w:val="00E32D87"/>
    <w:rsid w:val="00E33932"/>
    <w:rsid w:val="00E35843"/>
    <w:rsid w:val="00E374BE"/>
    <w:rsid w:val="00E40821"/>
    <w:rsid w:val="00E42B23"/>
    <w:rsid w:val="00E52D84"/>
    <w:rsid w:val="00E57AB2"/>
    <w:rsid w:val="00E60370"/>
    <w:rsid w:val="00E60B25"/>
    <w:rsid w:val="00E60D9D"/>
    <w:rsid w:val="00E71FBE"/>
    <w:rsid w:val="00E73198"/>
    <w:rsid w:val="00E74E27"/>
    <w:rsid w:val="00E80240"/>
    <w:rsid w:val="00E82122"/>
    <w:rsid w:val="00E83C68"/>
    <w:rsid w:val="00E85BA2"/>
    <w:rsid w:val="00E90C20"/>
    <w:rsid w:val="00E922C3"/>
    <w:rsid w:val="00EA03A7"/>
    <w:rsid w:val="00EA5270"/>
    <w:rsid w:val="00EA5409"/>
    <w:rsid w:val="00EB3D6E"/>
    <w:rsid w:val="00EC4137"/>
    <w:rsid w:val="00EC74AA"/>
    <w:rsid w:val="00ED76D9"/>
    <w:rsid w:val="00EF08F1"/>
    <w:rsid w:val="00F026F2"/>
    <w:rsid w:val="00F037DF"/>
    <w:rsid w:val="00F07EC5"/>
    <w:rsid w:val="00F1565A"/>
    <w:rsid w:val="00F27BC2"/>
    <w:rsid w:val="00F27DDF"/>
    <w:rsid w:val="00F31A69"/>
    <w:rsid w:val="00F32A4F"/>
    <w:rsid w:val="00F34A02"/>
    <w:rsid w:val="00F36145"/>
    <w:rsid w:val="00F434F7"/>
    <w:rsid w:val="00F5179B"/>
    <w:rsid w:val="00F55472"/>
    <w:rsid w:val="00F56D87"/>
    <w:rsid w:val="00F83FD9"/>
    <w:rsid w:val="00F85597"/>
    <w:rsid w:val="00F86A15"/>
    <w:rsid w:val="00F91966"/>
    <w:rsid w:val="00F91E88"/>
    <w:rsid w:val="00FA49B9"/>
    <w:rsid w:val="00FA4E55"/>
    <w:rsid w:val="00FA5B4D"/>
    <w:rsid w:val="00FA71FE"/>
    <w:rsid w:val="00FA7A9E"/>
    <w:rsid w:val="00FB07B8"/>
    <w:rsid w:val="00FB33C1"/>
    <w:rsid w:val="00FB6EED"/>
    <w:rsid w:val="00FB743A"/>
    <w:rsid w:val="00FC75E5"/>
    <w:rsid w:val="00FD09D9"/>
    <w:rsid w:val="00FD2049"/>
    <w:rsid w:val="00FE1F6F"/>
    <w:rsid w:val="00FE5F6A"/>
    <w:rsid w:val="00FE7FCE"/>
    <w:rsid w:val="00FF3987"/>
    <w:rsid w:val="00FF5AB6"/>
    <w:rsid w:val="00FF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E4"/>
    <w:pPr>
      <w:suppressAutoHyphens/>
      <w:spacing w:line="240" w:lineRule="atLeast"/>
    </w:pPr>
    <w:rPr>
      <w:lang w:val="fr-CH"/>
    </w:rPr>
  </w:style>
  <w:style w:type="paragraph" w:styleId="Titre1">
    <w:name w:val="heading 1"/>
    <w:aliases w:val="Table_G"/>
    <w:basedOn w:val="SingleTxtG"/>
    <w:next w:val="SingleTxtG"/>
    <w:qFormat/>
    <w:rsid w:val="006B09E4"/>
    <w:pPr>
      <w:keepNext/>
      <w:keepLines/>
      <w:spacing w:after="0" w:line="240" w:lineRule="auto"/>
      <w:ind w:right="0"/>
      <w:jc w:val="left"/>
      <w:outlineLvl w:val="0"/>
    </w:pPr>
  </w:style>
  <w:style w:type="paragraph" w:styleId="Titre2">
    <w:name w:val="heading 2"/>
    <w:basedOn w:val="Normal"/>
    <w:next w:val="Normal"/>
    <w:qFormat/>
    <w:rsid w:val="006B09E4"/>
    <w:pPr>
      <w:outlineLvl w:val="1"/>
    </w:pPr>
  </w:style>
  <w:style w:type="paragraph" w:styleId="Titre3">
    <w:name w:val="heading 3"/>
    <w:basedOn w:val="Normal"/>
    <w:next w:val="Normal"/>
    <w:qFormat/>
    <w:rsid w:val="006B09E4"/>
    <w:pPr>
      <w:outlineLvl w:val="2"/>
    </w:pPr>
  </w:style>
  <w:style w:type="paragraph" w:styleId="Titre4">
    <w:name w:val="heading 4"/>
    <w:basedOn w:val="Normal"/>
    <w:next w:val="Normal"/>
    <w:qFormat/>
    <w:rsid w:val="006B09E4"/>
    <w:pPr>
      <w:outlineLvl w:val="3"/>
    </w:pPr>
  </w:style>
  <w:style w:type="paragraph" w:styleId="Titre5">
    <w:name w:val="heading 5"/>
    <w:basedOn w:val="Normal"/>
    <w:next w:val="Normal"/>
    <w:qFormat/>
    <w:rsid w:val="006B09E4"/>
    <w:pPr>
      <w:outlineLvl w:val="4"/>
    </w:pPr>
  </w:style>
  <w:style w:type="paragraph" w:styleId="Titre6">
    <w:name w:val="heading 6"/>
    <w:basedOn w:val="Normal"/>
    <w:next w:val="Normal"/>
    <w:qFormat/>
    <w:rsid w:val="006B09E4"/>
    <w:pPr>
      <w:outlineLvl w:val="5"/>
    </w:pPr>
  </w:style>
  <w:style w:type="paragraph" w:styleId="Titre7">
    <w:name w:val="heading 7"/>
    <w:basedOn w:val="Normal"/>
    <w:next w:val="Normal"/>
    <w:qFormat/>
    <w:rsid w:val="006B09E4"/>
    <w:pPr>
      <w:outlineLvl w:val="6"/>
    </w:pPr>
  </w:style>
  <w:style w:type="paragraph" w:styleId="Titre8">
    <w:name w:val="heading 8"/>
    <w:basedOn w:val="Normal"/>
    <w:next w:val="Normal"/>
    <w:qFormat/>
    <w:rsid w:val="006B09E4"/>
    <w:pPr>
      <w:outlineLvl w:val="7"/>
    </w:pPr>
  </w:style>
  <w:style w:type="paragraph" w:styleId="Titre9">
    <w:name w:val="heading 9"/>
    <w:basedOn w:val="Normal"/>
    <w:next w:val="Normal"/>
    <w:qFormat/>
    <w:rsid w:val="006B09E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Appelnotedebasdep">
    <w:name w:val="footnote reference"/>
    <w:aliases w:val="4_G"/>
    <w:semiHidden/>
    <w:rsid w:val="006B09E4"/>
    <w:rPr>
      <w:rFonts w:ascii="Times New Roman" w:hAnsi="Times New Roman"/>
      <w:sz w:val="18"/>
      <w:vertAlign w:val="superscript"/>
      <w:lang w:val="fr-CH"/>
    </w:rPr>
  </w:style>
  <w:style w:type="character" w:styleId="Appeldenotedefin">
    <w:name w:val="endnote reference"/>
    <w:aliases w:val="1_G"/>
    <w:semiHidden/>
    <w:rsid w:val="006B09E4"/>
    <w:rPr>
      <w:rFonts w:ascii="Times New Roman" w:hAnsi="Times New Roman"/>
      <w:sz w:val="18"/>
      <w:vertAlign w:val="superscript"/>
      <w:lang w:val="fr-CH"/>
    </w:rPr>
  </w:style>
  <w:style w:type="paragraph" w:styleId="En-tte">
    <w:name w:val="header"/>
    <w:aliases w:val="6_G"/>
    <w:basedOn w:val="Normal"/>
    <w:next w:val="Normal"/>
    <w:link w:val="En-tteCar"/>
    <w:rsid w:val="006B09E4"/>
    <w:pPr>
      <w:pBdr>
        <w:bottom w:val="single" w:sz="4" w:space="4" w:color="auto"/>
      </w:pBdr>
      <w:spacing w:line="240" w:lineRule="auto"/>
    </w:pPr>
    <w:rPr>
      <w:b/>
      <w:sz w:val="18"/>
    </w:rPr>
  </w:style>
  <w:style w:type="paragraph" w:styleId="Notedebasdepage">
    <w:name w:val="footnote text"/>
    <w:aliases w:val="5_G"/>
    <w:basedOn w:val="Normal"/>
    <w:link w:val="NotedebasdepageCar"/>
    <w:semiHidden/>
    <w:rsid w:val="006B09E4"/>
    <w:pPr>
      <w:tabs>
        <w:tab w:val="right" w:pos="1021"/>
      </w:tabs>
      <w:spacing w:line="220" w:lineRule="exact"/>
      <w:ind w:left="1134" w:right="1134" w:hanging="1134"/>
    </w:pPr>
    <w:rPr>
      <w:sz w:val="18"/>
    </w:rPr>
  </w:style>
  <w:style w:type="paragraph" w:styleId="Notedefin">
    <w:name w:val="endnote text"/>
    <w:aliases w:val="2_G"/>
    <w:basedOn w:val="Notedebasdepage"/>
    <w:semiHidden/>
    <w:rsid w:val="006B09E4"/>
  </w:style>
  <w:style w:type="character" w:styleId="Numrodepage">
    <w:name w:val="page number"/>
    <w:aliases w:val="7_G"/>
    <w:rsid w:val="006B09E4"/>
    <w:rPr>
      <w:rFonts w:ascii="Times New Roman" w:hAnsi="Times New Roman"/>
      <w:b/>
      <w:sz w:val="18"/>
      <w:lang w:val="fr-CH"/>
    </w:rPr>
  </w:style>
  <w:style w:type="paragraph" w:styleId="Pieddepage">
    <w:name w:val="footer"/>
    <w:aliases w:val="3_G"/>
    <w:basedOn w:val="Normal"/>
    <w:next w:val="Normal"/>
    <w:rsid w:val="006B09E4"/>
    <w:pPr>
      <w:spacing w:line="240" w:lineRule="auto"/>
    </w:pPr>
    <w:rPr>
      <w:sz w:val="16"/>
    </w:rPr>
  </w:style>
  <w:style w:type="character" w:styleId="Lienhypertexte">
    <w:name w:val="Hyperlink"/>
    <w:rsid w:val="006B09E4"/>
    <w:rPr>
      <w:color w:val="auto"/>
      <w:u w:val="none"/>
    </w:rPr>
  </w:style>
  <w:style w:type="character" w:styleId="Lienhypertextesuivivisit">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Grilledutableau">
    <w:name w:val="Table Grid"/>
    <w:basedOn w:val="Tableau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Marquedecommentaire">
    <w:name w:val="annotation reference"/>
    <w:semiHidden/>
    <w:rsid w:val="006B09E4"/>
    <w:rPr>
      <w:sz w:val="16"/>
    </w:rPr>
  </w:style>
  <w:style w:type="paragraph" w:styleId="Commentaire">
    <w:name w:val="annotation text"/>
    <w:basedOn w:val="Normal"/>
    <w:uiPriority w:val="99"/>
    <w:semiHidden/>
    <w:rsid w:val="006B09E4"/>
  </w:style>
  <w:style w:type="paragraph" w:styleId="Objetducommentaire">
    <w:name w:val="annotation subject"/>
    <w:basedOn w:val="Commentaire"/>
    <w:next w:val="Commentaire"/>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Textebru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En-tteCar">
    <w:name w:val="En-tête Car"/>
    <w:aliases w:val="6_G Car"/>
    <w:link w:val="En-tte"/>
    <w:rsid w:val="008402EB"/>
    <w:rPr>
      <w:b/>
      <w:sz w:val="18"/>
      <w:lang w:val="fr-CH"/>
    </w:rPr>
  </w:style>
  <w:style w:type="character" w:customStyle="1" w:styleId="NotedebasdepageCar">
    <w:name w:val="Note de bas de page Car"/>
    <w:aliases w:val="5_G Car"/>
    <w:link w:val="Notedebasdepage"/>
    <w:semiHidden/>
    <w:rsid w:val="00C75775"/>
    <w:rPr>
      <w:sz w:val="18"/>
      <w:lang w:val="fr-CH"/>
    </w:rPr>
  </w:style>
  <w:style w:type="paragraph" w:styleId="Paragraphedeliste">
    <w:name w:val="List Paragraph"/>
    <w:basedOn w:val="Normal"/>
    <w:uiPriority w:val="34"/>
    <w:qFormat/>
    <w:rsid w:val="00ED7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E4"/>
    <w:pPr>
      <w:suppressAutoHyphens/>
      <w:spacing w:line="240" w:lineRule="atLeast"/>
    </w:pPr>
    <w:rPr>
      <w:lang w:val="fr-CH"/>
    </w:rPr>
  </w:style>
  <w:style w:type="paragraph" w:styleId="Titre1">
    <w:name w:val="heading 1"/>
    <w:aliases w:val="Table_G"/>
    <w:basedOn w:val="SingleTxtG"/>
    <w:next w:val="SingleTxtG"/>
    <w:qFormat/>
    <w:rsid w:val="006B09E4"/>
    <w:pPr>
      <w:keepNext/>
      <w:keepLines/>
      <w:spacing w:after="0" w:line="240" w:lineRule="auto"/>
      <w:ind w:right="0"/>
      <w:jc w:val="left"/>
      <w:outlineLvl w:val="0"/>
    </w:pPr>
  </w:style>
  <w:style w:type="paragraph" w:styleId="Titre2">
    <w:name w:val="heading 2"/>
    <w:basedOn w:val="Normal"/>
    <w:next w:val="Normal"/>
    <w:qFormat/>
    <w:rsid w:val="006B09E4"/>
    <w:pPr>
      <w:outlineLvl w:val="1"/>
    </w:pPr>
  </w:style>
  <w:style w:type="paragraph" w:styleId="Titre3">
    <w:name w:val="heading 3"/>
    <w:basedOn w:val="Normal"/>
    <w:next w:val="Normal"/>
    <w:qFormat/>
    <w:rsid w:val="006B09E4"/>
    <w:pPr>
      <w:outlineLvl w:val="2"/>
    </w:pPr>
  </w:style>
  <w:style w:type="paragraph" w:styleId="Titre4">
    <w:name w:val="heading 4"/>
    <w:basedOn w:val="Normal"/>
    <w:next w:val="Normal"/>
    <w:qFormat/>
    <w:rsid w:val="006B09E4"/>
    <w:pPr>
      <w:outlineLvl w:val="3"/>
    </w:pPr>
  </w:style>
  <w:style w:type="paragraph" w:styleId="Titre5">
    <w:name w:val="heading 5"/>
    <w:basedOn w:val="Normal"/>
    <w:next w:val="Normal"/>
    <w:qFormat/>
    <w:rsid w:val="006B09E4"/>
    <w:pPr>
      <w:outlineLvl w:val="4"/>
    </w:pPr>
  </w:style>
  <w:style w:type="paragraph" w:styleId="Titre6">
    <w:name w:val="heading 6"/>
    <w:basedOn w:val="Normal"/>
    <w:next w:val="Normal"/>
    <w:qFormat/>
    <w:rsid w:val="006B09E4"/>
    <w:pPr>
      <w:outlineLvl w:val="5"/>
    </w:pPr>
  </w:style>
  <w:style w:type="paragraph" w:styleId="Titre7">
    <w:name w:val="heading 7"/>
    <w:basedOn w:val="Normal"/>
    <w:next w:val="Normal"/>
    <w:qFormat/>
    <w:rsid w:val="006B09E4"/>
    <w:pPr>
      <w:outlineLvl w:val="6"/>
    </w:pPr>
  </w:style>
  <w:style w:type="paragraph" w:styleId="Titre8">
    <w:name w:val="heading 8"/>
    <w:basedOn w:val="Normal"/>
    <w:next w:val="Normal"/>
    <w:qFormat/>
    <w:rsid w:val="006B09E4"/>
    <w:pPr>
      <w:outlineLvl w:val="7"/>
    </w:pPr>
  </w:style>
  <w:style w:type="paragraph" w:styleId="Titre9">
    <w:name w:val="heading 9"/>
    <w:basedOn w:val="Normal"/>
    <w:next w:val="Normal"/>
    <w:qFormat/>
    <w:rsid w:val="006B09E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Appelnotedebasdep">
    <w:name w:val="footnote reference"/>
    <w:aliases w:val="4_G"/>
    <w:semiHidden/>
    <w:rsid w:val="006B09E4"/>
    <w:rPr>
      <w:rFonts w:ascii="Times New Roman" w:hAnsi="Times New Roman"/>
      <w:sz w:val="18"/>
      <w:vertAlign w:val="superscript"/>
      <w:lang w:val="fr-CH"/>
    </w:rPr>
  </w:style>
  <w:style w:type="character" w:styleId="Appeldenotedefin">
    <w:name w:val="endnote reference"/>
    <w:aliases w:val="1_G"/>
    <w:semiHidden/>
    <w:rsid w:val="006B09E4"/>
    <w:rPr>
      <w:rFonts w:ascii="Times New Roman" w:hAnsi="Times New Roman"/>
      <w:sz w:val="18"/>
      <w:vertAlign w:val="superscript"/>
      <w:lang w:val="fr-CH"/>
    </w:rPr>
  </w:style>
  <w:style w:type="paragraph" w:styleId="En-tte">
    <w:name w:val="header"/>
    <w:aliases w:val="6_G"/>
    <w:basedOn w:val="Normal"/>
    <w:next w:val="Normal"/>
    <w:link w:val="En-tteCar"/>
    <w:rsid w:val="006B09E4"/>
    <w:pPr>
      <w:pBdr>
        <w:bottom w:val="single" w:sz="4" w:space="4" w:color="auto"/>
      </w:pBdr>
      <w:spacing w:line="240" w:lineRule="auto"/>
    </w:pPr>
    <w:rPr>
      <w:b/>
      <w:sz w:val="18"/>
    </w:rPr>
  </w:style>
  <w:style w:type="paragraph" w:styleId="Notedebasdepage">
    <w:name w:val="footnote text"/>
    <w:aliases w:val="5_G"/>
    <w:basedOn w:val="Normal"/>
    <w:link w:val="NotedebasdepageCar"/>
    <w:semiHidden/>
    <w:rsid w:val="006B09E4"/>
    <w:pPr>
      <w:tabs>
        <w:tab w:val="right" w:pos="1021"/>
      </w:tabs>
      <w:spacing w:line="220" w:lineRule="exact"/>
      <w:ind w:left="1134" w:right="1134" w:hanging="1134"/>
    </w:pPr>
    <w:rPr>
      <w:sz w:val="18"/>
    </w:rPr>
  </w:style>
  <w:style w:type="paragraph" w:styleId="Notedefin">
    <w:name w:val="endnote text"/>
    <w:aliases w:val="2_G"/>
    <w:basedOn w:val="Notedebasdepage"/>
    <w:semiHidden/>
    <w:rsid w:val="006B09E4"/>
  </w:style>
  <w:style w:type="character" w:styleId="Numrodepage">
    <w:name w:val="page number"/>
    <w:aliases w:val="7_G"/>
    <w:rsid w:val="006B09E4"/>
    <w:rPr>
      <w:rFonts w:ascii="Times New Roman" w:hAnsi="Times New Roman"/>
      <w:b/>
      <w:sz w:val="18"/>
      <w:lang w:val="fr-CH"/>
    </w:rPr>
  </w:style>
  <w:style w:type="paragraph" w:styleId="Pieddepage">
    <w:name w:val="footer"/>
    <w:aliases w:val="3_G"/>
    <w:basedOn w:val="Normal"/>
    <w:next w:val="Normal"/>
    <w:rsid w:val="006B09E4"/>
    <w:pPr>
      <w:spacing w:line="240" w:lineRule="auto"/>
    </w:pPr>
    <w:rPr>
      <w:sz w:val="16"/>
    </w:rPr>
  </w:style>
  <w:style w:type="character" w:styleId="Lienhypertexte">
    <w:name w:val="Hyperlink"/>
    <w:rsid w:val="006B09E4"/>
    <w:rPr>
      <w:color w:val="auto"/>
      <w:u w:val="none"/>
    </w:rPr>
  </w:style>
  <w:style w:type="character" w:styleId="Lienhypertextesuivivisit">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Grilledutableau">
    <w:name w:val="Table Grid"/>
    <w:basedOn w:val="Tableau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Marquedecommentaire">
    <w:name w:val="annotation reference"/>
    <w:semiHidden/>
    <w:rsid w:val="006B09E4"/>
    <w:rPr>
      <w:sz w:val="16"/>
    </w:rPr>
  </w:style>
  <w:style w:type="paragraph" w:styleId="Commentaire">
    <w:name w:val="annotation text"/>
    <w:basedOn w:val="Normal"/>
    <w:uiPriority w:val="99"/>
    <w:semiHidden/>
    <w:rsid w:val="006B09E4"/>
  </w:style>
  <w:style w:type="paragraph" w:styleId="Objetducommentaire">
    <w:name w:val="annotation subject"/>
    <w:basedOn w:val="Commentaire"/>
    <w:next w:val="Commentaire"/>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Textebru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En-tteCar">
    <w:name w:val="En-tête Car"/>
    <w:aliases w:val="6_G Car"/>
    <w:link w:val="En-tte"/>
    <w:rsid w:val="008402EB"/>
    <w:rPr>
      <w:b/>
      <w:sz w:val="18"/>
      <w:lang w:val="fr-CH"/>
    </w:rPr>
  </w:style>
  <w:style w:type="character" w:customStyle="1" w:styleId="NotedebasdepageCar">
    <w:name w:val="Note de bas de page Car"/>
    <w:aliases w:val="5_G Car"/>
    <w:link w:val="Notedebasdepage"/>
    <w:semiHidden/>
    <w:rsid w:val="00C75775"/>
    <w:rPr>
      <w:sz w:val="18"/>
      <w:lang w:val="fr-CH"/>
    </w:rPr>
  </w:style>
  <w:style w:type="paragraph" w:styleId="Paragraphedeliste">
    <w:name w:val="List Paragraph"/>
    <w:basedOn w:val="Normal"/>
    <w:uiPriority w:val="34"/>
    <w:qFormat/>
    <w:rsid w:val="00ED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0151">
          <w:marLeft w:val="0"/>
          <w:marRight w:val="0"/>
          <w:marTop w:val="0"/>
          <w:marBottom w:val="0"/>
          <w:divBdr>
            <w:top w:val="none" w:sz="0" w:space="0" w:color="auto"/>
            <w:left w:val="none" w:sz="0" w:space="0" w:color="auto"/>
            <w:bottom w:val="none" w:sz="0" w:space="0" w:color="auto"/>
            <w:right w:val="none" w:sz="0" w:space="0" w:color="auto"/>
          </w:divBdr>
          <w:divsChild>
            <w:div w:id="2048676669">
              <w:marLeft w:val="0"/>
              <w:marRight w:val="0"/>
              <w:marTop w:val="0"/>
              <w:marBottom w:val="0"/>
              <w:divBdr>
                <w:top w:val="none" w:sz="0" w:space="0" w:color="auto"/>
                <w:left w:val="none" w:sz="0" w:space="0" w:color="auto"/>
                <w:bottom w:val="none" w:sz="0" w:space="0" w:color="auto"/>
                <w:right w:val="none" w:sz="0" w:space="0" w:color="auto"/>
              </w:divBdr>
              <w:divsChild>
                <w:div w:id="164514751">
                  <w:marLeft w:val="0"/>
                  <w:marRight w:val="0"/>
                  <w:marTop w:val="0"/>
                  <w:marBottom w:val="0"/>
                  <w:divBdr>
                    <w:top w:val="none" w:sz="0" w:space="0" w:color="auto"/>
                    <w:left w:val="none" w:sz="0" w:space="0" w:color="auto"/>
                    <w:bottom w:val="none" w:sz="0" w:space="0" w:color="auto"/>
                    <w:right w:val="none" w:sz="0" w:space="0" w:color="auto"/>
                  </w:divBdr>
                  <w:divsChild>
                    <w:div w:id="1598515394">
                      <w:marLeft w:val="0"/>
                      <w:marRight w:val="0"/>
                      <w:marTop w:val="0"/>
                      <w:marBottom w:val="0"/>
                      <w:divBdr>
                        <w:top w:val="none" w:sz="0" w:space="0" w:color="auto"/>
                        <w:left w:val="none" w:sz="0" w:space="0" w:color="auto"/>
                        <w:bottom w:val="none" w:sz="0" w:space="0" w:color="auto"/>
                        <w:right w:val="none" w:sz="0" w:space="0" w:color="auto"/>
                      </w:divBdr>
                      <w:divsChild>
                        <w:div w:id="1234926233">
                          <w:marLeft w:val="0"/>
                          <w:marRight w:val="0"/>
                          <w:marTop w:val="0"/>
                          <w:marBottom w:val="0"/>
                          <w:divBdr>
                            <w:top w:val="none" w:sz="0" w:space="0" w:color="auto"/>
                            <w:left w:val="none" w:sz="0" w:space="0" w:color="auto"/>
                            <w:bottom w:val="none" w:sz="0" w:space="0" w:color="auto"/>
                            <w:right w:val="none" w:sz="0" w:space="0" w:color="auto"/>
                          </w:divBdr>
                          <w:divsChild>
                            <w:div w:id="992876871">
                              <w:marLeft w:val="0"/>
                              <w:marRight w:val="0"/>
                              <w:marTop w:val="0"/>
                              <w:marBottom w:val="0"/>
                              <w:divBdr>
                                <w:top w:val="none" w:sz="0" w:space="0" w:color="auto"/>
                                <w:left w:val="none" w:sz="0" w:space="0" w:color="auto"/>
                                <w:bottom w:val="none" w:sz="0" w:space="0" w:color="auto"/>
                                <w:right w:val="none" w:sz="0" w:space="0" w:color="auto"/>
                              </w:divBdr>
                              <w:divsChild>
                                <w:div w:id="1501432434">
                                  <w:marLeft w:val="0"/>
                                  <w:marRight w:val="0"/>
                                  <w:marTop w:val="0"/>
                                  <w:marBottom w:val="0"/>
                                  <w:divBdr>
                                    <w:top w:val="none" w:sz="0" w:space="0" w:color="auto"/>
                                    <w:left w:val="none" w:sz="0" w:space="0" w:color="auto"/>
                                    <w:bottom w:val="none" w:sz="0" w:space="0" w:color="auto"/>
                                    <w:right w:val="none" w:sz="0" w:space="0" w:color="auto"/>
                                  </w:divBdr>
                                  <w:divsChild>
                                    <w:div w:id="1246383058">
                                      <w:marLeft w:val="54"/>
                                      <w:marRight w:val="0"/>
                                      <w:marTop w:val="0"/>
                                      <w:marBottom w:val="0"/>
                                      <w:divBdr>
                                        <w:top w:val="none" w:sz="0" w:space="0" w:color="auto"/>
                                        <w:left w:val="none" w:sz="0" w:space="0" w:color="auto"/>
                                        <w:bottom w:val="none" w:sz="0" w:space="0" w:color="auto"/>
                                        <w:right w:val="none" w:sz="0" w:space="0" w:color="auto"/>
                                      </w:divBdr>
                                      <w:divsChild>
                                        <w:div w:id="552228885">
                                          <w:marLeft w:val="0"/>
                                          <w:marRight w:val="0"/>
                                          <w:marTop w:val="0"/>
                                          <w:marBottom w:val="0"/>
                                          <w:divBdr>
                                            <w:top w:val="none" w:sz="0" w:space="0" w:color="auto"/>
                                            <w:left w:val="none" w:sz="0" w:space="0" w:color="auto"/>
                                            <w:bottom w:val="none" w:sz="0" w:space="0" w:color="auto"/>
                                            <w:right w:val="none" w:sz="0" w:space="0" w:color="auto"/>
                                          </w:divBdr>
                                          <w:divsChild>
                                            <w:div w:id="495532821">
                                              <w:marLeft w:val="0"/>
                                              <w:marRight w:val="0"/>
                                              <w:marTop w:val="0"/>
                                              <w:marBottom w:val="109"/>
                                              <w:divBdr>
                                                <w:top w:val="single" w:sz="6" w:space="0" w:color="F5F5F5"/>
                                                <w:left w:val="single" w:sz="6" w:space="0" w:color="F5F5F5"/>
                                                <w:bottom w:val="single" w:sz="6" w:space="0" w:color="F5F5F5"/>
                                                <w:right w:val="single" w:sz="6" w:space="0" w:color="F5F5F5"/>
                                              </w:divBdr>
                                              <w:divsChild>
                                                <w:div w:id="1214921983">
                                                  <w:marLeft w:val="0"/>
                                                  <w:marRight w:val="0"/>
                                                  <w:marTop w:val="0"/>
                                                  <w:marBottom w:val="0"/>
                                                  <w:divBdr>
                                                    <w:top w:val="none" w:sz="0" w:space="0" w:color="auto"/>
                                                    <w:left w:val="none" w:sz="0" w:space="0" w:color="auto"/>
                                                    <w:bottom w:val="none" w:sz="0" w:space="0" w:color="auto"/>
                                                    <w:right w:val="none" w:sz="0" w:space="0" w:color="auto"/>
                                                  </w:divBdr>
                                                  <w:divsChild>
                                                    <w:div w:id="717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507812">
      <w:bodyDiv w:val="1"/>
      <w:marLeft w:val="0"/>
      <w:marRight w:val="0"/>
      <w:marTop w:val="0"/>
      <w:marBottom w:val="0"/>
      <w:divBdr>
        <w:top w:val="none" w:sz="0" w:space="0" w:color="auto"/>
        <w:left w:val="none" w:sz="0" w:space="0" w:color="auto"/>
        <w:bottom w:val="none" w:sz="0" w:space="0" w:color="auto"/>
        <w:right w:val="none" w:sz="0" w:space="0" w:color="auto"/>
      </w:divBdr>
    </w:div>
    <w:div w:id="615451871">
      <w:bodyDiv w:val="1"/>
      <w:marLeft w:val="0"/>
      <w:marRight w:val="0"/>
      <w:marTop w:val="0"/>
      <w:marBottom w:val="0"/>
      <w:divBdr>
        <w:top w:val="none" w:sz="0" w:space="0" w:color="auto"/>
        <w:left w:val="none" w:sz="0" w:space="0" w:color="auto"/>
        <w:bottom w:val="none" w:sz="0" w:space="0" w:color="auto"/>
        <w:right w:val="none" w:sz="0" w:space="0" w:color="auto"/>
      </w:divBdr>
    </w:div>
    <w:div w:id="633022143">
      <w:bodyDiv w:val="1"/>
      <w:marLeft w:val="0"/>
      <w:marRight w:val="0"/>
      <w:marTop w:val="0"/>
      <w:marBottom w:val="0"/>
      <w:divBdr>
        <w:top w:val="none" w:sz="0" w:space="0" w:color="auto"/>
        <w:left w:val="none" w:sz="0" w:space="0" w:color="auto"/>
        <w:bottom w:val="none" w:sz="0" w:space="0" w:color="auto"/>
        <w:right w:val="none" w:sz="0" w:space="0" w:color="auto"/>
      </w:divBdr>
    </w:div>
    <w:div w:id="642658437">
      <w:bodyDiv w:val="1"/>
      <w:marLeft w:val="0"/>
      <w:marRight w:val="0"/>
      <w:marTop w:val="0"/>
      <w:marBottom w:val="0"/>
      <w:divBdr>
        <w:top w:val="none" w:sz="0" w:space="0" w:color="auto"/>
        <w:left w:val="none" w:sz="0" w:space="0" w:color="auto"/>
        <w:bottom w:val="none" w:sz="0" w:space="0" w:color="auto"/>
        <w:right w:val="none" w:sz="0" w:space="0" w:color="auto"/>
      </w:divBdr>
    </w:div>
    <w:div w:id="1029572163">
      <w:bodyDiv w:val="1"/>
      <w:marLeft w:val="0"/>
      <w:marRight w:val="0"/>
      <w:marTop w:val="0"/>
      <w:marBottom w:val="0"/>
      <w:divBdr>
        <w:top w:val="none" w:sz="0" w:space="0" w:color="auto"/>
        <w:left w:val="none" w:sz="0" w:space="0" w:color="auto"/>
        <w:bottom w:val="none" w:sz="0" w:space="0" w:color="auto"/>
        <w:right w:val="none" w:sz="0" w:space="0" w:color="auto"/>
      </w:divBdr>
    </w:div>
    <w:div w:id="1203178236">
      <w:bodyDiv w:val="1"/>
      <w:marLeft w:val="0"/>
      <w:marRight w:val="0"/>
      <w:marTop w:val="0"/>
      <w:marBottom w:val="0"/>
      <w:divBdr>
        <w:top w:val="none" w:sz="0" w:space="0" w:color="auto"/>
        <w:left w:val="none" w:sz="0" w:space="0" w:color="auto"/>
        <w:bottom w:val="none" w:sz="0" w:space="0" w:color="auto"/>
        <w:right w:val="none" w:sz="0" w:space="0" w:color="auto"/>
      </w:divBdr>
    </w:div>
    <w:div w:id="1266840201">
      <w:bodyDiv w:val="1"/>
      <w:marLeft w:val="0"/>
      <w:marRight w:val="0"/>
      <w:marTop w:val="0"/>
      <w:marBottom w:val="0"/>
      <w:divBdr>
        <w:top w:val="none" w:sz="0" w:space="0" w:color="auto"/>
        <w:left w:val="none" w:sz="0" w:space="0" w:color="auto"/>
        <w:bottom w:val="none" w:sz="0" w:space="0" w:color="auto"/>
        <w:right w:val="none" w:sz="0" w:space="0" w:color="auto"/>
      </w:divBdr>
    </w:div>
    <w:div w:id="1371876991">
      <w:bodyDiv w:val="1"/>
      <w:marLeft w:val="0"/>
      <w:marRight w:val="0"/>
      <w:marTop w:val="0"/>
      <w:marBottom w:val="0"/>
      <w:divBdr>
        <w:top w:val="none" w:sz="0" w:space="0" w:color="auto"/>
        <w:left w:val="none" w:sz="0" w:space="0" w:color="auto"/>
        <w:bottom w:val="none" w:sz="0" w:space="0" w:color="auto"/>
        <w:right w:val="none" w:sz="0" w:space="0" w:color="auto"/>
      </w:divBdr>
    </w:div>
    <w:div w:id="1530799381">
      <w:bodyDiv w:val="1"/>
      <w:marLeft w:val="0"/>
      <w:marRight w:val="0"/>
      <w:marTop w:val="0"/>
      <w:marBottom w:val="0"/>
      <w:divBdr>
        <w:top w:val="none" w:sz="0" w:space="0" w:color="auto"/>
        <w:left w:val="none" w:sz="0" w:space="0" w:color="auto"/>
        <w:bottom w:val="none" w:sz="0" w:space="0" w:color="auto"/>
        <w:right w:val="none" w:sz="0" w:space="0" w:color="auto"/>
      </w:divBdr>
    </w:div>
    <w:div w:id="1963533831">
      <w:bodyDiv w:val="1"/>
      <w:marLeft w:val="0"/>
      <w:marRight w:val="0"/>
      <w:marTop w:val="0"/>
      <w:marBottom w:val="0"/>
      <w:divBdr>
        <w:top w:val="none" w:sz="0" w:space="0" w:color="auto"/>
        <w:left w:val="none" w:sz="0" w:space="0" w:color="auto"/>
        <w:bottom w:val="none" w:sz="0" w:space="0" w:color="auto"/>
        <w:right w:val="none" w:sz="0" w:space="0" w:color="auto"/>
      </w:divBdr>
    </w:div>
    <w:div w:id="1965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3609</Characters>
  <Application>Microsoft Office Word</Application>
  <DocSecurity>0</DocSecurity>
  <Lines>30</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ECE/TRANS/WP.15/AC.2/2013/X</vt:lpstr>
      <vt:lpstr>ECE/TRANS/WP.15/AC.2/2013/X</vt:lpstr>
      <vt:lpstr>ECE/TRANS/WP.15/AC.2/2013/X</vt:lpstr>
    </vt:vector>
  </TitlesOfParts>
  <Company>ZSUK</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ECE/TRANS/WP.15/AC.2/2013/X</dc:title>
  <dc:creator>Weiner, UI 33</dc:creator>
  <cp:lastModifiedBy>Martine Moench</cp:lastModifiedBy>
  <cp:revision>4</cp:revision>
  <cp:lastPrinted>2015-11-05T12:50:00Z</cp:lastPrinted>
  <dcterms:created xsi:type="dcterms:W3CDTF">2015-11-05T12:46:00Z</dcterms:created>
  <dcterms:modified xsi:type="dcterms:W3CDTF">2015-11-05T12:52:00Z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