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33A59" w:rsidRPr="00E4345C" w14:paraId="216FA7F7" w14:textId="77777777" w:rsidTr="00151A29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6E615F3" w14:textId="55D8F3D6" w:rsidR="00B33A59" w:rsidRPr="00E4345C" w:rsidRDefault="00B33A59" w:rsidP="00151A29">
            <w:pPr>
              <w:jc w:val="right"/>
              <w:rPr>
                <w:b/>
                <w:color w:val="000000"/>
                <w:sz w:val="28"/>
                <w:szCs w:val="28"/>
                <w:lang w:val="en-GB"/>
              </w:rPr>
            </w:pPr>
            <w:r w:rsidRPr="00E4345C">
              <w:rPr>
                <w:b/>
                <w:color w:val="000000"/>
                <w:sz w:val="28"/>
                <w:szCs w:val="28"/>
                <w:lang w:val="en-GB"/>
              </w:rPr>
              <w:t>INF.</w:t>
            </w:r>
            <w:r w:rsidR="00E4345C">
              <w:rPr>
                <w:b/>
                <w:color w:val="000000"/>
                <w:sz w:val="28"/>
                <w:szCs w:val="28"/>
                <w:lang w:val="en-GB"/>
              </w:rPr>
              <w:t>34</w:t>
            </w:r>
            <w:r w:rsidR="001F0165" w:rsidRPr="00E4345C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14:paraId="23E4F3F4" w14:textId="77777777" w:rsidR="00B33A59" w:rsidRPr="00E4345C" w:rsidRDefault="00B33A59" w:rsidP="00151A29">
            <w:pPr>
              <w:jc w:val="right"/>
              <w:rPr>
                <w:b/>
                <w:color w:val="FF0000"/>
                <w:sz w:val="28"/>
                <w:szCs w:val="28"/>
                <w:lang w:val="en-GB"/>
              </w:rPr>
            </w:pPr>
          </w:p>
        </w:tc>
      </w:tr>
      <w:tr w:rsidR="00B33A59" w:rsidRPr="00EC5662" w14:paraId="35B62A75" w14:textId="77777777" w:rsidTr="00151A29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38B7DC7" w14:textId="77777777" w:rsidR="00B33A59" w:rsidRPr="00542A53" w:rsidRDefault="00B33A59" w:rsidP="00151A29">
            <w:pPr>
              <w:tabs>
                <w:tab w:val="left" w:pos="7371"/>
              </w:tabs>
              <w:spacing w:before="120"/>
              <w:rPr>
                <w:b/>
                <w:sz w:val="28"/>
                <w:szCs w:val="28"/>
                <w:lang w:val="en-GB"/>
              </w:rPr>
            </w:pPr>
            <w:r w:rsidRPr="00542A53">
              <w:rPr>
                <w:b/>
                <w:sz w:val="28"/>
                <w:szCs w:val="28"/>
                <w:lang w:val="en-GB"/>
              </w:rPr>
              <w:t>Economic Commission for Europe</w:t>
            </w:r>
          </w:p>
          <w:p w14:paraId="29652D56" w14:textId="77777777" w:rsidR="00B33A59" w:rsidRPr="00542A53" w:rsidRDefault="00B33A59" w:rsidP="00151A29">
            <w:pPr>
              <w:spacing w:before="120"/>
              <w:rPr>
                <w:sz w:val="28"/>
                <w:szCs w:val="28"/>
                <w:lang w:val="en-GB"/>
              </w:rPr>
            </w:pPr>
            <w:r w:rsidRPr="00542A53">
              <w:rPr>
                <w:sz w:val="28"/>
                <w:szCs w:val="28"/>
                <w:lang w:val="en-GB"/>
              </w:rPr>
              <w:t>Inland Transport Committee</w:t>
            </w:r>
          </w:p>
          <w:p w14:paraId="29890141" w14:textId="77777777" w:rsidR="00B33A59" w:rsidRPr="00542A53" w:rsidRDefault="00B33A59" w:rsidP="00151A29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542A53">
              <w:rPr>
                <w:b/>
                <w:sz w:val="24"/>
                <w:szCs w:val="24"/>
                <w:lang w:val="en-GB"/>
              </w:rPr>
              <w:t>Working Party on the Transport of Dangerous Goods</w:t>
            </w:r>
          </w:p>
          <w:p w14:paraId="0801D942" w14:textId="78945614" w:rsidR="00B33A59" w:rsidRPr="00542A53" w:rsidRDefault="00B33A59" w:rsidP="00EA1F8A">
            <w:pPr>
              <w:tabs>
                <w:tab w:val="left" w:pos="7230"/>
              </w:tabs>
              <w:spacing w:before="120"/>
              <w:rPr>
                <w:b/>
                <w:lang w:val="en-GB"/>
              </w:rPr>
            </w:pPr>
            <w:r w:rsidRPr="00542A53">
              <w:rPr>
                <w:b/>
                <w:lang w:val="en-GB"/>
              </w:rPr>
              <w:t>Joint Meeting of the RID Committee of Experts and the</w:t>
            </w:r>
            <w:r w:rsidRPr="00542A53">
              <w:rPr>
                <w:b/>
                <w:lang w:val="en-GB"/>
              </w:rPr>
              <w:br/>
              <w:t>Working Party on the Transport of Dangerous Goods</w:t>
            </w:r>
            <w:r w:rsidR="00EA1F8A" w:rsidRPr="00542A53">
              <w:rPr>
                <w:b/>
                <w:lang w:val="en-GB"/>
              </w:rPr>
              <w:tab/>
            </w:r>
            <w:r w:rsidR="003104EE">
              <w:rPr>
                <w:b/>
                <w:lang w:val="en-GB"/>
              </w:rPr>
              <w:t xml:space="preserve">21 </w:t>
            </w:r>
            <w:r w:rsidR="00B662CA">
              <w:rPr>
                <w:b/>
                <w:lang w:val="en-GB"/>
              </w:rPr>
              <w:t>September</w:t>
            </w:r>
            <w:r w:rsidR="00542A53">
              <w:rPr>
                <w:b/>
                <w:lang w:val="en-GB"/>
              </w:rPr>
              <w:t xml:space="preserve"> 201</w:t>
            </w:r>
            <w:r w:rsidR="0045052B">
              <w:rPr>
                <w:b/>
                <w:lang w:val="en-GB"/>
              </w:rPr>
              <w:t>6</w:t>
            </w:r>
          </w:p>
          <w:p w14:paraId="49F866C2" w14:textId="0135FE26" w:rsidR="00A518E3" w:rsidRPr="000D10FA" w:rsidRDefault="00B662CA" w:rsidP="00A518E3">
            <w:pPr>
              <w:rPr>
                <w:lang w:val="en-GB"/>
              </w:rPr>
            </w:pPr>
            <w:r>
              <w:rPr>
                <w:lang w:val="en-US"/>
              </w:rPr>
              <w:t>Geneva</w:t>
            </w:r>
            <w:r w:rsidR="00A518E3" w:rsidRPr="004328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19</w:t>
            </w:r>
            <w:r w:rsidR="00A518E3" w:rsidRPr="00043E71">
              <w:rPr>
                <w:lang w:val="en-US"/>
              </w:rPr>
              <w:t>-</w:t>
            </w:r>
            <w:r>
              <w:rPr>
                <w:lang w:val="en-US"/>
              </w:rPr>
              <w:t>23</w:t>
            </w:r>
            <w:r w:rsidR="00A518E3">
              <w:rPr>
                <w:lang w:val="en-US"/>
              </w:rPr>
              <w:t xml:space="preserve"> </w:t>
            </w:r>
            <w:r w:rsidR="008D721F">
              <w:rPr>
                <w:lang w:val="en-US"/>
              </w:rPr>
              <w:t xml:space="preserve">September </w:t>
            </w:r>
            <w:r w:rsidR="00A518E3">
              <w:rPr>
                <w:lang w:val="en-US"/>
              </w:rPr>
              <w:t>201</w:t>
            </w:r>
            <w:r w:rsidR="0045052B">
              <w:rPr>
                <w:lang w:val="en-US"/>
              </w:rPr>
              <w:t>6</w:t>
            </w:r>
          </w:p>
          <w:p w14:paraId="598AF9A4" w14:textId="1A05009D" w:rsidR="00B33A59" w:rsidRDefault="00B33A59" w:rsidP="008D721F">
            <w:pPr>
              <w:tabs>
                <w:tab w:val="left" w:pos="4117"/>
              </w:tabs>
              <w:rPr>
                <w:lang w:val="en-US"/>
              </w:rPr>
            </w:pPr>
            <w:r>
              <w:rPr>
                <w:lang w:val="en-US"/>
              </w:rPr>
              <w:t>Item 3 of the  agenda</w:t>
            </w:r>
            <w:r w:rsidR="008D721F">
              <w:rPr>
                <w:lang w:val="en-US"/>
              </w:rPr>
              <w:tab/>
            </w:r>
          </w:p>
          <w:p w14:paraId="4397E843" w14:textId="77777777" w:rsidR="00B33A59" w:rsidRPr="00EC5662" w:rsidRDefault="00B33A59" w:rsidP="00151A29">
            <w:pPr>
              <w:rPr>
                <w:b/>
                <w:lang w:val="en-GB"/>
              </w:rPr>
            </w:pPr>
            <w:r w:rsidRPr="00EC5662">
              <w:rPr>
                <w:b/>
                <w:lang w:val="en-GB"/>
              </w:rPr>
              <w:t>Standards</w:t>
            </w:r>
          </w:p>
        </w:tc>
      </w:tr>
    </w:tbl>
    <w:p w14:paraId="2887955C" w14:textId="5A785BC9" w:rsidR="00AF4FB8" w:rsidRPr="00A44A02" w:rsidRDefault="00C1541A" w:rsidP="00C1541A">
      <w:pPr>
        <w:pStyle w:val="HChG"/>
        <w:rPr>
          <w:rFonts w:eastAsia="Times New Roman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A10B1" w:rsidRPr="00A44A02">
        <w:rPr>
          <w:lang w:val="en-GB"/>
        </w:rPr>
        <w:t>R</w:t>
      </w:r>
      <w:r w:rsidR="00AF4FB8" w:rsidRPr="00A44A02">
        <w:rPr>
          <w:lang w:val="en-GB"/>
        </w:rPr>
        <w:t>eport of the Standards Work</w:t>
      </w:r>
      <w:r w:rsidR="00AF4FB8" w:rsidRPr="00A44A02">
        <w:rPr>
          <w:rFonts w:eastAsia="Times New Roman"/>
          <w:lang w:val="en-GB"/>
        </w:rPr>
        <w:t>ing Group</w:t>
      </w:r>
    </w:p>
    <w:p w14:paraId="7479AF81" w14:textId="265071AD" w:rsidR="00AF4FB8" w:rsidRDefault="00C1541A" w:rsidP="00C1541A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F4FB8" w:rsidRPr="00A44A02">
        <w:rPr>
          <w:lang w:val="en-GB"/>
        </w:rPr>
        <w:t>(</w:t>
      </w:r>
      <w:proofErr w:type="gramStart"/>
      <w:r w:rsidR="00B33A59">
        <w:rPr>
          <w:lang w:val="en-GB"/>
        </w:rPr>
        <w:t>2</w:t>
      </w:r>
      <w:r w:rsidR="008D721F">
        <w:rPr>
          <w:lang w:val="en-GB"/>
        </w:rPr>
        <w:t>5</w:t>
      </w:r>
      <w:r w:rsidR="0045052B" w:rsidRPr="0045052B">
        <w:rPr>
          <w:vertAlign w:val="superscript"/>
          <w:lang w:val="en-GB"/>
        </w:rPr>
        <w:t>th</w:t>
      </w:r>
      <w:r w:rsidR="0045052B">
        <w:rPr>
          <w:lang w:val="en-GB"/>
        </w:rPr>
        <w:t xml:space="preserve"> </w:t>
      </w:r>
      <w:r w:rsidR="00A518E3">
        <w:rPr>
          <w:lang w:val="en-GB"/>
        </w:rPr>
        <w:t xml:space="preserve"> </w:t>
      </w:r>
      <w:r w:rsidR="00AF4FB8" w:rsidRPr="00A44A02">
        <w:rPr>
          <w:lang w:val="en-GB"/>
        </w:rPr>
        <w:t>meeting</w:t>
      </w:r>
      <w:proofErr w:type="gramEnd"/>
      <w:r w:rsidR="00AF4FB8" w:rsidRPr="00A44A02">
        <w:rPr>
          <w:lang w:val="en-GB"/>
        </w:rPr>
        <w:t xml:space="preserve">) </w:t>
      </w:r>
    </w:p>
    <w:p w14:paraId="7B4ED3D5" w14:textId="3DED6316" w:rsidR="00F92D0B" w:rsidRPr="00985026" w:rsidRDefault="00C1541A" w:rsidP="00C1541A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F92D0B" w:rsidRPr="00985026">
        <w:rPr>
          <w:lang w:val="en-GB"/>
        </w:rPr>
        <w:t xml:space="preserve">Reference is made to document </w:t>
      </w:r>
      <w:r w:rsidR="00AA653A" w:rsidRPr="00D542F4">
        <w:fldChar w:fldCharType="begin"/>
      </w:r>
      <w:r w:rsidR="00AA653A" w:rsidRPr="00D542F4">
        <w:rPr>
          <w:lang w:val="en-GB"/>
        </w:rPr>
        <w:instrText xml:space="preserve"> FILLIN "Symbol" \* MERGEFORMAT </w:instrText>
      </w:r>
      <w:r w:rsidR="00AA653A" w:rsidRPr="00D542F4">
        <w:fldChar w:fldCharType="separate"/>
      </w:r>
      <w:r w:rsidR="00F92D0B" w:rsidRPr="00985026">
        <w:rPr>
          <w:lang w:val="en-GB"/>
        </w:rPr>
        <w:t>ECE/TRANS/WP.15/AC.1/201</w:t>
      </w:r>
      <w:r w:rsidR="0045052B" w:rsidRPr="00985026">
        <w:rPr>
          <w:lang w:val="en-GB"/>
        </w:rPr>
        <w:t>6</w:t>
      </w:r>
      <w:r w:rsidR="00F92D0B" w:rsidRPr="00985026">
        <w:rPr>
          <w:lang w:val="en-GB"/>
        </w:rPr>
        <w:t>/</w:t>
      </w:r>
      <w:r w:rsidR="00AA653A" w:rsidRPr="00D542F4">
        <w:rPr>
          <w:lang w:val="en-GB"/>
        </w:rPr>
        <w:fldChar w:fldCharType="end"/>
      </w:r>
      <w:r w:rsidR="00B662CA" w:rsidRPr="00985026">
        <w:rPr>
          <w:lang w:val="en-GB"/>
        </w:rPr>
        <w:t>28</w:t>
      </w:r>
      <w:r w:rsidR="00F92D0B" w:rsidRPr="00985026">
        <w:rPr>
          <w:lang w:val="en-GB"/>
        </w:rPr>
        <w:t xml:space="preserve">, which informs about the progress made in the establishment of new and the revision of published EN and EN ISO standards referenced or intended to be referenced in the RID/ADR/ADN. </w:t>
      </w:r>
    </w:p>
    <w:p w14:paraId="1A2188D8" w14:textId="56FF1C28" w:rsidR="00F92D0B" w:rsidRPr="00985026" w:rsidRDefault="00C1541A" w:rsidP="00C1541A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7A2946" w:rsidRPr="00985026">
        <w:rPr>
          <w:lang w:val="en-GB"/>
        </w:rPr>
        <w:t>A series of tel</w:t>
      </w:r>
      <w:r w:rsidR="008732DB" w:rsidRPr="00985026">
        <w:rPr>
          <w:lang w:val="en-GB"/>
        </w:rPr>
        <w:t>e</w:t>
      </w:r>
      <w:r w:rsidR="007A2946" w:rsidRPr="00985026">
        <w:rPr>
          <w:lang w:val="en-GB"/>
        </w:rPr>
        <w:t>conf</w:t>
      </w:r>
      <w:r w:rsidR="008732DB" w:rsidRPr="00985026">
        <w:rPr>
          <w:lang w:val="en-GB"/>
        </w:rPr>
        <w:t xml:space="preserve">erences </w:t>
      </w:r>
      <w:r w:rsidR="007A2946" w:rsidRPr="00985026">
        <w:rPr>
          <w:lang w:val="en-GB"/>
        </w:rPr>
        <w:t xml:space="preserve">took place on the </w:t>
      </w:r>
      <w:r w:rsidR="00B662CA" w:rsidRPr="00985026">
        <w:rPr>
          <w:lang w:val="en-GB"/>
        </w:rPr>
        <w:t>6</w:t>
      </w:r>
      <w:r w:rsidR="007A2946" w:rsidRPr="00985026">
        <w:rPr>
          <w:vertAlign w:val="superscript"/>
          <w:lang w:val="en-GB"/>
        </w:rPr>
        <w:t>th</w:t>
      </w:r>
      <w:r w:rsidR="007A2946" w:rsidRPr="00985026">
        <w:rPr>
          <w:lang w:val="en-GB"/>
        </w:rPr>
        <w:t xml:space="preserve"> of </w:t>
      </w:r>
      <w:r w:rsidR="00B662CA" w:rsidRPr="00985026">
        <w:rPr>
          <w:lang w:val="en-GB"/>
        </w:rPr>
        <w:t>July AM and PM and on 2</w:t>
      </w:r>
      <w:r w:rsidR="00DC4ADC" w:rsidRPr="00985026">
        <w:rPr>
          <w:vertAlign w:val="superscript"/>
          <w:lang w:val="en-GB"/>
        </w:rPr>
        <w:t>nd</w:t>
      </w:r>
      <w:r w:rsidR="00DC4ADC" w:rsidRPr="00985026">
        <w:rPr>
          <w:lang w:val="en-GB"/>
        </w:rPr>
        <w:t xml:space="preserve"> </w:t>
      </w:r>
      <w:r w:rsidR="00B662CA" w:rsidRPr="00985026">
        <w:rPr>
          <w:lang w:val="en-GB"/>
        </w:rPr>
        <w:t xml:space="preserve">of August </w:t>
      </w:r>
      <w:proofErr w:type="gramStart"/>
      <w:r w:rsidR="00B662CA" w:rsidRPr="00985026">
        <w:rPr>
          <w:lang w:val="en-GB"/>
        </w:rPr>
        <w:t xml:space="preserve">PM </w:t>
      </w:r>
      <w:r w:rsidR="007A2946" w:rsidRPr="00985026">
        <w:rPr>
          <w:lang w:val="en-GB"/>
        </w:rPr>
        <w:t xml:space="preserve"> to</w:t>
      </w:r>
      <w:proofErr w:type="gramEnd"/>
      <w:r w:rsidR="007A2946" w:rsidRPr="00985026">
        <w:rPr>
          <w:lang w:val="en-GB"/>
        </w:rPr>
        <w:t xml:space="preserve"> review the comments made by Member States and by the CEN Consultant</w:t>
      </w:r>
      <w:r w:rsidR="00AB74ED" w:rsidRPr="00985026">
        <w:rPr>
          <w:lang w:val="en-GB"/>
        </w:rPr>
        <w:t>. Comments from MS were compiled by CCMC (see INF</w:t>
      </w:r>
      <w:r w:rsidR="00EC5662" w:rsidRPr="00985026">
        <w:rPr>
          <w:lang w:val="en-GB"/>
        </w:rPr>
        <w:t>.15</w:t>
      </w:r>
      <w:r w:rsidR="00AB74ED" w:rsidRPr="00985026">
        <w:rPr>
          <w:lang w:val="en-GB"/>
        </w:rPr>
        <w:t xml:space="preserve">). </w:t>
      </w:r>
      <w:r w:rsidR="00EC5662" w:rsidRPr="00985026">
        <w:rPr>
          <w:lang w:val="en-GB"/>
        </w:rPr>
        <w:t>In addition to the standards listed in INF. 15, following a request from the AEGPL, guidance was given to CEN/TC 286 on EN 12493:2013+A1:2014</w:t>
      </w:r>
      <w:r w:rsidR="00985026">
        <w:rPr>
          <w:lang w:val="en-GB"/>
        </w:rPr>
        <w:t xml:space="preserve"> </w:t>
      </w:r>
      <w:proofErr w:type="spellStart"/>
      <w:r w:rsidR="00EC5662" w:rsidRPr="00985026">
        <w:rPr>
          <w:lang w:val="en-GB"/>
        </w:rPr>
        <w:t>prA</w:t>
      </w:r>
      <w:proofErr w:type="spellEnd"/>
      <w:r w:rsidR="00EC5662" w:rsidRPr="00985026">
        <w:rPr>
          <w:lang w:val="en-GB"/>
        </w:rPr>
        <w:t xml:space="preserve"> in the final teleconference. </w:t>
      </w:r>
      <w:r w:rsidR="00AB74ED" w:rsidRPr="00D542F4">
        <w:rPr>
          <w:lang w:val="en-GB"/>
        </w:rPr>
        <w:t>Unresolved issues were discussed within the Joint Meeting Working Group Standard (</w:t>
      </w:r>
      <w:r w:rsidR="007A2946" w:rsidRPr="00D542F4">
        <w:rPr>
          <w:lang w:val="en-GB"/>
        </w:rPr>
        <w:t>1</w:t>
      </w:r>
      <w:r w:rsidR="00B662CA" w:rsidRPr="00D542F4">
        <w:rPr>
          <w:lang w:val="en-GB"/>
        </w:rPr>
        <w:t>9</w:t>
      </w:r>
      <w:r w:rsidR="00B662CA" w:rsidRPr="00D542F4">
        <w:rPr>
          <w:vertAlign w:val="superscript"/>
          <w:lang w:val="en-GB"/>
        </w:rPr>
        <w:t>th</w:t>
      </w:r>
      <w:r w:rsidR="00B662CA" w:rsidRPr="00D542F4">
        <w:rPr>
          <w:lang w:val="en-GB"/>
        </w:rPr>
        <w:t xml:space="preserve"> </w:t>
      </w:r>
      <w:r w:rsidR="00985026">
        <w:rPr>
          <w:lang w:val="en-GB"/>
        </w:rPr>
        <w:t>and 20</w:t>
      </w:r>
      <w:r w:rsidR="00985026" w:rsidRPr="00D542F4">
        <w:rPr>
          <w:vertAlign w:val="superscript"/>
          <w:lang w:val="en-GB"/>
        </w:rPr>
        <w:t>th</w:t>
      </w:r>
      <w:r w:rsidR="00985026">
        <w:rPr>
          <w:lang w:val="en-GB"/>
        </w:rPr>
        <w:t xml:space="preserve"> </w:t>
      </w:r>
      <w:r w:rsidR="00B662CA" w:rsidRPr="00D542F4">
        <w:rPr>
          <w:lang w:val="en-GB"/>
        </w:rPr>
        <w:t>September</w:t>
      </w:r>
      <w:r w:rsidR="00DC4ADC" w:rsidRPr="00D542F4">
        <w:rPr>
          <w:lang w:val="en-GB"/>
        </w:rPr>
        <w:t xml:space="preserve"> </w:t>
      </w:r>
      <w:r w:rsidR="00AB74ED" w:rsidRPr="00D542F4">
        <w:rPr>
          <w:lang w:val="en-GB"/>
        </w:rPr>
        <w:t>201</w:t>
      </w:r>
      <w:r w:rsidR="007A2946" w:rsidRPr="00D542F4">
        <w:rPr>
          <w:lang w:val="en-GB"/>
        </w:rPr>
        <w:t>6</w:t>
      </w:r>
      <w:r w:rsidR="00AB74ED" w:rsidRPr="00D542F4">
        <w:rPr>
          <w:lang w:val="en-GB"/>
        </w:rPr>
        <w:t>)</w:t>
      </w:r>
      <w:r w:rsidR="00C51E62" w:rsidRPr="00D542F4">
        <w:rPr>
          <w:lang w:val="en-GB"/>
        </w:rPr>
        <w:t xml:space="preserve">. </w:t>
      </w:r>
    </w:p>
    <w:p w14:paraId="138B80B1" w14:textId="13E815AF" w:rsidR="0035265C" w:rsidRPr="00985026" w:rsidRDefault="00C1541A" w:rsidP="00C1541A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35265C" w:rsidRPr="00985026">
        <w:rPr>
          <w:lang w:val="en-GB"/>
        </w:rPr>
        <w:t xml:space="preserve">Other papers assigned to the standard working group were: </w:t>
      </w:r>
    </w:p>
    <w:p w14:paraId="69D4BEF2" w14:textId="18DBA69D" w:rsidR="00987E3B" w:rsidRPr="00985026" w:rsidRDefault="0035265C" w:rsidP="00987E3B">
      <w:pPr>
        <w:spacing w:before="120" w:line="240" w:lineRule="auto"/>
        <w:ind w:left="1134"/>
        <w:jc w:val="both"/>
        <w:rPr>
          <w:sz w:val="20"/>
          <w:lang w:val="en-GB"/>
        </w:rPr>
      </w:pPr>
      <w:proofErr w:type="gramStart"/>
      <w:r w:rsidRPr="00985026">
        <w:rPr>
          <w:sz w:val="20"/>
          <w:lang w:val="en-GB"/>
        </w:rPr>
        <w:t>ECE/TRANS/WP.15/AC.1/201</w:t>
      </w:r>
      <w:r w:rsidR="007A2946" w:rsidRPr="00985026">
        <w:rPr>
          <w:sz w:val="20"/>
          <w:lang w:val="en-GB"/>
        </w:rPr>
        <w:t>6</w:t>
      </w:r>
      <w:r w:rsidRPr="00985026">
        <w:rPr>
          <w:sz w:val="20"/>
          <w:lang w:val="en-GB"/>
        </w:rPr>
        <w:t>/</w:t>
      </w:r>
      <w:r w:rsidR="00EC5662" w:rsidRPr="00985026">
        <w:rPr>
          <w:sz w:val="20"/>
          <w:lang w:val="en-GB"/>
        </w:rPr>
        <w:t>38</w:t>
      </w:r>
      <w:r w:rsidR="00A1352D" w:rsidRPr="00985026">
        <w:rPr>
          <w:sz w:val="20"/>
          <w:lang w:val="en-GB"/>
        </w:rPr>
        <w:t xml:space="preserve"> </w:t>
      </w:r>
      <w:r w:rsidRPr="00985026">
        <w:rPr>
          <w:sz w:val="20"/>
          <w:lang w:val="en-GB"/>
        </w:rPr>
        <w:t>(</w:t>
      </w:r>
      <w:r w:rsidR="00EC5662" w:rsidRPr="00985026">
        <w:rPr>
          <w:sz w:val="20"/>
          <w:lang w:val="en-GB"/>
        </w:rPr>
        <w:t>ECMA</w:t>
      </w:r>
      <w:r w:rsidR="00A1352D" w:rsidRPr="00985026">
        <w:rPr>
          <w:sz w:val="20"/>
          <w:lang w:val="en-GB"/>
        </w:rPr>
        <w:t>)</w:t>
      </w:r>
      <w:r w:rsidR="00985026">
        <w:rPr>
          <w:sz w:val="20"/>
          <w:lang w:val="en-GB"/>
        </w:rPr>
        <w:t xml:space="preserve"> and INF.11</w:t>
      </w:r>
      <w:r w:rsidR="00A1352D" w:rsidRPr="00985026">
        <w:rPr>
          <w:sz w:val="20"/>
          <w:lang w:val="en-GB"/>
        </w:rPr>
        <w:t>.</w:t>
      </w:r>
      <w:proofErr w:type="gramEnd"/>
      <w:r w:rsidR="00A1352D" w:rsidRPr="00985026">
        <w:rPr>
          <w:sz w:val="20"/>
          <w:lang w:val="en-GB"/>
        </w:rPr>
        <w:t xml:space="preserve"> </w:t>
      </w:r>
    </w:p>
    <w:p w14:paraId="3275DF94" w14:textId="0548E84C" w:rsidR="006542F7" w:rsidRPr="009A15CB" w:rsidRDefault="00C1541A" w:rsidP="00C1541A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4.</w:t>
      </w:r>
      <w:r>
        <w:rPr>
          <w:lang w:val="en-GB"/>
        </w:rPr>
        <w:tab/>
      </w:r>
      <w:r w:rsidR="00B351EA" w:rsidRPr="00985026">
        <w:rPr>
          <w:lang w:val="en-GB"/>
        </w:rPr>
        <w:t>Results</w:t>
      </w:r>
    </w:p>
    <w:p w14:paraId="6F0EF27A" w14:textId="59046F7E" w:rsidR="00B351EA" w:rsidRPr="00985026" w:rsidRDefault="00987E3B" w:rsidP="00C1541A">
      <w:pPr>
        <w:pStyle w:val="SingleTxtG"/>
        <w:rPr>
          <w:lang w:val="en-GB"/>
        </w:rPr>
      </w:pPr>
      <w:r w:rsidRPr="00985026">
        <w:rPr>
          <w:lang w:val="en-GB"/>
        </w:rPr>
        <w:t>4</w:t>
      </w:r>
      <w:r w:rsidR="00B351EA" w:rsidRPr="00985026">
        <w:rPr>
          <w:lang w:val="en-GB"/>
        </w:rPr>
        <w:t>.1</w:t>
      </w:r>
      <w:r w:rsidR="00B351EA" w:rsidRPr="00985026">
        <w:rPr>
          <w:lang w:val="en-GB"/>
        </w:rPr>
        <w:tab/>
      </w:r>
      <w:r w:rsidR="00B80129" w:rsidRPr="00985026">
        <w:rPr>
          <w:lang w:val="en-GB"/>
        </w:rPr>
        <w:t xml:space="preserve">The agreed </w:t>
      </w:r>
      <w:r w:rsidR="000C5BEC" w:rsidRPr="00985026">
        <w:rPr>
          <w:lang w:val="en-GB"/>
        </w:rPr>
        <w:t>comments</w:t>
      </w:r>
      <w:r w:rsidR="00AF4FB8" w:rsidRPr="00985026">
        <w:rPr>
          <w:lang w:val="en-GB"/>
        </w:rPr>
        <w:t xml:space="preserve"> of the discussion </w:t>
      </w:r>
      <w:r w:rsidR="0082591E" w:rsidRPr="00985026">
        <w:rPr>
          <w:lang w:val="en-GB"/>
        </w:rPr>
        <w:t xml:space="preserve">on the coherence </w:t>
      </w:r>
      <w:r w:rsidR="00AF4FB8" w:rsidRPr="00985026">
        <w:rPr>
          <w:lang w:val="en-GB"/>
        </w:rPr>
        <w:t xml:space="preserve">of the standards at enquiry and formal vote stage </w:t>
      </w:r>
      <w:r w:rsidR="000C5BEC" w:rsidRPr="00985026">
        <w:rPr>
          <w:lang w:val="en-GB"/>
        </w:rPr>
        <w:t xml:space="preserve">and one published standard </w:t>
      </w:r>
      <w:r w:rsidR="0082591E" w:rsidRPr="00985026">
        <w:rPr>
          <w:lang w:val="en-GB"/>
        </w:rPr>
        <w:t>with relevant provisions of RID/ADR</w:t>
      </w:r>
      <w:r w:rsidR="000C5BEC" w:rsidRPr="00985026">
        <w:rPr>
          <w:lang w:val="en-GB"/>
        </w:rPr>
        <w:t>/ADN</w:t>
      </w:r>
      <w:r w:rsidR="0082591E" w:rsidRPr="00985026">
        <w:rPr>
          <w:lang w:val="en-GB"/>
        </w:rPr>
        <w:t xml:space="preserve"> </w:t>
      </w:r>
      <w:r w:rsidR="00763D42" w:rsidRPr="00985026">
        <w:rPr>
          <w:lang w:val="en-GB"/>
        </w:rPr>
        <w:t xml:space="preserve">were </w:t>
      </w:r>
      <w:r w:rsidR="0082591E" w:rsidRPr="00985026">
        <w:rPr>
          <w:lang w:val="en-GB"/>
        </w:rPr>
        <w:t>summarized</w:t>
      </w:r>
      <w:r w:rsidR="00AF4FB8" w:rsidRPr="00985026">
        <w:rPr>
          <w:lang w:val="en-GB"/>
        </w:rPr>
        <w:t xml:space="preserve"> in </w:t>
      </w:r>
      <w:r w:rsidR="00AF4FB8" w:rsidRPr="00985026">
        <w:rPr>
          <w:b/>
          <w:lang w:val="en-GB"/>
        </w:rPr>
        <w:t>INF.</w:t>
      </w:r>
      <w:r w:rsidR="00763D42" w:rsidRPr="00985026">
        <w:rPr>
          <w:b/>
          <w:lang w:val="en-GB"/>
        </w:rPr>
        <w:t xml:space="preserve">15.  </w:t>
      </w:r>
      <w:r w:rsidR="00763D42" w:rsidRPr="00985026">
        <w:rPr>
          <w:lang w:val="en-GB"/>
        </w:rPr>
        <w:t xml:space="preserve">No major changes were </w:t>
      </w:r>
      <w:r w:rsidR="00CB34EF" w:rsidRPr="00985026">
        <w:rPr>
          <w:lang w:val="en-GB"/>
        </w:rPr>
        <w:t>introduced</w:t>
      </w:r>
      <w:r w:rsidR="00763D42" w:rsidRPr="00985026">
        <w:rPr>
          <w:lang w:val="en-GB"/>
        </w:rPr>
        <w:t>.</w:t>
      </w:r>
    </w:p>
    <w:p w14:paraId="19EEC78B" w14:textId="6AD53FF9" w:rsidR="00763D42" w:rsidRPr="00985026" w:rsidRDefault="00763D42" w:rsidP="00C1541A">
      <w:pPr>
        <w:pStyle w:val="SingleTxtG"/>
        <w:rPr>
          <w:lang w:val="en-GB"/>
        </w:rPr>
      </w:pPr>
      <w:r w:rsidRPr="00985026">
        <w:rPr>
          <w:lang w:val="en-GB"/>
        </w:rPr>
        <w:t xml:space="preserve">Note that the second comment on </w:t>
      </w:r>
      <w:proofErr w:type="spellStart"/>
      <w:r w:rsidRPr="00985026">
        <w:rPr>
          <w:lang w:val="en-GB"/>
        </w:rPr>
        <w:t>FprEN</w:t>
      </w:r>
      <w:proofErr w:type="spellEnd"/>
      <w:r w:rsidRPr="00985026">
        <w:rPr>
          <w:lang w:val="en-GB"/>
        </w:rPr>
        <w:t xml:space="preserve"> ISO/FDIS 21028-1:2016 (column: ‘Comment from WG Standard’) has to be removed and replaced by the word ‘Clarified’).</w:t>
      </w:r>
    </w:p>
    <w:p w14:paraId="513A5FE1" w14:textId="22AB60E2" w:rsidR="009722FB" w:rsidRPr="00985026" w:rsidRDefault="009D0E25" w:rsidP="00C1541A">
      <w:pPr>
        <w:pStyle w:val="SingleTxtG"/>
        <w:rPr>
          <w:sz w:val="20"/>
          <w:lang w:val="en-GB"/>
        </w:rPr>
      </w:pPr>
      <w:r w:rsidRPr="00985026">
        <w:rPr>
          <w:sz w:val="20"/>
          <w:lang w:val="en-GB"/>
        </w:rPr>
        <w:t>4.2</w:t>
      </w:r>
      <w:r w:rsidR="00C1541A">
        <w:rPr>
          <w:sz w:val="20"/>
          <w:lang w:val="en-GB"/>
        </w:rPr>
        <w:t xml:space="preserve"> </w:t>
      </w:r>
      <w:r w:rsidR="00C1541A">
        <w:rPr>
          <w:sz w:val="20"/>
          <w:lang w:val="en-GB"/>
        </w:rPr>
        <w:tab/>
      </w:r>
      <w:r w:rsidR="00E961AF" w:rsidRPr="00985026">
        <w:rPr>
          <w:sz w:val="20"/>
          <w:lang w:val="en-GB"/>
        </w:rPr>
        <w:t>Proposals</w:t>
      </w:r>
      <w:r w:rsidR="00B662CA" w:rsidRPr="00985026">
        <w:rPr>
          <w:sz w:val="20"/>
          <w:lang w:val="en-GB"/>
        </w:rPr>
        <w:t xml:space="preserve"> </w:t>
      </w:r>
    </w:p>
    <w:p w14:paraId="477D2D27" w14:textId="77777777" w:rsidR="00581837" w:rsidRPr="00985026" w:rsidRDefault="00581837" w:rsidP="00672C7A">
      <w:pPr>
        <w:spacing w:before="120" w:line="240" w:lineRule="auto"/>
        <w:ind w:left="1134"/>
        <w:jc w:val="both"/>
        <w:rPr>
          <w:b/>
          <w:sz w:val="20"/>
          <w:lang w:val="en-GB"/>
        </w:rPr>
      </w:pPr>
      <w:r w:rsidRPr="00985026">
        <w:rPr>
          <w:sz w:val="20"/>
          <w:lang w:val="en-GB"/>
        </w:rPr>
        <w:t xml:space="preserve">In the following proposals, new text is shown in </w:t>
      </w:r>
      <w:r w:rsidRPr="00985026">
        <w:rPr>
          <w:b/>
          <w:sz w:val="20"/>
          <w:lang w:val="en-GB"/>
        </w:rPr>
        <w:t xml:space="preserve">Bold. </w:t>
      </w:r>
    </w:p>
    <w:p w14:paraId="13750500" w14:textId="7A8B2B11" w:rsidR="00581837" w:rsidRPr="00985026" w:rsidRDefault="00C1541A" w:rsidP="00C1541A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87E3B" w:rsidRPr="00985026">
        <w:rPr>
          <w:lang w:val="en-GB"/>
        </w:rPr>
        <w:t>Proposal 1</w:t>
      </w:r>
      <w:r w:rsidR="00002CCC" w:rsidRPr="00985026">
        <w:rPr>
          <w:lang w:val="en-GB"/>
        </w:rPr>
        <w:t xml:space="preserve">    </w:t>
      </w:r>
      <w:r w:rsidR="00581837" w:rsidRPr="00985026">
        <w:rPr>
          <w:lang w:val="en-GB"/>
        </w:rPr>
        <w:t xml:space="preserve">For </w:t>
      </w:r>
      <w:r w:rsidR="00EC5662" w:rsidRPr="00985026">
        <w:rPr>
          <w:lang w:val="en-GB"/>
        </w:rPr>
        <w:t xml:space="preserve">both </w:t>
      </w:r>
      <w:r w:rsidR="00581837" w:rsidRPr="00985026">
        <w:rPr>
          <w:lang w:val="en-GB"/>
        </w:rPr>
        <w:t>ADR</w:t>
      </w:r>
      <w:r w:rsidR="00C96EF8" w:rsidRPr="00985026">
        <w:rPr>
          <w:lang w:val="en-GB"/>
        </w:rPr>
        <w:t>/</w:t>
      </w:r>
      <w:proofErr w:type="gramStart"/>
      <w:r w:rsidR="00C96EF8" w:rsidRPr="00985026">
        <w:rPr>
          <w:lang w:val="en-GB"/>
        </w:rPr>
        <w:t>RID</w:t>
      </w:r>
      <w:r w:rsidR="0040314D" w:rsidRPr="00985026">
        <w:rPr>
          <w:lang w:val="en-GB"/>
        </w:rPr>
        <w:t xml:space="preserve"> </w:t>
      </w:r>
      <w:r w:rsidR="0077044D" w:rsidRPr="00985026">
        <w:rPr>
          <w:lang w:val="en-GB"/>
        </w:rPr>
        <w:t>:</w:t>
      </w:r>
      <w:proofErr w:type="gramEnd"/>
    </w:p>
    <w:p w14:paraId="06F780F9" w14:textId="7516E8A8" w:rsidR="0040314D" w:rsidRPr="00985026" w:rsidRDefault="0040314D" w:rsidP="00E961AF">
      <w:pPr>
        <w:spacing w:before="120" w:line="240" w:lineRule="auto"/>
        <w:ind w:left="567" w:firstLine="567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 xml:space="preserve">Replace EN 1919 and EN 1920 in P 200 (11) and P200 (13) 2.1 as follows </w:t>
      </w:r>
    </w:p>
    <w:p w14:paraId="1C3F26E0" w14:textId="27D6DD3C" w:rsidR="0040314D" w:rsidRPr="00985026" w:rsidRDefault="0040314D" w:rsidP="00EC5662">
      <w:pPr>
        <w:pStyle w:val="ListParagraph"/>
        <w:numPr>
          <w:ilvl w:val="0"/>
          <w:numId w:val="19"/>
        </w:numPr>
        <w:spacing w:before="120" w:line="240" w:lineRule="auto"/>
        <w:jc w:val="both"/>
        <w:rPr>
          <w:b/>
          <w:sz w:val="20"/>
          <w:lang w:val="en-GB"/>
        </w:rPr>
      </w:pPr>
      <w:r w:rsidRPr="00985026">
        <w:rPr>
          <w:sz w:val="20"/>
          <w:lang w:val="en-GB"/>
        </w:rPr>
        <w:t>In</w:t>
      </w:r>
      <w:r w:rsidRPr="00985026">
        <w:rPr>
          <w:b/>
          <w:sz w:val="20"/>
          <w:lang w:val="en-GB"/>
        </w:rPr>
        <w:t xml:space="preserve"> P 200 (11) </w:t>
      </w:r>
      <w:r w:rsidR="00EC5662" w:rsidRPr="00985026">
        <w:rPr>
          <w:b/>
          <w:sz w:val="20"/>
          <w:lang w:val="en-GB"/>
        </w:rPr>
        <w:t xml:space="preserve">delete the first two rows and insert EN ISO 24431:[2016] </w:t>
      </w:r>
    </w:p>
    <w:p w14:paraId="248C47D5" w14:textId="23D3F9B1" w:rsidR="00C1541A" w:rsidRDefault="00C1541A">
      <w:pPr>
        <w:spacing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14:paraId="161EC40F" w14:textId="77777777" w:rsidR="0040314D" w:rsidRPr="00985026" w:rsidRDefault="0040314D" w:rsidP="00672C7A">
      <w:pPr>
        <w:spacing w:before="120" w:line="240" w:lineRule="auto"/>
        <w:ind w:left="1134"/>
        <w:jc w:val="both"/>
        <w:rPr>
          <w:b/>
          <w:sz w:val="20"/>
          <w:lang w:val="en-GB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2409"/>
        <w:gridCol w:w="5103"/>
      </w:tblGrid>
      <w:tr w:rsidR="008D721F" w:rsidRPr="00985026" w14:paraId="11633CF4" w14:textId="77777777" w:rsidTr="00C1541A">
        <w:trPr>
          <w:jc w:val="center"/>
        </w:trPr>
        <w:tc>
          <w:tcPr>
            <w:tcW w:w="1444" w:type="dxa"/>
            <w:vAlign w:val="center"/>
          </w:tcPr>
          <w:p w14:paraId="0B4D988F" w14:textId="7FE00A7A" w:rsidR="008D721F" w:rsidRPr="00985026" w:rsidRDefault="008D721F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 xml:space="preserve">Applicable Requirements </w:t>
            </w:r>
          </w:p>
        </w:tc>
        <w:tc>
          <w:tcPr>
            <w:tcW w:w="2409" w:type="dxa"/>
          </w:tcPr>
          <w:p w14:paraId="16FEDCB5" w14:textId="77777777" w:rsidR="008D721F" w:rsidRPr="00985026" w:rsidRDefault="008D721F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</w:p>
          <w:p w14:paraId="17230101" w14:textId="0BBB8616" w:rsidR="008D721F" w:rsidRPr="00985026" w:rsidRDefault="008D721F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Reference</w:t>
            </w:r>
          </w:p>
        </w:tc>
        <w:tc>
          <w:tcPr>
            <w:tcW w:w="5103" w:type="dxa"/>
            <w:vAlign w:val="center"/>
          </w:tcPr>
          <w:p w14:paraId="3AE26B55" w14:textId="70FC38FC" w:rsidR="008D721F" w:rsidRPr="00985026" w:rsidRDefault="008D721F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Title of document</w:t>
            </w:r>
          </w:p>
        </w:tc>
      </w:tr>
      <w:tr w:rsidR="008D721F" w:rsidRPr="00D542F4" w14:paraId="72DCF1D8" w14:textId="77777777" w:rsidTr="00C1541A">
        <w:trPr>
          <w:jc w:val="center"/>
        </w:trPr>
        <w:tc>
          <w:tcPr>
            <w:tcW w:w="1444" w:type="dxa"/>
            <w:vAlign w:val="center"/>
          </w:tcPr>
          <w:p w14:paraId="293E3918" w14:textId="5DB829F4" w:rsidR="008D721F" w:rsidRPr="00985026" w:rsidRDefault="008D721F" w:rsidP="00C1541A">
            <w:pPr>
              <w:widowControl w:val="0"/>
              <w:spacing w:before="60" w:after="60"/>
              <w:jc w:val="center"/>
              <w:rPr>
                <w:b/>
                <w:sz w:val="20"/>
                <w:lang w:val="fr-CH"/>
              </w:rPr>
            </w:pPr>
            <w:r w:rsidRPr="00985026">
              <w:rPr>
                <w:b/>
                <w:sz w:val="20"/>
                <w:lang w:val="fr-CH"/>
              </w:rPr>
              <w:t>(7)</w:t>
            </w:r>
          </w:p>
        </w:tc>
        <w:tc>
          <w:tcPr>
            <w:tcW w:w="2409" w:type="dxa"/>
          </w:tcPr>
          <w:p w14:paraId="4C694CAB" w14:textId="1570EA3D" w:rsidR="008D721F" w:rsidRPr="00985026" w:rsidDel="0040314D" w:rsidRDefault="008D721F" w:rsidP="00C1541A">
            <w:pPr>
              <w:widowControl w:val="0"/>
              <w:spacing w:before="60" w:after="60"/>
              <w:rPr>
                <w:b/>
                <w:sz w:val="20"/>
                <w:lang w:val="en-GB"/>
              </w:rPr>
            </w:pPr>
            <w:r w:rsidRPr="00985026">
              <w:rPr>
                <w:b/>
                <w:sz w:val="20"/>
                <w:lang w:val="en-GB"/>
              </w:rPr>
              <w:t>EN ISO 24431:</w:t>
            </w:r>
            <w:r w:rsidR="00EC5662" w:rsidRPr="00985026">
              <w:rPr>
                <w:b/>
                <w:sz w:val="20"/>
                <w:lang w:val="en-GB"/>
              </w:rPr>
              <w:t>[</w:t>
            </w:r>
            <w:r w:rsidRPr="00985026">
              <w:rPr>
                <w:b/>
                <w:sz w:val="20"/>
                <w:lang w:val="en-GB"/>
              </w:rPr>
              <w:t>2016</w:t>
            </w:r>
            <w:r w:rsidR="00EC5662" w:rsidRPr="00985026">
              <w:rPr>
                <w:b/>
                <w:sz w:val="20"/>
                <w:lang w:val="en-GB"/>
              </w:rPr>
              <w:t>]</w:t>
            </w:r>
          </w:p>
        </w:tc>
        <w:tc>
          <w:tcPr>
            <w:tcW w:w="5103" w:type="dxa"/>
            <w:vAlign w:val="center"/>
          </w:tcPr>
          <w:p w14:paraId="53211799" w14:textId="7772B942" w:rsidR="008D721F" w:rsidRPr="003104EE" w:rsidRDefault="008D721F" w:rsidP="00C1541A">
            <w:pPr>
              <w:widowControl w:val="0"/>
              <w:spacing w:before="60" w:after="60"/>
              <w:rPr>
                <w:b/>
                <w:sz w:val="20"/>
                <w:lang w:val="en-GB"/>
              </w:rPr>
            </w:pPr>
            <w:r w:rsidRPr="00985026">
              <w:rPr>
                <w:b/>
                <w:sz w:val="20"/>
                <w:lang w:val="en-GB"/>
              </w:rPr>
              <w:t xml:space="preserve">Gas cylinders - Seamless, welded and composite cylinders for compressed and liquefied gases (excluding acetylene) - Inspection at time of filling </w:t>
            </w:r>
          </w:p>
        </w:tc>
      </w:tr>
    </w:tbl>
    <w:p w14:paraId="2136ED79" w14:textId="23025299" w:rsidR="00941C24" w:rsidRPr="00985026" w:rsidRDefault="00941C24" w:rsidP="00EC5662">
      <w:pPr>
        <w:pStyle w:val="ListParagraph"/>
        <w:numPr>
          <w:ilvl w:val="0"/>
          <w:numId w:val="19"/>
        </w:numPr>
        <w:spacing w:before="120" w:line="240" w:lineRule="auto"/>
        <w:jc w:val="both"/>
        <w:rPr>
          <w:b/>
          <w:sz w:val="20"/>
          <w:lang w:val="en-GB"/>
        </w:rPr>
      </w:pPr>
      <w:r w:rsidRPr="00985026">
        <w:rPr>
          <w:sz w:val="20"/>
          <w:lang w:val="en-GB"/>
        </w:rPr>
        <w:t xml:space="preserve">In </w:t>
      </w:r>
      <w:r w:rsidR="0040314D" w:rsidRPr="00985026">
        <w:rPr>
          <w:b/>
          <w:sz w:val="20"/>
          <w:lang w:val="en-GB"/>
        </w:rPr>
        <w:t>P 200 (13) 2.1</w:t>
      </w:r>
      <w:r w:rsidR="0040314D" w:rsidRPr="00985026">
        <w:rPr>
          <w:sz w:val="20"/>
          <w:lang w:val="en-GB"/>
        </w:rPr>
        <w:t xml:space="preserve"> </w:t>
      </w:r>
      <w:r w:rsidRPr="00985026">
        <w:rPr>
          <w:sz w:val="20"/>
          <w:lang w:val="en-GB"/>
        </w:rPr>
        <w:t>, replace</w:t>
      </w:r>
      <w:r w:rsidRPr="00D542F4">
        <w:rPr>
          <w:sz w:val="20"/>
          <w:lang w:val="en-GB"/>
        </w:rPr>
        <w:t xml:space="preserve"> </w:t>
      </w:r>
      <w:r w:rsidRPr="00985026">
        <w:rPr>
          <w:sz w:val="20"/>
          <w:lang w:val="en-GB"/>
        </w:rPr>
        <w:t>EN 1</w:t>
      </w:r>
      <w:r w:rsidR="0040314D" w:rsidRPr="00985026">
        <w:rPr>
          <w:sz w:val="20"/>
          <w:lang w:val="en-GB"/>
        </w:rPr>
        <w:t>919</w:t>
      </w:r>
      <w:r w:rsidRPr="00985026">
        <w:rPr>
          <w:sz w:val="20"/>
          <w:lang w:val="en-GB"/>
        </w:rPr>
        <w:t>:20</w:t>
      </w:r>
      <w:r w:rsidR="0040314D" w:rsidRPr="00985026">
        <w:rPr>
          <w:sz w:val="20"/>
          <w:lang w:val="en-GB"/>
        </w:rPr>
        <w:t>00 and EN 1920:2000</w:t>
      </w:r>
      <w:r w:rsidRPr="00985026">
        <w:rPr>
          <w:b/>
          <w:sz w:val="20"/>
          <w:lang w:val="en-GB"/>
        </w:rPr>
        <w:t xml:space="preserve"> </w:t>
      </w:r>
      <w:r w:rsidR="00DC4ADC" w:rsidRPr="00985026">
        <w:rPr>
          <w:sz w:val="20"/>
          <w:lang w:val="en-GB"/>
        </w:rPr>
        <w:t>by</w:t>
      </w:r>
      <w:r w:rsidRPr="00985026">
        <w:rPr>
          <w:b/>
          <w:sz w:val="20"/>
          <w:lang w:val="en-GB"/>
        </w:rPr>
        <w:t xml:space="preserve"> EN </w:t>
      </w:r>
      <w:r w:rsidR="0040314D" w:rsidRPr="00985026">
        <w:rPr>
          <w:b/>
          <w:sz w:val="20"/>
          <w:lang w:val="en-GB"/>
        </w:rPr>
        <w:t xml:space="preserve">ISO 24431 </w:t>
      </w:r>
      <w:r w:rsidR="00D23C99" w:rsidRPr="00985026">
        <w:rPr>
          <w:b/>
          <w:sz w:val="20"/>
          <w:lang w:val="en-GB"/>
        </w:rPr>
        <w:t>[</w:t>
      </w:r>
      <w:r w:rsidRPr="00985026">
        <w:rPr>
          <w:b/>
          <w:sz w:val="20"/>
          <w:lang w:val="en-GB"/>
        </w:rPr>
        <w:t>201</w:t>
      </w:r>
      <w:r w:rsidR="000D549D" w:rsidRPr="00985026">
        <w:rPr>
          <w:b/>
          <w:sz w:val="20"/>
          <w:lang w:val="en-GB"/>
        </w:rPr>
        <w:t>6</w:t>
      </w:r>
      <w:r w:rsidR="00D23C99" w:rsidRPr="00985026">
        <w:rPr>
          <w:b/>
          <w:sz w:val="20"/>
          <w:lang w:val="en-GB"/>
        </w:rPr>
        <w:t>]</w:t>
      </w:r>
      <w:r w:rsidRPr="00985026">
        <w:rPr>
          <w:b/>
          <w:sz w:val="20"/>
          <w:lang w:val="en-GB"/>
        </w:rPr>
        <w:t xml:space="preserve">  </w:t>
      </w:r>
    </w:p>
    <w:p w14:paraId="7DE2602A" w14:textId="4681FCF5" w:rsidR="007F2F9B" w:rsidRPr="00985026" w:rsidRDefault="00C1541A" w:rsidP="00C1541A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F2F9B" w:rsidRPr="00985026">
        <w:rPr>
          <w:lang w:val="en-GB"/>
        </w:rPr>
        <w:t xml:space="preserve">Proposal </w:t>
      </w:r>
      <w:r w:rsidR="001A2B1F" w:rsidRPr="00985026">
        <w:rPr>
          <w:lang w:val="en-GB"/>
        </w:rPr>
        <w:t>2</w:t>
      </w:r>
    </w:p>
    <w:p w14:paraId="4E4F9D54" w14:textId="2728D7DD" w:rsidR="00360AB2" w:rsidRPr="00985026" w:rsidRDefault="00360AB2" w:rsidP="00C1541A">
      <w:pPr>
        <w:pStyle w:val="SingleTxtG"/>
        <w:rPr>
          <w:lang w:val="en-GB"/>
        </w:rPr>
      </w:pPr>
      <w:r w:rsidRPr="00985026">
        <w:rPr>
          <w:lang w:val="en-GB"/>
        </w:rPr>
        <w:t xml:space="preserve">In RID/ADR, 6.8.5.4 replace: EN 1252-1:2008 Cryogenic vessels - Materials - Part 1: Toughness requirements for temperatures below -80°C </w:t>
      </w:r>
    </w:p>
    <w:p w14:paraId="0B4166C8" w14:textId="5F536C04" w:rsidR="00360AB2" w:rsidRPr="00985026" w:rsidRDefault="00360AB2" w:rsidP="00C1541A">
      <w:pPr>
        <w:pStyle w:val="SingleTxtG"/>
        <w:rPr>
          <w:lang w:val="en-GB"/>
        </w:rPr>
      </w:pPr>
      <w:proofErr w:type="gramStart"/>
      <w:r w:rsidRPr="00985026">
        <w:rPr>
          <w:lang w:val="en-GB"/>
        </w:rPr>
        <w:t>by</w:t>
      </w:r>
      <w:proofErr w:type="gramEnd"/>
      <w:r w:rsidRPr="00985026">
        <w:rPr>
          <w:lang w:val="en-GB"/>
        </w:rPr>
        <w:t>:</w:t>
      </w:r>
    </w:p>
    <w:p w14:paraId="1E63C0C1" w14:textId="2C12D75C" w:rsidR="00360AB2" w:rsidRPr="00985026" w:rsidRDefault="00360AB2" w:rsidP="00C1541A">
      <w:pPr>
        <w:pStyle w:val="SingleTxtG"/>
        <w:rPr>
          <w:b/>
          <w:lang w:val="en-GB"/>
        </w:rPr>
      </w:pPr>
      <w:r w:rsidRPr="00985026">
        <w:rPr>
          <w:b/>
          <w:lang w:val="en-GB"/>
        </w:rPr>
        <w:t>EN ISO 21028-1</w:t>
      </w:r>
      <w:proofErr w:type="gramStart"/>
      <w:r w:rsidRPr="00985026">
        <w:rPr>
          <w:b/>
          <w:lang w:val="en-GB"/>
        </w:rPr>
        <w:t>:[</w:t>
      </w:r>
      <w:proofErr w:type="gramEnd"/>
      <w:r w:rsidRPr="00985026">
        <w:rPr>
          <w:b/>
          <w:lang w:val="en-GB"/>
        </w:rPr>
        <w:t xml:space="preserve">2016] Cryogenic vessels - Toughness requirements for materials at cryogenic temperature - Part 1: Temperatures below -80 degrees C </w:t>
      </w:r>
    </w:p>
    <w:p w14:paraId="69DCA4B5" w14:textId="133E9D34" w:rsidR="00360AB2" w:rsidRPr="00985026" w:rsidRDefault="00C1541A" w:rsidP="00C1541A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60AB2" w:rsidRPr="00985026">
        <w:rPr>
          <w:lang w:val="en-GB"/>
        </w:rPr>
        <w:t>Proposal 3</w:t>
      </w:r>
    </w:p>
    <w:p w14:paraId="709024B7" w14:textId="4A358BD5" w:rsidR="007F2F9B" w:rsidRPr="00985026" w:rsidRDefault="007F2F9B" w:rsidP="00D23C99">
      <w:pPr>
        <w:autoSpaceDE w:val="0"/>
        <w:autoSpaceDN w:val="0"/>
        <w:adjustRightInd w:val="0"/>
        <w:spacing w:after="120" w:line="240" w:lineRule="auto"/>
        <w:ind w:left="1134"/>
        <w:rPr>
          <w:sz w:val="20"/>
          <w:lang w:val="en-GB"/>
        </w:rPr>
      </w:pPr>
      <w:r w:rsidRPr="00985026">
        <w:rPr>
          <w:sz w:val="20"/>
          <w:lang w:val="en-GB"/>
        </w:rPr>
        <w:t>In RID/ADR, 6.2.4.1</w:t>
      </w:r>
      <w:r w:rsidR="0040624F" w:rsidRPr="00985026">
        <w:rPr>
          <w:sz w:val="20"/>
          <w:lang w:val="en-GB"/>
        </w:rPr>
        <w:t xml:space="preserve">: </w:t>
      </w:r>
    </w:p>
    <w:tbl>
      <w:tblPr>
        <w:tblW w:w="9185" w:type="dxa"/>
        <w:tblInd w:w="483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3459"/>
        <w:gridCol w:w="1502"/>
        <w:gridCol w:w="1371"/>
        <w:gridCol w:w="1436"/>
      </w:tblGrid>
      <w:tr w:rsidR="007F2F9B" w:rsidRPr="00D542F4" w14:paraId="7340B324" w14:textId="77777777" w:rsidTr="0077044D">
        <w:tc>
          <w:tcPr>
            <w:tcW w:w="1417" w:type="dxa"/>
            <w:shd w:val="clear" w:color="auto" w:fill="auto"/>
            <w:vAlign w:val="center"/>
          </w:tcPr>
          <w:p w14:paraId="64DD6B40" w14:textId="77777777" w:rsidR="007F2F9B" w:rsidRPr="00985026" w:rsidRDefault="007F2F9B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Reference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1D687050" w14:textId="77777777" w:rsidR="007F2F9B" w:rsidRPr="00985026" w:rsidRDefault="007F2F9B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Title of document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AA95C6B" w14:textId="77777777" w:rsidR="007F2F9B" w:rsidRPr="00985026" w:rsidRDefault="007F2F9B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Applicable sub-sections and paragraphs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E4B46EB" w14:textId="77777777" w:rsidR="007F2F9B" w:rsidRPr="00985026" w:rsidRDefault="007F2F9B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Applicable for new type approvals or for renewals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8EC7B3E" w14:textId="77777777" w:rsidR="007F2F9B" w:rsidRPr="00985026" w:rsidRDefault="007F2F9B" w:rsidP="00C1541A">
            <w:pPr>
              <w:keepNext/>
              <w:keepLines/>
              <w:suppressAutoHyphen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Latest date for withdrawal of existing type approvals</w:t>
            </w:r>
          </w:p>
        </w:tc>
      </w:tr>
      <w:tr w:rsidR="007F2F9B" w:rsidRPr="00985026" w14:paraId="23E64DD8" w14:textId="77777777" w:rsidTr="0077044D">
        <w:tc>
          <w:tcPr>
            <w:tcW w:w="1417" w:type="dxa"/>
            <w:shd w:val="clear" w:color="auto" w:fill="auto"/>
          </w:tcPr>
          <w:p w14:paraId="14256012" w14:textId="77777777" w:rsidR="007F2F9B" w:rsidRPr="00985026" w:rsidRDefault="007F2F9B" w:rsidP="00C1541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</w:rPr>
            </w:pPr>
            <w:r w:rsidRPr="00985026">
              <w:rPr>
                <w:rFonts w:eastAsia="MS Mincho"/>
                <w:bCs/>
                <w:sz w:val="20"/>
                <w:lang w:val="de-DE" w:eastAsia="de-DE"/>
              </w:rPr>
              <w:t>(1)</w:t>
            </w:r>
          </w:p>
        </w:tc>
        <w:tc>
          <w:tcPr>
            <w:tcW w:w="3459" w:type="dxa"/>
            <w:shd w:val="clear" w:color="auto" w:fill="auto"/>
          </w:tcPr>
          <w:p w14:paraId="78E34CE8" w14:textId="77777777" w:rsidR="007F2F9B" w:rsidRPr="00985026" w:rsidRDefault="007F2F9B" w:rsidP="00C1541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</w:rPr>
            </w:pPr>
            <w:r w:rsidRPr="00985026">
              <w:rPr>
                <w:rFonts w:eastAsia="MS Mincho"/>
                <w:bCs/>
                <w:sz w:val="20"/>
                <w:lang w:val="de-DE" w:eastAsia="de-DE"/>
              </w:rPr>
              <w:t>(2)</w:t>
            </w:r>
          </w:p>
        </w:tc>
        <w:tc>
          <w:tcPr>
            <w:tcW w:w="1502" w:type="dxa"/>
            <w:shd w:val="clear" w:color="auto" w:fill="auto"/>
          </w:tcPr>
          <w:p w14:paraId="430A4D3A" w14:textId="77777777" w:rsidR="007F2F9B" w:rsidRPr="009A15CB" w:rsidRDefault="007F2F9B" w:rsidP="00C1541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</w:rPr>
            </w:pPr>
            <w:r w:rsidRPr="00985026">
              <w:rPr>
                <w:rFonts w:eastAsia="MS Mincho"/>
                <w:bCs/>
                <w:sz w:val="20"/>
                <w:lang w:val="de-DE" w:eastAsia="de-DE"/>
              </w:rPr>
              <w:t>(3)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D41881A" w14:textId="77777777" w:rsidR="007F2F9B" w:rsidRPr="003104EE" w:rsidRDefault="007F2F9B" w:rsidP="00C1541A">
            <w:pPr>
              <w:keepNext/>
              <w:keepLine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3104EE">
              <w:rPr>
                <w:sz w:val="20"/>
                <w:lang w:val="en-US"/>
              </w:rPr>
              <w:t>(4)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60F4C13" w14:textId="77777777" w:rsidR="007F2F9B" w:rsidRPr="00985026" w:rsidRDefault="007F2F9B" w:rsidP="00C1541A">
            <w:pPr>
              <w:keepNext/>
              <w:keepLines/>
              <w:spacing w:before="60" w:after="60"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(5)</w:t>
            </w:r>
          </w:p>
        </w:tc>
      </w:tr>
      <w:tr w:rsidR="0040624F" w:rsidRPr="00985026" w14:paraId="3B178FA9" w14:textId="77777777" w:rsidTr="00985026">
        <w:tc>
          <w:tcPr>
            <w:tcW w:w="9185" w:type="dxa"/>
            <w:gridSpan w:val="5"/>
            <w:shd w:val="clear" w:color="auto" w:fill="auto"/>
          </w:tcPr>
          <w:p w14:paraId="3EC588A2" w14:textId="03423430" w:rsidR="0040624F" w:rsidRPr="00985026" w:rsidRDefault="0040624F" w:rsidP="00C1541A">
            <w:pPr>
              <w:keepNext/>
              <w:keepLines/>
              <w:spacing w:before="60" w:after="60" w:line="240" w:lineRule="auto"/>
              <w:rPr>
                <w:b/>
                <w:i/>
                <w:sz w:val="20"/>
                <w:lang w:val="en-US"/>
              </w:rPr>
            </w:pPr>
            <w:r w:rsidRPr="00985026">
              <w:rPr>
                <w:b/>
                <w:i/>
                <w:sz w:val="20"/>
                <w:lang w:val="en-US"/>
              </w:rPr>
              <w:t xml:space="preserve">for </w:t>
            </w:r>
            <w:r w:rsidR="00680114" w:rsidRPr="00985026">
              <w:rPr>
                <w:b/>
                <w:i/>
                <w:sz w:val="20"/>
                <w:lang w:val="en-US"/>
              </w:rPr>
              <w:t xml:space="preserve">design and </w:t>
            </w:r>
            <w:r w:rsidRPr="00985026">
              <w:rPr>
                <w:b/>
                <w:i/>
                <w:sz w:val="20"/>
                <w:lang w:val="en-US"/>
              </w:rPr>
              <w:t>construction</w:t>
            </w:r>
          </w:p>
        </w:tc>
      </w:tr>
      <w:tr w:rsidR="000B7556" w:rsidRPr="00985026" w14:paraId="7B05C7FF" w14:textId="77777777" w:rsidTr="0077044D">
        <w:tc>
          <w:tcPr>
            <w:tcW w:w="1417" w:type="dxa"/>
            <w:shd w:val="clear" w:color="auto" w:fill="auto"/>
          </w:tcPr>
          <w:p w14:paraId="266529EB" w14:textId="71FB672F" w:rsidR="000B7556" w:rsidRPr="00985026" w:rsidRDefault="000B7556" w:rsidP="00C1541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MS Mincho"/>
                <w:sz w:val="20"/>
                <w:lang w:val="de-DE" w:eastAsia="de-DE"/>
              </w:rPr>
            </w:pPr>
            <w:r w:rsidRPr="00985026">
              <w:rPr>
                <w:rFonts w:eastAsia="MS Mincho"/>
                <w:sz w:val="20"/>
                <w:lang w:val="de-DE" w:eastAsia="de-DE"/>
              </w:rPr>
              <w:t xml:space="preserve">EN </w:t>
            </w:r>
            <w:r w:rsidR="0040624F" w:rsidRPr="00985026">
              <w:rPr>
                <w:rFonts w:eastAsia="MS Mincho"/>
                <w:sz w:val="20"/>
                <w:lang w:val="de-DE" w:eastAsia="de-DE"/>
              </w:rPr>
              <w:t>ISO 11120:1999 + A1:2013</w:t>
            </w:r>
          </w:p>
        </w:tc>
        <w:tc>
          <w:tcPr>
            <w:tcW w:w="3459" w:type="dxa"/>
            <w:shd w:val="clear" w:color="auto" w:fill="auto"/>
          </w:tcPr>
          <w:p w14:paraId="1205D458" w14:textId="1DD8C5B2" w:rsidR="0040624F" w:rsidRPr="00985026" w:rsidRDefault="00680114" w:rsidP="00C1541A">
            <w:pPr>
              <w:autoSpaceDE w:val="0"/>
              <w:autoSpaceDN w:val="0"/>
              <w:adjustRightInd w:val="0"/>
              <w:spacing w:before="60" w:after="60" w:line="240" w:lineRule="auto"/>
              <w:rPr>
                <w:spacing w:val="-3"/>
                <w:sz w:val="20"/>
                <w:lang w:val="en-GB"/>
              </w:rPr>
            </w:pPr>
            <w:r w:rsidRPr="00985026">
              <w:rPr>
                <w:spacing w:val="-3"/>
                <w:sz w:val="20"/>
                <w:lang w:val="en-GB"/>
              </w:rPr>
              <w:t>G</w:t>
            </w:r>
            <w:r w:rsidR="0040624F" w:rsidRPr="00985026">
              <w:rPr>
                <w:spacing w:val="-3"/>
                <w:sz w:val="20"/>
                <w:lang w:val="en-GB"/>
              </w:rPr>
              <w:t>as cylinders - Refillable seamless steel tubes for compressed gas transport, of water capacity between 150 l and 3000 l - Design construction and testing</w:t>
            </w:r>
          </w:p>
        </w:tc>
        <w:tc>
          <w:tcPr>
            <w:tcW w:w="1502" w:type="dxa"/>
            <w:shd w:val="clear" w:color="auto" w:fill="auto"/>
          </w:tcPr>
          <w:p w14:paraId="04B001C0" w14:textId="4EDEF7BF" w:rsidR="000B7556" w:rsidRPr="009A15CB" w:rsidRDefault="00D542F4" w:rsidP="00C1541A">
            <w:pPr>
              <w:suppressAutoHyphens/>
              <w:spacing w:before="60" w:after="60" w:line="240" w:lineRule="auto"/>
              <w:jc w:val="center"/>
              <w:rPr>
                <w:bCs/>
                <w:sz w:val="20"/>
                <w:lang w:val="en-GB"/>
              </w:rPr>
            </w:pPr>
            <w:r>
              <w:t xml:space="preserve">6.2.3.1 </w:t>
            </w:r>
            <w:proofErr w:type="spellStart"/>
            <w:r>
              <w:t>and</w:t>
            </w:r>
            <w:proofErr w:type="spellEnd"/>
            <w:r>
              <w:t xml:space="preserve"> 6.2.3.4</w:t>
            </w:r>
            <w:r w:rsidR="000B7556" w:rsidRPr="009A15CB">
              <w:rPr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6F3FC4B1" w14:textId="39204741" w:rsidR="000B7556" w:rsidRPr="00985026" w:rsidRDefault="000B7556" w:rsidP="00C1541A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 w:rsidRPr="00D542F4">
              <w:rPr>
                <w:b/>
                <w:sz w:val="20"/>
                <w:lang w:val="en-GB"/>
              </w:rPr>
              <w:t>Between 1 January 20</w:t>
            </w:r>
            <w:r w:rsidR="0040624F" w:rsidRPr="00D542F4">
              <w:rPr>
                <w:b/>
                <w:sz w:val="20"/>
                <w:lang w:val="en-GB"/>
              </w:rPr>
              <w:t>1</w:t>
            </w:r>
            <w:r w:rsidRPr="00D542F4">
              <w:rPr>
                <w:b/>
                <w:sz w:val="20"/>
                <w:lang w:val="en-GB"/>
              </w:rPr>
              <w:t>5 and 31 December 20</w:t>
            </w:r>
            <w:r w:rsidR="0040624F" w:rsidRPr="00D542F4">
              <w:rPr>
                <w:b/>
                <w:sz w:val="20"/>
                <w:lang w:val="en-GB"/>
              </w:rPr>
              <w:t>20</w:t>
            </w:r>
          </w:p>
        </w:tc>
        <w:tc>
          <w:tcPr>
            <w:tcW w:w="1436" w:type="dxa"/>
            <w:shd w:val="clear" w:color="auto" w:fill="auto"/>
          </w:tcPr>
          <w:p w14:paraId="7C699F00" w14:textId="24516BC4" w:rsidR="000B7556" w:rsidRPr="00985026" w:rsidRDefault="000B7556" w:rsidP="00C1541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trike/>
                <w:sz w:val="20"/>
                <w:lang w:val="en-GB"/>
              </w:rPr>
            </w:pPr>
          </w:p>
        </w:tc>
      </w:tr>
      <w:tr w:rsidR="00B1765D" w:rsidRPr="00985026" w14:paraId="4C387C7C" w14:textId="77777777" w:rsidTr="0077044D">
        <w:tc>
          <w:tcPr>
            <w:tcW w:w="1417" w:type="dxa"/>
            <w:shd w:val="clear" w:color="auto" w:fill="auto"/>
          </w:tcPr>
          <w:p w14:paraId="27D66B5D" w14:textId="757CC26E" w:rsidR="00B1765D" w:rsidRPr="00D542F4" w:rsidRDefault="00B1765D" w:rsidP="00C1541A">
            <w:pPr>
              <w:keepNext/>
              <w:spacing w:before="60" w:after="60"/>
              <w:ind w:hanging="22"/>
              <w:rPr>
                <w:b/>
                <w:bCs/>
                <w:sz w:val="20"/>
                <w:lang w:val="en-GB"/>
              </w:rPr>
            </w:pPr>
            <w:r w:rsidRPr="00D542F4">
              <w:rPr>
                <w:b/>
                <w:bCs/>
                <w:sz w:val="20"/>
                <w:lang w:val="en-GB"/>
              </w:rPr>
              <w:t>EN ISO 111</w:t>
            </w:r>
            <w:r w:rsidR="0040624F" w:rsidRPr="00D542F4">
              <w:rPr>
                <w:b/>
                <w:bCs/>
                <w:sz w:val="20"/>
                <w:lang w:val="en-GB"/>
              </w:rPr>
              <w:t>20</w:t>
            </w:r>
            <w:r w:rsidRPr="00D542F4">
              <w:rPr>
                <w:b/>
                <w:bCs/>
                <w:sz w:val="20"/>
                <w:lang w:val="en-GB"/>
              </w:rPr>
              <w:t>:2015</w:t>
            </w:r>
          </w:p>
        </w:tc>
        <w:tc>
          <w:tcPr>
            <w:tcW w:w="3459" w:type="dxa"/>
            <w:shd w:val="clear" w:color="auto" w:fill="auto"/>
          </w:tcPr>
          <w:p w14:paraId="67E18DA6" w14:textId="4E3BE454" w:rsidR="00B1765D" w:rsidRPr="00D542F4" w:rsidRDefault="0040624F" w:rsidP="00C1541A">
            <w:pPr>
              <w:keepNext/>
              <w:spacing w:before="60" w:after="60"/>
              <w:ind w:hanging="22"/>
              <w:rPr>
                <w:b/>
                <w:bCs/>
                <w:sz w:val="20"/>
                <w:lang w:val="en-GB"/>
              </w:rPr>
            </w:pPr>
            <w:r w:rsidRPr="00D542F4">
              <w:rPr>
                <w:b/>
                <w:bCs/>
                <w:sz w:val="20"/>
                <w:lang w:val="en-GB"/>
              </w:rPr>
              <w:t xml:space="preserve">Gas cylinders - Refillable seamless steel tubes of water capacity between 150 l and 3000 l - Design, construction and testing </w:t>
            </w:r>
          </w:p>
        </w:tc>
        <w:tc>
          <w:tcPr>
            <w:tcW w:w="1502" w:type="dxa"/>
            <w:shd w:val="clear" w:color="auto" w:fill="auto"/>
          </w:tcPr>
          <w:p w14:paraId="5304025A" w14:textId="5934C6BC" w:rsidR="00B1765D" w:rsidRPr="00985026" w:rsidRDefault="00D542F4" w:rsidP="00C1541A">
            <w:pPr>
              <w:suppressAutoHyphens/>
              <w:spacing w:before="60" w:after="60" w:line="240" w:lineRule="auto"/>
              <w:jc w:val="center"/>
              <w:rPr>
                <w:b/>
                <w:bCs/>
                <w:sz w:val="20"/>
                <w:lang w:val="en-GB"/>
              </w:rPr>
            </w:pPr>
            <w:r w:rsidRPr="00D542F4">
              <w:rPr>
                <w:b/>
                <w:bCs/>
                <w:sz w:val="20"/>
                <w:lang w:val="en-GB"/>
              </w:rPr>
              <w:t>6.2.3.1 and 6.2.3.4</w:t>
            </w:r>
          </w:p>
        </w:tc>
        <w:tc>
          <w:tcPr>
            <w:tcW w:w="1371" w:type="dxa"/>
            <w:shd w:val="clear" w:color="auto" w:fill="auto"/>
          </w:tcPr>
          <w:p w14:paraId="5BDB29DC" w14:textId="76FEBE3D" w:rsidR="00B1765D" w:rsidRPr="003104EE" w:rsidRDefault="00B1765D" w:rsidP="00C1541A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 w:rsidRPr="00985026">
              <w:rPr>
                <w:b/>
                <w:sz w:val="20"/>
                <w:lang w:val="en-GB"/>
              </w:rPr>
              <w:t>Until further notice</w:t>
            </w:r>
          </w:p>
        </w:tc>
        <w:tc>
          <w:tcPr>
            <w:tcW w:w="1436" w:type="dxa"/>
            <w:shd w:val="clear" w:color="auto" w:fill="auto"/>
          </w:tcPr>
          <w:p w14:paraId="01E1BDBC" w14:textId="77777777" w:rsidR="00B1765D" w:rsidRPr="00985026" w:rsidRDefault="00B1765D" w:rsidP="00C1541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trike/>
                <w:sz w:val="20"/>
                <w:lang w:val="en-GB"/>
              </w:rPr>
            </w:pPr>
          </w:p>
        </w:tc>
      </w:tr>
    </w:tbl>
    <w:p w14:paraId="48299373" w14:textId="36B2A27C" w:rsidR="00A1352D" w:rsidRPr="00985026" w:rsidRDefault="00F04FA0" w:rsidP="00C1541A">
      <w:pPr>
        <w:pStyle w:val="H1G"/>
        <w:rPr>
          <w:lang w:val="en-GB"/>
        </w:rPr>
      </w:pPr>
      <w:r w:rsidRPr="00985026">
        <w:rPr>
          <w:sz w:val="20"/>
          <w:lang w:val="en-GB"/>
        </w:rPr>
        <w:tab/>
      </w:r>
      <w:r w:rsidRPr="00985026">
        <w:rPr>
          <w:sz w:val="20"/>
          <w:lang w:val="en-GB"/>
        </w:rPr>
        <w:tab/>
      </w:r>
      <w:r w:rsidR="000B6ED6" w:rsidRPr="00985026">
        <w:rPr>
          <w:lang w:val="en-GB"/>
        </w:rPr>
        <w:t>Proposal 4</w:t>
      </w:r>
    </w:p>
    <w:p w14:paraId="05004841" w14:textId="76C6349A" w:rsidR="000B6ED6" w:rsidRPr="00985026" w:rsidRDefault="000B6ED6" w:rsidP="00C1541A">
      <w:pPr>
        <w:pStyle w:val="SingleTxtG"/>
        <w:rPr>
          <w:lang w:val="en-GB"/>
        </w:rPr>
      </w:pPr>
      <w:r w:rsidRPr="00985026">
        <w:rPr>
          <w:lang w:val="en-GB"/>
        </w:rPr>
        <w:t xml:space="preserve">The Joint Meeting Working Group Standard supported the proposal as given </w:t>
      </w:r>
      <w:proofErr w:type="gramStart"/>
      <w:r w:rsidRPr="00985026">
        <w:rPr>
          <w:lang w:val="en-GB"/>
        </w:rPr>
        <w:t>in  ECE</w:t>
      </w:r>
      <w:proofErr w:type="gramEnd"/>
      <w:r w:rsidRPr="00985026">
        <w:rPr>
          <w:lang w:val="en-GB"/>
        </w:rPr>
        <w:t>/TRANS/WP.15/AC.1/2016/38 (ECMA).</w:t>
      </w:r>
    </w:p>
    <w:p w14:paraId="19E1F652" w14:textId="0E7AAE02" w:rsidR="002350BC" w:rsidRPr="00D542F4" w:rsidRDefault="00CB34EF" w:rsidP="00C1541A">
      <w:pPr>
        <w:pStyle w:val="SingleTxtG"/>
        <w:rPr>
          <w:lang w:val="en-GB"/>
        </w:rPr>
      </w:pPr>
      <w:r w:rsidRPr="00D542F4">
        <w:rPr>
          <w:lang w:val="en-GB"/>
        </w:rPr>
        <w:t>The new text proposed by ECMA is shown underlined in the French version (INF. 11) and</w:t>
      </w:r>
      <w:r w:rsidR="00985026">
        <w:rPr>
          <w:lang w:val="en-GB"/>
        </w:rPr>
        <w:t xml:space="preserve"> in the German version;</w:t>
      </w:r>
      <w:r w:rsidRPr="00D542F4">
        <w:rPr>
          <w:lang w:val="en-GB"/>
        </w:rPr>
        <w:t xml:space="preserve"> this is correct. In </w:t>
      </w:r>
      <w:r w:rsidR="00985026">
        <w:rPr>
          <w:lang w:val="en-GB"/>
        </w:rPr>
        <w:t xml:space="preserve">the English version of </w:t>
      </w:r>
      <w:r w:rsidRPr="00D542F4">
        <w:rPr>
          <w:lang w:val="en-GB"/>
        </w:rPr>
        <w:t>paper 2016/38 the final sentence of the proposal should be shown underlined.</w:t>
      </w:r>
    </w:p>
    <w:p w14:paraId="59806775" w14:textId="4158E8AB" w:rsidR="00CB34EF" w:rsidRPr="00D542F4" w:rsidRDefault="00CB34EF" w:rsidP="00C1541A">
      <w:pPr>
        <w:pStyle w:val="SingleTxtG"/>
        <w:rPr>
          <w:lang w:val="en-GB"/>
        </w:rPr>
      </w:pPr>
      <w:r w:rsidRPr="00D542F4">
        <w:rPr>
          <w:lang w:val="en-GB"/>
        </w:rPr>
        <w:lastRenderedPageBreak/>
        <w:t>For the avoida</w:t>
      </w:r>
      <w:bookmarkStart w:id="0" w:name="_GoBack"/>
      <w:bookmarkEnd w:id="0"/>
      <w:r w:rsidRPr="00D542F4">
        <w:rPr>
          <w:lang w:val="en-GB"/>
        </w:rPr>
        <w:t>nce of doubt the corrected proposal is shown as follows:</w:t>
      </w:r>
    </w:p>
    <w:p w14:paraId="7FF050CE" w14:textId="033296DE" w:rsidR="00CB34EF" w:rsidRPr="00D542F4" w:rsidRDefault="00CB34EF" w:rsidP="00C1541A">
      <w:pPr>
        <w:pStyle w:val="SingleTxtG"/>
        <w:rPr>
          <w:u w:val="single"/>
          <w:lang w:val="en-GB"/>
        </w:rPr>
      </w:pPr>
      <w:r w:rsidRPr="00D542F4">
        <w:rPr>
          <w:lang w:val="en-GB"/>
        </w:rPr>
        <w:t xml:space="preserve">- for UN No. 2037 small receptacles containing gas (gas cartridges) containing non-toxic, non-flammable compressed or liquefied gases: EN 16509:2014 Transportable gas cylinders – Non-refillable, small transportable, steel cylinders of capacities up to and including 120 ml containing compressed or liquefied gases (compact cylinders) – Design, construction, filling and testing, </w:t>
      </w:r>
      <w:r w:rsidRPr="00D542F4">
        <w:rPr>
          <w:strike/>
          <w:lang w:val="en-GB"/>
        </w:rPr>
        <w:t>excluding clause 9</w:t>
      </w:r>
      <w:r w:rsidRPr="00D542F4">
        <w:rPr>
          <w:lang w:val="en-GB"/>
        </w:rPr>
        <w:t xml:space="preserve">. </w:t>
      </w:r>
      <w:r w:rsidRPr="00D542F4">
        <w:rPr>
          <w:u w:val="single"/>
          <w:lang w:val="en-GB"/>
        </w:rPr>
        <w:t>In addition to the marks required by this standard the gas cartridge shall be marked “UN 2037/EN 16509” and the outer packaging shall bear the limited quantities mark specified in 3.4.7</w:t>
      </w:r>
    </w:p>
    <w:p w14:paraId="7E0A7006" w14:textId="3E04575B" w:rsidR="00276C52" w:rsidRPr="00985026" w:rsidRDefault="00C1541A" w:rsidP="00C1541A">
      <w:pPr>
        <w:pStyle w:val="H1G"/>
        <w:rPr>
          <w:b w:val="0"/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931CD1" w:rsidRPr="00985026">
        <w:rPr>
          <w:sz w:val="20"/>
          <w:lang w:val="en-GB"/>
        </w:rPr>
        <w:t xml:space="preserve">5. </w:t>
      </w:r>
      <w:r w:rsidR="00931CD1" w:rsidRPr="00985026">
        <w:rPr>
          <w:sz w:val="20"/>
          <w:lang w:val="en-GB"/>
        </w:rPr>
        <w:tab/>
        <w:t>General remarks</w:t>
      </w:r>
      <w:r w:rsidR="00941C24" w:rsidRPr="00985026">
        <w:rPr>
          <w:sz w:val="20"/>
          <w:lang w:val="en-GB"/>
        </w:rPr>
        <w:tab/>
      </w:r>
      <w:r w:rsidR="00941C24" w:rsidRPr="00985026">
        <w:rPr>
          <w:sz w:val="20"/>
          <w:lang w:val="en-GB"/>
        </w:rPr>
        <w:tab/>
      </w:r>
      <w:r w:rsidR="00AC6CD9" w:rsidRPr="00985026">
        <w:rPr>
          <w:sz w:val="20"/>
          <w:lang w:val="en-GB"/>
        </w:rPr>
        <w:t xml:space="preserve"> </w:t>
      </w:r>
    </w:p>
    <w:p w14:paraId="7178A0CB" w14:textId="32101643" w:rsidR="00E20AF4" w:rsidRPr="00985026" w:rsidRDefault="00C1541A" w:rsidP="00C1541A">
      <w:pPr>
        <w:pStyle w:val="H1G"/>
        <w:rPr>
          <w:b w:val="0"/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931CD1" w:rsidRPr="00985026">
        <w:rPr>
          <w:sz w:val="20"/>
          <w:lang w:val="en-GB"/>
        </w:rPr>
        <w:t>5.</w:t>
      </w:r>
      <w:r w:rsidR="00D470FF" w:rsidRPr="00985026">
        <w:rPr>
          <w:sz w:val="20"/>
          <w:lang w:val="en-GB"/>
        </w:rPr>
        <w:t>1</w:t>
      </w:r>
      <w:r w:rsidR="00931CD1" w:rsidRPr="00985026">
        <w:rPr>
          <w:sz w:val="20"/>
          <w:lang w:val="en-GB"/>
        </w:rPr>
        <w:tab/>
      </w:r>
      <w:r w:rsidR="00941C24" w:rsidRPr="00985026">
        <w:rPr>
          <w:sz w:val="20"/>
          <w:lang w:val="en-GB"/>
        </w:rPr>
        <w:t>Standards for which a reference was refused:</w:t>
      </w:r>
    </w:p>
    <w:p w14:paraId="6394B0A1" w14:textId="6C9AF1E9" w:rsidR="00466AA6" w:rsidRPr="00985026" w:rsidRDefault="00466AA6" w:rsidP="00C1541A">
      <w:pPr>
        <w:pStyle w:val="SingleTxtG"/>
        <w:rPr>
          <w:lang w:val="en-GB"/>
        </w:rPr>
      </w:pPr>
      <w:r w:rsidRPr="00985026">
        <w:rPr>
          <w:lang w:val="en-GB"/>
        </w:rPr>
        <w:t xml:space="preserve">Following the decision made at the Joint meeting in March not to reference </w:t>
      </w:r>
      <w:proofErr w:type="spellStart"/>
      <w:r w:rsidR="00A80B30" w:rsidRPr="007A6CC4">
        <w:rPr>
          <w:lang w:val="en-GB"/>
        </w:rPr>
        <w:t>FprEN</w:t>
      </w:r>
      <w:proofErr w:type="spellEnd"/>
      <w:r w:rsidR="00A80B30" w:rsidRPr="007A6CC4">
        <w:rPr>
          <w:lang w:val="en-GB"/>
        </w:rPr>
        <w:t xml:space="preserve"> ISO 21029-2</w:t>
      </w:r>
      <w:r w:rsidR="007C0261" w:rsidRPr="007A6CC4">
        <w:rPr>
          <w:lang w:val="en-GB"/>
        </w:rPr>
        <w:t>:</w:t>
      </w:r>
      <w:r w:rsidR="00A80B30" w:rsidRPr="007A6CC4">
        <w:rPr>
          <w:lang w:val="en-GB"/>
        </w:rPr>
        <w:t>2015 ‘Cryogenic vessels - Transportable vacuum insulated vessels of not more than 1 000 litres volume - Part 2: Operational requirements’</w:t>
      </w:r>
      <w:r w:rsidRPr="00985026">
        <w:rPr>
          <w:lang w:val="en-GB"/>
        </w:rPr>
        <w:t>, the retention of EN 1251-3:2000 was questioned.</w:t>
      </w:r>
      <w:r w:rsidR="00323FB5" w:rsidRPr="00985026">
        <w:rPr>
          <w:lang w:val="en-GB"/>
        </w:rPr>
        <w:t xml:space="preserve"> </w:t>
      </w:r>
      <w:r w:rsidRPr="00985026">
        <w:rPr>
          <w:lang w:val="en-GB"/>
        </w:rPr>
        <w:t>The working groups is awaiting a recommendation from EIGA</w:t>
      </w:r>
    </w:p>
    <w:p w14:paraId="03BC7D72" w14:textId="50F385AC" w:rsidR="00A80B30" w:rsidRPr="00985026" w:rsidRDefault="00A80B30" w:rsidP="00C1541A">
      <w:pPr>
        <w:pStyle w:val="SingleTxtG"/>
        <w:rPr>
          <w:lang w:val="en-GB"/>
        </w:rPr>
      </w:pPr>
      <w:r w:rsidRPr="00985026">
        <w:rPr>
          <w:lang w:val="en-GB"/>
        </w:rPr>
        <w:t>The following standards are not recommended for reference as they are support standards</w:t>
      </w:r>
      <w:r w:rsidR="004C6BE4" w:rsidRPr="00985026">
        <w:rPr>
          <w:lang w:val="en-GB"/>
        </w:rPr>
        <w:t>,</w:t>
      </w:r>
      <w:r w:rsidRPr="00985026">
        <w:rPr>
          <w:lang w:val="en-GB"/>
        </w:rPr>
        <w:t xml:space="preserve"> </w:t>
      </w:r>
      <w:r w:rsidR="004C6BE4" w:rsidRPr="00985026">
        <w:rPr>
          <w:lang w:val="en-GB"/>
        </w:rPr>
        <w:t>i.e.</w:t>
      </w:r>
      <w:r w:rsidR="007238D3" w:rsidRPr="00985026">
        <w:rPr>
          <w:lang w:val="en-GB"/>
        </w:rPr>
        <w:t xml:space="preserve"> they are not directly supporting requirements of RID</w:t>
      </w:r>
      <w:r w:rsidR="008732DB" w:rsidRPr="00985026">
        <w:rPr>
          <w:lang w:val="en-GB"/>
        </w:rPr>
        <w:t>/</w:t>
      </w:r>
      <w:r w:rsidR="007238D3" w:rsidRPr="00985026">
        <w:rPr>
          <w:lang w:val="en-GB"/>
        </w:rPr>
        <w:t>ADR:</w:t>
      </w:r>
    </w:p>
    <w:p w14:paraId="4964A201" w14:textId="3155D8C8" w:rsidR="00B41369" w:rsidRPr="00985026" w:rsidRDefault="00B41369" w:rsidP="00C1541A">
      <w:pPr>
        <w:pStyle w:val="SingleTxtG"/>
        <w:rPr>
          <w:lang w:val="en-GB"/>
        </w:rPr>
      </w:pPr>
      <w:proofErr w:type="spellStart"/>
      <w:proofErr w:type="gramStart"/>
      <w:r w:rsidRPr="00985026">
        <w:rPr>
          <w:lang w:val="en-GB"/>
        </w:rPr>
        <w:t>prEN</w:t>
      </w:r>
      <w:proofErr w:type="spellEnd"/>
      <w:proofErr w:type="gramEnd"/>
      <w:r w:rsidRPr="00985026">
        <w:rPr>
          <w:lang w:val="en-GB"/>
        </w:rPr>
        <w:t xml:space="preserve"> ISO:DIS 13769:2016 ‘Gas cylinders – Stamp Marking’</w:t>
      </w:r>
    </w:p>
    <w:p w14:paraId="456A4C72" w14:textId="08A16D3F" w:rsidR="00B41369" w:rsidRPr="00985026" w:rsidRDefault="00B41369" w:rsidP="00C1541A">
      <w:pPr>
        <w:pStyle w:val="SingleTxtG"/>
        <w:rPr>
          <w:lang w:val="en-GB"/>
        </w:rPr>
      </w:pPr>
      <w:proofErr w:type="spellStart"/>
      <w:proofErr w:type="gramStart"/>
      <w:r w:rsidRPr="00985026">
        <w:rPr>
          <w:lang w:val="en-GB"/>
        </w:rPr>
        <w:t>prEN</w:t>
      </w:r>
      <w:proofErr w:type="spellEnd"/>
      <w:proofErr w:type="gramEnd"/>
      <w:r w:rsidRPr="00985026">
        <w:rPr>
          <w:lang w:val="en-GB"/>
        </w:rPr>
        <w:t xml:space="preserve"> 14564:2013/prA1 ‘Tanks for transport of dangerous goods – Terminology’</w:t>
      </w:r>
    </w:p>
    <w:p w14:paraId="48FA21D5" w14:textId="2E109D52" w:rsidR="00466AA6" w:rsidRPr="00985026" w:rsidRDefault="00466AA6" w:rsidP="00C1541A">
      <w:pPr>
        <w:pStyle w:val="SingleTxtG"/>
        <w:rPr>
          <w:lang w:val="en-GB"/>
        </w:rPr>
      </w:pPr>
      <w:r w:rsidRPr="00985026">
        <w:rPr>
          <w:lang w:val="en-GB"/>
        </w:rPr>
        <w:t xml:space="preserve">For </w:t>
      </w:r>
      <w:proofErr w:type="spellStart"/>
      <w:r w:rsidRPr="00985026">
        <w:rPr>
          <w:lang w:val="en-GB"/>
        </w:rPr>
        <w:t>prEN</w:t>
      </w:r>
      <w:proofErr w:type="spellEnd"/>
      <w:r w:rsidRPr="00985026">
        <w:rPr>
          <w:lang w:val="en-GB"/>
        </w:rPr>
        <w:t xml:space="preserve"> ISO 20421</w:t>
      </w:r>
      <w:r w:rsidR="00127E0B" w:rsidRPr="00985026">
        <w:rPr>
          <w:lang w:val="en-GB"/>
        </w:rPr>
        <w:t>-2</w:t>
      </w:r>
      <w:r w:rsidRPr="00985026">
        <w:rPr>
          <w:lang w:val="en-GB"/>
        </w:rPr>
        <w:t>:2016</w:t>
      </w:r>
      <w:r w:rsidR="00127E0B" w:rsidRPr="00985026">
        <w:rPr>
          <w:lang w:val="en-GB"/>
        </w:rPr>
        <w:t>, the majority of the requirements are not related to transport</w:t>
      </w:r>
      <w:r w:rsidR="00323FB5" w:rsidRPr="00985026">
        <w:rPr>
          <w:lang w:val="en-GB"/>
        </w:rPr>
        <w:t xml:space="preserve"> </w:t>
      </w:r>
      <w:r w:rsidR="00127E0B" w:rsidRPr="00985026">
        <w:rPr>
          <w:lang w:val="en-GB"/>
        </w:rPr>
        <w:t xml:space="preserve">and merely repeat requirements of the legislation for periodic inspection testing therefore the standard WG is of </w:t>
      </w:r>
      <w:proofErr w:type="spellStart"/>
      <w:r w:rsidR="00127E0B" w:rsidRPr="00985026">
        <w:rPr>
          <w:lang w:val="en-GB"/>
        </w:rPr>
        <w:t>te</w:t>
      </w:r>
      <w:proofErr w:type="spellEnd"/>
      <w:r w:rsidR="00127E0B" w:rsidRPr="00985026">
        <w:rPr>
          <w:lang w:val="en-GB"/>
        </w:rPr>
        <w:t xml:space="preserve"> opinion there is no need to refer to in RIDADR</w:t>
      </w:r>
      <w:r w:rsidR="00323FB5" w:rsidRPr="00985026">
        <w:rPr>
          <w:lang w:val="en-GB"/>
        </w:rPr>
        <w:t>.</w:t>
      </w:r>
    </w:p>
    <w:p w14:paraId="2CDCEA10" w14:textId="6D9538FD" w:rsidR="000B6ED6" w:rsidRPr="00985026" w:rsidRDefault="00C1541A" w:rsidP="00C1541A">
      <w:pPr>
        <w:pStyle w:val="H1G"/>
        <w:rPr>
          <w:b w:val="0"/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0B6ED6" w:rsidRPr="00985026">
        <w:rPr>
          <w:sz w:val="20"/>
          <w:lang w:val="en-GB"/>
        </w:rPr>
        <w:t xml:space="preserve">5.2 </w:t>
      </w:r>
      <w:r w:rsidR="000B6ED6" w:rsidRPr="00985026">
        <w:rPr>
          <w:sz w:val="20"/>
          <w:lang w:val="en-GB"/>
        </w:rPr>
        <w:tab/>
        <w:t>Terminology question (‘vessels’)</w:t>
      </w:r>
    </w:p>
    <w:p w14:paraId="3D38E501" w14:textId="38A0826B" w:rsidR="000B6ED6" w:rsidRPr="00D542F4" w:rsidRDefault="000B6ED6" w:rsidP="00C1541A">
      <w:pPr>
        <w:pStyle w:val="SingleTxtG"/>
        <w:rPr>
          <w:i/>
          <w:lang w:val="en-US"/>
        </w:rPr>
      </w:pPr>
      <w:r w:rsidRPr="00985026">
        <w:rPr>
          <w:lang w:val="en-GB"/>
        </w:rPr>
        <w:t>On the terminology question raised by Romania on the</w:t>
      </w:r>
      <w:r w:rsidR="00985026">
        <w:rPr>
          <w:lang w:val="en-GB"/>
        </w:rPr>
        <w:t xml:space="preserve"> use of the word </w:t>
      </w:r>
      <w:r w:rsidR="007A6CC4">
        <w:rPr>
          <w:lang w:val="en-GB"/>
        </w:rPr>
        <w:t>‘</w:t>
      </w:r>
      <w:r w:rsidR="00985026">
        <w:rPr>
          <w:lang w:val="en-GB"/>
        </w:rPr>
        <w:t>vessel</w:t>
      </w:r>
      <w:r w:rsidR="00985026" w:rsidRPr="00985026">
        <w:rPr>
          <w:lang w:val="en-GB"/>
        </w:rPr>
        <w:t>’</w:t>
      </w:r>
      <w:r w:rsidR="00985026">
        <w:rPr>
          <w:lang w:val="en-GB"/>
        </w:rPr>
        <w:t xml:space="preserve"> in standards</w:t>
      </w:r>
      <w:r w:rsidRPr="00985026">
        <w:rPr>
          <w:lang w:val="en-GB"/>
        </w:rPr>
        <w:t xml:space="preserve">, the Joint Meeting Working Group </w:t>
      </w:r>
      <w:r w:rsidR="00985026">
        <w:rPr>
          <w:lang w:val="en-GB"/>
        </w:rPr>
        <w:t xml:space="preserve">on </w:t>
      </w:r>
      <w:r w:rsidRPr="00985026">
        <w:rPr>
          <w:lang w:val="en-GB"/>
        </w:rPr>
        <w:t>Standard</w:t>
      </w:r>
      <w:r w:rsidR="00985026">
        <w:rPr>
          <w:lang w:val="en-GB"/>
        </w:rPr>
        <w:t>s</w:t>
      </w:r>
      <w:r w:rsidRPr="00985026">
        <w:rPr>
          <w:lang w:val="en-GB"/>
        </w:rPr>
        <w:t xml:space="preserve"> investigated </w:t>
      </w:r>
      <w:r w:rsidR="00985026">
        <w:rPr>
          <w:lang w:val="en-GB"/>
        </w:rPr>
        <w:t>the UN Model Regulations</w:t>
      </w:r>
      <w:r w:rsidR="009A15CB">
        <w:rPr>
          <w:lang w:val="en-GB"/>
        </w:rPr>
        <w:t>.  It</w:t>
      </w:r>
      <w:r w:rsidRPr="00985026">
        <w:rPr>
          <w:lang w:val="en-GB"/>
        </w:rPr>
        <w:t xml:space="preserve"> found </w:t>
      </w:r>
      <w:r w:rsidR="009A15CB">
        <w:rPr>
          <w:lang w:val="en-GB"/>
        </w:rPr>
        <w:t xml:space="preserve">that </w:t>
      </w:r>
      <w:r w:rsidR="00985026">
        <w:rPr>
          <w:lang w:val="en-GB"/>
        </w:rPr>
        <w:t xml:space="preserve">despite the definition of ‘vessel’ the word is also used there in its alternative sense </w:t>
      </w:r>
      <w:r w:rsidR="007A6CC4">
        <w:rPr>
          <w:lang w:val="en-GB"/>
        </w:rPr>
        <w:t>as in ‘pressure vessel code’</w:t>
      </w:r>
      <w:r w:rsidR="00985026">
        <w:rPr>
          <w:lang w:val="en-GB"/>
        </w:rPr>
        <w:t xml:space="preserve"> and in the definition </w:t>
      </w:r>
      <w:r w:rsidR="007A6CC4">
        <w:rPr>
          <w:lang w:val="en-GB"/>
        </w:rPr>
        <w:t>‘</w:t>
      </w:r>
      <w:r w:rsidR="00985026">
        <w:rPr>
          <w:i/>
          <w:lang w:val="en-GB"/>
        </w:rPr>
        <w:t>Receptacle</w:t>
      </w:r>
      <w:r w:rsidR="00985026" w:rsidRPr="00985026">
        <w:rPr>
          <w:i/>
          <w:lang w:val="en-US"/>
        </w:rPr>
        <w:t xml:space="preserve"> </w:t>
      </w:r>
      <w:r w:rsidR="00985026" w:rsidRPr="00D542F4">
        <w:rPr>
          <w:lang w:val="en-US"/>
        </w:rPr>
        <w:t xml:space="preserve">means a containment vessel for receiving </w:t>
      </w:r>
      <w:r w:rsidR="007A6CC4" w:rsidRPr="00D542F4">
        <w:rPr>
          <w:lang w:val="en-US"/>
        </w:rPr>
        <w:t>…</w:t>
      </w:r>
      <w:proofErr w:type="gramStart"/>
      <w:r w:rsidR="007A6CC4" w:rsidRPr="00D542F4">
        <w:rPr>
          <w:lang w:val="en-US"/>
        </w:rPr>
        <w:t>’.</w:t>
      </w:r>
      <w:proofErr w:type="gramEnd"/>
      <w:r w:rsidR="007A6CC4" w:rsidRPr="00D542F4">
        <w:rPr>
          <w:lang w:val="en-US"/>
        </w:rPr>
        <w:t xml:space="preserve">  Thus,</w:t>
      </w:r>
      <w:r w:rsidRPr="00985026">
        <w:rPr>
          <w:lang w:val="en-GB"/>
        </w:rPr>
        <w:t xml:space="preserve"> there are two </w:t>
      </w:r>
      <w:r w:rsidR="007A6CC4" w:rsidRPr="00985026">
        <w:rPr>
          <w:lang w:val="en-GB"/>
        </w:rPr>
        <w:t>well-established</w:t>
      </w:r>
      <w:r w:rsidRPr="00985026">
        <w:rPr>
          <w:lang w:val="en-GB"/>
        </w:rPr>
        <w:t xml:space="preserve"> meaning</w:t>
      </w:r>
      <w:r w:rsidR="009A15CB">
        <w:rPr>
          <w:lang w:val="en-GB"/>
        </w:rPr>
        <w:t>s</w:t>
      </w:r>
      <w:r w:rsidRPr="00985026">
        <w:rPr>
          <w:lang w:val="en-GB"/>
        </w:rPr>
        <w:t xml:space="preserve"> of the word ‘</w:t>
      </w:r>
      <w:r w:rsidR="007A6CC4">
        <w:rPr>
          <w:lang w:val="en-GB"/>
        </w:rPr>
        <w:t>vessel</w:t>
      </w:r>
      <w:r w:rsidR="007A6CC4" w:rsidRPr="00985026">
        <w:rPr>
          <w:lang w:val="en-GB"/>
        </w:rPr>
        <w:t xml:space="preserve">’ </w:t>
      </w:r>
      <w:r w:rsidRPr="00985026">
        <w:rPr>
          <w:lang w:val="en-GB"/>
        </w:rPr>
        <w:t xml:space="preserve">in the English language </w:t>
      </w:r>
      <w:r w:rsidR="00CB34EF" w:rsidRPr="00985026">
        <w:rPr>
          <w:lang w:val="en-GB"/>
        </w:rPr>
        <w:t>including in the UN Model Regulations</w:t>
      </w:r>
      <w:r w:rsidR="00E1392D">
        <w:rPr>
          <w:lang w:val="en-GB"/>
        </w:rPr>
        <w:t>.</w:t>
      </w:r>
      <w:r w:rsidR="007A6CC4">
        <w:rPr>
          <w:lang w:val="en-GB"/>
        </w:rPr>
        <w:t xml:space="preserve"> Furthermore, many standard </w:t>
      </w:r>
      <w:proofErr w:type="spellStart"/>
      <w:r w:rsidR="007A6CC4">
        <w:rPr>
          <w:lang w:val="en-GB"/>
        </w:rPr>
        <w:t>standard</w:t>
      </w:r>
      <w:proofErr w:type="spellEnd"/>
      <w:r w:rsidR="007A6CC4">
        <w:rPr>
          <w:lang w:val="en-GB"/>
        </w:rPr>
        <w:t xml:space="preserve"> titles start with the words ‘Cryogenic vessels’ because this is the name of the responsible committee which creates standards for static storage </w:t>
      </w:r>
      <w:r w:rsidR="009A15CB">
        <w:rPr>
          <w:lang w:val="en-GB"/>
        </w:rPr>
        <w:t xml:space="preserve">as well as </w:t>
      </w:r>
      <w:r w:rsidR="00E1392D">
        <w:rPr>
          <w:lang w:val="en-GB"/>
        </w:rPr>
        <w:t xml:space="preserve">for </w:t>
      </w:r>
      <w:r w:rsidR="009A15CB">
        <w:rPr>
          <w:lang w:val="en-GB"/>
        </w:rPr>
        <w:t>transportable equipment.  The working group concluded that the use of ‘vessel’ was sustainable since in practice the dual meaning had not lead to confusion.</w:t>
      </w:r>
      <w:r w:rsidR="007A6CC4">
        <w:rPr>
          <w:lang w:val="en-GB"/>
        </w:rPr>
        <w:t xml:space="preserve"> </w:t>
      </w:r>
    </w:p>
    <w:p w14:paraId="70929827" w14:textId="77777777" w:rsidR="00456846" w:rsidRPr="00F92D0B" w:rsidRDefault="00456846" w:rsidP="00456846">
      <w:pPr>
        <w:tabs>
          <w:tab w:val="left" w:pos="1134"/>
        </w:tabs>
        <w:spacing w:before="60" w:line="240" w:lineRule="auto"/>
        <w:jc w:val="center"/>
        <w:rPr>
          <w:sz w:val="20"/>
          <w:u w:val="single"/>
          <w:lang w:val="en-US"/>
        </w:rPr>
      </w:pPr>
      <w:r w:rsidRPr="00672C7A">
        <w:rPr>
          <w:sz w:val="20"/>
          <w:lang w:val="en-GB"/>
        </w:rPr>
        <w:t>-------------------------</w:t>
      </w:r>
    </w:p>
    <w:sectPr w:rsidR="00456846" w:rsidRPr="00F92D0B" w:rsidSect="00C1541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304A" w14:textId="77777777" w:rsidR="009A15CB" w:rsidRDefault="009A15CB"/>
  </w:endnote>
  <w:endnote w:type="continuationSeparator" w:id="0">
    <w:p w14:paraId="58720C46" w14:textId="77777777" w:rsidR="009A15CB" w:rsidRDefault="009A15CB"/>
  </w:endnote>
  <w:endnote w:type="continuationNotice" w:id="1">
    <w:p w14:paraId="0216ED6A" w14:textId="77777777" w:rsidR="009A15CB" w:rsidRDefault="009A1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AD6C" w14:textId="77777777" w:rsidR="009A15CB" w:rsidRDefault="009A15CB" w:rsidP="007D28D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4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6F2C8" w14:textId="77777777" w:rsidR="009A15CB" w:rsidRDefault="009A15CB" w:rsidP="004A10B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526A" w14:textId="77777777" w:rsidR="009A15CB" w:rsidRDefault="009A15CB" w:rsidP="007D28D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4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315B31" w14:textId="77777777" w:rsidR="009A15CB" w:rsidRDefault="009A15CB" w:rsidP="004A10B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76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5DF24" w14:textId="3F5C45A8" w:rsidR="009A15CB" w:rsidRDefault="009A15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5266D" w14:textId="77777777" w:rsidR="009A15CB" w:rsidRDefault="009A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CB74" w14:textId="77777777" w:rsidR="009A15CB" w:rsidRPr="000B175B" w:rsidRDefault="009A15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D37EEF" w14:textId="77777777" w:rsidR="009A15CB" w:rsidRPr="00FC68B7" w:rsidRDefault="009A15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8ED92D" w14:textId="77777777" w:rsidR="009A15CB" w:rsidRDefault="009A15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4F1C" w14:textId="212BAE8C" w:rsidR="009A15CB" w:rsidRPr="00C1541A" w:rsidRDefault="00C1541A" w:rsidP="00C1541A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INF.34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36E9" w14:textId="3C4F1E71" w:rsidR="00C1541A" w:rsidRPr="00C1541A" w:rsidRDefault="00C1541A" w:rsidP="00C1541A">
    <w:pPr>
      <w:pStyle w:val="Header"/>
      <w:jc w:val="right"/>
      <w:rPr>
        <w:lang w:val="fr-CH"/>
      </w:rPr>
    </w:pPr>
    <w:r>
      <w:rPr>
        <w:lang w:val="fr-CH"/>
      </w:rPr>
      <w:t>INF.34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0E423DA"/>
    <w:multiLevelType w:val="hybridMultilevel"/>
    <w:tmpl w:val="46660B76"/>
    <w:lvl w:ilvl="0" w:tplc="9008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E281B"/>
    <w:multiLevelType w:val="hybridMultilevel"/>
    <w:tmpl w:val="82FA330A"/>
    <w:lvl w:ilvl="0" w:tplc="9008FA9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4E30ADA"/>
    <w:multiLevelType w:val="multilevel"/>
    <w:tmpl w:val="68F8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6E253C9"/>
    <w:multiLevelType w:val="hybridMultilevel"/>
    <w:tmpl w:val="872C0448"/>
    <w:lvl w:ilvl="0" w:tplc="98407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6B41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E0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C3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AF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E6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5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F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0D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70AF4"/>
    <w:multiLevelType w:val="hybridMultilevel"/>
    <w:tmpl w:val="BFBAC884"/>
    <w:lvl w:ilvl="0" w:tplc="CAF47B66">
      <w:start w:val="1"/>
      <w:numFmt w:val="decimal"/>
      <w:lvlText w:val="%1."/>
      <w:lvlJc w:val="left"/>
      <w:pPr>
        <w:ind w:left="1080" w:hanging="360"/>
      </w:pPr>
    </w:lvl>
    <w:lvl w:ilvl="1" w:tplc="6ED8F436" w:tentative="1">
      <w:start w:val="1"/>
      <w:numFmt w:val="lowerLetter"/>
      <w:lvlText w:val="%2."/>
      <w:lvlJc w:val="left"/>
      <w:pPr>
        <w:ind w:left="1800" w:hanging="360"/>
      </w:pPr>
    </w:lvl>
    <w:lvl w:ilvl="2" w:tplc="812E691C" w:tentative="1">
      <w:start w:val="1"/>
      <w:numFmt w:val="lowerRoman"/>
      <w:lvlText w:val="%3."/>
      <w:lvlJc w:val="right"/>
      <w:pPr>
        <w:ind w:left="2520" w:hanging="180"/>
      </w:pPr>
    </w:lvl>
    <w:lvl w:ilvl="3" w:tplc="EC38D0A4" w:tentative="1">
      <w:start w:val="1"/>
      <w:numFmt w:val="decimal"/>
      <w:lvlText w:val="%4."/>
      <w:lvlJc w:val="left"/>
      <w:pPr>
        <w:ind w:left="3240" w:hanging="360"/>
      </w:pPr>
    </w:lvl>
    <w:lvl w:ilvl="4" w:tplc="A3EE5C9C" w:tentative="1">
      <w:start w:val="1"/>
      <w:numFmt w:val="lowerLetter"/>
      <w:lvlText w:val="%5."/>
      <w:lvlJc w:val="left"/>
      <w:pPr>
        <w:ind w:left="3960" w:hanging="360"/>
      </w:pPr>
    </w:lvl>
    <w:lvl w:ilvl="5" w:tplc="4BA8EEF8" w:tentative="1">
      <w:start w:val="1"/>
      <w:numFmt w:val="lowerRoman"/>
      <w:lvlText w:val="%6."/>
      <w:lvlJc w:val="right"/>
      <w:pPr>
        <w:ind w:left="4680" w:hanging="180"/>
      </w:pPr>
    </w:lvl>
    <w:lvl w:ilvl="6" w:tplc="4EF211CE" w:tentative="1">
      <w:start w:val="1"/>
      <w:numFmt w:val="decimal"/>
      <w:lvlText w:val="%7."/>
      <w:lvlJc w:val="left"/>
      <w:pPr>
        <w:ind w:left="5400" w:hanging="360"/>
      </w:pPr>
    </w:lvl>
    <w:lvl w:ilvl="7" w:tplc="6096E26E" w:tentative="1">
      <w:start w:val="1"/>
      <w:numFmt w:val="lowerLetter"/>
      <w:lvlText w:val="%8."/>
      <w:lvlJc w:val="left"/>
      <w:pPr>
        <w:ind w:left="6120" w:hanging="360"/>
      </w:pPr>
    </w:lvl>
    <w:lvl w:ilvl="8" w:tplc="1DF0DA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018E1"/>
    <w:multiLevelType w:val="hybridMultilevel"/>
    <w:tmpl w:val="320AFABA"/>
    <w:lvl w:ilvl="0" w:tplc="BC0A648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5C36D0B"/>
    <w:multiLevelType w:val="multilevel"/>
    <w:tmpl w:val="68F8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7F812A1"/>
    <w:multiLevelType w:val="hybridMultilevel"/>
    <w:tmpl w:val="9BC67BBC"/>
    <w:lvl w:ilvl="0" w:tplc="C3DA0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3867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848C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C6AE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108F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4696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5C67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EEE6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F0B1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1F5ABE"/>
    <w:multiLevelType w:val="hybridMultilevel"/>
    <w:tmpl w:val="A1107138"/>
    <w:lvl w:ilvl="0" w:tplc="89D66A9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5925DC1"/>
    <w:multiLevelType w:val="hybridMultilevel"/>
    <w:tmpl w:val="FAA66F24"/>
    <w:lvl w:ilvl="0" w:tplc="04070001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272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A0F00CF"/>
    <w:multiLevelType w:val="multilevel"/>
    <w:tmpl w:val="6B4E1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C8043E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1AD511A"/>
    <w:multiLevelType w:val="hybridMultilevel"/>
    <w:tmpl w:val="2C366490"/>
    <w:lvl w:ilvl="0" w:tplc="B0DC853E">
      <w:start w:val="6"/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129AF09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988E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01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65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66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E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D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0F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76F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004BE"/>
    <w:multiLevelType w:val="multilevel"/>
    <w:tmpl w:val="68F8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2"/>
  </w:num>
  <w:num w:numId="6">
    <w:abstractNumId w:val="14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7"/>
    <w:rsid w:val="00000D63"/>
    <w:rsid w:val="00002A7D"/>
    <w:rsid w:val="00002CCC"/>
    <w:rsid w:val="0000373B"/>
    <w:rsid w:val="000038A8"/>
    <w:rsid w:val="00004CB4"/>
    <w:rsid w:val="00006790"/>
    <w:rsid w:val="00010787"/>
    <w:rsid w:val="00020092"/>
    <w:rsid w:val="00021E7D"/>
    <w:rsid w:val="0002594A"/>
    <w:rsid w:val="00026A3D"/>
    <w:rsid w:val="000273AF"/>
    <w:rsid w:val="00027624"/>
    <w:rsid w:val="00035989"/>
    <w:rsid w:val="000413DB"/>
    <w:rsid w:val="000432C5"/>
    <w:rsid w:val="00044F11"/>
    <w:rsid w:val="00050F6B"/>
    <w:rsid w:val="00051190"/>
    <w:rsid w:val="0005149B"/>
    <w:rsid w:val="000536F6"/>
    <w:rsid w:val="00054DF2"/>
    <w:rsid w:val="00060675"/>
    <w:rsid w:val="00066C34"/>
    <w:rsid w:val="000678CD"/>
    <w:rsid w:val="00072C8C"/>
    <w:rsid w:val="00075498"/>
    <w:rsid w:val="00080653"/>
    <w:rsid w:val="00081CE0"/>
    <w:rsid w:val="00081E5B"/>
    <w:rsid w:val="000835A6"/>
    <w:rsid w:val="00084D30"/>
    <w:rsid w:val="000855D3"/>
    <w:rsid w:val="00090320"/>
    <w:rsid w:val="000907C7"/>
    <w:rsid w:val="00091148"/>
    <w:rsid w:val="000931C0"/>
    <w:rsid w:val="000937A1"/>
    <w:rsid w:val="00094D05"/>
    <w:rsid w:val="000A2E09"/>
    <w:rsid w:val="000A4DF9"/>
    <w:rsid w:val="000A6BF7"/>
    <w:rsid w:val="000B175B"/>
    <w:rsid w:val="000B3653"/>
    <w:rsid w:val="000B3A0F"/>
    <w:rsid w:val="000B41FA"/>
    <w:rsid w:val="000B6ED6"/>
    <w:rsid w:val="000B7556"/>
    <w:rsid w:val="000C128D"/>
    <w:rsid w:val="000C1841"/>
    <w:rsid w:val="000C2D54"/>
    <w:rsid w:val="000C5BEC"/>
    <w:rsid w:val="000D5116"/>
    <w:rsid w:val="000D549D"/>
    <w:rsid w:val="000E0415"/>
    <w:rsid w:val="000E5F3D"/>
    <w:rsid w:val="000E7EB0"/>
    <w:rsid w:val="000F59C4"/>
    <w:rsid w:val="000F7464"/>
    <w:rsid w:val="000F7715"/>
    <w:rsid w:val="000F7EF2"/>
    <w:rsid w:val="00103E99"/>
    <w:rsid w:val="00104B11"/>
    <w:rsid w:val="00113F80"/>
    <w:rsid w:val="001178CE"/>
    <w:rsid w:val="00120024"/>
    <w:rsid w:val="00121ADB"/>
    <w:rsid w:val="00124DC5"/>
    <w:rsid w:val="00127E0B"/>
    <w:rsid w:val="00132B1A"/>
    <w:rsid w:val="001337C3"/>
    <w:rsid w:val="00144C7B"/>
    <w:rsid w:val="00145248"/>
    <w:rsid w:val="00150700"/>
    <w:rsid w:val="00150847"/>
    <w:rsid w:val="00151A29"/>
    <w:rsid w:val="00156B99"/>
    <w:rsid w:val="0016382D"/>
    <w:rsid w:val="00166124"/>
    <w:rsid w:val="001663D5"/>
    <w:rsid w:val="00167F20"/>
    <w:rsid w:val="001737FE"/>
    <w:rsid w:val="00184DDA"/>
    <w:rsid w:val="001900CD"/>
    <w:rsid w:val="0019444B"/>
    <w:rsid w:val="001A0452"/>
    <w:rsid w:val="001A10E3"/>
    <w:rsid w:val="001A2B1F"/>
    <w:rsid w:val="001A3354"/>
    <w:rsid w:val="001A3481"/>
    <w:rsid w:val="001B4B04"/>
    <w:rsid w:val="001B5875"/>
    <w:rsid w:val="001B6DAA"/>
    <w:rsid w:val="001C4B9C"/>
    <w:rsid w:val="001C524E"/>
    <w:rsid w:val="001C6663"/>
    <w:rsid w:val="001C7895"/>
    <w:rsid w:val="001D15C4"/>
    <w:rsid w:val="001D26DF"/>
    <w:rsid w:val="001D312D"/>
    <w:rsid w:val="001E0E58"/>
    <w:rsid w:val="001E11F0"/>
    <w:rsid w:val="001E64C6"/>
    <w:rsid w:val="001F0165"/>
    <w:rsid w:val="001F1599"/>
    <w:rsid w:val="001F1961"/>
    <w:rsid w:val="001F19C4"/>
    <w:rsid w:val="002043F0"/>
    <w:rsid w:val="002060B9"/>
    <w:rsid w:val="00211E0B"/>
    <w:rsid w:val="00213C96"/>
    <w:rsid w:val="0022772A"/>
    <w:rsid w:val="00227BB4"/>
    <w:rsid w:val="00232575"/>
    <w:rsid w:val="002350BC"/>
    <w:rsid w:val="00235FE4"/>
    <w:rsid w:val="00243F6F"/>
    <w:rsid w:val="002458B1"/>
    <w:rsid w:val="00246528"/>
    <w:rsid w:val="00247258"/>
    <w:rsid w:val="00257CAC"/>
    <w:rsid w:val="00261DB2"/>
    <w:rsid w:val="00263A1D"/>
    <w:rsid w:val="002642D3"/>
    <w:rsid w:val="00265A29"/>
    <w:rsid w:val="00270949"/>
    <w:rsid w:val="00276054"/>
    <w:rsid w:val="00276C52"/>
    <w:rsid w:val="00282EF5"/>
    <w:rsid w:val="002962FF"/>
    <w:rsid w:val="002974E9"/>
    <w:rsid w:val="002A214F"/>
    <w:rsid w:val="002A22E4"/>
    <w:rsid w:val="002A7F94"/>
    <w:rsid w:val="002B01C4"/>
    <w:rsid w:val="002B109A"/>
    <w:rsid w:val="002B6C36"/>
    <w:rsid w:val="002C1973"/>
    <w:rsid w:val="002C57D6"/>
    <w:rsid w:val="002C6D45"/>
    <w:rsid w:val="002C6F09"/>
    <w:rsid w:val="002D1997"/>
    <w:rsid w:val="002D4CF0"/>
    <w:rsid w:val="002D6E53"/>
    <w:rsid w:val="002E26CB"/>
    <w:rsid w:val="002E6E7A"/>
    <w:rsid w:val="002F046D"/>
    <w:rsid w:val="002F1BBE"/>
    <w:rsid w:val="002F27EE"/>
    <w:rsid w:val="002F38CF"/>
    <w:rsid w:val="003007E7"/>
    <w:rsid w:val="00301764"/>
    <w:rsid w:val="00302B3E"/>
    <w:rsid w:val="00302C39"/>
    <w:rsid w:val="0030478E"/>
    <w:rsid w:val="003104EE"/>
    <w:rsid w:val="00312A36"/>
    <w:rsid w:val="0031382C"/>
    <w:rsid w:val="003229D8"/>
    <w:rsid w:val="00323AD2"/>
    <w:rsid w:val="00323FB5"/>
    <w:rsid w:val="00324148"/>
    <w:rsid w:val="003267B9"/>
    <w:rsid w:val="0032773F"/>
    <w:rsid w:val="003317BA"/>
    <w:rsid w:val="00334EF2"/>
    <w:rsid w:val="00336C97"/>
    <w:rsid w:val="00337302"/>
    <w:rsid w:val="00337D65"/>
    <w:rsid w:val="00337F88"/>
    <w:rsid w:val="00342432"/>
    <w:rsid w:val="0034380C"/>
    <w:rsid w:val="003445F1"/>
    <w:rsid w:val="0035265C"/>
    <w:rsid w:val="00352A7A"/>
    <w:rsid w:val="00352D4B"/>
    <w:rsid w:val="0035454F"/>
    <w:rsid w:val="00354724"/>
    <w:rsid w:val="00354CED"/>
    <w:rsid w:val="0035638C"/>
    <w:rsid w:val="003569B4"/>
    <w:rsid w:val="00360AB2"/>
    <w:rsid w:val="00366F20"/>
    <w:rsid w:val="00370928"/>
    <w:rsid w:val="003818AF"/>
    <w:rsid w:val="00382AB1"/>
    <w:rsid w:val="00382F1C"/>
    <w:rsid w:val="0038333F"/>
    <w:rsid w:val="00383AD3"/>
    <w:rsid w:val="003851D7"/>
    <w:rsid w:val="00387213"/>
    <w:rsid w:val="00394500"/>
    <w:rsid w:val="00397E95"/>
    <w:rsid w:val="003A1CBD"/>
    <w:rsid w:val="003A46BB"/>
    <w:rsid w:val="003A4EC7"/>
    <w:rsid w:val="003A6D65"/>
    <w:rsid w:val="003A7295"/>
    <w:rsid w:val="003A7536"/>
    <w:rsid w:val="003B1C53"/>
    <w:rsid w:val="003B1F60"/>
    <w:rsid w:val="003B3BA0"/>
    <w:rsid w:val="003B40B4"/>
    <w:rsid w:val="003C168B"/>
    <w:rsid w:val="003C2CC4"/>
    <w:rsid w:val="003C3F43"/>
    <w:rsid w:val="003C7026"/>
    <w:rsid w:val="003D0048"/>
    <w:rsid w:val="003D136E"/>
    <w:rsid w:val="003D4B23"/>
    <w:rsid w:val="003D5173"/>
    <w:rsid w:val="003D572F"/>
    <w:rsid w:val="003D58A1"/>
    <w:rsid w:val="003D6B88"/>
    <w:rsid w:val="003E278A"/>
    <w:rsid w:val="003E2FA1"/>
    <w:rsid w:val="003E4BEC"/>
    <w:rsid w:val="003E65FF"/>
    <w:rsid w:val="003E6954"/>
    <w:rsid w:val="003F5C16"/>
    <w:rsid w:val="0040184F"/>
    <w:rsid w:val="0040314D"/>
    <w:rsid w:val="004032CF"/>
    <w:rsid w:val="004061B7"/>
    <w:rsid w:val="0040624F"/>
    <w:rsid w:val="004112E1"/>
    <w:rsid w:val="00412408"/>
    <w:rsid w:val="004128AC"/>
    <w:rsid w:val="00413520"/>
    <w:rsid w:val="00414F7A"/>
    <w:rsid w:val="004217DB"/>
    <w:rsid w:val="00431D4D"/>
    <w:rsid w:val="004325CB"/>
    <w:rsid w:val="00435419"/>
    <w:rsid w:val="00436591"/>
    <w:rsid w:val="00437B94"/>
    <w:rsid w:val="00440A07"/>
    <w:rsid w:val="004424C0"/>
    <w:rsid w:val="00446D25"/>
    <w:rsid w:val="0045052B"/>
    <w:rsid w:val="00451E6A"/>
    <w:rsid w:val="004535F0"/>
    <w:rsid w:val="00455996"/>
    <w:rsid w:val="00456846"/>
    <w:rsid w:val="00462880"/>
    <w:rsid w:val="0046352F"/>
    <w:rsid w:val="00466314"/>
    <w:rsid w:val="00466AA6"/>
    <w:rsid w:val="00466BB7"/>
    <w:rsid w:val="0047298C"/>
    <w:rsid w:val="00473EDD"/>
    <w:rsid w:val="0047490A"/>
    <w:rsid w:val="00474DA3"/>
    <w:rsid w:val="00476F24"/>
    <w:rsid w:val="004770EA"/>
    <w:rsid w:val="00484490"/>
    <w:rsid w:val="00486404"/>
    <w:rsid w:val="004909E7"/>
    <w:rsid w:val="00491DE6"/>
    <w:rsid w:val="00492E11"/>
    <w:rsid w:val="00494147"/>
    <w:rsid w:val="004965CD"/>
    <w:rsid w:val="004A0676"/>
    <w:rsid w:val="004A10B1"/>
    <w:rsid w:val="004A150C"/>
    <w:rsid w:val="004A5511"/>
    <w:rsid w:val="004B2983"/>
    <w:rsid w:val="004B45B0"/>
    <w:rsid w:val="004B6AC1"/>
    <w:rsid w:val="004B6F47"/>
    <w:rsid w:val="004B7C31"/>
    <w:rsid w:val="004C55B0"/>
    <w:rsid w:val="004C6BE4"/>
    <w:rsid w:val="004D098B"/>
    <w:rsid w:val="004D762B"/>
    <w:rsid w:val="004D76DD"/>
    <w:rsid w:val="004D7F3B"/>
    <w:rsid w:val="004E05C3"/>
    <w:rsid w:val="004E4179"/>
    <w:rsid w:val="004F04E2"/>
    <w:rsid w:val="004F404D"/>
    <w:rsid w:val="004F6BA0"/>
    <w:rsid w:val="0050044F"/>
    <w:rsid w:val="00501BEC"/>
    <w:rsid w:val="00501BFE"/>
    <w:rsid w:val="005024DE"/>
    <w:rsid w:val="00503A12"/>
    <w:rsid w:val="00503BEA"/>
    <w:rsid w:val="00506648"/>
    <w:rsid w:val="00525FCD"/>
    <w:rsid w:val="0053028C"/>
    <w:rsid w:val="005324F2"/>
    <w:rsid w:val="00533616"/>
    <w:rsid w:val="00535ABA"/>
    <w:rsid w:val="005371A0"/>
    <w:rsid w:val="0053768B"/>
    <w:rsid w:val="005403B2"/>
    <w:rsid w:val="005420F2"/>
    <w:rsid w:val="0054285C"/>
    <w:rsid w:val="00542A53"/>
    <w:rsid w:val="00546972"/>
    <w:rsid w:val="00547A88"/>
    <w:rsid w:val="00550D72"/>
    <w:rsid w:val="005611D5"/>
    <w:rsid w:val="005616BD"/>
    <w:rsid w:val="00564BF4"/>
    <w:rsid w:val="00564E0A"/>
    <w:rsid w:val="00572C34"/>
    <w:rsid w:val="00575A65"/>
    <w:rsid w:val="00581837"/>
    <w:rsid w:val="00582962"/>
    <w:rsid w:val="00584173"/>
    <w:rsid w:val="00584485"/>
    <w:rsid w:val="00595520"/>
    <w:rsid w:val="005966E6"/>
    <w:rsid w:val="005A29AC"/>
    <w:rsid w:val="005A3917"/>
    <w:rsid w:val="005A44B9"/>
    <w:rsid w:val="005B1057"/>
    <w:rsid w:val="005B1BA0"/>
    <w:rsid w:val="005B2350"/>
    <w:rsid w:val="005B3DB3"/>
    <w:rsid w:val="005B6BCA"/>
    <w:rsid w:val="005D15CA"/>
    <w:rsid w:val="005D163F"/>
    <w:rsid w:val="005D390C"/>
    <w:rsid w:val="005D70F2"/>
    <w:rsid w:val="005E0335"/>
    <w:rsid w:val="005E0821"/>
    <w:rsid w:val="005E1F8B"/>
    <w:rsid w:val="005E225C"/>
    <w:rsid w:val="005E3539"/>
    <w:rsid w:val="005E4D19"/>
    <w:rsid w:val="005F08BD"/>
    <w:rsid w:val="005F2E76"/>
    <w:rsid w:val="005F3066"/>
    <w:rsid w:val="005F3E61"/>
    <w:rsid w:val="005F5151"/>
    <w:rsid w:val="005F51F6"/>
    <w:rsid w:val="00600C18"/>
    <w:rsid w:val="00600D2D"/>
    <w:rsid w:val="00601303"/>
    <w:rsid w:val="00604D4C"/>
    <w:rsid w:val="00604DDD"/>
    <w:rsid w:val="00611263"/>
    <w:rsid w:val="006115CC"/>
    <w:rsid w:val="0061180A"/>
    <w:rsid w:val="00611FC4"/>
    <w:rsid w:val="00614EB9"/>
    <w:rsid w:val="006165BF"/>
    <w:rsid w:val="006176FB"/>
    <w:rsid w:val="00624585"/>
    <w:rsid w:val="006246EE"/>
    <w:rsid w:val="0062628D"/>
    <w:rsid w:val="00630FCB"/>
    <w:rsid w:val="006322D1"/>
    <w:rsid w:val="00632F10"/>
    <w:rsid w:val="00633676"/>
    <w:rsid w:val="006344D8"/>
    <w:rsid w:val="00634AB7"/>
    <w:rsid w:val="0064017F"/>
    <w:rsid w:val="00640B26"/>
    <w:rsid w:val="00642502"/>
    <w:rsid w:val="006542F7"/>
    <w:rsid w:val="00654A47"/>
    <w:rsid w:val="00654CB4"/>
    <w:rsid w:val="006664AD"/>
    <w:rsid w:val="00667D6B"/>
    <w:rsid w:val="00667DA4"/>
    <w:rsid w:val="00672C7A"/>
    <w:rsid w:val="006730F2"/>
    <w:rsid w:val="00675E12"/>
    <w:rsid w:val="00676934"/>
    <w:rsid w:val="006770B2"/>
    <w:rsid w:val="00680114"/>
    <w:rsid w:val="00690030"/>
    <w:rsid w:val="00693A10"/>
    <w:rsid w:val="006940E1"/>
    <w:rsid w:val="00696C10"/>
    <w:rsid w:val="006A0BD9"/>
    <w:rsid w:val="006A3C72"/>
    <w:rsid w:val="006A7392"/>
    <w:rsid w:val="006B03A1"/>
    <w:rsid w:val="006B60A1"/>
    <w:rsid w:val="006B63E8"/>
    <w:rsid w:val="006B67D9"/>
    <w:rsid w:val="006C31F3"/>
    <w:rsid w:val="006C5535"/>
    <w:rsid w:val="006D0589"/>
    <w:rsid w:val="006D408C"/>
    <w:rsid w:val="006E564B"/>
    <w:rsid w:val="006E70C5"/>
    <w:rsid w:val="006E7154"/>
    <w:rsid w:val="006E746F"/>
    <w:rsid w:val="006F3E58"/>
    <w:rsid w:val="007003CD"/>
    <w:rsid w:val="007012A8"/>
    <w:rsid w:val="00702B36"/>
    <w:rsid w:val="00702C62"/>
    <w:rsid w:val="00704376"/>
    <w:rsid w:val="0070701E"/>
    <w:rsid w:val="0070702F"/>
    <w:rsid w:val="00721E5D"/>
    <w:rsid w:val="00722662"/>
    <w:rsid w:val="007238D3"/>
    <w:rsid w:val="007254C8"/>
    <w:rsid w:val="0072560B"/>
    <w:rsid w:val="0072632A"/>
    <w:rsid w:val="0073506C"/>
    <w:rsid w:val="007358E8"/>
    <w:rsid w:val="00736ECE"/>
    <w:rsid w:val="007446E8"/>
    <w:rsid w:val="0074533B"/>
    <w:rsid w:val="007461BB"/>
    <w:rsid w:val="00751573"/>
    <w:rsid w:val="00753F15"/>
    <w:rsid w:val="007542E7"/>
    <w:rsid w:val="00756132"/>
    <w:rsid w:val="00756C48"/>
    <w:rsid w:val="007627AA"/>
    <w:rsid w:val="0076347E"/>
    <w:rsid w:val="00763D42"/>
    <w:rsid w:val="0076432E"/>
    <w:rsid w:val="007643BC"/>
    <w:rsid w:val="00766E74"/>
    <w:rsid w:val="0076786A"/>
    <w:rsid w:val="0077044D"/>
    <w:rsid w:val="007713EC"/>
    <w:rsid w:val="0078317F"/>
    <w:rsid w:val="007959FE"/>
    <w:rsid w:val="007A0631"/>
    <w:rsid w:val="007A0CF1"/>
    <w:rsid w:val="007A2946"/>
    <w:rsid w:val="007A300C"/>
    <w:rsid w:val="007A3197"/>
    <w:rsid w:val="007A6CC4"/>
    <w:rsid w:val="007A7CC0"/>
    <w:rsid w:val="007B089E"/>
    <w:rsid w:val="007B1B46"/>
    <w:rsid w:val="007B46A6"/>
    <w:rsid w:val="007B4949"/>
    <w:rsid w:val="007B6A61"/>
    <w:rsid w:val="007B6BA5"/>
    <w:rsid w:val="007C0261"/>
    <w:rsid w:val="007C3390"/>
    <w:rsid w:val="007C42D8"/>
    <w:rsid w:val="007C4F4B"/>
    <w:rsid w:val="007C68C8"/>
    <w:rsid w:val="007C6ACB"/>
    <w:rsid w:val="007C7431"/>
    <w:rsid w:val="007C7486"/>
    <w:rsid w:val="007D1386"/>
    <w:rsid w:val="007D28D3"/>
    <w:rsid w:val="007D3314"/>
    <w:rsid w:val="007D4C68"/>
    <w:rsid w:val="007D7362"/>
    <w:rsid w:val="007E042F"/>
    <w:rsid w:val="007E3A86"/>
    <w:rsid w:val="007E4914"/>
    <w:rsid w:val="007F2B90"/>
    <w:rsid w:val="007F2F9B"/>
    <w:rsid w:val="007F4527"/>
    <w:rsid w:val="007F5CE2"/>
    <w:rsid w:val="007F6611"/>
    <w:rsid w:val="0080091E"/>
    <w:rsid w:val="008047A6"/>
    <w:rsid w:val="00810BAC"/>
    <w:rsid w:val="008118EB"/>
    <w:rsid w:val="00811D13"/>
    <w:rsid w:val="008151E0"/>
    <w:rsid w:val="008170E5"/>
    <w:rsid w:val="008175E9"/>
    <w:rsid w:val="00820597"/>
    <w:rsid w:val="0082331B"/>
    <w:rsid w:val="008242D7"/>
    <w:rsid w:val="00825578"/>
    <w:rsid w:val="0082577B"/>
    <w:rsid w:val="0082591E"/>
    <w:rsid w:val="008261C9"/>
    <w:rsid w:val="008274D0"/>
    <w:rsid w:val="00832FC3"/>
    <w:rsid w:val="00833280"/>
    <w:rsid w:val="00834DD1"/>
    <w:rsid w:val="00836EE8"/>
    <w:rsid w:val="00837A06"/>
    <w:rsid w:val="00846F9A"/>
    <w:rsid w:val="00851569"/>
    <w:rsid w:val="00851DCE"/>
    <w:rsid w:val="00851EB7"/>
    <w:rsid w:val="00853771"/>
    <w:rsid w:val="008558E7"/>
    <w:rsid w:val="00855BEC"/>
    <w:rsid w:val="008625A8"/>
    <w:rsid w:val="00866893"/>
    <w:rsid w:val="00866F02"/>
    <w:rsid w:val="00867D18"/>
    <w:rsid w:val="00871F9A"/>
    <w:rsid w:val="00871FD5"/>
    <w:rsid w:val="00872743"/>
    <w:rsid w:val="008732DB"/>
    <w:rsid w:val="00876B8E"/>
    <w:rsid w:val="008772BB"/>
    <w:rsid w:val="0088172E"/>
    <w:rsid w:val="008818FE"/>
    <w:rsid w:val="00881EFA"/>
    <w:rsid w:val="008827F4"/>
    <w:rsid w:val="0088382F"/>
    <w:rsid w:val="00883E28"/>
    <w:rsid w:val="00884D3A"/>
    <w:rsid w:val="00885CB7"/>
    <w:rsid w:val="00887EB5"/>
    <w:rsid w:val="00887F5F"/>
    <w:rsid w:val="008979B1"/>
    <w:rsid w:val="008A00F6"/>
    <w:rsid w:val="008A16AC"/>
    <w:rsid w:val="008A4A6B"/>
    <w:rsid w:val="008A4C82"/>
    <w:rsid w:val="008A6B25"/>
    <w:rsid w:val="008A6C4F"/>
    <w:rsid w:val="008B389E"/>
    <w:rsid w:val="008B7917"/>
    <w:rsid w:val="008B7E23"/>
    <w:rsid w:val="008C1002"/>
    <w:rsid w:val="008C1A12"/>
    <w:rsid w:val="008C1B25"/>
    <w:rsid w:val="008C5BCB"/>
    <w:rsid w:val="008D045E"/>
    <w:rsid w:val="008D3F25"/>
    <w:rsid w:val="008D4D82"/>
    <w:rsid w:val="008D721F"/>
    <w:rsid w:val="008D7822"/>
    <w:rsid w:val="008E0E09"/>
    <w:rsid w:val="008E0E46"/>
    <w:rsid w:val="008E398A"/>
    <w:rsid w:val="008E7116"/>
    <w:rsid w:val="008F143B"/>
    <w:rsid w:val="008F25F9"/>
    <w:rsid w:val="008F2A09"/>
    <w:rsid w:val="008F3882"/>
    <w:rsid w:val="008F3C40"/>
    <w:rsid w:val="008F4B7C"/>
    <w:rsid w:val="008F6591"/>
    <w:rsid w:val="00900EBF"/>
    <w:rsid w:val="009119F6"/>
    <w:rsid w:val="00914DC3"/>
    <w:rsid w:val="0091519E"/>
    <w:rsid w:val="00921DE4"/>
    <w:rsid w:val="009235C8"/>
    <w:rsid w:val="0092519A"/>
    <w:rsid w:val="00926E47"/>
    <w:rsid w:val="00930264"/>
    <w:rsid w:val="00930C9A"/>
    <w:rsid w:val="009316B4"/>
    <w:rsid w:val="00931CD1"/>
    <w:rsid w:val="009343EC"/>
    <w:rsid w:val="00935854"/>
    <w:rsid w:val="009414FF"/>
    <w:rsid w:val="00941C24"/>
    <w:rsid w:val="0094638E"/>
    <w:rsid w:val="00947162"/>
    <w:rsid w:val="00952C0F"/>
    <w:rsid w:val="00953163"/>
    <w:rsid w:val="009601FF"/>
    <w:rsid w:val="00960D5D"/>
    <w:rsid w:val="009610D0"/>
    <w:rsid w:val="0096375C"/>
    <w:rsid w:val="00965213"/>
    <w:rsid w:val="009662E6"/>
    <w:rsid w:val="00967B66"/>
    <w:rsid w:val="0097095E"/>
    <w:rsid w:val="00971AE6"/>
    <w:rsid w:val="009722FB"/>
    <w:rsid w:val="00980F57"/>
    <w:rsid w:val="00985026"/>
    <w:rsid w:val="0098592B"/>
    <w:rsid w:val="00985FC4"/>
    <w:rsid w:val="0098792D"/>
    <w:rsid w:val="00987E3B"/>
    <w:rsid w:val="00990766"/>
    <w:rsid w:val="00991261"/>
    <w:rsid w:val="00992C68"/>
    <w:rsid w:val="009964C4"/>
    <w:rsid w:val="00997E61"/>
    <w:rsid w:val="009A0D42"/>
    <w:rsid w:val="009A15CB"/>
    <w:rsid w:val="009A1AE8"/>
    <w:rsid w:val="009A7B81"/>
    <w:rsid w:val="009B1DAE"/>
    <w:rsid w:val="009B25A3"/>
    <w:rsid w:val="009B4DA2"/>
    <w:rsid w:val="009B6947"/>
    <w:rsid w:val="009C0B0C"/>
    <w:rsid w:val="009C1BAA"/>
    <w:rsid w:val="009C275B"/>
    <w:rsid w:val="009C667E"/>
    <w:rsid w:val="009D01C0"/>
    <w:rsid w:val="009D0E25"/>
    <w:rsid w:val="009D6A08"/>
    <w:rsid w:val="009E09C4"/>
    <w:rsid w:val="009E0A16"/>
    <w:rsid w:val="009E7970"/>
    <w:rsid w:val="009F1226"/>
    <w:rsid w:val="009F2EAC"/>
    <w:rsid w:val="009F36AE"/>
    <w:rsid w:val="009F57E3"/>
    <w:rsid w:val="00A052C5"/>
    <w:rsid w:val="00A07442"/>
    <w:rsid w:val="00A07FA5"/>
    <w:rsid w:val="00A10F4F"/>
    <w:rsid w:val="00A11067"/>
    <w:rsid w:val="00A1352D"/>
    <w:rsid w:val="00A14EF1"/>
    <w:rsid w:val="00A15285"/>
    <w:rsid w:val="00A1704A"/>
    <w:rsid w:val="00A17967"/>
    <w:rsid w:val="00A17F67"/>
    <w:rsid w:val="00A22B34"/>
    <w:rsid w:val="00A23498"/>
    <w:rsid w:val="00A23E9E"/>
    <w:rsid w:val="00A26EEF"/>
    <w:rsid w:val="00A30DFB"/>
    <w:rsid w:val="00A362B7"/>
    <w:rsid w:val="00A41C61"/>
    <w:rsid w:val="00A425EB"/>
    <w:rsid w:val="00A43E0B"/>
    <w:rsid w:val="00A44A02"/>
    <w:rsid w:val="00A4556B"/>
    <w:rsid w:val="00A45CB7"/>
    <w:rsid w:val="00A47439"/>
    <w:rsid w:val="00A474BD"/>
    <w:rsid w:val="00A5165A"/>
    <w:rsid w:val="00A518E3"/>
    <w:rsid w:val="00A55E11"/>
    <w:rsid w:val="00A62B4F"/>
    <w:rsid w:val="00A64DDD"/>
    <w:rsid w:val="00A6565B"/>
    <w:rsid w:val="00A67854"/>
    <w:rsid w:val="00A7192B"/>
    <w:rsid w:val="00A722CC"/>
    <w:rsid w:val="00A72F22"/>
    <w:rsid w:val="00A733BC"/>
    <w:rsid w:val="00A748A6"/>
    <w:rsid w:val="00A749C1"/>
    <w:rsid w:val="00A76A69"/>
    <w:rsid w:val="00A77D0C"/>
    <w:rsid w:val="00A8040D"/>
    <w:rsid w:val="00A80B30"/>
    <w:rsid w:val="00A824E7"/>
    <w:rsid w:val="00A879A4"/>
    <w:rsid w:val="00A92262"/>
    <w:rsid w:val="00A96696"/>
    <w:rsid w:val="00AA0FF8"/>
    <w:rsid w:val="00AA370B"/>
    <w:rsid w:val="00AA653A"/>
    <w:rsid w:val="00AA761D"/>
    <w:rsid w:val="00AB62AD"/>
    <w:rsid w:val="00AB74ED"/>
    <w:rsid w:val="00AC07D3"/>
    <w:rsid w:val="00AC0F2C"/>
    <w:rsid w:val="00AC502A"/>
    <w:rsid w:val="00AC5AFE"/>
    <w:rsid w:val="00AC5B16"/>
    <w:rsid w:val="00AC6CD9"/>
    <w:rsid w:val="00AD4AEB"/>
    <w:rsid w:val="00AD4DF9"/>
    <w:rsid w:val="00AE1064"/>
    <w:rsid w:val="00AE447E"/>
    <w:rsid w:val="00AE593C"/>
    <w:rsid w:val="00AE7BC0"/>
    <w:rsid w:val="00AF2122"/>
    <w:rsid w:val="00AF2917"/>
    <w:rsid w:val="00AF3A98"/>
    <w:rsid w:val="00AF4FB8"/>
    <w:rsid w:val="00AF58C1"/>
    <w:rsid w:val="00B03E68"/>
    <w:rsid w:val="00B05B60"/>
    <w:rsid w:val="00B06643"/>
    <w:rsid w:val="00B06B1D"/>
    <w:rsid w:val="00B06E6C"/>
    <w:rsid w:val="00B135A9"/>
    <w:rsid w:val="00B15055"/>
    <w:rsid w:val="00B1765D"/>
    <w:rsid w:val="00B17FC5"/>
    <w:rsid w:val="00B20D0A"/>
    <w:rsid w:val="00B252FC"/>
    <w:rsid w:val="00B25982"/>
    <w:rsid w:val="00B30179"/>
    <w:rsid w:val="00B30EC2"/>
    <w:rsid w:val="00B33A59"/>
    <w:rsid w:val="00B33ECF"/>
    <w:rsid w:val="00B351EA"/>
    <w:rsid w:val="00B358F2"/>
    <w:rsid w:val="00B36CE1"/>
    <w:rsid w:val="00B3700B"/>
    <w:rsid w:val="00B37B15"/>
    <w:rsid w:val="00B41093"/>
    <w:rsid w:val="00B41369"/>
    <w:rsid w:val="00B418C1"/>
    <w:rsid w:val="00B4482F"/>
    <w:rsid w:val="00B44875"/>
    <w:rsid w:val="00B45C02"/>
    <w:rsid w:val="00B53E48"/>
    <w:rsid w:val="00B562DB"/>
    <w:rsid w:val="00B662CA"/>
    <w:rsid w:val="00B72A1E"/>
    <w:rsid w:val="00B80129"/>
    <w:rsid w:val="00B81E12"/>
    <w:rsid w:val="00B82ABC"/>
    <w:rsid w:val="00B83D34"/>
    <w:rsid w:val="00B87883"/>
    <w:rsid w:val="00B92592"/>
    <w:rsid w:val="00B92C19"/>
    <w:rsid w:val="00BA17D7"/>
    <w:rsid w:val="00BA339B"/>
    <w:rsid w:val="00BA49B1"/>
    <w:rsid w:val="00BA789A"/>
    <w:rsid w:val="00BB336F"/>
    <w:rsid w:val="00BC0CEA"/>
    <w:rsid w:val="00BC19B7"/>
    <w:rsid w:val="00BC1E7E"/>
    <w:rsid w:val="00BC2E45"/>
    <w:rsid w:val="00BC2EF2"/>
    <w:rsid w:val="00BC74E9"/>
    <w:rsid w:val="00BD5075"/>
    <w:rsid w:val="00BD5223"/>
    <w:rsid w:val="00BE36A9"/>
    <w:rsid w:val="00BE618E"/>
    <w:rsid w:val="00BE6A2A"/>
    <w:rsid w:val="00BE7BEC"/>
    <w:rsid w:val="00BF03D0"/>
    <w:rsid w:val="00BF0A5A"/>
    <w:rsid w:val="00BF0E63"/>
    <w:rsid w:val="00BF12A3"/>
    <w:rsid w:val="00BF16D7"/>
    <w:rsid w:val="00BF2373"/>
    <w:rsid w:val="00C002F6"/>
    <w:rsid w:val="00C044E2"/>
    <w:rsid w:val="00C048CB"/>
    <w:rsid w:val="00C0510D"/>
    <w:rsid w:val="00C063E1"/>
    <w:rsid w:val="00C066F3"/>
    <w:rsid w:val="00C06865"/>
    <w:rsid w:val="00C07CA9"/>
    <w:rsid w:val="00C10783"/>
    <w:rsid w:val="00C1541A"/>
    <w:rsid w:val="00C15D43"/>
    <w:rsid w:val="00C20A7C"/>
    <w:rsid w:val="00C212D7"/>
    <w:rsid w:val="00C300DB"/>
    <w:rsid w:val="00C31D7A"/>
    <w:rsid w:val="00C33A49"/>
    <w:rsid w:val="00C366A9"/>
    <w:rsid w:val="00C40C81"/>
    <w:rsid w:val="00C44BB0"/>
    <w:rsid w:val="00C45293"/>
    <w:rsid w:val="00C45BBB"/>
    <w:rsid w:val="00C463DD"/>
    <w:rsid w:val="00C51E62"/>
    <w:rsid w:val="00C52FA8"/>
    <w:rsid w:val="00C55D60"/>
    <w:rsid w:val="00C566E1"/>
    <w:rsid w:val="00C6013F"/>
    <w:rsid w:val="00C601FC"/>
    <w:rsid w:val="00C62BD5"/>
    <w:rsid w:val="00C70809"/>
    <w:rsid w:val="00C7087B"/>
    <w:rsid w:val="00C745C3"/>
    <w:rsid w:val="00C805A7"/>
    <w:rsid w:val="00C854A0"/>
    <w:rsid w:val="00C87DE6"/>
    <w:rsid w:val="00C94E07"/>
    <w:rsid w:val="00C96EF8"/>
    <w:rsid w:val="00C96F8B"/>
    <w:rsid w:val="00CA1DEC"/>
    <w:rsid w:val="00CA2221"/>
    <w:rsid w:val="00CA24A4"/>
    <w:rsid w:val="00CA2D5A"/>
    <w:rsid w:val="00CA3137"/>
    <w:rsid w:val="00CA5ECF"/>
    <w:rsid w:val="00CB348D"/>
    <w:rsid w:val="00CB34BE"/>
    <w:rsid w:val="00CB34EF"/>
    <w:rsid w:val="00CB763D"/>
    <w:rsid w:val="00CB7F81"/>
    <w:rsid w:val="00CC7FA2"/>
    <w:rsid w:val="00CD0CCA"/>
    <w:rsid w:val="00CD32AC"/>
    <w:rsid w:val="00CD46F5"/>
    <w:rsid w:val="00CD6889"/>
    <w:rsid w:val="00CD6C29"/>
    <w:rsid w:val="00CD6D46"/>
    <w:rsid w:val="00CE43F2"/>
    <w:rsid w:val="00CE4A8F"/>
    <w:rsid w:val="00CE52ED"/>
    <w:rsid w:val="00CE5678"/>
    <w:rsid w:val="00CF071D"/>
    <w:rsid w:val="00CF116C"/>
    <w:rsid w:val="00CF5355"/>
    <w:rsid w:val="00CF6713"/>
    <w:rsid w:val="00CF6CF6"/>
    <w:rsid w:val="00D002BC"/>
    <w:rsid w:val="00D01223"/>
    <w:rsid w:val="00D015A4"/>
    <w:rsid w:val="00D03452"/>
    <w:rsid w:val="00D10992"/>
    <w:rsid w:val="00D15B04"/>
    <w:rsid w:val="00D2031B"/>
    <w:rsid w:val="00D23C99"/>
    <w:rsid w:val="00D23EAC"/>
    <w:rsid w:val="00D25EC1"/>
    <w:rsid w:val="00D25FE2"/>
    <w:rsid w:val="00D26910"/>
    <w:rsid w:val="00D37DA9"/>
    <w:rsid w:val="00D406A7"/>
    <w:rsid w:val="00D4154E"/>
    <w:rsid w:val="00D42852"/>
    <w:rsid w:val="00D43252"/>
    <w:rsid w:val="00D44D86"/>
    <w:rsid w:val="00D470FF"/>
    <w:rsid w:val="00D50B7D"/>
    <w:rsid w:val="00D52012"/>
    <w:rsid w:val="00D52BFC"/>
    <w:rsid w:val="00D537C8"/>
    <w:rsid w:val="00D53878"/>
    <w:rsid w:val="00D542F4"/>
    <w:rsid w:val="00D55DEB"/>
    <w:rsid w:val="00D6104D"/>
    <w:rsid w:val="00D610FD"/>
    <w:rsid w:val="00D615AD"/>
    <w:rsid w:val="00D634A8"/>
    <w:rsid w:val="00D64AF4"/>
    <w:rsid w:val="00D66085"/>
    <w:rsid w:val="00D67056"/>
    <w:rsid w:val="00D674CE"/>
    <w:rsid w:val="00D67989"/>
    <w:rsid w:val="00D700C8"/>
    <w:rsid w:val="00D704E5"/>
    <w:rsid w:val="00D72727"/>
    <w:rsid w:val="00D731DD"/>
    <w:rsid w:val="00D76D6C"/>
    <w:rsid w:val="00D85957"/>
    <w:rsid w:val="00D90131"/>
    <w:rsid w:val="00D92801"/>
    <w:rsid w:val="00D978C6"/>
    <w:rsid w:val="00DA0956"/>
    <w:rsid w:val="00DA357F"/>
    <w:rsid w:val="00DA3E12"/>
    <w:rsid w:val="00DA60F2"/>
    <w:rsid w:val="00DA6421"/>
    <w:rsid w:val="00DB03B1"/>
    <w:rsid w:val="00DB0DB4"/>
    <w:rsid w:val="00DB33B2"/>
    <w:rsid w:val="00DB66FA"/>
    <w:rsid w:val="00DC18AD"/>
    <w:rsid w:val="00DC3FE0"/>
    <w:rsid w:val="00DC4ADC"/>
    <w:rsid w:val="00DD03E4"/>
    <w:rsid w:val="00DD3245"/>
    <w:rsid w:val="00DD34DD"/>
    <w:rsid w:val="00DD5B43"/>
    <w:rsid w:val="00DE0451"/>
    <w:rsid w:val="00DE0CB9"/>
    <w:rsid w:val="00DE274B"/>
    <w:rsid w:val="00DE5105"/>
    <w:rsid w:val="00DF1A1E"/>
    <w:rsid w:val="00DF1CD2"/>
    <w:rsid w:val="00DF338A"/>
    <w:rsid w:val="00DF6A82"/>
    <w:rsid w:val="00DF6BE5"/>
    <w:rsid w:val="00DF7CAE"/>
    <w:rsid w:val="00E000F4"/>
    <w:rsid w:val="00E02011"/>
    <w:rsid w:val="00E03063"/>
    <w:rsid w:val="00E048B1"/>
    <w:rsid w:val="00E07907"/>
    <w:rsid w:val="00E100EA"/>
    <w:rsid w:val="00E1392D"/>
    <w:rsid w:val="00E17645"/>
    <w:rsid w:val="00E1773B"/>
    <w:rsid w:val="00E20AF4"/>
    <w:rsid w:val="00E22894"/>
    <w:rsid w:val="00E23970"/>
    <w:rsid w:val="00E423C0"/>
    <w:rsid w:val="00E42D05"/>
    <w:rsid w:val="00E4345C"/>
    <w:rsid w:val="00E45732"/>
    <w:rsid w:val="00E55B5C"/>
    <w:rsid w:val="00E56858"/>
    <w:rsid w:val="00E6414C"/>
    <w:rsid w:val="00E6431F"/>
    <w:rsid w:val="00E66B8A"/>
    <w:rsid w:val="00E66DA2"/>
    <w:rsid w:val="00E7260F"/>
    <w:rsid w:val="00E742FA"/>
    <w:rsid w:val="00E76448"/>
    <w:rsid w:val="00E809AE"/>
    <w:rsid w:val="00E82C50"/>
    <w:rsid w:val="00E86772"/>
    <w:rsid w:val="00E8702D"/>
    <w:rsid w:val="00E87A68"/>
    <w:rsid w:val="00E916A9"/>
    <w:rsid w:val="00E916DE"/>
    <w:rsid w:val="00E92833"/>
    <w:rsid w:val="00E961AF"/>
    <w:rsid w:val="00E96630"/>
    <w:rsid w:val="00EA1E24"/>
    <w:rsid w:val="00EA1F8A"/>
    <w:rsid w:val="00EA3A71"/>
    <w:rsid w:val="00EB0CB0"/>
    <w:rsid w:val="00EB3610"/>
    <w:rsid w:val="00EB76C8"/>
    <w:rsid w:val="00EC0FC9"/>
    <w:rsid w:val="00EC5662"/>
    <w:rsid w:val="00EC5713"/>
    <w:rsid w:val="00ED18DC"/>
    <w:rsid w:val="00ED40F1"/>
    <w:rsid w:val="00ED6201"/>
    <w:rsid w:val="00ED7A2A"/>
    <w:rsid w:val="00EE11A9"/>
    <w:rsid w:val="00EE17C0"/>
    <w:rsid w:val="00EE4832"/>
    <w:rsid w:val="00EF1C28"/>
    <w:rsid w:val="00EF1D7F"/>
    <w:rsid w:val="00EF4426"/>
    <w:rsid w:val="00EF4F78"/>
    <w:rsid w:val="00F0137E"/>
    <w:rsid w:val="00F015EB"/>
    <w:rsid w:val="00F04FA0"/>
    <w:rsid w:val="00F13A45"/>
    <w:rsid w:val="00F15C6B"/>
    <w:rsid w:val="00F17680"/>
    <w:rsid w:val="00F21786"/>
    <w:rsid w:val="00F228BF"/>
    <w:rsid w:val="00F26B72"/>
    <w:rsid w:val="00F33694"/>
    <w:rsid w:val="00F3485A"/>
    <w:rsid w:val="00F3742B"/>
    <w:rsid w:val="00F41FDB"/>
    <w:rsid w:val="00F42BC9"/>
    <w:rsid w:val="00F43786"/>
    <w:rsid w:val="00F463E9"/>
    <w:rsid w:val="00F4743F"/>
    <w:rsid w:val="00F5337D"/>
    <w:rsid w:val="00F539FC"/>
    <w:rsid w:val="00F56D63"/>
    <w:rsid w:val="00F609A9"/>
    <w:rsid w:val="00F60A78"/>
    <w:rsid w:val="00F7081D"/>
    <w:rsid w:val="00F73034"/>
    <w:rsid w:val="00F73F1E"/>
    <w:rsid w:val="00F80C99"/>
    <w:rsid w:val="00F84167"/>
    <w:rsid w:val="00F847AB"/>
    <w:rsid w:val="00F867EC"/>
    <w:rsid w:val="00F8702E"/>
    <w:rsid w:val="00F91B2B"/>
    <w:rsid w:val="00F92D0B"/>
    <w:rsid w:val="00F951B3"/>
    <w:rsid w:val="00FA3DC8"/>
    <w:rsid w:val="00FA6054"/>
    <w:rsid w:val="00FA6DB8"/>
    <w:rsid w:val="00FB09DD"/>
    <w:rsid w:val="00FB14A0"/>
    <w:rsid w:val="00FB50CE"/>
    <w:rsid w:val="00FB7073"/>
    <w:rsid w:val="00FC03CD"/>
    <w:rsid w:val="00FC051D"/>
    <w:rsid w:val="00FC0646"/>
    <w:rsid w:val="00FC0826"/>
    <w:rsid w:val="00FC44EB"/>
    <w:rsid w:val="00FC68B7"/>
    <w:rsid w:val="00FD0EA9"/>
    <w:rsid w:val="00FD60F9"/>
    <w:rsid w:val="00FD6213"/>
    <w:rsid w:val="00FE3A71"/>
    <w:rsid w:val="00FE3C3C"/>
    <w:rsid w:val="00FE5302"/>
    <w:rsid w:val="00FE593F"/>
    <w:rsid w:val="00FE6985"/>
    <w:rsid w:val="00FF2520"/>
    <w:rsid w:val="00FF4971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DD9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DD"/>
    <w:pPr>
      <w:spacing w:line="260" w:lineRule="atLeast"/>
    </w:pPr>
    <w:rPr>
      <w:rFonts w:eastAsia="Batang"/>
      <w:sz w:val="21"/>
      <w:lang w:val="nl-NL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A1DEC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A1DEC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A1DEC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A1DEC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A1DEC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A1DEC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A1DEC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A1DEC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A1DEC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A1DE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A1D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A1DE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A1D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CA1D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aption">
    <w:name w:val="caption"/>
    <w:basedOn w:val="Normal"/>
    <w:next w:val="Normal"/>
    <w:qFormat/>
    <w:rsid w:val="00BA17D7"/>
    <w:pPr>
      <w:jc w:val="both"/>
    </w:pPr>
    <w:rPr>
      <w:b/>
      <w:sz w:val="24"/>
      <w:lang w:val="en-GB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customStyle="1" w:styleId="Style1">
    <w:name w:val="Style1"/>
    <w:basedOn w:val="Normal"/>
    <w:rsid w:val="00BA17D7"/>
    <w:pPr>
      <w:widowControl w:val="0"/>
      <w:spacing w:line="240" w:lineRule="auto"/>
      <w:jc w:val="both"/>
    </w:pPr>
    <w:rPr>
      <w:rFonts w:eastAsia="Times New Roman"/>
      <w:snapToGrid w:val="0"/>
      <w:sz w:val="24"/>
      <w:lang w:val="en-US"/>
    </w:rPr>
  </w:style>
  <w:style w:type="character" w:customStyle="1" w:styleId="SingleTxtGChar">
    <w:name w:val="_ Single Txt_G Char"/>
    <w:link w:val="SingleTxtG"/>
    <w:rsid w:val="004B2983"/>
    <w:rPr>
      <w:rFonts w:eastAsia="Batang"/>
      <w:sz w:val="21"/>
      <w:lang w:val="nl-NL"/>
    </w:rPr>
  </w:style>
  <w:style w:type="character" w:customStyle="1" w:styleId="HeaderChar">
    <w:name w:val="Header Char"/>
    <w:aliases w:val="6_G Char"/>
    <w:link w:val="Header"/>
    <w:locked/>
    <w:rsid w:val="0088382F"/>
    <w:rPr>
      <w:rFonts w:eastAsia="Batang"/>
      <w:b/>
      <w:sz w:val="18"/>
      <w:lang w:val="nl-NL" w:eastAsia="en-US" w:bidi="ar-SA"/>
    </w:rPr>
  </w:style>
  <w:style w:type="character" w:customStyle="1" w:styleId="H23GChar">
    <w:name w:val="_ H_2/3_G Char"/>
    <w:link w:val="H23G"/>
    <w:rsid w:val="00382AB1"/>
    <w:rPr>
      <w:rFonts w:eastAsia="Batang"/>
      <w:b/>
      <w:sz w:val="21"/>
      <w:lang w:val="nl-NL" w:eastAsia="en-US" w:bidi="ar-SA"/>
    </w:rPr>
  </w:style>
  <w:style w:type="character" w:customStyle="1" w:styleId="H4GChar">
    <w:name w:val="_ H_4_G Char"/>
    <w:link w:val="H4G"/>
    <w:rsid w:val="00382AB1"/>
    <w:rPr>
      <w:rFonts w:eastAsia="Batang"/>
      <w:i/>
      <w:sz w:val="21"/>
      <w:lang w:val="nl-NL" w:eastAsia="en-US" w:bidi="ar-SA"/>
    </w:rPr>
  </w:style>
  <w:style w:type="character" w:styleId="CommentReference">
    <w:name w:val="annotation reference"/>
    <w:semiHidden/>
    <w:rsid w:val="00B3700B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B3700B"/>
    <w:pPr>
      <w:tabs>
        <w:tab w:val="left" w:pos="425"/>
        <w:tab w:val="left" w:pos="851"/>
        <w:tab w:val="left" w:pos="1276"/>
      </w:tabs>
      <w:spacing w:line="240" w:lineRule="auto"/>
      <w:jc w:val="both"/>
    </w:pPr>
    <w:rPr>
      <w:rFonts w:ascii="Arial" w:eastAsia="Times New Roman" w:hAnsi="Arial"/>
      <w:color w:val="000000"/>
      <w:sz w:val="18"/>
      <w:lang w:val="de-DE" w:eastAsia="de-DE"/>
    </w:rPr>
  </w:style>
  <w:style w:type="paragraph" w:styleId="Title">
    <w:name w:val="Title"/>
    <w:basedOn w:val="Normal"/>
    <w:qFormat/>
    <w:rsid w:val="00B3700B"/>
    <w:pPr>
      <w:spacing w:line="240" w:lineRule="auto"/>
      <w:jc w:val="center"/>
    </w:pPr>
    <w:rPr>
      <w:rFonts w:ascii="Arial" w:eastAsia="Times New Roman" w:hAnsi="Arial"/>
      <w:b/>
      <w:sz w:val="22"/>
      <w:lang w:val="en-GB" w:eastAsia="de-DE"/>
    </w:rPr>
  </w:style>
  <w:style w:type="paragraph" w:customStyle="1" w:styleId="NoteHead">
    <w:name w:val="NoteHead"/>
    <w:basedOn w:val="Normal"/>
    <w:next w:val="Normal"/>
    <w:rsid w:val="00B3700B"/>
    <w:pPr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character" w:customStyle="1" w:styleId="HChGChar">
    <w:name w:val="_ H _Ch_G Char"/>
    <w:link w:val="HChG"/>
    <w:rsid w:val="00B3700B"/>
    <w:rPr>
      <w:rFonts w:eastAsia="Batang"/>
      <w:b/>
      <w:sz w:val="28"/>
      <w:lang w:val="nl-NL" w:eastAsia="en-US" w:bidi="ar-SA"/>
    </w:rPr>
  </w:style>
  <w:style w:type="character" w:customStyle="1" w:styleId="standardsqueryform-key1">
    <w:name w:val="standardsqueryform-key1"/>
    <w:rsid w:val="00887F5F"/>
    <w:rPr>
      <w:rFonts w:ascii="Verdana" w:hAnsi="Verdana" w:hint="default"/>
      <w:color w:val="696969"/>
      <w:sz w:val="18"/>
      <w:szCs w:val="18"/>
    </w:rPr>
  </w:style>
  <w:style w:type="paragraph" w:styleId="BalloonText">
    <w:name w:val="Balloon Text"/>
    <w:basedOn w:val="Normal"/>
    <w:link w:val="BalloonTextChar"/>
    <w:rsid w:val="00344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5F1"/>
    <w:rPr>
      <w:rFonts w:ascii="Tahoma" w:eastAsia="Batang" w:hAnsi="Tahoma" w:cs="Tahoma"/>
      <w:sz w:val="16"/>
      <w:szCs w:val="16"/>
      <w:lang w:val="nl-NL" w:eastAsia="en-US"/>
    </w:rPr>
  </w:style>
  <w:style w:type="character" w:customStyle="1" w:styleId="H1GChar">
    <w:name w:val="_ H_1_G Char"/>
    <w:link w:val="H1G"/>
    <w:locked/>
    <w:rsid w:val="00A1352D"/>
    <w:rPr>
      <w:rFonts w:eastAsia="Batang"/>
      <w:b/>
      <w:sz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9DD"/>
    <w:pPr>
      <w:tabs>
        <w:tab w:val="clear" w:pos="425"/>
        <w:tab w:val="clear" w:pos="851"/>
        <w:tab w:val="clear" w:pos="1276"/>
      </w:tabs>
      <w:spacing w:line="260" w:lineRule="atLeast"/>
      <w:jc w:val="left"/>
    </w:pPr>
    <w:rPr>
      <w:rFonts w:ascii="Times New Roman" w:eastAsia="Batang" w:hAnsi="Times New Roman"/>
      <w:b/>
      <w:bCs/>
      <w:color w:val="auto"/>
      <w:sz w:val="2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09DD"/>
    <w:rPr>
      <w:rFonts w:ascii="Arial" w:eastAsia="Times New Roman" w:hAnsi="Arial"/>
      <w:color w:val="000000"/>
      <w:sz w:val="18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sid w:val="00FB09DD"/>
    <w:rPr>
      <w:rFonts w:ascii="Arial" w:eastAsia="Batang" w:hAnsi="Arial"/>
      <w:b/>
      <w:bCs/>
      <w:color w:val="000000"/>
      <w:sz w:val="18"/>
      <w:lang w:val="nl-NL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B7917"/>
    <w:rPr>
      <w:rFonts w:eastAsia="Batang"/>
      <w:sz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EC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DD"/>
    <w:pPr>
      <w:spacing w:line="260" w:lineRule="atLeast"/>
    </w:pPr>
    <w:rPr>
      <w:rFonts w:eastAsia="Batang"/>
      <w:sz w:val="21"/>
      <w:lang w:val="nl-NL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A1DEC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A1DEC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A1DEC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A1DEC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A1DEC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A1DEC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A1DEC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A1DEC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A1DEC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A1DE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A1D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A1DE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A1D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CA1D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aption">
    <w:name w:val="caption"/>
    <w:basedOn w:val="Normal"/>
    <w:next w:val="Normal"/>
    <w:qFormat/>
    <w:rsid w:val="00BA17D7"/>
    <w:pPr>
      <w:jc w:val="both"/>
    </w:pPr>
    <w:rPr>
      <w:b/>
      <w:sz w:val="24"/>
      <w:lang w:val="en-GB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customStyle="1" w:styleId="Style1">
    <w:name w:val="Style1"/>
    <w:basedOn w:val="Normal"/>
    <w:rsid w:val="00BA17D7"/>
    <w:pPr>
      <w:widowControl w:val="0"/>
      <w:spacing w:line="240" w:lineRule="auto"/>
      <w:jc w:val="both"/>
    </w:pPr>
    <w:rPr>
      <w:rFonts w:eastAsia="Times New Roman"/>
      <w:snapToGrid w:val="0"/>
      <w:sz w:val="24"/>
      <w:lang w:val="en-US"/>
    </w:rPr>
  </w:style>
  <w:style w:type="character" w:customStyle="1" w:styleId="SingleTxtGChar">
    <w:name w:val="_ Single Txt_G Char"/>
    <w:link w:val="SingleTxtG"/>
    <w:rsid w:val="004B2983"/>
    <w:rPr>
      <w:rFonts w:eastAsia="Batang"/>
      <w:sz w:val="21"/>
      <w:lang w:val="nl-NL"/>
    </w:rPr>
  </w:style>
  <w:style w:type="character" w:customStyle="1" w:styleId="HeaderChar">
    <w:name w:val="Header Char"/>
    <w:aliases w:val="6_G Char"/>
    <w:link w:val="Header"/>
    <w:locked/>
    <w:rsid w:val="0088382F"/>
    <w:rPr>
      <w:rFonts w:eastAsia="Batang"/>
      <w:b/>
      <w:sz w:val="18"/>
      <w:lang w:val="nl-NL" w:eastAsia="en-US" w:bidi="ar-SA"/>
    </w:rPr>
  </w:style>
  <w:style w:type="character" w:customStyle="1" w:styleId="H23GChar">
    <w:name w:val="_ H_2/3_G Char"/>
    <w:link w:val="H23G"/>
    <w:rsid w:val="00382AB1"/>
    <w:rPr>
      <w:rFonts w:eastAsia="Batang"/>
      <w:b/>
      <w:sz w:val="21"/>
      <w:lang w:val="nl-NL" w:eastAsia="en-US" w:bidi="ar-SA"/>
    </w:rPr>
  </w:style>
  <w:style w:type="character" w:customStyle="1" w:styleId="H4GChar">
    <w:name w:val="_ H_4_G Char"/>
    <w:link w:val="H4G"/>
    <w:rsid w:val="00382AB1"/>
    <w:rPr>
      <w:rFonts w:eastAsia="Batang"/>
      <w:i/>
      <w:sz w:val="21"/>
      <w:lang w:val="nl-NL" w:eastAsia="en-US" w:bidi="ar-SA"/>
    </w:rPr>
  </w:style>
  <w:style w:type="character" w:styleId="CommentReference">
    <w:name w:val="annotation reference"/>
    <w:semiHidden/>
    <w:rsid w:val="00B3700B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B3700B"/>
    <w:pPr>
      <w:tabs>
        <w:tab w:val="left" w:pos="425"/>
        <w:tab w:val="left" w:pos="851"/>
        <w:tab w:val="left" w:pos="1276"/>
      </w:tabs>
      <w:spacing w:line="240" w:lineRule="auto"/>
      <w:jc w:val="both"/>
    </w:pPr>
    <w:rPr>
      <w:rFonts w:ascii="Arial" w:eastAsia="Times New Roman" w:hAnsi="Arial"/>
      <w:color w:val="000000"/>
      <w:sz w:val="18"/>
      <w:lang w:val="de-DE" w:eastAsia="de-DE"/>
    </w:rPr>
  </w:style>
  <w:style w:type="paragraph" w:styleId="Title">
    <w:name w:val="Title"/>
    <w:basedOn w:val="Normal"/>
    <w:qFormat/>
    <w:rsid w:val="00B3700B"/>
    <w:pPr>
      <w:spacing w:line="240" w:lineRule="auto"/>
      <w:jc w:val="center"/>
    </w:pPr>
    <w:rPr>
      <w:rFonts w:ascii="Arial" w:eastAsia="Times New Roman" w:hAnsi="Arial"/>
      <w:b/>
      <w:sz w:val="22"/>
      <w:lang w:val="en-GB" w:eastAsia="de-DE"/>
    </w:rPr>
  </w:style>
  <w:style w:type="paragraph" w:customStyle="1" w:styleId="NoteHead">
    <w:name w:val="NoteHead"/>
    <w:basedOn w:val="Normal"/>
    <w:next w:val="Normal"/>
    <w:rsid w:val="00B3700B"/>
    <w:pPr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character" w:customStyle="1" w:styleId="HChGChar">
    <w:name w:val="_ H _Ch_G Char"/>
    <w:link w:val="HChG"/>
    <w:rsid w:val="00B3700B"/>
    <w:rPr>
      <w:rFonts w:eastAsia="Batang"/>
      <w:b/>
      <w:sz w:val="28"/>
      <w:lang w:val="nl-NL" w:eastAsia="en-US" w:bidi="ar-SA"/>
    </w:rPr>
  </w:style>
  <w:style w:type="character" w:customStyle="1" w:styleId="standardsqueryform-key1">
    <w:name w:val="standardsqueryform-key1"/>
    <w:rsid w:val="00887F5F"/>
    <w:rPr>
      <w:rFonts w:ascii="Verdana" w:hAnsi="Verdana" w:hint="default"/>
      <w:color w:val="696969"/>
      <w:sz w:val="18"/>
      <w:szCs w:val="18"/>
    </w:rPr>
  </w:style>
  <w:style w:type="paragraph" w:styleId="BalloonText">
    <w:name w:val="Balloon Text"/>
    <w:basedOn w:val="Normal"/>
    <w:link w:val="BalloonTextChar"/>
    <w:rsid w:val="00344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5F1"/>
    <w:rPr>
      <w:rFonts w:ascii="Tahoma" w:eastAsia="Batang" w:hAnsi="Tahoma" w:cs="Tahoma"/>
      <w:sz w:val="16"/>
      <w:szCs w:val="16"/>
      <w:lang w:val="nl-NL" w:eastAsia="en-US"/>
    </w:rPr>
  </w:style>
  <w:style w:type="character" w:customStyle="1" w:styleId="H1GChar">
    <w:name w:val="_ H_1_G Char"/>
    <w:link w:val="H1G"/>
    <w:locked/>
    <w:rsid w:val="00A1352D"/>
    <w:rPr>
      <w:rFonts w:eastAsia="Batang"/>
      <w:b/>
      <w:sz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9DD"/>
    <w:pPr>
      <w:tabs>
        <w:tab w:val="clear" w:pos="425"/>
        <w:tab w:val="clear" w:pos="851"/>
        <w:tab w:val="clear" w:pos="1276"/>
      </w:tabs>
      <w:spacing w:line="260" w:lineRule="atLeast"/>
      <w:jc w:val="left"/>
    </w:pPr>
    <w:rPr>
      <w:rFonts w:ascii="Times New Roman" w:eastAsia="Batang" w:hAnsi="Times New Roman"/>
      <w:b/>
      <w:bCs/>
      <w:color w:val="auto"/>
      <w:sz w:val="2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09DD"/>
    <w:rPr>
      <w:rFonts w:ascii="Arial" w:eastAsia="Times New Roman" w:hAnsi="Arial"/>
      <w:color w:val="000000"/>
      <w:sz w:val="18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sid w:val="00FB09DD"/>
    <w:rPr>
      <w:rFonts w:ascii="Arial" w:eastAsia="Batang" w:hAnsi="Arial"/>
      <w:b/>
      <w:bCs/>
      <w:color w:val="000000"/>
      <w:sz w:val="18"/>
      <w:lang w:val="nl-NL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B7917"/>
    <w:rPr>
      <w:rFonts w:eastAsia="Batang"/>
      <w:sz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EC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BA3E-2717-4C3D-BA3C-5ECC89FF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UNECE</Company>
  <LinksUpToDate>false</LinksUpToDate>
  <CharactersWithSpaces>6118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3</cp:revision>
  <cp:lastPrinted>2016-09-21T07:51:00Z</cp:lastPrinted>
  <dcterms:created xsi:type="dcterms:W3CDTF">2016-09-21T07:43:00Z</dcterms:created>
  <dcterms:modified xsi:type="dcterms:W3CDTF">2016-09-21T07:51:00Z</dcterms:modified>
</cp:coreProperties>
</file>