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B16BA2">
            <w:pPr>
              <w:suppressAutoHyphens w:val="0"/>
              <w:spacing w:after="20"/>
              <w:jc w:val="right"/>
            </w:pPr>
            <w:r w:rsidRPr="00B11BB4">
              <w:rPr>
                <w:sz w:val="40"/>
              </w:rPr>
              <w:t>ECE</w:t>
            </w:r>
            <w:r>
              <w:t>/TRANS/WP.15/AC.1/201</w:t>
            </w:r>
            <w:r w:rsidR="00C116C7">
              <w:t>6</w:t>
            </w:r>
            <w:r>
              <w:t>/</w:t>
            </w:r>
            <w:r w:rsidR="00B16BA2">
              <w:t>31</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783C09"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7A5200" w:rsidP="00B11BB4">
            <w:pPr>
              <w:suppressAutoHyphens w:val="0"/>
            </w:pPr>
            <w:r>
              <w:t>29</w:t>
            </w:r>
            <w:r w:rsidR="005A575C">
              <w:t xml:space="preserve"> </w:t>
            </w:r>
            <w:r w:rsidR="006019AF">
              <w:t>June</w:t>
            </w:r>
            <w:r w:rsidR="001B13A5">
              <w:t xml:space="preserve"> 201</w:t>
            </w:r>
            <w:r w:rsidR="00E97400">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5A6058" w:rsidP="00BB7CD1">
      <w:r>
        <w:t>Geneva</w:t>
      </w:r>
      <w:r w:rsidR="00BB7CD1">
        <w:t xml:space="preserve">, </w:t>
      </w:r>
      <w:r>
        <w:t>1</w:t>
      </w:r>
      <w:r w:rsidR="00B77EB3">
        <w:t>9</w:t>
      </w:r>
      <w:r w:rsidR="00BB7CD1">
        <w:t>–2</w:t>
      </w:r>
      <w:r w:rsidR="00B77EB3">
        <w:t>3</w:t>
      </w:r>
      <w:r w:rsidR="00F66565">
        <w:t xml:space="preserve"> </w:t>
      </w:r>
      <w:r>
        <w:t>September</w:t>
      </w:r>
      <w:r w:rsidR="00BB7CD1">
        <w:t xml:space="preserve"> 201</w:t>
      </w:r>
      <w:r w:rsidR="00B77EB3">
        <w:t>6</w:t>
      </w:r>
    </w:p>
    <w:p w:rsidR="00BB7CD1" w:rsidRDefault="00BB7CD1" w:rsidP="00BB7CD1">
      <w:r>
        <w:t xml:space="preserve">Item </w:t>
      </w:r>
      <w:r w:rsidR="00B16BA2">
        <w:t>2</w:t>
      </w:r>
      <w:r>
        <w:t xml:space="preserve"> of the provisional agenda</w:t>
      </w:r>
    </w:p>
    <w:p w:rsidR="00BB7CD1" w:rsidRPr="00BB7CD1" w:rsidRDefault="00B16BA2" w:rsidP="005B73B8">
      <w:pPr>
        <w:rPr>
          <w:b/>
        </w:rPr>
      </w:pPr>
      <w:r>
        <w:rPr>
          <w:b/>
        </w:rPr>
        <w:t>Tanks</w:t>
      </w:r>
    </w:p>
    <w:p w:rsidR="00B16BA2" w:rsidRPr="003D0B34" w:rsidRDefault="009B1518" w:rsidP="00B16BA2">
      <w:pPr>
        <w:pStyle w:val="HChG"/>
      </w:pPr>
      <w:r>
        <w:tab/>
      </w:r>
      <w:r>
        <w:tab/>
      </w:r>
      <w:r w:rsidR="00B16BA2" w:rsidRPr="004D0B16">
        <w:rPr>
          <w:lang w:val="en-US"/>
        </w:rPr>
        <w:t>Report of the working group on tanks with a protective lining or coating</w:t>
      </w:r>
    </w:p>
    <w:p w:rsidR="00B16BA2" w:rsidRDefault="00B16BA2" w:rsidP="00B16BA2">
      <w:pPr>
        <w:pStyle w:val="H1G"/>
        <w:rPr>
          <w:b w:val="0"/>
          <w:sz w:val="18"/>
          <w:szCs w:val="18"/>
        </w:rPr>
      </w:pPr>
      <w:r>
        <w:tab/>
      </w:r>
      <w:r>
        <w:tab/>
      </w:r>
      <w:r w:rsidRPr="003D0B34">
        <w:t xml:space="preserve">Transmitted by the </w:t>
      </w:r>
      <w:r w:rsidRPr="004D0B16">
        <w:t xml:space="preserve">Government </w:t>
      </w:r>
      <w:r w:rsidRPr="003D0B34">
        <w:t>of</w:t>
      </w:r>
      <w:r w:rsidRPr="004D0B16">
        <w:t xml:space="preserve"> the Netherlands</w:t>
      </w:r>
      <w:r w:rsidR="007A5200" w:rsidRPr="00E96EC7">
        <w:rPr>
          <w:rStyle w:val="FootnoteReference"/>
          <w:b w:val="0"/>
          <w:szCs w:val="18"/>
        </w:rPr>
        <w:footnoteReference w:id="2"/>
      </w:r>
      <w:r w:rsidR="007A5200" w:rsidRPr="00E96EC7">
        <w:rPr>
          <w:sz w:val="18"/>
          <w:szCs w:val="18"/>
          <w:vertAlign w:val="superscript"/>
        </w:rPr>
        <w:t>,</w:t>
      </w:r>
      <w:r w:rsidR="007A5200" w:rsidRPr="00E96EC7">
        <w:rPr>
          <w:sz w:val="18"/>
          <w:szCs w:val="18"/>
        </w:rPr>
        <w:t xml:space="preserve"> </w:t>
      </w:r>
      <w:r w:rsidR="007A5200" w:rsidRPr="00E96EC7">
        <w:rPr>
          <w:rStyle w:val="FootnoteReference"/>
          <w:b w:val="0"/>
          <w:szCs w:val="18"/>
        </w:rPr>
        <w:footnoteReference w:id="3"/>
      </w:r>
    </w:p>
    <w:p w:rsidR="00AF2344" w:rsidRDefault="00AF2344">
      <w:pPr>
        <w:suppressAutoHyphens w:val="0"/>
        <w:spacing w:line="240" w:lineRule="auto"/>
        <w:rPr>
          <w:b/>
          <w:sz w:val="24"/>
        </w:rPr>
      </w:pPr>
      <w:r>
        <w:rPr>
          <w:b/>
          <w:sz w:val="24"/>
        </w:rPr>
        <w:br w:type="page"/>
      </w:r>
    </w:p>
    <w:p w:rsidR="00AF2344" w:rsidRPr="00AF2344" w:rsidRDefault="00AF2344" w:rsidP="00AF2344"/>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B16BA2" w:rsidRPr="007772B3" w:rsidTr="00F41E8D">
        <w:trPr>
          <w:jc w:val="center"/>
        </w:trPr>
        <w:tc>
          <w:tcPr>
            <w:tcW w:w="9082" w:type="dxa"/>
            <w:shd w:val="clear" w:color="auto" w:fill="auto"/>
          </w:tcPr>
          <w:p w:rsidR="00B16BA2" w:rsidRPr="007772B3" w:rsidRDefault="00B16BA2" w:rsidP="00F41E8D">
            <w:pPr>
              <w:spacing w:before="240" w:after="120"/>
              <w:ind w:left="255"/>
              <w:rPr>
                <w:i/>
                <w:sz w:val="24"/>
              </w:rPr>
            </w:pPr>
            <w:r w:rsidRPr="007772B3">
              <w:rPr>
                <w:i/>
                <w:sz w:val="24"/>
              </w:rPr>
              <w:t>Summary</w:t>
            </w:r>
          </w:p>
        </w:tc>
      </w:tr>
      <w:tr w:rsidR="00B16BA2" w:rsidRPr="00AC1EE5" w:rsidTr="00F41E8D">
        <w:trPr>
          <w:jc w:val="center"/>
        </w:trPr>
        <w:tc>
          <w:tcPr>
            <w:tcW w:w="9082" w:type="dxa"/>
            <w:shd w:val="clear" w:color="auto" w:fill="auto"/>
          </w:tcPr>
          <w:p w:rsidR="00B16BA2" w:rsidRPr="007772B3" w:rsidRDefault="00F41E8D" w:rsidP="00F41E8D">
            <w:pPr>
              <w:tabs>
                <w:tab w:val="left" w:pos="3260"/>
              </w:tabs>
              <w:spacing w:before="120" w:after="120"/>
              <w:ind w:left="3260" w:right="1134" w:hanging="2126"/>
              <w:jc w:val="both"/>
            </w:pPr>
            <w:r>
              <w:rPr>
                <w:b/>
              </w:rPr>
              <w:t>Executive summary:</w:t>
            </w:r>
            <w:r w:rsidR="00B16BA2" w:rsidRPr="007772B3">
              <w:tab/>
            </w:r>
            <w:r w:rsidR="00B16BA2">
              <w:t xml:space="preserve">Tanks with a protective lining and with shells made of materials that react fiercely with the contents if a defect in the lining occurs should not be used. The report reflects the discussion of the </w:t>
            </w:r>
            <w:r w:rsidR="007A5200">
              <w:t xml:space="preserve">informal </w:t>
            </w:r>
            <w:r w:rsidR="00B16BA2">
              <w:t>workin</w:t>
            </w:r>
            <w:r w:rsidR="007A5200">
              <w:t>g group that met on 20 and 21</w:t>
            </w:r>
            <w:r w:rsidR="00B16BA2">
              <w:t xml:space="preserve"> April 2016 in the Hague and proposals for amendments.</w:t>
            </w:r>
            <w:r w:rsidR="00B16BA2" w:rsidRPr="007772B3">
              <w:t xml:space="preserve"> </w:t>
            </w:r>
          </w:p>
        </w:tc>
      </w:tr>
      <w:tr w:rsidR="00B16BA2" w:rsidRPr="00AC1EE5" w:rsidTr="00F41E8D">
        <w:trPr>
          <w:jc w:val="center"/>
        </w:trPr>
        <w:tc>
          <w:tcPr>
            <w:tcW w:w="9082" w:type="dxa"/>
            <w:shd w:val="clear" w:color="auto" w:fill="auto"/>
          </w:tcPr>
          <w:p w:rsidR="00B16BA2" w:rsidRPr="007772B3" w:rsidRDefault="00F41E8D" w:rsidP="00F41E8D">
            <w:pPr>
              <w:spacing w:before="120" w:after="120"/>
              <w:ind w:left="3260" w:right="1134" w:hanging="2126"/>
              <w:jc w:val="both"/>
            </w:pPr>
            <w:r>
              <w:rPr>
                <w:b/>
              </w:rPr>
              <w:t>Action to be taken:</w:t>
            </w:r>
            <w:r w:rsidR="00B16BA2">
              <w:rPr>
                <w:b/>
              </w:rPr>
              <w:tab/>
            </w:r>
            <w:r w:rsidR="00B16BA2" w:rsidRPr="007772B3">
              <w:t xml:space="preserve">Amend </w:t>
            </w:r>
            <w:r w:rsidR="007A5200">
              <w:t>s</w:t>
            </w:r>
            <w:r w:rsidR="00B16BA2">
              <w:t>ection</w:t>
            </w:r>
            <w:r w:rsidR="007A5200">
              <w:t>s</w:t>
            </w:r>
            <w:r w:rsidR="00B16BA2">
              <w:t xml:space="preserve"> 1.2.1, 1.6.3/1.6.4, chapter</w:t>
            </w:r>
            <w:r w:rsidR="007A5200">
              <w:t>s</w:t>
            </w:r>
            <w:r w:rsidR="00B16BA2">
              <w:t xml:space="preserve"> 4.3 </w:t>
            </w:r>
            <w:proofErr w:type="gramStart"/>
            <w:r w:rsidR="00B16BA2">
              <w:t xml:space="preserve">and </w:t>
            </w:r>
            <w:r w:rsidR="00B16BA2" w:rsidRPr="007772B3">
              <w:t xml:space="preserve"> 6.8</w:t>
            </w:r>
            <w:proofErr w:type="gramEnd"/>
            <w:r w:rsidR="00B16BA2">
              <w:t>.</w:t>
            </w:r>
          </w:p>
        </w:tc>
      </w:tr>
      <w:tr w:rsidR="00B16BA2" w:rsidRPr="00AC1EE5" w:rsidTr="00F41E8D">
        <w:trPr>
          <w:jc w:val="center"/>
        </w:trPr>
        <w:tc>
          <w:tcPr>
            <w:tcW w:w="9082" w:type="dxa"/>
            <w:shd w:val="clear" w:color="auto" w:fill="auto"/>
          </w:tcPr>
          <w:p w:rsidR="00B16BA2" w:rsidRPr="007772B3" w:rsidRDefault="00F41E8D" w:rsidP="00F41E8D">
            <w:pPr>
              <w:pStyle w:val="SingleTxtG"/>
              <w:tabs>
                <w:tab w:val="left" w:pos="3260"/>
              </w:tabs>
              <w:spacing w:before="120"/>
              <w:ind w:left="3260" w:hanging="2126"/>
              <w:jc w:val="left"/>
              <w:rPr>
                <w:b/>
                <w:lang w:val="en-US"/>
              </w:rPr>
            </w:pPr>
            <w:r>
              <w:rPr>
                <w:b/>
              </w:rPr>
              <w:t>Related documents:</w:t>
            </w:r>
            <w:r>
              <w:rPr>
                <w:b/>
              </w:rPr>
              <w:tab/>
            </w:r>
            <w:r w:rsidR="00B16BA2" w:rsidRPr="00CD0808">
              <w:t>ECE/TRANS/WP.15/AC.1/2015/10</w:t>
            </w:r>
            <w:r w:rsidR="007A5200">
              <w:t>, i</w:t>
            </w:r>
            <w:r w:rsidR="00B16BA2">
              <w:t xml:space="preserve">nformal document </w:t>
            </w:r>
            <w:r w:rsidR="00B16BA2" w:rsidRPr="00CD0808">
              <w:t>INF</w:t>
            </w:r>
            <w:r w:rsidR="00B16BA2">
              <w:t>.50 of the March 2015 session, paragraphs</w:t>
            </w:r>
            <w:r w:rsidR="00B16BA2" w:rsidRPr="00AE331E">
              <w:t xml:space="preserve"> 12-14</w:t>
            </w:r>
            <w:r w:rsidR="00B16BA2">
              <w:t xml:space="preserve">, </w:t>
            </w:r>
            <w:r w:rsidR="00B16BA2" w:rsidRPr="004B774E">
              <w:rPr>
                <w:lang w:val="en-US"/>
              </w:rPr>
              <w:t>ECE/TRANS/WP.15/AC.1/138, paragraph 9</w:t>
            </w:r>
            <w:r w:rsidR="00B16BA2">
              <w:rPr>
                <w:lang w:val="en-US"/>
              </w:rPr>
              <w:t>,</w:t>
            </w:r>
            <w:r w:rsidR="007A5200">
              <w:rPr>
                <w:lang w:val="en-US"/>
              </w:rPr>
              <w:br/>
              <w:t xml:space="preserve">ECE/TRANS/WP.15/AC.1/2015/51, </w:t>
            </w:r>
            <w:r w:rsidR="00FA3350">
              <w:rPr>
                <w:lang w:val="en-US"/>
              </w:rPr>
              <w:t>i</w:t>
            </w:r>
            <w:r w:rsidR="00B16BA2">
              <w:rPr>
                <w:lang w:val="en-US"/>
              </w:rPr>
              <w:t>nformal document</w:t>
            </w:r>
            <w:r w:rsidR="007A5200">
              <w:rPr>
                <w:lang w:val="en-US"/>
              </w:rPr>
              <w:t>s INF.28 and INF.</w:t>
            </w:r>
            <w:r w:rsidR="00B16BA2">
              <w:rPr>
                <w:lang w:val="en-US"/>
              </w:rPr>
              <w:t>50, (paragraph 23 to 26) of the September 2015 session, ECE/TRANS/WP.15/AC.1/140 paragraph 83.</w:t>
            </w:r>
          </w:p>
        </w:tc>
      </w:tr>
      <w:tr w:rsidR="00B16BA2" w:rsidRPr="00AC1EE5" w:rsidTr="00F41E8D">
        <w:trPr>
          <w:jc w:val="center"/>
        </w:trPr>
        <w:tc>
          <w:tcPr>
            <w:tcW w:w="9082" w:type="dxa"/>
            <w:shd w:val="clear" w:color="auto" w:fill="auto"/>
          </w:tcPr>
          <w:p w:rsidR="00B16BA2" w:rsidRPr="007772B3" w:rsidRDefault="00B16BA2" w:rsidP="00F41E8D">
            <w:pPr>
              <w:rPr>
                <w:lang w:val="en-US"/>
              </w:rPr>
            </w:pPr>
          </w:p>
        </w:tc>
      </w:tr>
    </w:tbl>
    <w:p w:rsidR="00B16BA2" w:rsidRPr="003D0B34" w:rsidRDefault="00AF2344" w:rsidP="00AF2344">
      <w:pPr>
        <w:pStyle w:val="HChG"/>
        <w:rPr>
          <w:lang w:val="en-US"/>
        </w:rPr>
      </w:pPr>
      <w:r>
        <w:tab/>
      </w:r>
      <w:r>
        <w:tab/>
      </w:r>
      <w:r w:rsidR="00B16BA2" w:rsidRPr="003D0B34">
        <w:t>Introduction</w:t>
      </w:r>
    </w:p>
    <w:p w:rsidR="00B16BA2" w:rsidRPr="003D0B34" w:rsidRDefault="007A5200" w:rsidP="00AF2344">
      <w:pPr>
        <w:pStyle w:val="SingleTxtG"/>
        <w:rPr>
          <w:lang w:val="en-US"/>
        </w:rPr>
      </w:pPr>
      <w:r>
        <w:rPr>
          <w:lang w:val="en-US"/>
        </w:rPr>
        <w:t>1.</w:t>
      </w:r>
      <w:r>
        <w:rPr>
          <w:lang w:val="en-US"/>
        </w:rPr>
        <w:tab/>
      </w:r>
      <w:r w:rsidR="00B16BA2" w:rsidRPr="003D0B34">
        <w:rPr>
          <w:lang w:val="en-US"/>
        </w:rPr>
        <w:t xml:space="preserve">In paragraph 83 of the report of the Joint Meeting RID/ADR/ADN of its September 2015 session (ECE/TRANS/WP.15/AC.1/140) it is stated that Belgium and the Netherlands would work together with other interested parties on the subject. After initial considerations between the experts of Belgium and the Netherlands it was decided that </w:t>
      </w:r>
      <w:r>
        <w:rPr>
          <w:lang w:val="en-US"/>
        </w:rPr>
        <w:t>an informal</w:t>
      </w:r>
      <w:r w:rsidR="00B16BA2" w:rsidRPr="003D0B34">
        <w:rPr>
          <w:lang w:val="en-US"/>
        </w:rPr>
        <w:t xml:space="preserve"> working group would be the best way forward to work on this topic. </w:t>
      </w:r>
    </w:p>
    <w:p w:rsidR="00B16BA2" w:rsidRPr="003D0B34" w:rsidRDefault="007A5200" w:rsidP="00AF2344">
      <w:pPr>
        <w:pStyle w:val="SingleTxtG"/>
        <w:rPr>
          <w:b/>
          <w:i/>
          <w:lang w:val="en-US"/>
        </w:rPr>
      </w:pPr>
      <w:r>
        <w:rPr>
          <w:lang w:val="en-US"/>
        </w:rPr>
        <w:t>2.</w:t>
      </w:r>
      <w:r>
        <w:rPr>
          <w:lang w:val="en-US"/>
        </w:rPr>
        <w:tab/>
      </w:r>
      <w:r w:rsidR="00B16BA2" w:rsidRPr="003D0B34">
        <w:rPr>
          <w:lang w:val="en-US"/>
        </w:rPr>
        <w:t xml:space="preserve">The </w:t>
      </w:r>
      <w:r>
        <w:rPr>
          <w:lang w:val="en-US"/>
        </w:rPr>
        <w:t xml:space="preserve">informal </w:t>
      </w:r>
      <w:r w:rsidR="00B16BA2" w:rsidRPr="003D0B34">
        <w:rPr>
          <w:lang w:val="en-US"/>
        </w:rPr>
        <w:t xml:space="preserve">working group met on 20 and 21 April 2016 in </w:t>
      </w:r>
      <w:proofErr w:type="gramStart"/>
      <w:r w:rsidR="00B16BA2" w:rsidRPr="003D0B34">
        <w:rPr>
          <w:lang w:val="en-US"/>
        </w:rPr>
        <w:t>the</w:t>
      </w:r>
      <w:proofErr w:type="gramEnd"/>
      <w:r w:rsidR="00B16BA2" w:rsidRPr="003D0B34">
        <w:rPr>
          <w:lang w:val="en-US"/>
        </w:rPr>
        <w:t xml:space="preserve"> Hague, the Netherlands. </w:t>
      </w:r>
      <w:r w:rsidR="00FA3350">
        <w:rPr>
          <w:lang w:val="en-US"/>
        </w:rPr>
        <w:t>S</w:t>
      </w:r>
      <w:r>
        <w:rPr>
          <w:lang w:val="en-US"/>
        </w:rPr>
        <w:t>ixteen</w:t>
      </w:r>
      <w:r w:rsidR="00B16BA2" w:rsidRPr="003D0B34">
        <w:rPr>
          <w:lang w:val="en-US"/>
        </w:rPr>
        <w:t xml:space="preserve"> </w:t>
      </w:r>
      <w:r>
        <w:rPr>
          <w:lang w:val="en-US"/>
        </w:rPr>
        <w:t>e</w:t>
      </w:r>
      <w:r w:rsidR="00B16BA2" w:rsidRPr="003D0B34">
        <w:rPr>
          <w:lang w:val="en-US"/>
        </w:rPr>
        <w:t>xperts attended the meeting representing delegations of Belgium, France, Germ</w:t>
      </w:r>
      <w:r w:rsidR="00FA3350">
        <w:rPr>
          <w:lang w:val="en-US"/>
        </w:rPr>
        <w:t>any, the Netherlands and Poland,</w:t>
      </w:r>
      <w:bookmarkStart w:id="0" w:name="_GoBack"/>
      <w:bookmarkEnd w:id="0"/>
      <w:r w:rsidR="00B16BA2" w:rsidRPr="003D0B34">
        <w:rPr>
          <w:lang w:val="en-US"/>
        </w:rPr>
        <w:t xml:space="preserve"> and </w:t>
      </w:r>
      <w:r>
        <w:rPr>
          <w:lang w:val="en-US"/>
        </w:rPr>
        <w:t>the following non-governmental organizations: European Chemical Transport Association (ECTA), European Chemical Industry Council (CEFIC) and International Association of the Body and Trailer Building Industry (CLCCR)</w:t>
      </w:r>
      <w:r w:rsidR="00B16BA2" w:rsidRPr="003D0B34">
        <w:rPr>
          <w:lang w:val="en-US"/>
        </w:rPr>
        <w:t>. The meeting was chaired by the Netherlands.</w:t>
      </w:r>
    </w:p>
    <w:p w:rsidR="00B16BA2" w:rsidRPr="004D0B16" w:rsidRDefault="00AF2344" w:rsidP="00AF2344">
      <w:pPr>
        <w:pStyle w:val="HChG"/>
        <w:rPr>
          <w:lang w:val="en-US"/>
        </w:rPr>
      </w:pPr>
      <w:r>
        <w:rPr>
          <w:lang w:val="en-US"/>
        </w:rPr>
        <w:tab/>
      </w:r>
      <w:r>
        <w:rPr>
          <w:lang w:val="en-US"/>
        </w:rPr>
        <w:tab/>
      </w:r>
      <w:r w:rsidR="00B16BA2" w:rsidRPr="004D0B16">
        <w:rPr>
          <w:lang w:val="en-US"/>
        </w:rPr>
        <w:t>General</w:t>
      </w:r>
      <w:r w:rsidR="00B16BA2" w:rsidRPr="004D0B16">
        <w:rPr>
          <w:lang w:val="en-US"/>
        </w:rPr>
        <w:tab/>
      </w:r>
    </w:p>
    <w:p w:rsidR="00B16BA2" w:rsidRDefault="007A5200" w:rsidP="00AF2344">
      <w:pPr>
        <w:pStyle w:val="SingleTxtG"/>
        <w:rPr>
          <w:lang w:val="en-US"/>
        </w:rPr>
      </w:pPr>
      <w:r>
        <w:rPr>
          <w:lang w:val="en-US"/>
        </w:rPr>
        <w:t>3.</w:t>
      </w:r>
      <w:r>
        <w:rPr>
          <w:lang w:val="en-US"/>
        </w:rPr>
        <w:tab/>
      </w:r>
      <w:r w:rsidR="00B16BA2" w:rsidRPr="003D0B34">
        <w:rPr>
          <w:lang w:val="en-US"/>
        </w:rPr>
        <w:t>It was expressed by several participants to limit discussion and amendments to solve the actual problem of tanks with shells that would react fiercely with the substance carried if a defect in the lining or coating occurred. It was noticed that tanks with a protective lining with shells of carbon steel or stainless steel perform satisfactory and that their use should not be restricted. Two differences between tanks of chapter 6.7 and 6.8 emerged during the discussion</w:t>
      </w:r>
      <w:r w:rsidR="00B16BA2">
        <w:rPr>
          <w:lang w:val="en-US"/>
        </w:rPr>
        <w:t>. On</w:t>
      </w:r>
      <w:r w:rsidR="00B16BA2" w:rsidRPr="003D0B34">
        <w:rPr>
          <w:lang w:val="en-US"/>
        </w:rPr>
        <w:t>e difference is the moment of application of the lining. This is common for road tank vehicles when they are manufactured, the design is often optimized for this application, but are applied anytime in use for portable tanks, being manufactured in large series and coating applied when needed.</w:t>
      </w:r>
      <w:r w:rsidR="00B16BA2">
        <w:rPr>
          <w:lang w:val="en-US"/>
        </w:rPr>
        <w:t xml:space="preserve"> </w:t>
      </w:r>
      <w:r w:rsidR="00B16BA2" w:rsidRPr="003D0B34">
        <w:rPr>
          <w:lang w:val="en-US"/>
        </w:rPr>
        <w:t xml:space="preserve">Another difference is the listing of substances allowed to be carried in combination with a substance with a (+) after the tank code for tank-containers, tanks on wagons and vehicles, which do not exist for portable tanks. </w:t>
      </w:r>
    </w:p>
    <w:p w:rsidR="00B16BA2" w:rsidRPr="004D0B16" w:rsidRDefault="00AF2344" w:rsidP="00AF2344">
      <w:pPr>
        <w:pStyle w:val="H1G"/>
        <w:rPr>
          <w:i/>
          <w:lang w:val="en-US"/>
        </w:rPr>
      </w:pPr>
      <w:r>
        <w:rPr>
          <w:lang w:val="en-US"/>
        </w:rPr>
        <w:lastRenderedPageBreak/>
        <w:tab/>
      </w:r>
      <w:r>
        <w:rPr>
          <w:lang w:val="en-US"/>
        </w:rPr>
        <w:tab/>
      </w:r>
      <w:r w:rsidR="00B16BA2" w:rsidRPr="004D0B16">
        <w:rPr>
          <w:lang w:val="en-US"/>
        </w:rPr>
        <w:t>Dangerous reaction</w:t>
      </w:r>
    </w:p>
    <w:p w:rsidR="00B16BA2" w:rsidRPr="003D0B34" w:rsidRDefault="007A5200" w:rsidP="00AF2344">
      <w:pPr>
        <w:pStyle w:val="SingleTxtG"/>
        <w:rPr>
          <w:lang w:val="en-US"/>
        </w:rPr>
      </w:pPr>
      <w:r>
        <w:rPr>
          <w:lang w:val="en-US"/>
        </w:rPr>
        <w:t>4.</w:t>
      </w:r>
      <w:r>
        <w:rPr>
          <w:lang w:val="en-US"/>
        </w:rPr>
        <w:tab/>
      </w:r>
      <w:r w:rsidR="00B16BA2" w:rsidRPr="003D0B34">
        <w:rPr>
          <w:lang w:val="en-US"/>
        </w:rPr>
        <w:t xml:space="preserve">In relation to document </w:t>
      </w:r>
      <w:r>
        <w:rPr>
          <w:lang w:val="en-US"/>
        </w:rPr>
        <w:t>ECE/TRANS/WP.15/AC.1/</w:t>
      </w:r>
      <w:r w:rsidR="00B16BA2" w:rsidRPr="003D0B34">
        <w:rPr>
          <w:lang w:val="en-US"/>
        </w:rPr>
        <w:t>2015/51 (J</w:t>
      </w:r>
      <w:r w:rsidR="00B16BA2">
        <w:rPr>
          <w:lang w:val="en-US"/>
        </w:rPr>
        <w:t xml:space="preserve">oint </w:t>
      </w:r>
      <w:r w:rsidR="00B16BA2" w:rsidRPr="003D0B34">
        <w:rPr>
          <w:lang w:val="en-US"/>
        </w:rPr>
        <w:t>M</w:t>
      </w:r>
      <w:r w:rsidR="00B16BA2">
        <w:rPr>
          <w:lang w:val="en-US"/>
        </w:rPr>
        <w:t>eeting</w:t>
      </w:r>
      <w:r w:rsidR="00B16BA2" w:rsidRPr="003D0B34">
        <w:rPr>
          <w:lang w:val="en-US"/>
        </w:rPr>
        <w:t xml:space="preserve"> September 2015) of the Netherlands it was discussed that the reaction between hydrochloric acid and aluminum alloy should </w:t>
      </w:r>
      <w:r w:rsidR="00B16BA2" w:rsidRPr="00B5106D">
        <w:rPr>
          <w:lang w:val="en-US"/>
        </w:rPr>
        <w:t>not</w:t>
      </w:r>
      <w:r w:rsidR="00B16BA2">
        <w:rPr>
          <w:lang w:val="en-US"/>
        </w:rPr>
        <w:t xml:space="preserve"> </w:t>
      </w:r>
      <w:r w:rsidR="00B16BA2" w:rsidRPr="003D0B34">
        <w:rPr>
          <w:lang w:val="en-US"/>
        </w:rPr>
        <w:t>be seen as a “dangerous reaction”. It was expressed especially by the expert of Germany (</w:t>
      </w:r>
      <w:r>
        <w:rPr>
          <w:lang w:val="en-US"/>
        </w:rPr>
        <w:t xml:space="preserve">Federal Institute for Materials Research and Testing </w:t>
      </w:r>
      <w:r w:rsidR="00B16BA2" w:rsidRPr="003D0B34">
        <w:rPr>
          <w:lang w:val="en-US"/>
        </w:rPr>
        <w:t xml:space="preserve">BAM) that this should be seen as a normal electro chemical reaction and not a “dangerous reaction” despite the development of heat. By this interpretation the wording of 4.3.2.1.5 and 4.2.2.7.1 (portable tanks), where as well the shell material as the lining material shall not react dangerously with the substance carried, is correct. This principle was accepted by the </w:t>
      </w:r>
      <w:r>
        <w:rPr>
          <w:lang w:val="en-US"/>
        </w:rPr>
        <w:t xml:space="preserve">informal </w:t>
      </w:r>
      <w:r w:rsidR="00B16BA2" w:rsidRPr="003D0B34">
        <w:rPr>
          <w:lang w:val="en-US"/>
        </w:rPr>
        <w:t>working group. Further inconsistencies were discussed between 4.3.2.1.5 and the first paragraph 6.8.2.1.9 (see annex).</w:t>
      </w:r>
    </w:p>
    <w:p w:rsidR="00B16BA2" w:rsidRPr="004D0B16" w:rsidRDefault="00AF2344" w:rsidP="00AF2344">
      <w:pPr>
        <w:pStyle w:val="H1G"/>
        <w:rPr>
          <w:lang w:val="en-US"/>
        </w:rPr>
      </w:pPr>
      <w:r>
        <w:rPr>
          <w:lang w:val="en-US"/>
        </w:rPr>
        <w:tab/>
      </w:r>
      <w:r>
        <w:rPr>
          <w:lang w:val="en-US"/>
        </w:rPr>
        <w:tab/>
      </w:r>
      <w:r w:rsidR="00B16BA2" w:rsidRPr="004D0B16">
        <w:rPr>
          <w:lang w:val="en-US"/>
        </w:rPr>
        <w:t>Tanks with a protective lining or coating and shells made of aluminum alloy</w:t>
      </w:r>
    </w:p>
    <w:p w:rsidR="00B16BA2" w:rsidRDefault="007A5200" w:rsidP="00AF2344">
      <w:pPr>
        <w:pStyle w:val="SingleTxtG"/>
        <w:rPr>
          <w:lang w:val="en-US"/>
        </w:rPr>
      </w:pPr>
      <w:r>
        <w:rPr>
          <w:lang w:val="en-US"/>
        </w:rPr>
        <w:t>5.</w:t>
      </w:r>
      <w:r>
        <w:rPr>
          <w:lang w:val="en-US"/>
        </w:rPr>
        <w:tab/>
      </w:r>
      <w:r w:rsidR="00B16BA2" w:rsidRPr="003D0B34">
        <w:rPr>
          <w:lang w:val="en-US"/>
        </w:rPr>
        <w:t xml:space="preserve">It was said that tanks with a protective lining and shells made of aluminum alloy should not be used for substances which in case of a defect in the lining would react fiercely, like hydrochloric acid. </w:t>
      </w:r>
      <w:proofErr w:type="gramStart"/>
      <w:r w:rsidR="00B16BA2" w:rsidRPr="003D0B34">
        <w:rPr>
          <w:lang w:val="en-US"/>
        </w:rPr>
        <w:t>A  prohibition</w:t>
      </w:r>
      <w:proofErr w:type="gramEnd"/>
      <w:r w:rsidR="00B16BA2" w:rsidRPr="003D0B34">
        <w:rPr>
          <w:lang w:val="en-US"/>
        </w:rPr>
        <w:t xml:space="preserve"> of tanks with linings and shells of aluminum alloy was felt to be to</w:t>
      </w:r>
      <w:r w:rsidR="00B16BA2">
        <w:rPr>
          <w:lang w:val="en-US"/>
        </w:rPr>
        <w:t>o</w:t>
      </w:r>
      <w:r w:rsidR="00B16BA2" w:rsidRPr="003D0B34">
        <w:rPr>
          <w:lang w:val="en-US"/>
        </w:rPr>
        <w:t xml:space="preserve"> rigorous, because some substances which are normally carried in these tanks do not react </w:t>
      </w:r>
      <w:r w:rsidR="00B16BA2" w:rsidRPr="00B5106D">
        <w:rPr>
          <w:lang w:val="en-US"/>
        </w:rPr>
        <w:t>in</w:t>
      </w:r>
      <w:r w:rsidR="00B16BA2">
        <w:rPr>
          <w:lang w:val="en-US"/>
        </w:rPr>
        <w:t xml:space="preserve"> </w:t>
      </w:r>
      <w:r w:rsidR="00B16BA2" w:rsidRPr="003D0B34">
        <w:rPr>
          <w:lang w:val="en-US"/>
        </w:rPr>
        <w:t xml:space="preserve">this way. Because this can also be mixtures of substances, solutions or substances with impurities </w:t>
      </w:r>
      <w:r w:rsidR="00B16BA2">
        <w:rPr>
          <w:lang w:val="en-US"/>
        </w:rPr>
        <w:t>i</w:t>
      </w:r>
      <w:r w:rsidR="00B16BA2" w:rsidRPr="003D0B34">
        <w:rPr>
          <w:lang w:val="en-US"/>
        </w:rPr>
        <w:t xml:space="preserve">t can be difficult to pin point all related UN numbers. After discussion it was agreed not to regulate construction and approval of tanks but the use of tanks. This would be limited to substances that may react fiercely with aluminum alloy. The list of substances normally used in tanks with a protective lining would be the starting point to which a new special provision </w:t>
      </w:r>
      <w:proofErr w:type="spellStart"/>
      <w:r w:rsidR="00B16BA2" w:rsidRPr="003D0B34">
        <w:rPr>
          <w:lang w:val="en-US"/>
        </w:rPr>
        <w:t>TUyy</w:t>
      </w:r>
      <w:proofErr w:type="spellEnd"/>
      <w:r w:rsidR="00B16BA2" w:rsidRPr="003D0B34">
        <w:rPr>
          <w:lang w:val="en-US"/>
        </w:rPr>
        <w:t xml:space="preserve"> would be introduced in column 13 of the table of </w:t>
      </w:r>
      <w:r w:rsidR="00B16BA2">
        <w:rPr>
          <w:lang w:val="en-US"/>
        </w:rPr>
        <w:t>c</w:t>
      </w:r>
      <w:r w:rsidR="00B16BA2" w:rsidRPr="003D0B34">
        <w:rPr>
          <w:lang w:val="en-US"/>
        </w:rPr>
        <w:t xml:space="preserve">hapter 3.2. A </w:t>
      </w:r>
      <w:r w:rsidR="00B16BA2">
        <w:rPr>
          <w:lang w:val="en-US"/>
        </w:rPr>
        <w:t>p</w:t>
      </w:r>
      <w:r w:rsidR="00B16BA2" w:rsidRPr="003D0B34">
        <w:rPr>
          <w:lang w:val="en-US"/>
        </w:rPr>
        <w:t xml:space="preserve">H value between 5 and 8 was decided to be the limiting factor if the substance allocated to this UN number could be carried or not.  </w:t>
      </w:r>
    </w:p>
    <w:p w:rsidR="00B16BA2" w:rsidRPr="004D0B16" w:rsidRDefault="00AF2344" w:rsidP="00AF2344">
      <w:pPr>
        <w:pStyle w:val="H1G"/>
        <w:rPr>
          <w:lang w:val="en-US"/>
        </w:rPr>
      </w:pPr>
      <w:r>
        <w:rPr>
          <w:lang w:val="en-US"/>
        </w:rPr>
        <w:tab/>
      </w:r>
      <w:r>
        <w:rPr>
          <w:lang w:val="en-US"/>
        </w:rPr>
        <w:tab/>
      </w:r>
      <w:r w:rsidR="00B16BA2" w:rsidRPr="004D0B16">
        <w:rPr>
          <w:lang w:val="en-US"/>
        </w:rPr>
        <w:t>Failure mechanisms of protective lining</w:t>
      </w:r>
    </w:p>
    <w:p w:rsidR="00B16BA2" w:rsidRDefault="007A5200" w:rsidP="00AF2344">
      <w:pPr>
        <w:pStyle w:val="SingleTxtG"/>
        <w:rPr>
          <w:lang w:val="en-US"/>
        </w:rPr>
      </w:pPr>
      <w:r>
        <w:rPr>
          <w:lang w:val="en-US"/>
        </w:rPr>
        <w:t>6.</w:t>
      </w:r>
      <w:r>
        <w:rPr>
          <w:lang w:val="en-US"/>
        </w:rPr>
        <w:tab/>
      </w:r>
      <w:r w:rsidR="00B16BA2" w:rsidRPr="004D0B16">
        <w:rPr>
          <w:lang w:val="en-US"/>
        </w:rPr>
        <w:t>It was expressed that on average protective linings (ebonite) would give good performance for 15 years, and that after 15 years repairs will be more frequent.</w:t>
      </w:r>
    </w:p>
    <w:p w:rsidR="00B16BA2" w:rsidRDefault="007A5200" w:rsidP="00AF2344">
      <w:pPr>
        <w:pStyle w:val="SingleTxtG"/>
        <w:rPr>
          <w:lang w:val="en-US"/>
        </w:rPr>
      </w:pPr>
      <w:r>
        <w:rPr>
          <w:lang w:val="en-US"/>
        </w:rPr>
        <w:t>7.</w:t>
      </w:r>
      <w:r>
        <w:rPr>
          <w:lang w:val="en-US"/>
        </w:rPr>
        <w:tab/>
      </w:r>
      <w:r w:rsidR="00B16BA2" w:rsidRPr="004D0B16">
        <w:rPr>
          <w:lang w:val="en-US"/>
        </w:rPr>
        <w:t>Others countered that it also depended on the use of the tank and the quality of the lining or coating. Important factors in this issue are dedicated use for one product or regular change of substance and the accompanying cleaning to be done.</w:t>
      </w:r>
    </w:p>
    <w:p w:rsidR="00B16BA2" w:rsidRDefault="007A5200" w:rsidP="00AF2344">
      <w:pPr>
        <w:pStyle w:val="SingleTxtG"/>
        <w:rPr>
          <w:lang w:val="en-US"/>
        </w:rPr>
      </w:pPr>
      <w:r>
        <w:rPr>
          <w:lang w:val="en-US"/>
        </w:rPr>
        <w:t>8.</w:t>
      </w:r>
      <w:r>
        <w:rPr>
          <w:lang w:val="en-US"/>
        </w:rPr>
        <w:tab/>
      </w:r>
      <w:r w:rsidR="00B16BA2" w:rsidRPr="004D0B16">
        <w:rPr>
          <w:lang w:val="en-US"/>
        </w:rPr>
        <w:t xml:space="preserve">The cleaning is a risk for damage to the lining, although special procedures for cleaning are agreed between carriers and tank cleaners. </w:t>
      </w:r>
      <w:r w:rsidR="00B16BA2">
        <w:rPr>
          <w:lang w:val="en-US"/>
        </w:rPr>
        <w:t>T</w:t>
      </w:r>
      <w:r w:rsidR="00B16BA2" w:rsidRPr="004D0B16">
        <w:rPr>
          <w:lang w:val="en-US"/>
        </w:rPr>
        <w:t>races of substance which are remaining on the lining after cleaning the tank can react with the new load resulting in deterioration.</w:t>
      </w:r>
      <w:r w:rsidR="00B16BA2">
        <w:rPr>
          <w:lang w:val="en-US"/>
        </w:rPr>
        <w:t xml:space="preserve"> </w:t>
      </w:r>
      <w:r w:rsidR="00B16BA2" w:rsidRPr="004D0B16">
        <w:rPr>
          <w:lang w:val="en-US"/>
        </w:rPr>
        <w:t>Also heat input by the sun, resulting in an increased of temperature of the substance and reactivity can have a negative effect on the lining or coating. External mechanical damages can also cause defects. Even removing and refitting service equipment or entering of the tank by a person can initiate a defect in the near future.</w:t>
      </w:r>
    </w:p>
    <w:p w:rsidR="00B16BA2" w:rsidRDefault="007A5200" w:rsidP="00AF2344">
      <w:pPr>
        <w:pStyle w:val="SingleTxtG"/>
        <w:rPr>
          <w:lang w:val="en-US"/>
        </w:rPr>
      </w:pPr>
      <w:r>
        <w:rPr>
          <w:lang w:val="en-US"/>
        </w:rPr>
        <w:t>9.</w:t>
      </w:r>
      <w:r>
        <w:rPr>
          <w:lang w:val="en-US"/>
        </w:rPr>
        <w:tab/>
      </w:r>
      <w:r w:rsidR="00B16BA2" w:rsidRPr="004D0B16">
        <w:rPr>
          <w:lang w:val="en-US"/>
        </w:rPr>
        <w:t>The more these tanks are interfered with the higher the risk for failure. For this reason a more frequent internal visitation is not supported.</w:t>
      </w:r>
      <w:r w:rsidR="00B16BA2">
        <w:rPr>
          <w:lang w:val="en-US"/>
        </w:rPr>
        <w:t xml:space="preserve"> </w:t>
      </w:r>
      <w:r w:rsidR="00B16BA2" w:rsidRPr="004D0B16">
        <w:rPr>
          <w:lang w:val="en-US"/>
        </w:rPr>
        <w:t>To prevent solar radiation and defects by mechanical impact an external cladding was seen as an advantage.</w:t>
      </w:r>
      <w:r w:rsidR="00B16BA2">
        <w:rPr>
          <w:lang w:val="en-US"/>
        </w:rPr>
        <w:t xml:space="preserve"> </w:t>
      </w:r>
      <w:r w:rsidR="00B16BA2" w:rsidRPr="004D0B16">
        <w:rPr>
          <w:lang w:val="en-US"/>
        </w:rPr>
        <w:t xml:space="preserve">It was in particular addressed that spark testing of the lining can cause defects in particular if a too high voltage is used. It was also stated that a safe voltage for a lining in use was lower than that </w:t>
      </w:r>
      <w:r w:rsidR="00B16BA2" w:rsidRPr="007E01A7">
        <w:rPr>
          <w:lang w:val="en-US"/>
        </w:rPr>
        <w:t>for a</w:t>
      </w:r>
      <w:r w:rsidR="00B16BA2" w:rsidRPr="004D0B16">
        <w:rPr>
          <w:lang w:val="en-US"/>
        </w:rPr>
        <w:t xml:space="preserve"> new lining. It was expressed that a safe voltage for the various ages of the lining should be given by the manufacturer, supplier or applicant of the lining.</w:t>
      </w:r>
    </w:p>
    <w:p w:rsidR="00B16BA2" w:rsidRPr="004D0B16" w:rsidRDefault="007A5200" w:rsidP="00AF2344">
      <w:pPr>
        <w:pStyle w:val="SingleTxtG"/>
        <w:rPr>
          <w:lang w:val="en-US"/>
        </w:rPr>
      </w:pPr>
      <w:r>
        <w:rPr>
          <w:lang w:val="en-US"/>
        </w:rPr>
        <w:lastRenderedPageBreak/>
        <w:t>10.</w:t>
      </w:r>
      <w:r>
        <w:rPr>
          <w:lang w:val="en-US"/>
        </w:rPr>
        <w:tab/>
      </w:r>
      <w:r w:rsidR="00B16BA2" w:rsidRPr="004D0B16">
        <w:rPr>
          <w:lang w:val="en-US"/>
        </w:rPr>
        <w:t xml:space="preserve">During the meeting a presentation was given by a representative of </w:t>
      </w:r>
      <w:proofErr w:type="spellStart"/>
      <w:r w:rsidR="00B16BA2" w:rsidRPr="004D0B16">
        <w:rPr>
          <w:lang w:val="en-US"/>
        </w:rPr>
        <w:t>Simona</w:t>
      </w:r>
      <w:proofErr w:type="spellEnd"/>
      <w:r w:rsidR="00B16BA2" w:rsidRPr="004D0B16">
        <w:rPr>
          <w:lang w:val="en-US"/>
        </w:rPr>
        <w:t xml:space="preserve"> AG concerning the properties and application of thermoplastic linings. The advantages such as very good resistance to particular substances and long service life were expressed but also the differences in price between the simple PVC materials and the more exotic, the preforming needed of the stiffer</w:t>
      </w:r>
      <w:r w:rsidR="00B16BA2" w:rsidRPr="0015768E">
        <w:rPr>
          <w:lang w:val="en-US"/>
        </w:rPr>
        <w:t xml:space="preserve"> </w:t>
      </w:r>
      <w:r w:rsidR="00B16BA2" w:rsidRPr="004D0B16">
        <w:rPr>
          <w:lang w:val="en-US"/>
        </w:rPr>
        <w:t xml:space="preserve">sheet materials, the welding of the sections and bonding to the shell were addressed. The </w:t>
      </w:r>
      <w:r>
        <w:rPr>
          <w:lang w:val="en-US"/>
        </w:rPr>
        <w:t xml:space="preserve">informal </w:t>
      </w:r>
      <w:r w:rsidR="00B16BA2" w:rsidRPr="004D0B16">
        <w:rPr>
          <w:lang w:val="en-US"/>
        </w:rPr>
        <w:t>working group</w:t>
      </w:r>
      <w:r>
        <w:rPr>
          <w:lang w:val="en-US"/>
        </w:rPr>
        <w:t xml:space="preserve"> thanked the representative of </w:t>
      </w:r>
      <w:proofErr w:type="spellStart"/>
      <w:r>
        <w:rPr>
          <w:lang w:val="en-US"/>
        </w:rPr>
        <w:t>Simona</w:t>
      </w:r>
      <w:proofErr w:type="spellEnd"/>
      <w:r>
        <w:rPr>
          <w:lang w:val="en-US"/>
        </w:rPr>
        <w:t xml:space="preserve"> AG</w:t>
      </w:r>
      <w:r w:rsidR="00B16BA2" w:rsidRPr="004D0B16">
        <w:rPr>
          <w:lang w:val="en-US"/>
        </w:rPr>
        <w:t xml:space="preserve"> for the very informative presentation and the answering of all the questions. </w:t>
      </w:r>
    </w:p>
    <w:p w:rsidR="00B16BA2" w:rsidRPr="00650A7E" w:rsidRDefault="00AF2344" w:rsidP="00AF2344">
      <w:pPr>
        <w:pStyle w:val="H1G"/>
        <w:rPr>
          <w:lang w:val="en-US"/>
        </w:rPr>
      </w:pPr>
      <w:r>
        <w:rPr>
          <w:lang w:val="en-US"/>
        </w:rPr>
        <w:tab/>
      </w:r>
      <w:r>
        <w:rPr>
          <w:lang w:val="en-US"/>
        </w:rPr>
        <w:tab/>
        <w:t>Amendments to the regulation</w:t>
      </w:r>
    </w:p>
    <w:p w:rsidR="00B16BA2" w:rsidRPr="004D0B16" w:rsidRDefault="007A5200" w:rsidP="00AF2344">
      <w:pPr>
        <w:pStyle w:val="SingleTxtG"/>
        <w:rPr>
          <w:lang w:val="en-US"/>
        </w:rPr>
      </w:pPr>
      <w:r>
        <w:rPr>
          <w:lang w:val="en-US"/>
        </w:rPr>
        <w:t>11.</w:t>
      </w:r>
      <w:r>
        <w:rPr>
          <w:lang w:val="en-US"/>
        </w:rPr>
        <w:tab/>
      </w:r>
      <w:r w:rsidR="00B16BA2" w:rsidRPr="004D0B16">
        <w:rPr>
          <w:lang w:val="en-US"/>
        </w:rPr>
        <w:t xml:space="preserve">Amendments were discussed based on a document supplied to the participants before the meeting by the expert of the Netherlands. The final outcome is represented in the annex to this report. </w:t>
      </w:r>
    </w:p>
    <w:p w:rsidR="00B16BA2" w:rsidRPr="004D0B16" w:rsidRDefault="007A5200" w:rsidP="00AF2344">
      <w:pPr>
        <w:pStyle w:val="SingleTxtG"/>
        <w:rPr>
          <w:lang w:val="en-US"/>
        </w:rPr>
      </w:pPr>
      <w:r>
        <w:rPr>
          <w:lang w:val="en-US"/>
        </w:rPr>
        <w:t>12.</w:t>
      </w:r>
      <w:r>
        <w:rPr>
          <w:lang w:val="en-US"/>
        </w:rPr>
        <w:tab/>
      </w:r>
      <w:r w:rsidR="00B16BA2" w:rsidRPr="004D0B16">
        <w:rPr>
          <w:lang w:val="en-US"/>
        </w:rPr>
        <w:t xml:space="preserve">It should be noted that there was no consensus on amending the construction requirements in 6.8.2.1.24 in the line of those in chapter 6.7. In particular the second and last sentence of 6.7.2.2.4 concerning the application of lining material on the face of flanges was felt to be no longer in line with the current state of technology which may also have impact on portable tanks. </w:t>
      </w:r>
    </w:p>
    <w:p w:rsidR="00AF2344" w:rsidRDefault="00AF2344">
      <w:pPr>
        <w:suppressAutoHyphens w:val="0"/>
        <w:spacing w:line="240" w:lineRule="auto"/>
        <w:rPr>
          <w:b/>
          <w:lang w:val="en-US"/>
        </w:rPr>
      </w:pPr>
      <w:r>
        <w:rPr>
          <w:b/>
          <w:lang w:val="en-US"/>
        </w:rPr>
        <w:br w:type="page"/>
      </w:r>
    </w:p>
    <w:p w:rsidR="00B16BA2" w:rsidRDefault="00B16BA2" w:rsidP="00AF2344">
      <w:pPr>
        <w:pStyle w:val="HChG"/>
        <w:rPr>
          <w:lang w:val="en-US"/>
        </w:rPr>
      </w:pPr>
      <w:r>
        <w:rPr>
          <w:lang w:val="en-US"/>
        </w:rPr>
        <w:lastRenderedPageBreak/>
        <w:t xml:space="preserve">Annex </w:t>
      </w:r>
    </w:p>
    <w:tbl>
      <w:tblPr>
        <w:tblStyle w:val="TableGrid"/>
        <w:tblW w:w="0" w:type="auto"/>
        <w:tblLook w:val="04A0" w:firstRow="1" w:lastRow="0" w:firstColumn="1" w:lastColumn="0" w:noHBand="0" w:noVBand="1"/>
      </w:tblPr>
      <w:tblGrid>
        <w:gridCol w:w="675"/>
        <w:gridCol w:w="3931"/>
        <w:gridCol w:w="4574"/>
      </w:tblGrid>
      <w:tr w:rsidR="008B46FD" w:rsidRPr="00766D74" w:rsidTr="008B46FD">
        <w:tc>
          <w:tcPr>
            <w:tcW w:w="675" w:type="dxa"/>
          </w:tcPr>
          <w:p w:rsidR="008B46FD" w:rsidRPr="00766D74" w:rsidRDefault="008B46FD" w:rsidP="008B46FD">
            <w:pPr>
              <w:rPr>
                <w:sz w:val="18"/>
                <w:szCs w:val="18"/>
                <w:lang w:val="en-US"/>
              </w:rPr>
            </w:pPr>
            <w:r w:rsidRPr="00766D74">
              <w:rPr>
                <w:sz w:val="18"/>
                <w:szCs w:val="18"/>
                <w:lang w:val="en-US"/>
              </w:rPr>
              <w:t>Item</w:t>
            </w:r>
          </w:p>
        </w:tc>
        <w:tc>
          <w:tcPr>
            <w:tcW w:w="3931" w:type="dxa"/>
          </w:tcPr>
          <w:p w:rsidR="008B46FD" w:rsidRPr="00766D74" w:rsidRDefault="008B46FD" w:rsidP="008B46FD">
            <w:pPr>
              <w:rPr>
                <w:sz w:val="18"/>
                <w:szCs w:val="18"/>
                <w:lang w:val="en-US"/>
              </w:rPr>
            </w:pPr>
            <w:r w:rsidRPr="00766D74">
              <w:rPr>
                <w:sz w:val="18"/>
                <w:szCs w:val="18"/>
                <w:lang w:val="en-US"/>
              </w:rPr>
              <w:t>Proposal</w:t>
            </w:r>
          </w:p>
        </w:tc>
        <w:tc>
          <w:tcPr>
            <w:tcW w:w="4574" w:type="dxa"/>
          </w:tcPr>
          <w:p w:rsidR="008B46FD" w:rsidRPr="00766D74" w:rsidRDefault="008B46FD" w:rsidP="008B46FD">
            <w:pPr>
              <w:rPr>
                <w:sz w:val="18"/>
                <w:szCs w:val="18"/>
                <w:lang w:val="en-US"/>
              </w:rPr>
            </w:pPr>
            <w:r w:rsidRPr="00766D74">
              <w:rPr>
                <w:sz w:val="18"/>
                <w:szCs w:val="18"/>
                <w:lang w:val="en-US"/>
              </w:rPr>
              <w:t>Justification</w:t>
            </w:r>
          </w:p>
        </w:tc>
      </w:tr>
      <w:tr w:rsidR="008B46FD" w:rsidRPr="00AC1EE5" w:rsidTr="008B46FD">
        <w:tc>
          <w:tcPr>
            <w:tcW w:w="675" w:type="dxa"/>
          </w:tcPr>
          <w:p w:rsidR="008B46FD" w:rsidRPr="00766D74" w:rsidRDefault="008B46FD" w:rsidP="008B46FD">
            <w:pPr>
              <w:rPr>
                <w:sz w:val="18"/>
                <w:szCs w:val="18"/>
                <w:lang w:val="en-US"/>
              </w:rPr>
            </w:pPr>
            <w:r w:rsidRPr="00766D74">
              <w:rPr>
                <w:sz w:val="18"/>
                <w:szCs w:val="18"/>
                <w:lang w:val="en-US"/>
              </w:rPr>
              <w:t>1</w:t>
            </w:r>
          </w:p>
        </w:tc>
        <w:tc>
          <w:tcPr>
            <w:tcW w:w="3931" w:type="dxa"/>
          </w:tcPr>
          <w:p w:rsidR="008B46FD" w:rsidRPr="00766D74" w:rsidRDefault="008B46FD" w:rsidP="008B46FD">
            <w:pPr>
              <w:rPr>
                <w:sz w:val="18"/>
                <w:szCs w:val="18"/>
                <w:lang w:val="en-US"/>
              </w:rPr>
            </w:pPr>
            <w:r w:rsidRPr="00766D74">
              <w:rPr>
                <w:sz w:val="18"/>
                <w:szCs w:val="18"/>
                <w:lang w:val="en-US"/>
              </w:rPr>
              <w:t>Introduce a new definition in 1.2.1 to read:</w:t>
            </w:r>
          </w:p>
          <w:p w:rsidR="008B46FD" w:rsidRPr="00766D74" w:rsidRDefault="008B46FD" w:rsidP="008B46FD">
            <w:pPr>
              <w:rPr>
                <w:sz w:val="18"/>
                <w:szCs w:val="18"/>
                <w:lang w:val="en-US"/>
              </w:rPr>
            </w:pPr>
          </w:p>
          <w:p w:rsidR="008B46FD" w:rsidRPr="00766D74" w:rsidRDefault="008B46FD" w:rsidP="008B46FD">
            <w:pPr>
              <w:rPr>
                <w:sz w:val="18"/>
                <w:szCs w:val="18"/>
                <w:lang w:val="en-US"/>
              </w:rPr>
            </w:pPr>
            <w:r w:rsidRPr="00766D74">
              <w:rPr>
                <w:i/>
                <w:sz w:val="18"/>
                <w:szCs w:val="18"/>
                <w:lang w:val="en-US"/>
              </w:rPr>
              <w:t>“Protective lining”</w:t>
            </w:r>
            <w:r w:rsidRPr="00766D74">
              <w:rPr>
                <w:sz w:val="18"/>
                <w:szCs w:val="18"/>
                <w:lang w:val="en-US"/>
              </w:rPr>
              <w:t xml:space="preserve"> means: (for tanks) </w:t>
            </w:r>
            <w:proofErr w:type="gramStart"/>
            <w:r w:rsidRPr="00766D74">
              <w:rPr>
                <w:sz w:val="18"/>
                <w:szCs w:val="18"/>
                <w:lang w:val="en-US"/>
              </w:rPr>
              <w:t>a  lining</w:t>
            </w:r>
            <w:proofErr w:type="gramEnd"/>
            <w:r w:rsidRPr="00766D74">
              <w:rPr>
                <w:sz w:val="18"/>
                <w:szCs w:val="18"/>
                <w:lang w:val="en-US"/>
              </w:rPr>
              <w:t xml:space="preserve"> or  coating protecting the metallic tank material against the substances to be carried.</w:t>
            </w:r>
          </w:p>
          <w:p w:rsidR="008B46FD" w:rsidRPr="00766D74" w:rsidRDefault="008B46FD" w:rsidP="008B46FD">
            <w:pPr>
              <w:rPr>
                <w:sz w:val="18"/>
                <w:szCs w:val="18"/>
                <w:lang w:val="en-US"/>
              </w:rPr>
            </w:pPr>
          </w:p>
          <w:p w:rsidR="008B46FD" w:rsidRPr="00766D74" w:rsidRDefault="008B46FD" w:rsidP="008B46FD">
            <w:pPr>
              <w:rPr>
                <w:i/>
                <w:sz w:val="18"/>
                <w:szCs w:val="18"/>
                <w:lang w:val="en-US"/>
              </w:rPr>
            </w:pPr>
            <w:r w:rsidRPr="00766D74">
              <w:rPr>
                <w:b/>
                <w:i/>
                <w:sz w:val="18"/>
                <w:szCs w:val="18"/>
                <w:lang w:val="en-US"/>
              </w:rPr>
              <w:t xml:space="preserve">Note: </w:t>
            </w:r>
            <w:r w:rsidRPr="00766D74">
              <w:rPr>
                <w:i/>
                <w:sz w:val="18"/>
                <w:szCs w:val="18"/>
                <w:lang w:val="en-US"/>
              </w:rPr>
              <w:t>This does not apply to lining or coating used only to protect the substance to be carried</w:t>
            </w:r>
            <w:r>
              <w:rPr>
                <w:i/>
                <w:sz w:val="18"/>
                <w:szCs w:val="18"/>
                <w:lang w:val="en-US"/>
              </w:rPr>
              <w:t>.”</w:t>
            </w:r>
          </w:p>
          <w:p w:rsidR="008B46FD" w:rsidRPr="00766D74" w:rsidRDefault="008B46FD" w:rsidP="008B46FD">
            <w:pPr>
              <w:rPr>
                <w:sz w:val="18"/>
                <w:szCs w:val="18"/>
                <w:lang w:val="en-US"/>
              </w:rPr>
            </w:pPr>
          </w:p>
          <w:p w:rsidR="008B46FD" w:rsidRPr="00766D74" w:rsidRDefault="008B46FD" w:rsidP="008B46FD">
            <w:pPr>
              <w:rPr>
                <w:sz w:val="18"/>
                <w:szCs w:val="18"/>
                <w:lang w:val="en-US"/>
              </w:rPr>
            </w:pPr>
          </w:p>
          <w:p w:rsidR="008B46FD" w:rsidRPr="00766D74" w:rsidRDefault="008B46FD" w:rsidP="008B46FD">
            <w:pPr>
              <w:rPr>
                <w:sz w:val="18"/>
                <w:szCs w:val="18"/>
                <w:lang w:val="en-US"/>
              </w:rPr>
            </w:pPr>
          </w:p>
        </w:tc>
        <w:tc>
          <w:tcPr>
            <w:tcW w:w="4574" w:type="dxa"/>
          </w:tcPr>
          <w:p w:rsidR="008B46FD" w:rsidRPr="00766D74" w:rsidRDefault="008B46FD" w:rsidP="008B46FD">
            <w:pPr>
              <w:rPr>
                <w:sz w:val="18"/>
                <w:szCs w:val="18"/>
                <w:lang w:val="en-US"/>
              </w:rPr>
            </w:pPr>
            <w:r w:rsidRPr="00766D74">
              <w:rPr>
                <w:sz w:val="18"/>
                <w:szCs w:val="18"/>
                <w:lang w:val="en-US"/>
              </w:rPr>
              <w:t>Basically, tanks are provided with a lining either for the protection of the tank material against the substance carried or to protect the quality of the substance carried. The wording “protective lining” appears several times in the regulations but to which purpose is not explained. This justifies the adoption of a definition.</w:t>
            </w:r>
          </w:p>
          <w:p w:rsidR="008B46FD" w:rsidRPr="00766D74" w:rsidRDefault="008B46FD" w:rsidP="008B46FD">
            <w:pPr>
              <w:rPr>
                <w:sz w:val="18"/>
                <w:szCs w:val="18"/>
                <w:lang w:val="en-US"/>
              </w:rPr>
            </w:pPr>
            <w:r w:rsidRPr="00766D74">
              <w:rPr>
                <w:sz w:val="18"/>
                <w:szCs w:val="18"/>
                <w:lang w:val="en-US"/>
              </w:rPr>
              <w:br/>
              <w:t>As there is no similar definition in 6.7 it is checked for compliance with this chapter. In chapter 6.9 the wording protective lining is not used and there is no conflict.</w:t>
            </w:r>
          </w:p>
          <w:p w:rsidR="008B46FD" w:rsidRPr="00766D74" w:rsidRDefault="008B46FD" w:rsidP="008B46FD">
            <w:pPr>
              <w:rPr>
                <w:sz w:val="18"/>
                <w:szCs w:val="18"/>
                <w:lang w:val="en-US"/>
              </w:rPr>
            </w:pPr>
          </w:p>
          <w:p w:rsidR="008B46FD" w:rsidRPr="00766D74" w:rsidRDefault="008B46FD" w:rsidP="008B46FD">
            <w:pPr>
              <w:rPr>
                <w:sz w:val="18"/>
                <w:szCs w:val="18"/>
                <w:lang w:val="en-US"/>
              </w:rPr>
            </w:pPr>
            <w:r w:rsidRPr="00766D74">
              <w:rPr>
                <w:sz w:val="18"/>
                <w:szCs w:val="18"/>
                <w:lang w:val="en-US"/>
              </w:rPr>
              <w:t xml:space="preserve">A protective layer can be applied by bonding in prefabricated layer(s) of protective material (lining) or it can be sprayed on (coating), it was felt that both systems should be mentioned.  </w:t>
            </w:r>
            <w:r w:rsidRPr="007E01A7">
              <w:rPr>
                <w:sz w:val="18"/>
                <w:szCs w:val="18"/>
                <w:lang w:val="en-US"/>
              </w:rPr>
              <w:t>However to keep modification of the regulation limited it was decided to name “coating” only in the explanatory wording of the definition itself.</w:t>
            </w:r>
            <w:r w:rsidRPr="00766D74">
              <w:rPr>
                <w:sz w:val="18"/>
                <w:szCs w:val="18"/>
                <w:lang w:val="en-US"/>
              </w:rPr>
              <w:br/>
            </w:r>
          </w:p>
          <w:p w:rsidR="008B46FD" w:rsidRDefault="008B46FD" w:rsidP="008B46FD">
            <w:pPr>
              <w:rPr>
                <w:sz w:val="18"/>
                <w:szCs w:val="18"/>
                <w:lang w:val="en-US"/>
              </w:rPr>
            </w:pPr>
            <w:r w:rsidRPr="00766D74">
              <w:rPr>
                <w:sz w:val="18"/>
                <w:szCs w:val="18"/>
                <w:lang w:val="en-US"/>
              </w:rPr>
              <w:t xml:space="preserve">The suggestion to introduce both functions of lining into the regulation and have </w:t>
            </w:r>
            <w:proofErr w:type="gramStart"/>
            <w:r w:rsidRPr="00766D74">
              <w:rPr>
                <w:sz w:val="18"/>
                <w:szCs w:val="18"/>
                <w:lang w:val="en-US"/>
              </w:rPr>
              <w:t>different  regimes</w:t>
            </w:r>
            <w:proofErr w:type="gramEnd"/>
            <w:r w:rsidRPr="00766D74">
              <w:rPr>
                <w:sz w:val="18"/>
                <w:szCs w:val="18"/>
                <w:lang w:val="en-US"/>
              </w:rPr>
              <w:t xml:space="preserve"> of approval and control was not accepted. It was decided to follow the wording used in EN 12972:2015 (paragraph 3.4)</w:t>
            </w:r>
            <w:r>
              <w:rPr>
                <w:sz w:val="18"/>
                <w:szCs w:val="18"/>
                <w:lang w:val="en-US"/>
              </w:rPr>
              <w:t xml:space="preserve"> </w:t>
            </w:r>
            <w:r w:rsidRPr="007E01A7">
              <w:rPr>
                <w:sz w:val="18"/>
                <w:szCs w:val="18"/>
                <w:lang w:val="en-US"/>
              </w:rPr>
              <w:t>as far as possible.</w:t>
            </w:r>
            <w:r w:rsidRPr="00766D74">
              <w:rPr>
                <w:sz w:val="18"/>
                <w:szCs w:val="18"/>
                <w:lang w:val="en-US"/>
              </w:rPr>
              <w:t xml:space="preserve"> </w:t>
            </w:r>
          </w:p>
          <w:p w:rsidR="008B46FD" w:rsidRPr="00766D74" w:rsidRDefault="008B46FD" w:rsidP="008B46FD">
            <w:pPr>
              <w:rPr>
                <w:sz w:val="18"/>
                <w:szCs w:val="18"/>
                <w:lang w:val="en-US"/>
              </w:rPr>
            </w:pPr>
          </w:p>
        </w:tc>
      </w:tr>
      <w:tr w:rsidR="008B46FD" w:rsidRPr="00AC1EE5" w:rsidTr="008B46FD">
        <w:tc>
          <w:tcPr>
            <w:tcW w:w="675" w:type="dxa"/>
          </w:tcPr>
          <w:p w:rsidR="008B46FD" w:rsidRPr="00766D74" w:rsidRDefault="008B46FD" w:rsidP="008B46FD">
            <w:pPr>
              <w:rPr>
                <w:sz w:val="18"/>
                <w:szCs w:val="18"/>
                <w:lang w:val="en-US"/>
              </w:rPr>
            </w:pPr>
            <w:r w:rsidRPr="00766D74">
              <w:rPr>
                <w:sz w:val="18"/>
                <w:szCs w:val="18"/>
                <w:lang w:val="en-US"/>
              </w:rPr>
              <w:t>2</w:t>
            </w:r>
          </w:p>
        </w:tc>
        <w:tc>
          <w:tcPr>
            <w:tcW w:w="3931" w:type="dxa"/>
          </w:tcPr>
          <w:p w:rsidR="008B46FD" w:rsidRPr="00766D74" w:rsidRDefault="008B46FD" w:rsidP="008B46FD">
            <w:pPr>
              <w:rPr>
                <w:sz w:val="18"/>
                <w:szCs w:val="18"/>
                <w:lang w:val="en-US"/>
              </w:rPr>
            </w:pPr>
            <w:r w:rsidRPr="00766D74">
              <w:rPr>
                <w:sz w:val="18"/>
                <w:szCs w:val="18"/>
                <w:lang w:val="en-US"/>
              </w:rPr>
              <w:t>Introduce a new transitional measure 1.6.3.xx and 1.6.4.xx to read:</w:t>
            </w:r>
          </w:p>
          <w:p w:rsidR="008B46FD" w:rsidRPr="00766D74" w:rsidRDefault="008B46FD" w:rsidP="008B46FD">
            <w:pPr>
              <w:rPr>
                <w:sz w:val="18"/>
                <w:szCs w:val="18"/>
                <w:lang w:val="en-US"/>
              </w:rPr>
            </w:pPr>
          </w:p>
          <w:p w:rsidR="008B46FD" w:rsidRPr="00766D74" w:rsidRDefault="008B46FD" w:rsidP="008B46FD">
            <w:pPr>
              <w:rPr>
                <w:sz w:val="18"/>
                <w:szCs w:val="18"/>
                <w:lang w:val="en-US"/>
              </w:rPr>
            </w:pPr>
            <w:r>
              <w:rPr>
                <w:sz w:val="18"/>
                <w:szCs w:val="18"/>
                <w:lang w:val="en-US"/>
              </w:rPr>
              <w:t>“</w:t>
            </w:r>
            <w:r w:rsidRPr="00766D74">
              <w:rPr>
                <w:sz w:val="18"/>
                <w:szCs w:val="18"/>
                <w:lang w:val="en-US"/>
              </w:rPr>
              <w:t xml:space="preserve">Fixed tanks and demountable tanks/Tank wagons/Tank-containers constructed before 1 July 2019 in accordance with the requirements in force up to 31 December 2018 but which do not conform to </w:t>
            </w:r>
            <w:proofErr w:type="spellStart"/>
            <w:r w:rsidRPr="00766D74">
              <w:rPr>
                <w:sz w:val="18"/>
                <w:szCs w:val="18"/>
                <w:lang w:val="en-US"/>
              </w:rPr>
              <w:t>TUyy</w:t>
            </w:r>
            <w:proofErr w:type="spellEnd"/>
            <w:r w:rsidRPr="00766D74">
              <w:rPr>
                <w:sz w:val="18"/>
                <w:szCs w:val="18"/>
                <w:lang w:val="en-US"/>
              </w:rPr>
              <w:t xml:space="preserve"> may continue to be used for the carriage of these substances until 1 January 2023.</w:t>
            </w:r>
            <w:proofErr w:type="gramStart"/>
            <w:r>
              <w:rPr>
                <w:sz w:val="18"/>
                <w:szCs w:val="18"/>
                <w:lang w:val="en-US"/>
              </w:rPr>
              <w:t>”.</w:t>
            </w:r>
            <w:proofErr w:type="gramEnd"/>
          </w:p>
        </w:tc>
        <w:tc>
          <w:tcPr>
            <w:tcW w:w="4574" w:type="dxa"/>
          </w:tcPr>
          <w:p w:rsidR="008B46FD" w:rsidRPr="00766D74" w:rsidRDefault="008B46FD" w:rsidP="008B46FD">
            <w:pPr>
              <w:rPr>
                <w:sz w:val="18"/>
                <w:szCs w:val="18"/>
                <w:lang w:val="en-US"/>
              </w:rPr>
            </w:pPr>
            <w:r w:rsidRPr="00766D74">
              <w:rPr>
                <w:sz w:val="18"/>
                <w:szCs w:val="18"/>
                <w:lang w:val="en-US"/>
              </w:rPr>
              <w:t xml:space="preserve">Tanks with a protective lining are used for a specific array of corrosive substances and it needs time to replace existing tanks with an aluminum alloy shell which called for a transitional period after the amendment of the regulation. Also some period was felt to be needed to write of investments in existing tanks.  </w:t>
            </w:r>
          </w:p>
          <w:p w:rsidR="008B46FD" w:rsidRPr="00766D74" w:rsidRDefault="008B46FD" w:rsidP="008B46FD">
            <w:pPr>
              <w:rPr>
                <w:sz w:val="18"/>
                <w:szCs w:val="18"/>
                <w:lang w:val="en-US"/>
              </w:rPr>
            </w:pPr>
            <w:r w:rsidRPr="00766D74">
              <w:rPr>
                <w:sz w:val="18"/>
                <w:szCs w:val="18"/>
                <w:lang w:val="en-US"/>
              </w:rPr>
              <w:t>It was said that the latest tank with an aluminum alloy shell was produced 8 years ago. Considering a safe time of use of 15 years, and 3 years to go between 2016 and 2019 would then justify a transitional period of 4 years until 1 January 2023.</w:t>
            </w:r>
            <w:r>
              <w:rPr>
                <w:sz w:val="18"/>
                <w:szCs w:val="18"/>
                <w:lang w:val="en-US"/>
              </w:rPr>
              <w:br/>
              <w:t>After the meeting it was remarked that the transitional period may be too short because up till 1-7-2019 tanks with an aluminum alloy shell with a lining may still be manufactured.</w:t>
            </w:r>
          </w:p>
          <w:p w:rsidR="008B46FD" w:rsidRPr="00766D74" w:rsidRDefault="008B46FD" w:rsidP="008B46FD">
            <w:pPr>
              <w:rPr>
                <w:sz w:val="18"/>
                <w:szCs w:val="18"/>
                <w:lang w:val="en-US"/>
              </w:rPr>
            </w:pPr>
          </w:p>
          <w:p w:rsidR="008B46FD" w:rsidRDefault="008B46FD" w:rsidP="008B46FD">
            <w:pPr>
              <w:rPr>
                <w:sz w:val="18"/>
                <w:szCs w:val="18"/>
                <w:lang w:val="en-US"/>
              </w:rPr>
            </w:pPr>
            <w:r w:rsidRPr="00766D74">
              <w:rPr>
                <w:sz w:val="18"/>
                <w:szCs w:val="18"/>
                <w:lang w:val="en-US"/>
              </w:rPr>
              <w:t>It may be decided that a transitional measure is not needed for tank wagons because of their particular choice of shell materials.</w:t>
            </w:r>
          </w:p>
          <w:p w:rsidR="008B46FD" w:rsidRDefault="008B46FD" w:rsidP="008B46FD">
            <w:pPr>
              <w:rPr>
                <w:sz w:val="18"/>
                <w:szCs w:val="18"/>
                <w:lang w:val="en-US"/>
              </w:rPr>
            </w:pPr>
            <w:r>
              <w:rPr>
                <w:sz w:val="18"/>
                <w:szCs w:val="18"/>
                <w:lang w:val="en-US"/>
              </w:rPr>
              <w:br/>
            </w:r>
            <w:r w:rsidRPr="007E01A7">
              <w:rPr>
                <w:sz w:val="18"/>
                <w:szCs w:val="18"/>
                <w:lang w:val="en-US"/>
              </w:rPr>
              <w:t>After the meeting it was remarked that a longer transitional measure may be needed as tank</w:t>
            </w:r>
            <w:r>
              <w:rPr>
                <w:sz w:val="18"/>
                <w:szCs w:val="18"/>
                <w:lang w:val="en-US"/>
              </w:rPr>
              <w:t xml:space="preserve">s may be manufactured up to 1 July </w:t>
            </w:r>
            <w:r w:rsidRPr="007E01A7">
              <w:rPr>
                <w:sz w:val="18"/>
                <w:szCs w:val="18"/>
                <w:lang w:val="en-US"/>
              </w:rPr>
              <w:t>2019.</w:t>
            </w:r>
          </w:p>
          <w:p w:rsidR="008B46FD" w:rsidRPr="00766D74" w:rsidRDefault="008B46FD" w:rsidP="008B46FD">
            <w:pPr>
              <w:rPr>
                <w:sz w:val="18"/>
                <w:szCs w:val="18"/>
                <w:lang w:val="en-US"/>
              </w:rPr>
            </w:pPr>
          </w:p>
        </w:tc>
      </w:tr>
      <w:tr w:rsidR="008B46FD" w:rsidRPr="00AC1EE5" w:rsidTr="008B46FD">
        <w:tc>
          <w:tcPr>
            <w:tcW w:w="675" w:type="dxa"/>
          </w:tcPr>
          <w:p w:rsidR="008B46FD" w:rsidRPr="00766D74" w:rsidRDefault="008B46FD" w:rsidP="008B46FD">
            <w:pPr>
              <w:rPr>
                <w:sz w:val="18"/>
                <w:szCs w:val="18"/>
                <w:lang w:val="en-US"/>
              </w:rPr>
            </w:pPr>
            <w:r w:rsidRPr="00766D74">
              <w:rPr>
                <w:sz w:val="18"/>
                <w:szCs w:val="18"/>
                <w:lang w:val="en-US"/>
              </w:rPr>
              <w:t>3</w:t>
            </w:r>
          </w:p>
        </w:tc>
        <w:tc>
          <w:tcPr>
            <w:tcW w:w="3931" w:type="dxa"/>
          </w:tcPr>
          <w:p w:rsidR="008B46FD" w:rsidRPr="008B46FD" w:rsidRDefault="008B46FD" w:rsidP="008B46FD">
            <w:pPr>
              <w:rPr>
                <w:sz w:val="18"/>
                <w:szCs w:val="18"/>
                <w:lang w:val="en-US"/>
              </w:rPr>
            </w:pPr>
            <w:r w:rsidRPr="00766D74">
              <w:rPr>
                <w:sz w:val="18"/>
                <w:szCs w:val="18"/>
                <w:lang w:val="en-US"/>
              </w:rPr>
              <w:t xml:space="preserve">Introduce a special provision </w:t>
            </w:r>
            <w:proofErr w:type="spellStart"/>
            <w:r w:rsidRPr="00766D74">
              <w:rPr>
                <w:sz w:val="18"/>
                <w:szCs w:val="18"/>
                <w:lang w:val="en-US"/>
              </w:rPr>
              <w:t>TUyy</w:t>
            </w:r>
            <w:proofErr w:type="spellEnd"/>
            <w:r w:rsidRPr="00766D74">
              <w:rPr>
                <w:sz w:val="18"/>
                <w:szCs w:val="18"/>
                <w:lang w:val="en-US"/>
              </w:rPr>
              <w:t xml:space="preserve"> in column 13 of Table A of 3.2.1 of RID/ADR for: </w:t>
            </w:r>
            <w:r w:rsidRPr="00766D74">
              <w:rPr>
                <w:sz w:val="18"/>
                <w:szCs w:val="18"/>
                <w:lang w:val="en-US"/>
              </w:rPr>
              <w:br/>
            </w:r>
            <w:r w:rsidRPr="00766D74">
              <w:rPr>
                <w:sz w:val="18"/>
                <w:szCs w:val="18"/>
                <w:lang w:val="en-US"/>
              </w:rPr>
              <w:lastRenderedPageBreak/>
              <w:t>UN1755 PG II and PG III</w:t>
            </w:r>
            <w:r>
              <w:rPr>
                <w:sz w:val="18"/>
                <w:szCs w:val="18"/>
                <w:lang w:val="en-US"/>
              </w:rPr>
              <w:t xml:space="preserve">, </w:t>
            </w:r>
            <w:r w:rsidRPr="008B46FD">
              <w:rPr>
                <w:sz w:val="18"/>
                <w:szCs w:val="18"/>
              </w:rPr>
              <w:t>UN1778 PG II</w:t>
            </w:r>
            <w:r>
              <w:rPr>
                <w:sz w:val="18"/>
                <w:szCs w:val="18"/>
              </w:rPr>
              <w:t xml:space="preserve">, </w:t>
            </w:r>
            <w:r w:rsidRPr="008B46FD">
              <w:rPr>
                <w:sz w:val="18"/>
                <w:szCs w:val="18"/>
              </w:rPr>
              <w:t xml:space="preserve">UN1779 PG II, </w:t>
            </w:r>
            <w:r w:rsidRPr="00B5106D">
              <w:rPr>
                <w:sz w:val="18"/>
                <w:szCs w:val="18"/>
                <w:lang w:val="en-US"/>
              </w:rPr>
              <w:t>UN 1788 PG II and PG III</w:t>
            </w:r>
            <w:r>
              <w:rPr>
                <w:sz w:val="18"/>
                <w:szCs w:val="18"/>
                <w:lang w:val="en-US"/>
              </w:rPr>
              <w:t xml:space="preserve">, </w:t>
            </w:r>
            <w:r w:rsidRPr="00B5106D">
              <w:rPr>
                <w:sz w:val="18"/>
                <w:szCs w:val="18"/>
                <w:lang w:val="en-US"/>
              </w:rPr>
              <w:t>UN1789 PG II and PG III</w:t>
            </w:r>
            <w:r>
              <w:rPr>
                <w:sz w:val="18"/>
                <w:szCs w:val="18"/>
                <w:lang w:val="en-US"/>
              </w:rPr>
              <w:t xml:space="preserve">, </w:t>
            </w:r>
            <w:r w:rsidRPr="008B46FD">
              <w:rPr>
                <w:sz w:val="18"/>
                <w:szCs w:val="18"/>
              </w:rPr>
              <w:t>UN 1791 PGII and PG III</w:t>
            </w:r>
            <w:r>
              <w:rPr>
                <w:sz w:val="18"/>
                <w:szCs w:val="18"/>
              </w:rPr>
              <w:t xml:space="preserve">, </w:t>
            </w:r>
            <w:r w:rsidRPr="008B46FD">
              <w:rPr>
                <w:sz w:val="18"/>
                <w:szCs w:val="18"/>
              </w:rPr>
              <w:t>UN 1803PG II</w:t>
            </w:r>
            <w:r>
              <w:rPr>
                <w:sz w:val="18"/>
                <w:szCs w:val="18"/>
              </w:rPr>
              <w:t xml:space="preserve">, </w:t>
            </w:r>
            <w:r w:rsidRPr="008B46FD">
              <w:rPr>
                <w:sz w:val="18"/>
                <w:szCs w:val="18"/>
              </w:rPr>
              <w:t>UN 1805 PG III</w:t>
            </w:r>
            <w:r>
              <w:rPr>
                <w:sz w:val="18"/>
                <w:szCs w:val="18"/>
              </w:rPr>
              <w:t xml:space="preserve">, </w:t>
            </w:r>
            <w:r w:rsidRPr="008B46FD">
              <w:rPr>
                <w:sz w:val="18"/>
                <w:szCs w:val="18"/>
              </w:rPr>
              <w:t>UN 1814PG II and PG III</w:t>
            </w:r>
            <w:r>
              <w:rPr>
                <w:sz w:val="18"/>
                <w:szCs w:val="18"/>
              </w:rPr>
              <w:t xml:space="preserve">, </w:t>
            </w:r>
            <w:r w:rsidRPr="00766D74">
              <w:rPr>
                <w:sz w:val="18"/>
                <w:szCs w:val="18"/>
                <w:lang w:val="en-US"/>
              </w:rPr>
              <w:t>UN 1819 PG II and PG III</w:t>
            </w:r>
            <w:r>
              <w:rPr>
                <w:sz w:val="18"/>
                <w:szCs w:val="18"/>
                <w:lang w:val="en-US"/>
              </w:rPr>
              <w:t xml:space="preserve">, </w:t>
            </w:r>
            <w:r w:rsidRPr="00766D74">
              <w:rPr>
                <w:sz w:val="18"/>
                <w:szCs w:val="18"/>
                <w:lang w:val="en-US"/>
              </w:rPr>
              <w:t>UN1814 PG II and PG III</w:t>
            </w:r>
            <w:r>
              <w:rPr>
                <w:sz w:val="18"/>
                <w:szCs w:val="18"/>
                <w:lang w:val="en-US"/>
              </w:rPr>
              <w:t xml:space="preserve">, </w:t>
            </w:r>
            <w:r w:rsidRPr="008B46FD">
              <w:rPr>
                <w:sz w:val="18"/>
                <w:szCs w:val="18"/>
              </w:rPr>
              <w:t>UN 1819 PG II and PG III</w:t>
            </w:r>
            <w:r>
              <w:rPr>
                <w:sz w:val="18"/>
                <w:szCs w:val="18"/>
              </w:rPr>
              <w:t xml:space="preserve">, </w:t>
            </w:r>
            <w:r w:rsidRPr="008B46FD">
              <w:rPr>
                <w:sz w:val="18"/>
                <w:szCs w:val="18"/>
              </w:rPr>
              <w:t>UN1824 PG II and PG III</w:t>
            </w:r>
            <w:r>
              <w:rPr>
                <w:sz w:val="18"/>
                <w:szCs w:val="18"/>
              </w:rPr>
              <w:t xml:space="preserve">, </w:t>
            </w:r>
            <w:r w:rsidRPr="008B46FD">
              <w:rPr>
                <w:sz w:val="18"/>
                <w:szCs w:val="18"/>
              </w:rPr>
              <w:t>UN 1830 PG II</w:t>
            </w:r>
            <w:r>
              <w:rPr>
                <w:sz w:val="18"/>
                <w:szCs w:val="18"/>
              </w:rPr>
              <w:t xml:space="preserve">, </w:t>
            </w:r>
            <w:r w:rsidRPr="008B46FD">
              <w:rPr>
                <w:sz w:val="18"/>
                <w:szCs w:val="18"/>
              </w:rPr>
              <w:t>UN 1832 PG II</w:t>
            </w:r>
            <w:r>
              <w:rPr>
                <w:sz w:val="18"/>
                <w:szCs w:val="18"/>
              </w:rPr>
              <w:t xml:space="preserve">, </w:t>
            </w:r>
            <w:r w:rsidRPr="008B46FD">
              <w:rPr>
                <w:sz w:val="18"/>
                <w:szCs w:val="18"/>
              </w:rPr>
              <w:t>UN 1840 PG II</w:t>
            </w:r>
            <w:r>
              <w:rPr>
                <w:sz w:val="18"/>
                <w:szCs w:val="18"/>
              </w:rPr>
              <w:t xml:space="preserve">, </w:t>
            </w:r>
            <w:r w:rsidRPr="008B46FD">
              <w:rPr>
                <w:sz w:val="18"/>
                <w:szCs w:val="18"/>
                <w:lang w:val="en-US"/>
              </w:rPr>
              <w:t>UN 1906 PG II</w:t>
            </w:r>
            <w:r>
              <w:rPr>
                <w:sz w:val="18"/>
                <w:szCs w:val="18"/>
                <w:lang w:val="en-US"/>
              </w:rPr>
              <w:t xml:space="preserve">, </w:t>
            </w:r>
            <w:r w:rsidRPr="008B46FD">
              <w:rPr>
                <w:sz w:val="18"/>
                <w:szCs w:val="18"/>
                <w:lang w:val="en-US"/>
              </w:rPr>
              <w:t>UN 2031 PG II</w:t>
            </w:r>
            <w:r>
              <w:rPr>
                <w:sz w:val="18"/>
                <w:szCs w:val="18"/>
                <w:lang w:val="en-US"/>
              </w:rPr>
              <w:t xml:space="preserve">, </w:t>
            </w:r>
            <w:r w:rsidRPr="008B46FD">
              <w:rPr>
                <w:sz w:val="18"/>
                <w:szCs w:val="18"/>
                <w:lang w:val="en-US"/>
              </w:rPr>
              <w:t>UN 2581 PG III</w:t>
            </w:r>
            <w:r>
              <w:rPr>
                <w:sz w:val="18"/>
                <w:szCs w:val="18"/>
                <w:lang w:val="en-US"/>
              </w:rPr>
              <w:t xml:space="preserve">, </w:t>
            </w:r>
            <w:r w:rsidRPr="008B46FD">
              <w:rPr>
                <w:sz w:val="18"/>
                <w:szCs w:val="18"/>
                <w:lang w:val="en-US"/>
              </w:rPr>
              <w:t>UN 2582 PG III</w:t>
            </w:r>
            <w:r>
              <w:rPr>
                <w:sz w:val="18"/>
                <w:szCs w:val="18"/>
                <w:lang w:val="en-US"/>
              </w:rPr>
              <w:t xml:space="preserve">, </w:t>
            </w:r>
            <w:r w:rsidRPr="008B46FD">
              <w:rPr>
                <w:sz w:val="18"/>
                <w:szCs w:val="18"/>
                <w:lang w:val="en-US"/>
              </w:rPr>
              <w:t>UN2586 PG III</w:t>
            </w:r>
            <w:r>
              <w:rPr>
                <w:sz w:val="18"/>
                <w:szCs w:val="18"/>
                <w:lang w:val="en-US"/>
              </w:rPr>
              <w:t xml:space="preserve">, </w:t>
            </w:r>
            <w:r w:rsidRPr="008B46FD">
              <w:rPr>
                <w:sz w:val="18"/>
                <w:szCs w:val="18"/>
                <w:lang w:val="en-US"/>
              </w:rPr>
              <w:t>UN2693 PG III</w:t>
            </w:r>
            <w:r>
              <w:rPr>
                <w:sz w:val="18"/>
                <w:szCs w:val="18"/>
                <w:lang w:val="en-US"/>
              </w:rPr>
              <w:t xml:space="preserve">, </w:t>
            </w:r>
            <w:r w:rsidRPr="008B46FD">
              <w:rPr>
                <w:sz w:val="18"/>
                <w:szCs w:val="18"/>
                <w:lang w:val="en-US"/>
              </w:rPr>
              <w:t>UN2796 PG II</w:t>
            </w:r>
            <w:r>
              <w:rPr>
                <w:sz w:val="18"/>
                <w:szCs w:val="18"/>
                <w:lang w:val="en-US"/>
              </w:rPr>
              <w:t xml:space="preserve">, </w:t>
            </w:r>
            <w:r w:rsidRPr="008B46FD">
              <w:rPr>
                <w:sz w:val="18"/>
                <w:szCs w:val="18"/>
                <w:lang w:val="en-US"/>
              </w:rPr>
              <w:t>UN3264 PG II and PG III</w:t>
            </w:r>
          </w:p>
          <w:p w:rsidR="008B46FD" w:rsidRPr="008B46FD" w:rsidRDefault="008B46FD" w:rsidP="008B46FD">
            <w:pPr>
              <w:rPr>
                <w:sz w:val="18"/>
                <w:szCs w:val="18"/>
                <w:lang w:val="en-US"/>
              </w:rPr>
            </w:pPr>
            <w:r w:rsidRPr="008B46FD">
              <w:rPr>
                <w:sz w:val="18"/>
                <w:szCs w:val="18"/>
                <w:lang w:val="en-US"/>
              </w:rPr>
              <w:t xml:space="preserve"> </w:t>
            </w:r>
          </w:p>
        </w:tc>
        <w:tc>
          <w:tcPr>
            <w:tcW w:w="4574" w:type="dxa"/>
          </w:tcPr>
          <w:p w:rsidR="008B46FD" w:rsidRDefault="008B46FD" w:rsidP="008B46FD">
            <w:pPr>
              <w:rPr>
                <w:sz w:val="18"/>
                <w:szCs w:val="18"/>
                <w:lang w:val="en-US"/>
              </w:rPr>
            </w:pPr>
            <w:r w:rsidRPr="00766D74">
              <w:rPr>
                <w:sz w:val="18"/>
                <w:szCs w:val="18"/>
                <w:lang w:val="en-US"/>
              </w:rPr>
              <w:lastRenderedPageBreak/>
              <w:t>For considerations see report.</w:t>
            </w:r>
          </w:p>
          <w:p w:rsidR="008B46FD" w:rsidRDefault="008B46FD" w:rsidP="008B46FD">
            <w:pPr>
              <w:rPr>
                <w:sz w:val="18"/>
                <w:szCs w:val="18"/>
                <w:lang w:val="en-US"/>
              </w:rPr>
            </w:pPr>
          </w:p>
          <w:p w:rsidR="008B46FD" w:rsidRPr="00923443" w:rsidRDefault="008B46FD" w:rsidP="008B46FD">
            <w:pPr>
              <w:rPr>
                <w:sz w:val="18"/>
                <w:szCs w:val="18"/>
                <w:highlight w:val="yellow"/>
                <w:lang w:val="en-US"/>
              </w:rPr>
            </w:pPr>
            <w:r w:rsidRPr="007E01A7">
              <w:rPr>
                <w:sz w:val="18"/>
                <w:szCs w:val="18"/>
                <w:lang w:val="en-US"/>
              </w:rPr>
              <w:lastRenderedPageBreak/>
              <w:t>The stated entries were checked for compatibility with aluminum alloy against (an older) version of the “BAM list”.</w:t>
            </w:r>
            <w:r w:rsidRPr="00923443">
              <w:rPr>
                <w:sz w:val="18"/>
                <w:szCs w:val="18"/>
                <w:highlight w:val="yellow"/>
                <w:lang w:val="en-US"/>
              </w:rPr>
              <w:br/>
            </w:r>
          </w:p>
          <w:p w:rsidR="008B46FD" w:rsidRPr="00766D74" w:rsidRDefault="008B46FD" w:rsidP="008B46FD">
            <w:pPr>
              <w:rPr>
                <w:sz w:val="18"/>
                <w:szCs w:val="18"/>
                <w:lang w:val="en-US"/>
              </w:rPr>
            </w:pPr>
            <w:r w:rsidRPr="007E01A7">
              <w:rPr>
                <w:sz w:val="18"/>
                <w:szCs w:val="18"/>
                <w:lang w:val="en-US"/>
              </w:rPr>
              <w:t>During the meeting the list with substances was not available. The representative of CEFIC remarked after the meeting that the list needed further consideration by their members.</w:t>
            </w:r>
          </w:p>
        </w:tc>
      </w:tr>
      <w:tr w:rsidR="008B46FD" w:rsidRPr="00AC1EE5" w:rsidTr="008B46FD">
        <w:tc>
          <w:tcPr>
            <w:tcW w:w="675" w:type="dxa"/>
          </w:tcPr>
          <w:p w:rsidR="008B46FD" w:rsidRPr="00766D74" w:rsidRDefault="008B46FD" w:rsidP="008B46FD">
            <w:pPr>
              <w:rPr>
                <w:sz w:val="18"/>
                <w:szCs w:val="18"/>
                <w:lang w:val="en-US"/>
              </w:rPr>
            </w:pPr>
            <w:r w:rsidRPr="00766D74">
              <w:rPr>
                <w:sz w:val="18"/>
                <w:szCs w:val="18"/>
                <w:lang w:val="en-US"/>
              </w:rPr>
              <w:lastRenderedPageBreak/>
              <w:t>4</w:t>
            </w:r>
          </w:p>
        </w:tc>
        <w:tc>
          <w:tcPr>
            <w:tcW w:w="3931" w:type="dxa"/>
          </w:tcPr>
          <w:p w:rsidR="008B46FD" w:rsidRPr="00766D74" w:rsidRDefault="008B46FD" w:rsidP="008B46FD">
            <w:pPr>
              <w:rPr>
                <w:sz w:val="18"/>
                <w:szCs w:val="18"/>
                <w:lang w:val="en-US"/>
              </w:rPr>
            </w:pPr>
            <w:r w:rsidRPr="00766D74">
              <w:rPr>
                <w:sz w:val="18"/>
                <w:szCs w:val="18"/>
                <w:lang w:val="en-US"/>
              </w:rPr>
              <w:t>Introduce a new special provision in 4.3.5 of RID/ADR to read:</w:t>
            </w:r>
          </w:p>
          <w:p w:rsidR="008B46FD" w:rsidRPr="00766D74" w:rsidRDefault="008B46FD" w:rsidP="008B46FD">
            <w:pPr>
              <w:rPr>
                <w:sz w:val="18"/>
                <w:szCs w:val="18"/>
                <w:lang w:val="en-US"/>
              </w:rPr>
            </w:pPr>
          </w:p>
          <w:p w:rsidR="008B46FD" w:rsidRPr="00766D74" w:rsidRDefault="008B46FD" w:rsidP="008B46FD">
            <w:pPr>
              <w:rPr>
                <w:sz w:val="18"/>
                <w:szCs w:val="18"/>
                <w:lang w:val="en-US"/>
              </w:rPr>
            </w:pPr>
            <w:r>
              <w:rPr>
                <w:sz w:val="18"/>
                <w:szCs w:val="18"/>
                <w:lang w:val="en-US"/>
              </w:rPr>
              <w:t>“</w:t>
            </w:r>
            <w:proofErr w:type="spellStart"/>
            <w:r w:rsidRPr="00766D74">
              <w:rPr>
                <w:sz w:val="18"/>
                <w:szCs w:val="18"/>
                <w:lang w:val="en-US"/>
              </w:rPr>
              <w:t>TUyy</w:t>
            </w:r>
            <w:proofErr w:type="spellEnd"/>
            <w:r w:rsidRPr="00766D74">
              <w:rPr>
                <w:sz w:val="18"/>
                <w:szCs w:val="18"/>
                <w:lang w:val="en-US"/>
              </w:rPr>
              <w:tab/>
              <w:t xml:space="preserve">Tanks with a shell constructed </w:t>
            </w:r>
            <w:proofErr w:type="gramStart"/>
            <w:r w:rsidRPr="00766D74">
              <w:rPr>
                <w:sz w:val="18"/>
                <w:szCs w:val="18"/>
                <w:lang w:val="en-US"/>
              </w:rPr>
              <w:t>of  aluminum</w:t>
            </w:r>
            <w:proofErr w:type="gramEnd"/>
            <w:r w:rsidRPr="00766D74">
              <w:rPr>
                <w:sz w:val="18"/>
                <w:szCs w:val="18"/>
                <w:lang w:val="en-US"/>
              </w:rPr>
              <w:t xml:space="preserve"> alloy, including </w:t>
            </w:r>
            <w:r w:rsidRPr="007E01A7">
              <w:rPr>
                <w:sz w:val="18"/>
                <w:szCs w:val="18"/>
                <w:lang w:val="en-US"/>
              </w:rPr>
              <w:t>those</w:t>
            </w:r>
            <w:r w:rsidRPr="00766D74">
              <w:rPr>
                <w:sz w:val="18"/>
                <w:szCs w:val="18"/>
                <w:lang w:val="en-US"/>
              </w:rPr>
              <w:t xml:space="preserve"> with a protective lining, shall only be used for this substance if the </w:t>
            </w:r>
            <w:r>
              <w:rPr>
                <w:sz w:val="18"/>
                <w:szCs w:val="18"/>
                <w:lang w:val="en-US"/>
              </w:rPr>
              <w:t>p</w:t>
            </w:r>
            <w:r w:rsidRPr="00766D74">
              <w:rPr>
                <w:sz w:val="18"/>
                <w:szCs w:val="18"/>
                <w:lang w:val="en-US"/>
              </w:rPr>
              <w:t>H value is  between 5 and 8.</w:t>
            </w:r>
            <w:r>
              <w:rPr>
                <w:sz w:val="18"/>
                <w:szCs w:val="18"/>
                <w:lang w:val="en-US"/>
              </w:rPr>
              <w:t>”</w:t>
            </w:r>
          </w:p>
          <w:p w:rsidR="008B46FD" w:rsidRPr="00766D74" w:rsidRDefault="008B46FD" w:rsidP="008B46FD">
            <w:pPr>
              <w:rPr>
                <w:sz w:val="18"/>
                <w:szCs w:val="18"/>
                <w:lang w:val="en-US"/>
              </w:rPr>
            </w:pPr>
          </w:p>
        </w:tc>
        <w:tc>
          <w:tcPr>
            <w:tcW w:w="4574" w:type="dxa"/>
          </w:tcPr>
          <w:p w:rsidR="008B46FD" w:rsidRPr="00F55179" w:rsidRDefault="008B46FD" w:rsidP="008B46FD">
            <w:pPr>
              <w:rPr>
                <w:sz w:val="18"/>
                <w:szCs w:val="18"/>
                <w:lang w:val="en-US"/>
              </w:rPr>
            </w:pPr>
            <w:r w:rsidRPr="00F55179">
              <w:rPr>
                <w:sz w:val="18"/>
                <w:szCs w:val="18"/>
                <w:lang w:val="en-US"/>
              </w:rPr>
              <w:t xml:space="preserve">Although </w:t>
            </w:r>
            <w:r>
              <w:rPr>
                <w:sz w:val="18"/>
                <w:szCs w:val="18"/>
                <w:lang w:val="en-US"/>
              </w:rPr>
              <w:t>p</w:t>
            </w:r>
            <w:r w:rsidRPr="00F55179">
              <w:rPr>
                <w:sz w:val="18"/>
                <w:szCs w:val="18"/>
                <w:lang w:val="en-US"/>
              </w:rPr>
              <w:t xml:space="preserve">H value is not the only argument it was </w:t>
            </w:r>
            <w:proofErr w:type="gramStart"/>
            <w:r w:rsidRPr="00F55179">
              <w:rPr>
                <w:sz w:val="18"/>
                <w:szCs w:val="18"/>
                <w:lang w:val="en-US"/>
              </w:rPr>
              <w:t>agreed  that</w:t>
            </w:r>
            <w:proofErr w:type="gramEnd"/>
            <w:r w:rsidRPr="00F55179">
              <w:rPr>
                <w:sz w:val="18"/>
                <w:szCs w:val="18"/>
                <w:lang w:val="en-US"/>
              </w:rPr>
              <w:t xml:space="preserve"> the combination of a new Special Provision TU for substances normally carried in tanks with a protective lining and this limitation would be the most efficient way to stop unwanted use.</w:t>
            </w:r>
          </w:p>
        </w:tc>
      </w:tr>
      <w:tr w:rsidR="008B46FD" w:rsidRPr="00AC1EE5" w:rsidTr="008B46FD">
        <w:tc>
          <w:tcPr>
            <w:tcW w:w="675" w:type="dxa"/>
          </w:tcPr>
          <w:p w:rsidR="008B46FD" w:rsidRPr="00766D74" w:rsidRDefault="008B46FD" w:rsidP="008B46FD">
            <w:pPr>
              <w:rPr>
                <w:sz w:val="18"/>
                <w:szCs w:val="18"/>
                <w:lang w:val="en-US"/>
              </w:rPr>
            </w:pPr>
            <w:r w:rsidRPr="00766D74">
              <w:rPr>
                <w:sz w:val="18"/>
                <w:szCs w:val="18"/>
                <w:lang w:val="en-US"/>
              </w:rPr>
              <w:t>5</w:t>
            </w:r>
          </w:p>
        </w:tc>
        <w:tc>
          <w:tcPr>
            <w:tcW w:w="3931" w:type="dxa"/>
          </w:tcPr>
          <w:p w:rsidR="008B46FD" w:rsidRPr="00766D74" w:rsidRDefault="008B46FD" w:rsidP="008B46FD">
            <w:pPr>
              <w:rPr>
                <w:sz w:val="18"/>
                <w:szCs w:val="18"/>
                <w:lang w:val="en-US"/>
              </w:rPr>
            </w:pPr>
            <w:r w:rsidRPr="00766D74">
              <w:rPr>
                <w:sz w:val="18"/>
                <w:szCs w:val="18"/>
                <w:lang w:val="en-US"/>
              </w:rPr>
              <w:t>Amend the first paragraph of 6.8.2.1.9 to read (deleted wording stricken through, new wording in italic script):</w:t>
            </w:r>
          </w:p>
          <w:p w:rsidR="008B46FD" w:rsidRPr="00766D74" w:rsidRDefault="008B46FD" w:rsidP="008B46FD">
            <w:pPr>
              <w:rPr>
                <w:sz w:val="18"/>
                <w:szCs w:val="18"/>
                <w:lang w:val="en-US"/>
              </w:rPr>
            </w:pPr>
          </w:p>
          <w:p w:rsidR="008B46FD" w:rsidRPr="00766D74" w:rsidRDefault="008B46FD" w:rsidP="008B46FD">
            <w:pPr>
              <w:spacing w:after="220"/>
              <w:ind w:left="34"/>
              <w:jc w:val="both"/>
              <w:rPr>
                <w:sz w:val="18"/>
                <w:szCs w:val="18"/>
              </w:rPr>
            </w:pPr>
            <w:r>
              <w:rPr>
                <w:sz w:val="18"/>
                <w:szCs w:val="18"/>
              </w:rPr>
              <w:t>“</w:t>
            </w:r>
            <w:r w:rsidRPr="00766D74">
              <w:rPr>
                <w:sz w:val="18"/>
                <w:szCs w:val="18"/>
              </w:rPr>
              <w:t xml:space="preserve">The materials of shells </w:t>
            </w:r>
            <w:r w:rsidRPr="00F55179">
              <w:rPr>
                <w:strike/>
                <w:sz w:val="18"/>
                <w:szCs w:val="18"/>
              </w:rPr>
              <w:t>or</w:t>
            </w:r>
            <w:r w:rsidRPr="00F55179">
              <w:rPr>
                <w:sz w:val="18"/>
                <w:szCs w:val="18"/>
              </w:rPr>
              <w:t xml:space="preserve"> </w:t>
            </w:r>
            <w:r w:rsidRPr="00F55179">
              <w:rPr>
                <w:i/>
                <w:sz w:val="18"/>
                <w:szCs w:val="18"/>
              </w:rPr>
              <w:t>and</w:t>
            </w:r>
            <w:r w:rsidRPr="00F55179">
              <w:rPr>
                <w:i/>
                <w:color w:val="FF0000"/>
                <w:sz w:val="18"/>
                <w:szCs w:val="18"/>
              </w:rPr>
              <w:t xml:space="preserve"> </w:t>
            </w:r>
            <w:r w:rsidRPr="00F55179">
              <w:rPr>
                <w:i/>
                <w:sz w:val="18"/>
                <w:szCs w:val="18"/>
              </w:rPr>
              <w:t>the materials</w:t>
            </w:r>
            <w:r w:rsidRPr="00F55179">
              <w:rPr>
                <w:sz w:val="18"/>
                <w:szCs w:val="18"/>
              </w:rPr>
              <w:t xml:space="preserve"> of their protective linings which are </w:t>
            </w:r>
            <w:r w:rsidRPr="00F55179">
              <w:rPr>
                <w:i/>
                <w:sz w:val="18"/>
                <w:szCs w:val="18"/>
              </w:rPr>
              <w:t>directly</w:t>
            </w:r>
            <w:r>
              <w:rPr>
                <w:sz w:val="18"/>
                <w:szCs w:val="18"/>
              </w:rPr>
              <w:t xml:space="preserve"> </w:t>
            </w:r>
            <w:r w:rsidRPr="00766D74">
              <w:rPr>
                <w:sz w:val="18"/>
                <w:szCs w:val="18"/>
              </w:rPr>
              <w:t xml:space="preserve">in contact with the contents shall not contain substances liable to react dangerously (see "Dangerous reaction" in 1.2.1) with the contents, to form dangerous compounds, or </w:t>
            </w:r>
            <w:r w:rsidRPr="00766D74">
              <w:rPr>
                <w:strike/>
                <w:sz w:val="18"/>
                <w:szCs w:val="18"/>
              </w:rPr>
              <w:t>substantially</w:t>
            </w:r>
            <w:r w:rsidRPr="00766D74">
              <w:rPr>
                <w:sz w:val="18"/>
                <w:szCs w:val="18"/>
              </w:rPr>
              <w:t xml:space="preserve"> </w:t>
            </w:r>
            <w:r w:rsidRPr="00766D74">
              <w:rPr>
                <w:i/>
                <w:sz w:val="18"/>
                <w:szCs w:val="18"/>
              </w:rPr>
              <w:t>appreciably</w:t>
            </w:r>
            <w:r w:rsidRPr="00766D74">
              <w:rPr>
                <w:sz w:val="18"/>
                <w:szCs w:val="18"/>
              </w:rPr>
              <w:t xml:space="preserve"> to weaken the material.</w:t>
            </w:r>
            <w:r>
              <w:rPr>
                <w:sz w:val="18"/>
                <w:szCs w:val="18"/>
              </w:rPr>
              <w:t>”</w:t>
            </w:r>
          </w:p>
          <w:p w:rsidR="008B46FD" w:rsidRPr="00766D74" w:rsidRDefault="008B46FD" w:rsidP="008B46FD">
            <w:pPr>
              <w:rPr>
                <w:sz w:val="18"/>
                <w:szCs w:val="18"/>
              </w:rPr>
            </w:pPr>
          </w:p>
        </w:tc>
        <w:tc>
          <w:tcPr>
            <w:tcW w:w="4574" w:type="dxa"/>
          </w:tcPr>
          <w:p w:rsidR="008B46FD" w:rsidRPr="00F55179" w:rsidRDefault="008B46FD" w:rsidP="008B46FD">
            <w:pPr>
              <w:rPr>
                <w:sz w:val="18"/>
                <w:szCs w:val="18"/>
                <w:lang w:val="en-US"/>
              </w:rPr>
            </w:pPr>
            <w:r w:rsidRPr="00F55179">
              <w:rPr>
                <w:sz w:val="18"/>
                <w:szCs w:val="18"/>
                <w:lang w:val="en-US"/>
              </w:rPr>
              <w:t>Amendments to make 6.8.2.1.9 consistent with 4.3.2.1.5 where as well the shell material and lining material should not react dangerously with each other and,</w:t>
            </w:r>
          </w:p>
          <w:p w:rsidR="008B46FD" w:rsidRPr="00766D74" w:rsidRDefault="008B46FD" w:rsidP="008B46FD">
            <w:pPr>
              <w:rPr>
                <w:sz w:val="18"/>
                <w:szCs w:val="18"/>
                <w:lang w:val="en-US"/>
              </w:rPr>
            </w:pPr>
            <w:r w:rsidRPr="00F55179">
              <w:rPr>
                <w:sz w:val="18"/>
                <w:szCs w:val="18"/>
                <w:lang w:val="en-US"/>
              </w:rPr>
              <w:t xml:space="preserve">Replace the word “substantially” with “appreciably” </w:t>
            </w:r>
            <w:proofErr w:type="gramStart"/>
            <w:r w:rsidRPr="00F55179">
              <w:rPr>
                <w:sz w:val="18"/>
                <w:szCs w:val="18"/>
                <w:lang w:val="en-US"/>
              </w:rPr>
              <w:t>which</w:t>
            </w:r>
            <w:proofErr w:type="gramEnd"/>
            <w:r w:rsidRPr="00F55179">
              <w:rPr>
                <w:sz w:val="18"/>
                <w:szCs w:val="18"/>
                <w:lang w:val="en-US"/>
              </w:rPr>
              <w:t xml:space="preserve"> is used in 4.3 and 4.2.</w:t>
            </w:r>
          </w:p>
        </w:tc>
      </w:tr>
      <w:tr w:rsidR="008B46FD" w:rsidRPr="00AC1EE5" w:rsidTr="008B46FD">
        <w:tc>
          <w:tcPr>
            <w:tcW w:w="675" w:type="dxa"/>
          </w:tcPr>
          <w:p w:rsidR="008B46FD" w:rsidRPr="00766D74" w:rsidRDefault="008B46FD" w:rsidP="008B46FD">
            <w:pPr>
              <w:rPr>
                <w:sz w:val="18"/>
                <w:szCs w:val="18"/>
                <w:lang w:val="en-US"/>
              </w:rPr>
            </w:pPr>
            <w:r w:rsidRPr="00766D74">
              <w:rPr>
                <w:sz w:val="18"/>
                <w:szCs w:val="18"/>
                <w:lang w:val="en-US"/>
              </w:rPr>
              <w:t>6</w:t>
            </w:r>
          </w:p>
        </w:tc>
        <w:tc>
          <w:tcPr>
            <w:tcW w:w="3931" w:type="dxa"/>
          </w:tcPr>
          <w:p w:rsidR="008B46FD" w:rsidRPr="00766D74" w:rsidRDefault="008B46FD" w:rsidP="008B46FD">
            <w:pPr>
              <w:rPr>
                <w:sz w:val="18"/>
                <w:szCs w:val="18"/>
                <w:lang w:val="en-US"/>
              </w:rPr>
            </w:pPr>
            <w:r w:rsidRPr="00766D74">
              <w:rPr>
                <w:sz w:val="18"/>
                <w:szCs w:val="18"/>
                <w:lang w:val="en-US"/>
              </w:rPr>
              <w:t>Replace the exis</w:t>
            </w:r>
            <w:r>
              <w:rPr>
                <w:sz w:val="18"/>
                <w:szCs w:val="18"/>
                <w:lang w:val="en-US"/>
              </w:rPr>
              <w:t xml:space="preserve">ting wording of 6.8.2.1.24 by </w:t>
            </w:r>
            <w:r>
              <w:rPr>
                <w:sz w:val="18"/>
                <w:szCs w:val="18"/>
                <w:lang w:val="en-US"/>
              </w:rPr>
              <w:br/>
              <w:t>“</w:t>
            </w:r>
            <w:r w:rsidRPr="00766D74">
              <w:rPr>
                <w:sz w:val="18"/>
                <w:szCs w:val="18"/>
                <w:lang w:val="en-US"/>
              </w:rPr>
              <w:t xml:space="preserve">The protective linings shall be compatible with the material of the shell for bonding and be sufficiently elastic to cope with the expansion </w:t>
            </w:r>
            <w:proofErr w:type="gramStart"/>
            <w:r w:rsidRPr="00766D74">
              <w:rPr>
                <w:sz w:val="18"/>
                <w:szCs w:val="18"/>
                <w:lang w:val="en-US"/>
              </w:rPr>
              <w:t>characteristics  of</w:t>
            </w:r>
            <w:proofErr w:type="gramEnd"/>
            <w:r w:rsidRPr="00766D74">
              <w:rPr>
                <w:sz w:val="18"/>
                <w:szCs w:val="18"/>
                <w:lang w:val="en-US"/>
              </w:rPr>
              <w:t xml:space="preserve"> the shell due t</w:t>
            </w:r>
            <w:r>
              <w:rPr>
                <w:sz w:val="18"/>
                <w:szCs w:val="18"/>
                <w:lang w:val="en-US"/>
              </w:rPr>
              <w:t>o thermal and pressure changes.”</w:t>
            </w:r>
          </w:p>
        </w:tc>
        <w:tc>
          <w:tcPr>
            <w:tcW w:w="4574" w:type="dxa"/>
          </w:tcPr>
          <w:p w:rsidR="008B46FD" w:rsidRPr="00766D74" w:rsidRDefault="008B46FD" w:rsidP="008B46FD">
            <w:pPr>
              <w:rPr>
                <w:sz w:val="18"/>
                <w:szCs w:val="18"/>
                <w:lang w:val="en-US"/>
              </w:rPr>
            </w:pPr>
            <w:r w:rsidRPr="00766D74">
              <w:rPr>
                <w:sz w:val="18"/>
                <w:szCs w:val="18"/>
                <w:lang w:val="en-US"/>
              </w:rPr>
              <w:t>Experts were of the opinion that an amendment of the existing wording of 6.8.2.1.24 was not necessary. However if it was wished by the Joint Meeting that 6.8.2.1.24 was modified</w:t>
            </w:r>
            <w:r>
              <w:rPr>
                <w:sz w:val="18"/>
                <w:szCs w:val="18"/>
                <w:lang w:val="en-US"/>
              </w:rPr>
              <w:t>,</w:t>
            </w:r>
            <w:r w:rsidRPr="00766D74">
              <w:rPr>
                <w:sz w:val="18"/>
                <w:szCs w:val="18"/>
                <w:lang w:val="en-US"/>
              </w:rPr>
              <w:t xml:space="preserve"> the proposed wording in square brackets would be acceptable.</w:t>
            </w:r>
          </w:p>
          <w:p w:rsidR="008B46FD" w:rsidRDefault="008B46FD" w:rsidP="008B46FD">
            <w:pPr>
              <w:rPr>
                <w:sz w:val="18"/>
                <w:szCs w:val="18"/>
                <w:lang w:val="en-US"/>
              </w:rPr>
            </w:pPr>
            <w:r w:rsidRPr="00766D74">
              <w:rPr>
                <w:sz w:val="18"/>
                <w:szCs w:val="18"/>
                <w:lang w:val="en-US"/>
              </w:rPr>
              <w:t>It was felt that additional wording, copying the second and third sentence</w:t>
            </w:r>
            <w:r>
              <w:rPr>
                <w:sz w:val="18"/>
                <w:szCs w:val="18"/>
                <w:lang w:val="en-US"/>
              </w:rPr>
              <w:t>,</w:t>
            </w:r>
            <w:r w:rsidRPr="00766D74">
              <w:rPr>
                <w:sz w:val="18"/>
                <w:szCs w:val="18"/>
                <w:lang w:val="en-US"/>
              </w:rPr>
              <w:t xml:space="preserve"> of 6.7.2.2.4 was not acceptable as applying lining or coating around the corner around the face of the flange no longer represented the state-of-art.</w:t>
            </w:r>
          </w:p>
          <w:p w:rsidR="008B46FD" w:rsidRPr="00766D74" w:rsidRDefault="008B46FD" w:rsidP="008B46FD">
            <w:pPr>
              <w:rPr>
                <w:sz w:val="18"/>
                <w:szCs w:val="18"/>
                <w:lang w:val="en-US"/>
              </w:rPr>
            </w:pPr>
          </w:p>
        </w:tc>
      </w:tr>
      <w:tr w:rsidR="008B46FD" w:rsidRPr="00AC1EE5" w:rsidTr="008B46FD">
        <w:tc>
          <w:tcPr>
            <w:tcW w:w="675" w:type="dxa"/>
          </w:tcPr>
          <w:p w:rsidR="008B46FD" w:rsidRPr="00766D74" w:rsidRDefault="008B46FD" w:rsidP="008B46FD">
            <w:pPr>
              <w:rPr>
                <w:sz w:val="18"/>
                <w:szCs w:val="18"/>
                <w:lang w:val="en-US"/>
              </w:rPr>
            </w:pPr>
            <w:r w:rsidRPr="00766D74">
              <w:rPr>
                <w:sz w:val="18"/>
                <w:szCs w:val="18"/>
                <w:lang w:val="en-US"/>
              </w:rPr>
              <w:t>7</w:t>
            </w:r>
          </w:p>
        </w:tc>
        <w:tc>
          <w:tcPr>
            <w:tcW w:w="3931" w:type="dxa"/>
          </w:tcPr>
          <w:p w:rsidR="00CA16AC" w:rsidRPr="00766D74" w:rsidRDefault="00CA16AC" w:rsidP="00CA16AC">
            <w:pPr>
              <w:rPr>
                <w:sz w:val="18"/>
                <w:szCs w:val="18"/>
                <w:lang w:val="en-US"/>
              </w:rPr>
            </w:pPr>
            <w:r w:rsidRPr="00766D74">
              <w:rPr>
                <w:sz w:val="18"/>
                <w:szCs w:val="18"/>
                <w:lang w:val="en-US"/>
              </w:rPr>
              <w:t>Amend the paragraph after the second set of indents of 6.8.2.2.2 to read (deleted wording stricken through, new wording in italic script):</w:t>
            </w:r>
          </w:p>
          <w:p w:rsidR="00CA16AC" w:rsidRPr="00766D74" w:rsidRDefault="00CA16AC" w:rsidP="00CA16AC">
            <w:pPr>
              <w:rPr>
                <w:sz w:val="18"/>
                <w:szCs w:val="18"/>
                <w:lang w:val="en-US"/>
              </w:rPr>
            </w:pPr>
          </w:p>
          <w:p w:rsidR="008B46FD" w:rsidRPr="00766D74" w:rsidRDefault="00CA16AC" w:rsidP="00CA16AC">
            <w:pPr>
              <w:rPr>
                <w:sz w:val="18"/>
                <w:szCs w:val="18"/>
                <w:lang w:val="en-US"/>
              </w:rPr>
            </w:pPr>
            <w:r>
              <w:rPr>
                <w:sz w:val="18"/>
                <w:szCs w:val="18"/>
                <w:lang w:val="en-US"/>
              </w:rPr>
              <w:t>“</w:t>
            </w:r>
            <w:r w:rsidRPr="00766D74">
              <w:rPr>
                <w:sz w:val="18"/>
                <w:szCs w:val="18"/>
                <w:lang w:val="en-US"/>
              </w:rPr>
              <w:t xml:space="preserve">However, in the case of tanks intended for the carriage of certain </w:t>
            </w:r>
            <w:proofErr w:type="spellStart"/>
            <w:r w:rsidRPr="00766D74">
              <w:rPr>
                <w:sz w:val="18"/>
                <w:szCs w:val="18"/>
                <w:lang w:val="en-US"/>
              </w:rPr>
              <w:t>crystallizable</w:t>
            </w:r>
            <w:proofErr w:type="spellEnd"/>
            <w:r w:rsidRPr="00766D74">
              <w:rPr>
                <w:sz w:val="18"/>
                <w:szCs w:val="18"/>
                <w:lang w:val="en-US"/>
              </w:rPr>
              <w:t xml:space="preserve"> or highly viscous substances and shells fitted with </w:t>
            </w:r>
            <w:r w:rsidRPr="00766D74">
              <w:rPr>
                <w:strike/>
                <w:sz w:val="18"/>
                <w:szCs w:val="18"/>
                <w:lang w:val="en-US"/>
              </w:rPr>
              <w:t>an ebonite or thermoplastic coating</w:t>
            </w:r>
            <w:r w:rsidRPr="00766D74">
              <w:rPr>
                <w:sz w:val="18"/>
                <w:szCs w:val="18"/>
                <w:lang w:val="en-US"/>
              </w:rPr>
              <w:t xml:space="preserve"> </w:t>
            </w:r>
            <w:r w:rsidRPr="00766D74">
              <w:rPr>
                <w:i/>
                <w:sz w:val="18"/>
                <w:szCs w:val="18"/>
                <w:lang w:val="en-US"/>
              </w:rPr>
              <w:t>a protective lining</w:t>
            </w:r>
            <w:r w:rsidRPr="00766D74">
              <w:rPr>
                <w:sz w:val="18"/>
                <w:szCs w:val="18"/>
                <w:lang w:val="en-US"/>
              </w:rPr>
              <w:t>, the internal stop-valve may be replaced by an external stop-valve provided with additional protection.</w:t>
            </w:r>
            <w:r>
              <w:rPr>
                <w:sz w:val="18"/>
                <w:szCs w:val="18"/>
                <w:lang w:val="en-US"/>
              </w:rPr>
              <w:t>”</w:t>
            </w:r>
          </w:p>
        </w:tc>
        <w:tc>
          <w:tcPr>
            <w:tcW w:w="4574" w:type="dxa"/>
          </w:tcPr>
          <w:p w:rsidR="008B46FD" w:rsidRPr="00766D74" w:rsidRDefault="008B46FD" w:rsidP="008B46FD">
            <w:pPr>
              <w:rPr>
                <w:sz w:val="18"/>
                <w:szCs w:val="18"/>
                <w:lang w:val="en-US"/>
              </w:rPr>
            </w:pPr>
            <w:r w:rsidRPr="00766D74">
              <w:rPr>
                <w:sz w:val="18"/>
                <w:szCs w:val="18"/>
                <w:lang w:val="en-US"/>
              </w:rPr>
              <w:t xml:space="preserve">This is a consequential amendment following the introduction of the definition of “protective lining”. </w:t>
            </w:r>
          </w:p>
        </w:tc>
      </w:tr>
      <w:tr w:rsidR="008B46FD" w:rsidRPr="00AC1EE5" w:rsidTr="008B46FD">
        <w:tc>
          <w:tcPr>
            <w:tcW w:w="675" w:type="dxa"/>
          </w:tcPr>
          <w:p w:rsidR="008B46FD" w:rsidRPr="00766D74" w:rsidRDefault="008B46FD" w:rsidP="008B46FD">
            <w:pPr>
              <w:rPr>
                <w:sz w:val="18"/>
                <w:szCs w:val="18"/>
                <w:lang w:val="en-US"/>
              </w:rPr>
            </w:pPr>
            <w:r w:rsidRPr="00766D74">
              <w:rPr>
                <w:sz w:val="18"/>
                <w:szCs w:val="18"/>
                <w:lang w:val="en-US"/>
              </w:rPr>
              <w:lastRenderedPageBreak/>
              <w:t>8</w:t>
            </w:r>
          </w:p>
        </w:tc>
        <w:tc>
          <w:tcPr>
            <w:tcW w:w="3931" w:type="dxa"/>
          </w:tcPr>
          <w:p w:rsidR="008B46FD" w:rsidRPr="00766D74" w:rsidRDefault="008B46FD" w:rsidP="008B46FD">
            <w:pPr>
              <w:rPr>
                <w:sz w:val="18"/>
                <w:szCs w:val="18"/>
                <w:lang w:val="en-US"/>
              </w:rPr>
            </w:pPr>
            <w:r w:rsidRPr="00766D74">
              <w:rPr>
                <w:sz w:val="18"/>
                <w:szCs w:val="18"/>
                <w:lang w:val="en-US"/>
              </w:rPr>
              <w:t>Introduce a</w:t>
            </w:r>
            <w:r>
              <w:rPr>
                <w:sz w:val="18"/>
                <w:szCs w:val="18"/>
                <w:lang w:val="en-US"/>
              </w:rPr>
              <w:t xml:space="preserve"> </w:t>
            </w:r>
            <w:r w:rsidRPr="00766D74">
              <w:rPr>
                <w:sz w:val="18"/>
                <w:szCs w:val="18"/>
                <w:lang w:val="en-US"/>
              </w:rPr>
              <w:t>new paragraph at the end of 6.8.2.4.1 to read:</w:t>
            </w:r>
          </w:p>
          <w:p w:rsidR="008B46FD" w:rsidRPr="00766D74" w:rsidRDefault="008B46FD" w:rsidP="008B46FD">
            <w:pPr>
              <w:rPr>
                <w:sz w:val="18"/>
                <w:szCs w:val="18"/>
                <w:lang w:val="en-US"/>
              </w:rPr>
            </w:pPr>
          </w:p>
          <w:p w:rsidR="008B46FD" w:rsidRPr="00766D74" w:rsidRDefault="00CA16AC" w:rsidP="008B46FD">
            <w:pPr>
              <w:rPr>
                <w:sz w:val="18"/>
                <w:szCs w:val="18"/>
                <w:lang w:val="en-US"/>
              </w:rPr>
            </w:pPr>
            <w:r>
              <w:rPr>
                <w:i/>
                <w:sz w:val="18"/>
                <w:szCs w:val="18"/>
                <w:lang w:val="en-US"/>
              </w:rPr>
              <w:t>“</w:t>
            </w:r>
            <w:r w:rsidR="008B46FD">
              <w:rPr>
                <w:i/>
                <w:sz w:val="18"/>
                <w:szCs w:val="18"/>
                <w:lang w:val="en-US"/>
              </w:rPr>
              <w:t>The p</w:t>
            </w:r>
            <w:r w:rsidR="008B46FD" w:rsidRPr="00766D74">
              <w:rPr>
                <w:i/>
                <w:sz w:val="18"/>
                <w:szCs w:val="18"/>
                <w:lang w:val="en-US"/>
              </w:rPr>
              <w:t xml:space="preserve">rotective linings of the shell and its equipment shall be certified by the manufacturer(s), supplier(s) or applicant(s) of the lining material. The certificate shall state the brand and type of lining material and the particulars of the lining such as thickness and number of layers, type of test(s) performed on the lining and results of these test. If applicable the parameters for </w:t>
            </w:r>
            <w:r w:rsidR="008B46FD" w:rsidRPr="00F55179">
              <w:rPr>
                <w:i/>
                <w:sz w:val="18"/>
                <w:szCs w:val="18"/>
                <w:lang w:val="en-US"/>
              </w:rPr>
              <w:t>performing future</w:t>
            </w:r>
            <w:r w:rsidR="008B46FD">
              <w:rPr>
                <w:i/>
                <w:sz w:val="18"/>
                <w:szCs w:val="18"/>
                <w:lang w:val="en-US"/>
              </w:rPr>
              <w:t xml:space="preserve"> </w:t>
            </w:r>
            <w:r w:rsidR="008B46FD" w:rsidRPr="00766D74">
              <w:rPr>
                <w:i/>
                <w:sz w:val="18"/>
                <w:szCs w:val="18"/>
                <w:lang w:val="en-US"/>
              </w:rPr>
              <w:t xml:space="preserve">tests, such as a maximum voltage for the spark test. </w:t>
            </w:r>
            <w:r w:rsidR="008B46FD" w:rsidRPr="00F55179">
              <w:rPr>
                <w:i/>
                <w:sz w:val="18"/>
                <w:szCs w:val="18"/>
                <w:lang w:val="en-US"/>
              </w:rPr>
              <w:t>A copy of this certificate shall be attached to the tank record of the tank.</w:t>
            </w:r>
            <w:r>
              <w:rPr>
                <w:i/>
                <w:sz w:val="18"/>
                <w:szCs w:val="18"/>
                <w:lang w:val="en-US"/>
              </w:rPr>
              <w:t>”</w:t>
            </w:r>
          </w:p>
          <w:p w:rsidR="008B46FD" w:rsidRPr="00766D74" w:rsidRDefault="008B46FD" w:rsidP="008B46FD">
            <w:pPr>
              <w:rPr>
                <w:sz w:val="18"/>
                <w:szCs w:val="18"/>
                <w:lang w:val="en-US"/>
              </w:rPr>
            </w:pPr>
          </w:p>
        </w:tc>
        <w:tc>
          <w:tcPr>
            <w:tcW w:w="4574" w:type="dxa"/>
          </w:tcPr>
          <w:p w:rsidR="008B46FD" w:rsidRPr="00F55179" w:rsidRDefault="008B46FD" w:rsidP="008B46FD">
            <w:pPr>
              <w:rPr>
                <w:sz w:val="18"/>
                <w:szCs w:val="18"/>
                <w:lang w:val="en-US"/>
              </w:rPr>
            </w:pPr>
            <w:r w:rsidRPr="00F55179">
              <w:rPr>
                <w:sz w:val="18"/>
                <w:szCs w:val="18"/>
                <w:lang w:val="en-US"/>
              </w:rPr>
              <w:t>It was discussed that it was not possible to address one correct party to issue a certificate for the protective lining or coating. When a tank is new it can be the tank manufacturer but it can also happen that the owner will have a lining or coating applied by another party, modifying the (type)</w:t>
            </w:r>
            <w:r>
              <w:rPr>
                <w:sz w:val="18"/>
                <w:szCs w:val="18"/>
                <w:lang w:val="en-US"/>
              </w:rPr>
              <w:t xml:space="preserve"> </w:t>
            </w:r>
            <w:r w:rsidRPr="00F55179">
              <w:rPr>
                <w:sz w:val="18"/>
                <w:szCs w:val="18"/>
                <w:lang w:val="en-US"/>
              </w:rPr>
              <w:t xml:space="preserve">approval. The liable party maybe the tank manufacturer or the owner. Sometimes the manufacturer of the lining has no additional knowledge of the particular application but the supplier or applicant has the knowledge. </w:t>
            </w:r>
            <w:r w:rsidRPr="00F55179">
              <w:rPr>
                <w:sz w:val="18"/>
                <w:szCs w:val="18"/>
                <w:lang w:val="en-US"/>
              </w:rPr>
              <w:br/>
              <w:t>For this reason the three appropriate parties, manufacturer, supplier and applicant, are stated.</w:t>
            </w:r>
          </w:p>
          <w:p w:rsidR="008B46FD" w:rsidRPr="00F55179" w:rsidRDefault="008B46FD" w:rsidP="008B46FD">
            <w:pPr>
              <w:rPr>
                <w:sz w:val="18"/>
                <w:szCs w:val="18"/>
                <w:lang w:val="en-US"/>
              </w:rPr>
            </w:pPr>
            <w:r w:rsidRPr="00F55179">
              <w:rPr>
                <w:sz w:val="18"/>
                <w:szCs w:val="18"/>
                <w:lang w:val="en-US"/>
              </w:rPr>
              <w:t>The paragraph also requires more detailed information to be given for the applied lining or coating.</w:t>
            </w:r>
          </w:p>
          <w:p w:rsidR="008B46FD" w:rsidRDefault="008B46FD" w:rsidP="008B46FD">
            <w:pPr>
              <w:rPr>
                <w:sz w:val="18"/>
                <w:szCs w:val="18"/>
                <w:lang w:val="en-US"/>
              </w:rPr>
            </w:pPr>
            <w:r w:rsidRPr="00F55179">
              <w:rPr>
                <w:sz w:val="18"/>
                <w:szCs w:val="18"/>
                <w:lang w:val="en-US"/>
              </w:rPr>
              <w:t>It was suggested to introduce this wording to 6.8.3 but as this section refers to (type approval) certificates issue by competent authorities and that, the contents more directed to an individual tank it was decided to keep it in 6.8.2.4 for testing of tanks.</w:t>
            </w:r>
          </w:p>
          <w:p w:rsidR="008B46FD" w:rsidRPr="00F55179" w:rsidRDefault="008B46FD" w:rsidP="008B46FD">
            <w:pPr>
              <w:rPr>
                <w:sz w:val="18"/>
                <w:szCs w:val="18"/>
                <w:lang w:val="en-US"/>
              </w:rPr>
            </w:pPr>
          </w:p>
        </w:tc>
      </w:tr>
      <w:tr w:rsidR="008B46FD" w:rsidRPr="00AC1EE5" w:rsidTr="008B46FD">
        <w:tc>
          <w:tcPr>
            <w:tcW w:w="675" w:type="dxa"/>
          </w:tcPr>
          <w:p w:rsidR="008B46FD" w:rsidRPr="00766D74" w:rsidRDefault="008B46FD" w:rsidP="008B46FD">
            <w:pPr>
              <w:rPr>
                <w:sz w:val="18"/>
                <w:szCs w:val="18"/>
                <w:lang w:val="en-US"/>
              </w:rPr>
            </w:pPr>
            <w:r w:rsidRPr="00766D74">
              <w:rPr>
                <w:sz w:val="18"/>
                <w:szCs w:val="18"/>
                <w:lang w:val="en-US"/>
              </w:rPr>
              <w:t>9</w:t>
            </w:r>
          </w:p>
        </w:tc>
        <w:tc>
          <w:tcPr>
            <w:tcW w:w="3931" w:type="dxa"/>
          </w:tcPr>
          <w:p w:rsidR="008B46FD" w:rsidRPr="00766D74" w:rsidRDefault="008B46FD" w:rsidP="008B46FD">
            <w:pPr>
              <w:rPr>
                <w:sz w:val="18"/>
                <w:szCs w:val="18"/>
                <w:lang w:val="en-US"/>
              </w:rPr>
            </w:pPr>
            <w:r w:rsidRPr="00766D74">
              <w:rPr>
                <w:sz w:val="18"/>
                <w:szCs w:val="18"/>
                <w:lang w:val="en-US"/>
              </w:rPr>
              <w:t>Introduce a new paragraph at the end of 6.8.2.4.2 to read:</w:t>
            </w:r>
          </w:p>
          <w:p w:rsidR="008B46FD" w:rsidRPr="00766D74" w:rsidRDefault="008B46FD" w:rsidP="008B46FD">
            <w:pPr>
              <w:rPr>
                <w:sz w:val="18"/>
                <w:szCs w:val="18"/>
                <w:lang w:val="en-US"/>
              </w:rPr>
            </w:pPr>
          </w:p>
          <w:p w:rsidR="008B46FD" w:rsidRDefault="00CA16AC" w:rsidP="008B46FD">
            <w:pPr>
              <w:rPr>
                <w:i/>
                <w:sz w:val="18"/>
                <w:szCs w:val="18"/>
                <w:lang w:val="en-US"/>
              </w:rPr>
            </w:pPr>
            <w:r>
              <w:rPr>
                <w:i/>
                <w:sz w:val="18"/>
                <w:szCs w:val="18"/>
                <w:lang w:val="en-US"/>
              </w:rPr>
              <w:t>“</w:t>
            </w:r>
            <w:r w:rsidR="008B46FD" w:rsidRPr="00766D74">
              <w:rPr>
                <w:i/>
                <w:sz w:val="18"/>
                <w:szCs w:val="18"/>
                <w:lang w:val="en-US"/>
              </w:rPr>
              <w:t>Protective linings shall be visually examined for defects. In case deviations appear the condition of the lining shall be ev</w:t>
            </w:r>
            <w:r>
              <w:rPr>
                <w:i/>
                <w:sz w:val="18"/>
                <w:szCs w:val="18"/>
                <w:lang w:val="en-US"/>
              </w:rPr>
              <w:t>aluated by appropriate test(s).”</w:t>
            </w:r>
          </w:p>
          <w:p w:rsidR="008B46FD" w:rsidRPr="00766D74" w:rsidRDefault="008B46FD" w:rsidP="008B46FD">
            <w:pPr>
              <w:rPr>
                <w:sz w:val="18"/>
                <w:szCs w:val="18"/>
                <w:lang w:val="en-US"/>
              </w:rPr>
            </w:pPr>
          </w:p>
        </w:tc>
        <w:tc>
          <w:tcPr>
            <w:tcW w:w="4574" w:type="dxa"/>
          </w:tcPr>
          <w:p w:rsidR="008B46FD" w:rsidRPr="00766D74" w:rsidRDefault="008B46FD" w:rsidP="008B46FD">
            <w:pPr>
              <w:rPr>
                <w:sz w:val="18"/>
                <w:szCs w:val="18"/>
                <w:lang w:val="en-US"/>
              </w:rPr>
            </w:pPr>
            <w:r w:rsidRPr="00766D74">
              <w:rPr>
                <w:sz w:val="18"/>
                <w:szCs w:val="18"/>
                <w:lang w:val="en-US"/>
              </w:rPr>
              <w:t>It was agreed to introduce additional wording for tanks with a protective lining or coating in 6.8.2.4.2 (periodic inspection).</w:t>
            </w:r>
            <w:r w:rsidRPr="00766D74">
              <w:rPr>
                <w:sz w:val="18"/>
                <w:szCs w:val="18"/>
                <w:lang w:val="en-US"/>
              </w:rPr>
              <w:br/>
              <w:t>In particular it was stressed that as a spark test may damage the protective liner it should only be used when there was suspicion of a defect.  For this, it is expressed that the basic inspection is a visible one.</w:t>
            </w:r>
          </w:p>
        </w:tc>
      </w:tr>
      <w:tr w:rsidR="008B46FD" w:rsidRPr="007C2E84" w:rsidTr="008B46FD">
        <w:tc>
          <w:tcPr>
            <w:tcW w:w="675" w:type="dxa"/>
          </w:tcPr>
          <w:p w:rsidR="008B46FD" w:rsidRPr="00766D74" w:rsidRDefault="008B46FD" w:rsidP="008B46FD">
            <w:pPr>
              <w:rPr>
                <w:sz w:val="18"/>
                <w:szCs w:val="18"/>
                <w:lang w:val="en-US"/>
              </w:rPr>
            </w:pPr>
            <w:r w:rsidRPr="00766D74">
              <w:rPr>
                <w:sz w:val="18"/>
                <w:szCs w:val="18"/>
                <w:lang w:val="en-US"/>
              </w:rPr>
              <w:t>10</w:t>
            </w:r>
          </w:p>
        </w:tc>
        <w:tc>
          <w:tcPr>
            <w:tcW w:w="3931" w:type="dxa"/>
          </w:tcPr>
          <w:p w:rsidR="008B46FD" w:rsidRPr="00766D74" w:rsidRDefault="008B46FD" w:rsidP="008B46FD">
            <w:pPr>
              <w:rPr>
                <w:sz w:val="18"/>
                <w:szCs w:val="18"/>
                <w:lang w:val="en-US"/>
              </w:rPr>
            </w:pPr>
            <w:r w:rsidRPr="00766D74">
              <w:rPr>
                <w:sz w:val="18"/>
                <w:szCs w:val="18"/>
                <w:lang w:val="en-US"/>
              </w:rPr>
              <w:t>Introduce a new paragraph at the end of 6.8.2.4.3 to read:</w:t>
            </w:r>
          </w:p>
          <w:p w:rsidR="008B46FD" w:rsidRPr="00766D74" w:rsidRDefault="008B46FD" w:rsidP="008B46FD">
            <w:pPr>
              <w:rPr>
                <w:sz w:val="18"/>
                <w:szCs w:val="18"/>
                <w:lang w:val="en-US"/>
              </w:rPr>
            </w:pPr>
          </w:p>
          <w:p w:rsidR="008B46FD" w:rsidRPr="00766D74" w:rsidRDefault="00CA16AC" w:rsidP="008B46FD">
            <w:pPr>
              <w:rPr>
                <w:i/>
                <w:sz w:val="18"/>
                <w:szCs w:val="18"/>
                <w:lang w:val="en-US"/>
              </w:rPr>
            </w:pPr>
            <w:r>
              <w:rPr>
                <w:i/>
                <w:sz w:val="18"/>
                <w:szCs w:val="18"/>
                <w:lang w:val="en-US"/>
              </w:rPr>
              <w:t>“</w:t>
            </w:r>
            <w:r w:rsidR="008B46FD" w:rsidRPr="00766D74">
              <w:rPr>
                <w:i/>
                <w:sz w:val="18"/>
                <w:szCs w:val="18"/>
                <w:lang w:val="en-US"/>
              </w:rPr>
              <w:t>Protective linings shall be visually examined for defects. In case deviations appear, the condition of the lining shall be evaluated by appropriate test(s).</w:t>
            </w:r>
            <w:r>
              <w:rPr>
                <w:i/>
                <w:sz w:val="18"/>
                <w:szCs w:val="18"/>
                <w:lang w:val="en-US"/>
              </w:rPr>
              <w:t>”</w:t>
            </w:r>
            <w:r w:rsidR="008B46FD" w:rsidRPr="00766D74">
              <w:rPr>
                <w:i/>
                <w:sz w:val="18"/>
                <w:szCs w:val="18"/>
                <w:lang w:val="en-US"/>
              </w:rPr>
              <w:t xml:space="preserve"> </w:t>
            </w:r>
          </w:p>
          <w:p w:rsidR="008B46FD" w:rsidRDefault="008B46FD" w:rsidP="008B46FD">
            <w:pPr>
              <w:rPr>
                <w:i/>
                <w:color w:val="FF0000"/>
                <w:sz w:val="18"/>
                <w:szCs w:val="18"/>
                <w:lang w:val="en-US"/>
              </w:rPr>
            </w:pPr>
          </w:p>
          <w:p w:rsidR="008B46FD" w:rsidRPr="00766D74" w:rsidRDefault="008B46FD" w:rsidP="008B46FD">
            <w:pPr>
              <w:rPr>
                <w:sz w:val="18"/>
                <w:szCs w:val="18"/>
                <w:lang w:val="en-US"/>
              </w:rPr>
            </w:pPr>
          </w:p>
        </w:tc>
        <w:tc>
          <w:tcPr>
            <w:tcW w:w="4574" w:type="dxa"/>
          </w:tcPr>
          <w:p w:rsidR="008B46FD" w:rsidRPr="00766D74" w:rsidRDefault="008B46FD" w:rsidP="008B46FD">
            <w:pPr>
              <w:rPr>
                <w:sz w:val="18"/>
                <w:szCs w:val="18"/>
                <w:lang w:val="en-US"/>
              </w:rPr>
            </w:pPr>
            <w:r w:rsidRPr="00766D74">
              <w:rPr>
                <w:sz w:val="18"/>
                <w:szCs w:val="18"/>
                <w:lang w:val="en-US"/>
              </w:rPr>
              <w:t xml:space="preserve">Although each intervention in the tank may be a risk to the protective lining or coating, it was agreed that an internal inspection should be part of the intermediate inspection. For this identical wording to 6.8.2.4.2 may be introduced in 6.8.2.4.3. </w:t>
            </w:r>
          </w:p>
        </w:tc>
      </w:tr>
    </w:tbl>
    <w:p w:rsidR="008B46FD" w:rsidRPr="008B46FD" w:rsidRDefault="008B46FD" w:rsidP="008B46FD">
      <w:pPr>
        <w:rPr>
          <w:lang w:val="en-US"/>
        </w:rPr>
      </w:pPr>
    </w:p>
    <w:p w:rsidR="00B16BA2" w:rsidRPr="00AF2344" w:rsidRDefault="00AF2344" w:rsidP="00AF2344">
      <w:pPr>
        <w:spacing w:before="240"/>
        <w:ind w:left="1134" w:right="1134"/>
        <w:jc w:val="center"/>
        <w:rPr>
          <w:sz w:val="18"/>
          <w:szCs w:val="18"/>
          <w:u w:val="single"/>
          <w:lang w:val="en-US"/>
        </w:rPr>
      </w:pPr>
      <w:r>
        <w:rPr>
          <w:sz w:val="18"/>
          <w:szCs w:val="18"/>
          <w:u w:val="single"/>
          <w:lang w:val="en-US"/>
        </w:rPr>
        <w:tab/>
      </w:r>
      <w:r>
        <w:rPr>
          <w:sz w:val="18"/>
          <w:szCs w:val="18"/>
          <w:u w:val="single"/>
          <w:lang w:val="en-US"/>
        </w:rPr>
        <w:tab/>
      </w:r>
      <w:r>
        <w:rPr>
          <w:sz w:val="18"/>
          <w:szCs w:val="18"/>
          <w:u w:val="single"/>
          <w:lang w:val="en-US"/>
        </w:rPr>
        <w:tab/>
      </w:r>
    </w:p>
    <w:sectPr w:rsidR="00B16BA2" w:rsidRPr="00AF2344"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FD" w:rsidRDefault="008B46FD"/>
  </w:endnote>
  <w:endnote w:type="continuationSeparator" w:id="0">
    <w:p w:rsidR="008B46FD" w:rsidRDefault="008B46FD"/>
  </w:endnote>
  <w:endnote w:type="continuationNotice" w:id="1">
    <w:p w:rsidR="008B46FD" w:rsidRDefault="008B4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FD" w:rsidRPr="009D2A5B" w:rsidRDefault="008B46FD"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A3350">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FD" w:rsidRPr="009D2A5B" w:rsidRDefault="008B46FD"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FA3350">
      <w:rPr>
        <w:b/>
        <w:noProof/>
        <w:sz w:val="18"/>
      </w:rPr>
      <w:t>7</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FD" w:rsidRPr="000B175B" w:rsidRDefault="008B46FD" w:rsidP="000B175B">
      <w:pPr>
        <w:tabs>
          <w:tab w:val="right" w:pos="2155"/>
        </w:tabs>
        <w:spacing w:after="80"/>
        <w:ind w:left="680"/>
        <w:rPr>
          <w:u w:val="single"/>
        </w:rPr>
      </w:pPr>
      <w:r>
        <w:rPr>
          <w:u w:val="single"/>
        </w:rPr>
        <w:tab/>
      </w:r>
    </w:p>
  </w:footnote>
  <w:footnote w:type="continuationSeparator" w:id="0">
    <w:p w:rsidR="008B46FD" w:rsidRPr="00FC68B7" w:rsidRDefault="008B46FD" w:rsidP="00FC68B7">
      <w:pPr>
        <w:tabs>
          <w:tab w:val="left" w:pos="2155"/>
        </w:tabs>
        <w:spacing w:after="80"/>
        <w:ind w:left="680"/>
        <w:rPr>
          <w:u w:val="single"/>
        </w:rPr>
      </w:pPr>
      <w:r>
        <w:rPr>
          <w:u w:val="single"/>
        </w:rPr>
        <w:tab/>
      </w:r>
    </w:p>
  </w:footnote>
  <w:footnote w:type="continuationNotice" w:id="1">
    <w:p w:rsidR="008B46FD" w:rsidRDefault="008B46FD"/>
  </w:footnote>
  <w:footnote w:id="2">
    <w:p w:rsidR="008B46FD" w:rsidRPr="006E5117" w:rsidRDefault="008B46FD" w:rsidP="007A5200">
      <w:pPr>
        <w:pStyle w:val="FootnoteText"/>
        <w:ind w:left="1418" w:hanging="284"/>
        <w:jc w:val="both"/>
      </w:pPr>
      <w:r>
        <w:rPr>
          <w:rStyle w:val="FootnoteReference"/>
        </w:rPr>
        <w:footnoteRef/>
      </w:r>
      <w:r>
        <w:tab/>
      </w:r>
      <w:proofErr w:type="gramStart"/>
      <w:r>
        <w:t>In accordance with the programme of work of the Inland Transport Committee for 2016-2017, (ECE/TRANS/2016/28/Add.1 (9.2)).</w:t>
      </w:r>
      <w:proofErr w:type="gramEnd"/>
    </w:p>
  </w:footnote>
  <w:footnote w:id="3">
    <w:p w:rsidR="008B46FD" w:rsidRPr="006E5117" w:rsidRDefault="008B46FD" w:rsidP="007A5200">
      <w:pPr>
        <w:pStyle w:val="FootnoteText"/>
        <w:ind w:left="1418" w:hanging="284"/>
        <w:jc w:val="both"/>
        <w:rPr>
          <w:lang w:val="en-US"/>
        </w:rPr>
      </w:pPr>
      <w:r>
        <w:rPr>
          <w:rStyle w:val="FootnoteReference"/>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31</w:t>
      </w:r>
      <w:r w:rsidRPr="00561474">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FD" w:rsidRPr="009D2A5B" w:rsidRDefault="008B46FD" w:rsidP="009D2A5B">
    <w:pPr>
      <w:pStyle w:val="Header"/>
    </w:pPr>
    <w:r w:rsidRPr="009D2A5B">
      <w:t>ECE/TRANS/WP.15/AC.1/201</w:t>
    </w:r>
    <w:r>
      <w:t>6</w:t>
    </w:r>
    <w:r w:rsidRPr="009D2A5B">
      <w:t>/</w:t>
    </w:r>
    <w:r>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6FD" w:rsidRPr="009D2A5B" w:rsidRDefault="008B46FD" w:rsidP="009D2A5B">
    <w:pPr>
      <w:pStyle w:val="Header"/>
      <w:jc w:val="right"/>
    </w:pPr>
    <w:r w:rsidRPr="009D2A5B">
      <w:t>ECE/TRANS/WP.15/AC.1/201</w:t>
    </w:r>
    <w:r>
      <w:t>6</w:t>
    </w:r>
    <w:r w:rsidRPr="009D2A5B">
      <w:t>/</w:t>
    </w:r>
    <w: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2C41CC"/>
    <w:multiLevelType w:val="hybridMultilevel"/>
    <w:tmpl w:val="C20A9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D614A8B"/>
    <w:multiLevelType w:val="hybridMultilevel"/>
    <w:tmpl w:val="3C1E94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EF4C2B"/>
    <w:multiLevelType w:val="hybridMultilevel"/>
    <w:tmpl w:val="A328DC54"/>
    <w:lvl w:ilvl="0" w:tplc="A1C80BB4">
      <w:start w:val="1"/>
      <w:numFmt w:val="lowerRoman"/>
      <w:lvlText w:val="(%1)"/>
      <w:lvlJc w:val="left"/>
      <w:pPr>
        <w:ind w:left="180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2E43C39"/>
    <w:multiLevelType w:val="hybridMultilevel"/>
    <w:tmpl w:val="DF02EC9A"/>
    <w:lvl w:ilvl="0" w:tplc="8EC816C0">
      <w:numFmt w:val="decimal"/>
      <w:lvlText w:val="%1."/>
      <w:lvlJc w:val="left"/>
      <w:pPr>
        <w:ind w:left="720" w:hanging="360"/>
      </w:pPr>
      <w:rPr>
        <w:rFonts w:hint="default"/>
      </w:rPr>
    </w:lvl>
    <w:lvl w:ilvl="1" w:tplc="A1C80BB4">
      <w:start w:val="1"/>
      <w:numFmt w:val="lowerRoman"/>
      <w:lvlText w:val="(%2)"/>
      <w:lvlJc w:val="left"/>
      <w:pPr>
        <w:ind w:left="1800" w:hanging="720"/>
      </w:pPr>
      <w:rPr>
        <w:rFonts w:hint="default"/>
      </w:rPr>
    </w:lvl>
    <w:lvl w:ilvl="2" w:tplc="52D67562">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1"/>
  </w:num>
  <w:num w:numId="14">
    <w:abstractNumId w:val="20"/>
  </w:num>
  <w:num w:numId="15">
    <w:abstractNumId w:val="13"/>
  </w:num>
  <w:num w:numId="16">
    <w:abstractNumId w:val="12"/>
  </w:num>
  <w:num w:numId="17">
    <w:abstractNumId w:val="10"/>
  </w:num>
  <w:num w:numId="18">
    <w:abstractNumId w:val="19"/>
  </w:num>
  <w:num w:numId="19">
    <w:abstractNumId w:val="15"/>
  </w:num>
  <w:num w:numId="20">
    <w:abstractNumId w:val="14"/>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583C"/>
    <w:rsid w:val="000570FE"/>
    <w:rsid w:val="00057E97"/>
    <w:rsid w:val="00072C8C"/>
    <w:rsid w:val="000733B5"/>
    <w:rsid w:val="00074DC1"/>
    <w:rsid w:val="00081815"/>
    <w:rsid w:val="00085F0A"/>
    <w:rsid w:val="000931C0"/>
    <w:rsid w:val="000B0595"/>
    <w:rsid w:val="000B1333"/>
    <w:rsid w:val="000B175B"/>
    <w:rsid w:val="000B3A0F"/>
    <w:rsid w:val="000B4EF7"/>
    <w:rsid w:val="000C2C03"/>
    <w:rsid w:val="000C2D2E"/>
    <w:rsid w:val="000C3704"/>
    <w:rsid w:val="000C4D51"/>
    <w:rsid w:val="000E0415"/>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49E7"/>
    <w:rsid w:val="001E7B67"/>
    <w:rsid w:val="001F7435"/>
    <w:rsid w:val="00202DA8"/>
    <w:rsid w:val="0021157B"/>
    <w:rsid w:val="00211E0B"/>
    <w:rsid w:val="00267F5F"/>
    <w:rsid w:val="00277C12"/>
    <w:rsid w:val="00286B4D"/>
    <w:rsid w:val="002A603B"/>
    <w:rsid w:val="002D4643"/>
    <w:rsid w:val="002D4B6C"/>
    <w:rsid w:val="002F175C"/>
    <w:rsid w:val="00302E18"/>
    <w:rsid w:val="003229D8"/>
    <w:rsid w:val="00352709"/>
    <w:rsid w:val="00371178"/>
    <w:rsid w:val="00381475"/>
    <w:rsid w:val="003A6810"/>
    <w:rsid w:val="003C2CC4"/>
    <w:rsid w:val="003D4B23"/>
    <w:rsid w:val="003E6843"/>
    <w:rsid w:val="003F42EE"/>
    <w:rsid w:val="004059B4"/>
    <w:rsid w:val="00410C89"/>
    <w:rsid w:val="00422E03"/>
    <w:rsid w:val="00426B9B"/>
    <w:rsid w:val="00430BA0"/>
    <w:rsid w:val="004325CB"/>
    <w:rsid w:val="00442A83"/>
    <w:rsid w:val="0045495B"/>
    <w:rsid w:val="0048397A"/>
    <w:rsid w:val="004A12F2"/>
    <w:rsid w:val="004C2461"/>
    <w:rsid w:val="004C7462"/>
    <w:rsid w:val="004D4E04"/>
    <w:rsid w:val="004D5426"/>
    <w:rsid w:val="004E0C05"/>
    <w:rsid w:val="004E77B2"/>
    <w:rsid w:val="00503DEB"/>
    <w:rsid w:val="00504B2D"/>
    <w:rsid w:val="0052136D"/>
    <w:rsid w:val="00522B58"/>
    <w:rsid w:val="0052775E"/>
    <w:rsid w:val="00535C90"/>
    <w:rsid w:val="005420F2"/>
    <w:rsid w:val="00546993"/>
    <w:rsid w:val="005628B6"/>
    <w:rsid w:val="0057020E"/>
    <w:rsid w:val="005A575C"/>
    <w:rsid w:val="005A6058"/>
    <w:rsid w:val="005B3DB3"/>
    <w:rsid w:val="005B4E13"/>
    <w:rsid w:val="005B73B8"/>
    <w:rsid w:val="005C3FEF"/>
    <w:rsid w:val="005E6A77"/>
    <w:rsid w:val="005F7B75"/>
    <w:rsid w:val="006001EE"/>
    <w:rsid w:val="006019AF"/>
    <w:rsid w:val="00605042"/>
    <w:rsid w:val="00611FC4"/>
    <w:rsid w:val="006176FB"/>
    <w:rsid w:val="00640B26"/>
    <w:rsid w:val="00652D0A"/>
    <w:rsid w:val="006623D5"/>
    <w:rsid w:val="00662BB6"/>
    <w:rsid w:val="00667F8F"/>
    <w:rsid w:val="00684C21"/>
    <w:rsid w:val="0069232B"/>
    <w:rsid w:val="006A2530"/>
    <w:rsid w:val="006C3589"/>
    <w:rsid w:val="006D37AF"/>
    <w:rsid w:val="006D4378"/>
    <w:rsid w:val="006D51D0"/>
    <w:rsid w:val="006E564B"/>
    <w:rsid w:val="006E7191"/>
    <w:rsid w:val="00700044"/>
    <w:rsid w:val="00703577"/>
    <w:rsid w:val="00705894"/>
    <w:rsid w:val="00725E70"/>
    <w:rsid w:val="0072632A"/>
    <w:rsid w:val="00731FF0"/>
    <w:rsid w:val="007327D5"/>
    <w:rsid w:val="00744308"/>
    <w:rsid w:val="007611CF"/>
    <w:rsid w:val="007629C8"/>
    <w:rsid w:val="0077047D"/>
    <w:rsid w:val="00783C09"/>
    <w:rsid w:val="007A5200"/>
    <w:rsid w:val="007B6BA5"/>
    <w:rsid w:val="007C3390"/>
    <w:rsid w:val="007C4F4B"/>
    <w:rsid w:val="007D46D5"/>
    <w:rsid w:val="007D7D98"/>
    <w:rsid w:val="007E01E9"/>
    <w:rsid w:val="007E63F3"/>
    <w:rsid w:val="007F0395"/>
    <w:rsid w:val="007F6611"/>
    <w:rsid w:val="007F7106"/>
    <w:rsid w:val="00811920"/>
    <w:rsid w:val="00815AD0"/>
    <w:rsid w:val="008242D7"/>
    <w:rsid w:val="008257B1"/>
    <w:rsid w:val="00843767"/>
    <w:rsid w:val="00843D29"/>
    <w:rsid w:val="008521A5"/>
    <w:rsid w:val="008679D9"/>
    <w:rsid w:val="00871389"/>
    <w:rsid w:val="00874CB6"/>
    <w:rsid w:val="00883999"/>
    <w:rsid w:val="008878DE"/>
    <w:rsid w:val="00890568"/>
    <w:rsid w:val="008979B1"/>
    <w:rsid w:val="008A624A"/>
    <w:rsid w:val="008A6B25"/>
    <w:rsid w:val="008A6C4F"/>
    <w:rsid w:val="008B2335"/>
    <w:rsid w:val="008B46FD"/>
    <w:rsid w:val="008B717B"/>
    <w:rsid w:val="008C08ED"/>
    <w:rsid w:val="008C3988"/>
    <w:rsid w:val="008E0678"/>
    <w:rsid w:val="008E0E0F"/>
    <w:rsid w:val="009223CA"/>
    <w:rsid w:val="00940F93"/>
    <w:rsid w:val="0094558F"/>
    <w:rsid w:val="0094614F"/>
    <w:rsid w:val="00961690"/>
    <w:rsid w:val="009760F3"/>
    <w:rsid w:val="00995A4B"/>
    <w:rsid w:val="009A0E8D"/>
    <w:rsid w:val="009B1518"/>
    <w:rsid w:val="009B26E7"/>
    <w:rsid w:val="009B6669"/>
    <w:rsid w:val="009B7EAA"/>
    <w:rsid w:val="009C3EED"/>
    <w:rsid w:val="009C454F"/>
    <w:rsid w:val="009D2A5B"/>
    <w:rsid w:val="009D3508"/>
    <w:rsid w:val="00A00A3F"/>
    <w:rsid w:val="00A01489"/>
    <w:rsid w:val="00A3009E"/>
    <w:rsid w:val="00A3026E"/>
    <w:rsid w:val="00A338F1"/>
    <w:rsid w:val="00A709AB"/>
    <w:rsid w:val="00A72F22"/>
    <w:rsid w:val="00A7360F"/>
    <w:rsid w:val="00A748A6"/>
    <w:rsid w:val="00A769F4"/>
    <w:rsid w:val="00A776B4"/>
    <w:rsid w:val="00A81407"/>
    <w:rsid w:val="00A94361"/>
    <w:rsid w:val="00AA293C"/>
    <w:rsid w:val="00AB3BCE"/>
    <w:rsid w:val="00AD7803"/>
    <w:rsid w:val="00AF2344"/>
    <w:rsid w:val="00B11BB4"/>
    <w:rsid w:val="00B16BA2"/>
    <w:rsid w:val="00B22BC2"/>
    <w:rsid w:val="00B30179"/>
    <w:rsid w:val="00B421C1"/>
    <w:rsid w:val="00B55C71"/>
    <w:rsid w:val="00B56E4A"/>
    <w:rsid w:val="00B56E9C"/>
    <w:rsid w:val="00B61320"/>
    <w:rsid w:val="00B64B1F"/>
    <w:rsid w:val="00B6553F"/>
    <w:rsid w:val="00B70F1E"/>
    <w:rsid w:val="00B77D05"/>
    <w:rsid w:val="00B77EB3"/>
    <w:rsid w:val="00B81206"/>
    <w:rsid w:val="00B81E12"/>
    <w:rsid w:val="00BB7CD1"/>
    <w:rsid w:val="00BC3FA0"/>
    <w:rsid w:val="00BC74E9"/>
    <w:rsid w:val="00BF68A8"/>
    <w:rsid w:val="00C00934"/>
    <w:rsid w:val="00C10FE6"/>
    <w:rsid w:val="00C116C7"/>
    <w:rsid w:val="00C11A03"/>
    <w:rsid w:val="00C22C0C"/>
    <w:rsid w:val="00C30C61"/>
    <w:rsid w:val="00C35502"/>
    <w:rsid w:val="00C40B11"/>
    <w:rsid w:val="00C43F35"/>
    <w:rsid w:val="00C4527F"/>
    <w:rsid w:val="00C463DD"/>
    <w:rsid w:val="00C4724C"/>
    <w:rsid w:val="00C629A0"/>
    <w:rsid w:val="00C64629"/>
    <w:rsid w:val="00C745C3"/>
    <w:rsid w:val="00C76F8B"/>
    <w:rsid w:val="00CA16AC"/>
    <w:rsid w:val="00CB3E03"/>
    <w:rsid w:val="00CD50B1"/>
    <w:rsid w:val="00CE4A8F"/>
    <w:rsid w:val="00D2031B"/>
    <w:rsid w:val="00D25FE2"/>
    <w:rsid w:val="00D43252"/>
    <w:rsid w:val="00D47EEA"/>
    <w:rsid w:val="00D550D4"/>
    <w:rsid w:val="00D773DF"/>
    <w:rsid w:val="00D80FF5"/>
    <w:rsid w:val="00D872AC"/>
    <w:rsid w:val="00D9255F"/>
    <w:rsid w:val="00D95303"/>
    <w:rsid w:val="00D978C6"/>
    <w:rsid w:val="00DA3C1C"/>
    <w:rsid w:val="00DD29BD"/>
    <w:rsid w:val="00E046DF"/>
    <w:rsid w:val="00E15557"/>
    <w:rsid w:val="00E240D2"/>
    <w:rsid w:val="00E27346"/>
    <w:rsid w:val="00E71610"/>
    <w:rsid w:val="00E71BC8"/>
    <w:rsid w:val="00E7260F"/>
    <w:rsid w:val="00E73F5D"/>
    <w:rsid w:val="00E77E4E"/>
    <w:rsid w:val="00E96630"/>
    <w:rsid w:val="00E97400"/>
    <w:rsid w:val="00EC106A"/>
    <w:rsid w:val="00ED7A2A"/>
    <w:rsid w:val="00EE3BBF"/>
    <w:rsid w:val="00EE6B3A"/>
    <w:rsid w:val="00EF1D7F"/>
    <w:rsid w:val="00F31E5F"/>
    <w:rsid w:val="00F32BB7"/>
    <w:rsid w:val="00F41E8D"/>
    <w:rsid w:val="00F6100A"/>
    <w:rsid w:val="00F63C9D"/>
    <w:rsid w:val="00F66565"/>
    <w:rsid w:val="00F75A16"/>
    <w:rsid w:val="00F93781"/>
    <w:rsid w:val="00FA3350"/>
    <w:rsid w:val="00FB613B"/>
    <w:rsid w:val="00FC68B7"/>
    <w:rsid w:val="00FD55E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2016-06-24T09:32:00Z</cp:lastPrinted>
  <dcterms:created xsi:type="dcterms:W3CDTF">2016-06-24T09:10:00Z</dcterms:created>
  <dcterms:modified xsi:type="dcterms:W3CDTF">2016-06-29T13:13:00Z</dcterms:modified>
</cp:coreProperties>
</file>