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290B15">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90B15" w:rsidP="00290B15">
            <w:pPr>
              <w:jc w:val="right"/>
            </w:pPr>
            <w:r w:rsidRPr="00290B15">
              <w:rPr>
                <w:sz w:val="40"/>
              </w:rPr>
              <w:t>ECE</w:t>
            </w:r>
            <w:r>
              <w:t>/TRANS/WP.15/AC.1/2016/26</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90B15" w:rsidP="00892A2F">
            <w:pPr>
              <w:spacing w:before="240"/>
            </w:pPr>
            <w:r>
              <w:t>Distr. générale</w:t>
            </w:r>
          </w:p>
          <w:p w:rsidR="00290B15" w:rsidRDefault="00290B15" w:rsidP="00290B15">
            <w:pPr>
              <w:spacing w:line="240" w:lineRule="exact"/>
            </w:pPr>
            <w:r>
              <w:t>29 juin 2016</w:t>
            </w:r>
          </w:p>
          <w:p w:rsidR="00290B15" w:rsidRDefault="00290B15" w:rsidP="00290B15">
            <w:pPr>
              <w:spacing w:line="240" w:lineRule="exact"/>
            </w:pPr>
            <w:r>
              <w:t>Français</w:t>
            </w:r>
          </w:p>
          <w:p w:rsidR="00290B15" w:rsidRPr="00DB58B5" w:rsidRDefault="00290B15" w:rsidP="00290B1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B7C6E" w:rsidRPr="009E01B8" w:rsidRDefault="002B7C6E" w:rsidP="002B7C6E">
      <w:pPr>
        <w:spacing w:before="120" w:after="120"/>
        <w:rPr>
          <w:b/>
          <w:sz w:val="24"/>
          <w:szCs w:val="24"/>
        </w:rPr>
      </w:pPr>
      <w:r w:rsidRPr="009E01B8">
        <w:rPr>
          <w:b/>
          <w:sz w:val="24"/>
          <w:szCs w:val="24"/>
        </w:rPr>
        <w:t>Groupe de travail des transports de marchandises dangereuses</w:t>
      </w:r>
    </w:p>
    <w:p w:rsidR="002B7C6E" w:rsidRPr="002B7C6E" w:rsidRDefault="002B7C6E" w:rsidP="002B7C6E">
      <w:pPr>
        <w:rPr>
          <w:b/>
          <w:lang w:val="fr-FR"/>
        </w:rPr>
      </w:pPr>
      <w:r w:rsidRPr="002B7C6E">
        <w:rPr>
          <w:b/>
          <w:lang w:val="fr-FR"/>
        </w:rPr>
        <w:t xml:space="preserve">Réunion commune de la Commission d’experts du RID </w:t>
      </w:r>
      <w:r>
        <w:rPr>
          <w:b/>
          <w:lang w:val="fr-FR"/>
        </w:rPr>
        <w:br/>
      </w:r>
      <w:r w:rsidRPr="002B7C6E">
        <w:rPr>
          <w:b/>
          <w:lang w:val="fr-FR"/>
        </w:rPr>
        <w:t>et du Groupe de travail des transports de marchandises dangereuses</w:t>
      </w:r>
    </w:p>
    <w:p w:rsidR="002B7C6E" w:rsidRDefault="002B7C6E" w:rsidP="00E85C74">
      <w:r>
        <w:t>Genève, 19-23 septembre 2016</w:t>
      </w:r>
    </w:p>
    <w:p w:rsidR="002B7C6E" w:rsidRDefault="002B7C6E" w:rsidP="00E85C74">
      <w:r w:rsidRPr="00B93E72">
        <w:t>Point</w:t>
      </w:r>
      <w:r>
        <w:t> 2</w:t>
      </w:r>
      <w:r w:rsidRPr="00B93E72">
        <w:t xml:space="preserve"> de l’ordre du jour provisoire</w:t>
      </w:r>
    </w:p>
    <w:p w:rsidR="00F9573C" w:rsidRPr="002B7C6E" w:rsidRDefault="002B7C6E" w:rsidP="00AF0CB5">
      <w:pPr>
        <w:rPr>
          <w:b/>
        </w:rPr>
      </w:pPr>
      <w:r w:rsidRPr="002B7C6E">
        <w:rPr>
          <w:b/>
        </w:rPr>
        <w:t>Citernes</w:t>
      </w:r>
    </w:p>
    <w:p w:rsidR="00A2393E" w:rsidRPr="002B7C6E" w:rsidRDefault="002B7C6E" w:rsidP="002B7C6E">
      <w:pPr>
        <w:pStyle w:val="HChG"/>
        <w:rPr>
          <w:lang w:val="fr-FR"/>
        </w:rPr>
      </w:pPr>
      <w:r>
        <w:rPr>
          <w:lang w:val="fr-FR"/>
        </w:rPr>
        <w:tab/>
      </w:r>
      <w:r>
        <w:rPr>
          <w:lang w:val="fr-FR"/>
        </w:rPr>
        <w:tab/>
      </w:r>
      <w:r w:rsidR="007D24DC" w:rsidRPr="002B7C6E">
        <w:rPr>
          <w:lang w:val="fr-FR"/>
        </w:rPr>
        <w:t>Sujets divers sur les citernes</w:t>
      </w:r>
    </w:p>
    <w:p w:rsidR="002B7C6E" w:rsidRDefault="007D24DC" w:rsidP="002B7C6E">
      <w:pPr>
        <w:pStyle w:val="H1G"/>
        <w:rPr>
          <w:b w:val="0"/>
          <w:lang w:val="fr-FR"/>
        </w:rPr>
      </w:pPr>
      <w:r w:rsidRPr="002B7C6E">
        <w:rPr>
          <w:lang w:val="fr-FR"/>
        </w:rPr>
        <w:tab/>
      </w:r>
      <w:r w:rsidRPr="002B7C6E">
        <w:rPr>
          <w:lang w:val="fr-FR"/>
        </w:rPr>
        <w:tab/>
        <w:t>Communication du Gouvernement des Pays-Bas</w:t>
      </w:r>
      <w:r w:rsidR="002B7C6E" w:rsidRPr="002B7C6E">
        <w:rPr>
          <w:rStyle w:val="FootnoteReference"/>
          <w:b w:val="0"/>
        </w:rPr>
        <w:footnoteReference w:id="2"/>
      </w:r>
      <w:r w:rsidR="002B7C6E" w:rsidRPr="002B7C6E">
        <w:rPr>
          <w:b w:val="0"/>
          <w:vertAlign w:val="superscript"/>
          <w:lang w:val="fr-FR"/>
        </w:rPr>
        <w:t>,</w:t>
      </w:r>
      <w:r w:rsidR="002B7C6E" w:rsidRPr="002B7C6E">
        <w:rPr>
          <w:b w:val="0"/>
          <w:lang w:val="fr-FR"/>
        </w:rPr>
        <w:t xml:space="preserve"> </w:t>
      </w:r>
      <w:r w:rsidR="002B7C6E" w:rsidRPr="002B7C6E">
        <w:rPr>
          <w:rStyle w:val="FootnoteReference"/>
          <w:b w:val="0"/>
        </w:rPr>
        <w:footnoteReference w:id="3"/>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B492B" w:rsidTr="00216E0F">
        <w:trPr>
          <w:jc w:val="center"/>
        </w:trPr>
        <w:tc>
          <w:tcPr>
            <w:tcW w:w="9637" w:type="dxa"/>
            <w:shd w:val="clear" w:color="auto" w:fill="auto"/>
          </w:tcPr>
          <w:p w:rsidR="00CB492B" w:rsidRPr="000001E7" w:rsidRDefault="00CB492B" w:rsidP="00216E0F">
            <w:pPr>
              <w:spacing w:before="240" w:after="120"/>
              <w:ind w:left="255"/>
              <w:rPr>
                <w:i/>
                <w:sz w:val="24"/>
              </w:rPr>
            </w:pPr>
            <w:r w:rsidRPr="000001E7">
              <w:rPr>
                <w:i/>
                <w:sz w:val="24"/>
              </w:rPr>
              <w:t>Résumé</w:t>
            </w:r>
          </w:p>
        </w:tc>
      </w:tr>
      <w:tr w:rsidR="00CB492B" w:rsidTr="00216E0F">
        <w:trPr>
          <w:jc w:val="center"/>
        </w:trPr>
        <w:tc>
          <w:tcPr>
            <w:tcW w:w="9637" w:type="dxa"/>
            <w:shd w:val="clear" w:color="auto" w:fill="auto"/>
          </w:tcPr>
          <w:p w:rsidR="00CB492B" w:rsidRDefault="007D24DC" w:rsidP="00DD685A">
            <w:pPr>
              <w:pStyle w:val="SingleTxtG"/>
              <w:ind w:left="3402" w:hanging="2268"/>
            </w:pPr>
            <w:r w:rsidRPr="00D479C1">
              <w:rPr>
                <w:b/>
                <w:lang w:val="fr-FR"/>
              </w:rPr>
              <w:t>Résumé analytique</w:t>
            </w:r>
            <w:r w:rsidR="00D479C1">
              <w:rPr>
                <w:lang w:val="fr-FR"/>
              </w:rPr>
              <w:t> </w:t>
            </w:r>
            <w:r w:rsidRPr="00CB492B">
              <w:rPr>
                <w:lang w:val="fr-FR"/>
              </w:rPr>
              <w:t>:</w:t>
            </w:r>
            <w:r w:rsidRPr="00CB492B">
              <w:rPr>
                <w:lang w:val="fr-FR"/>
              </w:rPr>
              <w:tab/>
              <w:t xml:space="preserve">Les trois sujets exposés ci-après ont été pris en compte dans des procédures nationales aux fins d’une clarification. </w:t>
            </w:r>
            <w:r w:rsidR="00D479C1">
              <w:rPr>
                <w:lang w:val="fr-FR"/>
              </w:rPr>
              <w:t>Ces</w:t>
            </w:r>
            <w:r w:rsidR="00DD685A">
              <w:rPr>
                <w:lang w:val="fr-FR"/>
              </w:rPr>
              <w:t xml:space="preserve"> </w:t>
            </w:r>
            <w:r w:rsidRPr="00CB492B">
              <w:rPr>
                <w:lang w:val="fr-FR"/>
              </w:rPr>
              <w:t>procédures doivent toutefois être retirées. Comme ils ont de l’importance sur le plan de la sécurité, ils sont repris dans le présent document.</w:t>
            </w:r>
          </w:p>
        </w:tc>
      </w:tr>
      <w:tr w:rsidR="00CB492B" w:rsidTr="00216E0F">
        <w:trPr>
          <w:jc w:val="center"/>
        </w:trPr>
        <w:tc>
          <w:tcPr>
            <w:tcW w:w="9637" w:type="dxa"/>
            <w:shd w:val="clear" w:color="auto" w:fill="auto"/>
          </w:tcPr>
          <w:p w:rsidR="00CB492B" w:rsidRPr="003A24C8" w:rsidRDefault="00CB492B" w:rsidP="00D479C1">
            <w:pPr>
              <w:pStyle w:val="SingleTxtG"/>
              <w:ind w:left="3402" w:hanging="2268"/>
              <w:rPr>
                <w:lang w:val="fr-FR"/>
              </w:rPr>
            </w:pPr>
            <w:r w:rsidRPr="00D479C1">
              <w:rPr>
                <w:b/>
                <w:lang w:val="fr-FR"/>
              </w:rPr>
              <w:t>Mesures à prendre</w:t>
            </w:r>
            <w:r w:rsidR="00D479C1">
              <w:rPr>
                <w:lang w:val="fr-FR"/>
              </w:rPr>
              <w:t> </w:t>
            </w:r>
            <w:r w:rsidRPr="003A24C8">
              <w:rPr>
                <w:lang w:val="fr-FR"/>
              </w:rPr>
              <w:t>:</w:t>
            </w:r>
            <w:r w:rsidRPr="003A24C8">
              <w:rPr>
                <w:lang w:val="fr-FR"/>
              </w:rPr>
              <w:tab/>
              <w:t>Examiner les sujets et modifier le texte de l</w:t>
            </w:r>
            <w:r>
              <w:rPr>
                <w:lang w:val="fr-FR"/>
              </w:rPr>
              <w:t>’</w:t>
            </w:r>
            <w:r w:rsidR="00D479C1">
              <w:rPr>
                <w:lang w:val="fr-FR"/>
              </w:rPr>
              <w:t>Accord comme il </w:t>
            </w:r>
            <w:r w:rsidRPr="003A24C8">
              <w:rPr>
                <w:lang w:val="fr-FR"/>
              </w:rPr>
              <w:t>conviendra.</w:t>
            </w:r>
          </w:p>
        </w:tc>
      </w:tr>
      <w:tr w:rsidR="00CB492B" w:rsidTr="00216E0F">
        <w:trPr>
          <w:jc w:val="center"/>
        </w:trPr>
        <w:tc>
          <w:tcPr>
            <w:tcW w:w="9637" w:type="dxa"/>
            <w:shd w:val="clear" w:color="auto" w:fill="auto"/>
          </w:tcPr>
          <w:p w:rsidR="00CB492B" w:rsidRPr="00CB492B" w:rsidRDefault="00CB492B" w:rsidP="00D479C1">
            <w:pPr>
              <w:pStyle w:val="SingleTxtG"/>
              <w:rPr>
                <w:lang w:val="fr-FR"/>
              </w:rPr>
            </w:pPr>
            <w:r w:rsidRPr="00D479C1">
              <w:rPr>
                <w:b/>
                <w:lang w:val="fr-FR"/>
              </w:rPr>
              <w:t>Documents de référence</w:t>
            </w:r>
            <w:r w:rsidR="00D479C1">
              <w:rPr>
                <w:lang w:val="fr-FR"/>
              </w:rPr>
              <w:t> </w:t>
            </w:r>
            <w:r w:rsidRPr="003A24C8">
              <w:rPr>
                <w:lang w:val="fr-FR"/>
              </w:rPr>
              <w:t>:</w:t>
            </w:r>
            <w:r w:rsidRPr="003A24C8">
              <w:rPr>
                <w:lang w:val="fr-FR"/>
              </w:rPr>
              <w:tab/>
              <w:t>Document informel INF.12 de la session de printemps 2016.</w:t>
            </w:r>
          </w:p>
        </w:tc>
      </w:tr>
      <w:tr w:rsidR="00CB492B" w:rsidTr="00216E0F">
        <w:trPr>
          <w:jc w:val="center"/>
        </w:trPr>
        <w:tc>
          <w:tcPr>
            <w:tcW w:w="9637" w:type="dxa"/>
            <w:shd w:val="clear" w:color="auto" w:fill="auto"/>
          </w:tcPr>
          <w:p w:rsidR="00CB492B" w:rsidRDefault="00CB492B" w:rsidP="00216E0F"/>
        </w:tc>
      </w:tr>
    </w:tbl>
    <w:p w:rsidR="00D479C1" w:rsidRDefault="00D479C1" w:rsidP="00CB492B">
      <w:pPr>
        <w:pStyle w:val="SingleTxtG"/>
        <w:rPr>
          <w:lang w:val="fr-FR"/>
        </w:rPr>
      </w:pPr>
    </w:p>
    <w:p w:rsidR="00A2393E" w:rsidRPr="00D479C1" w:rsidRDefault="00D479C1" w:rsidP="002D0936">
      <w:pPr>
        <w:pStyle w:val="HChG"/>
        <w:rPr>
          <w:lang w:val="fr-FR"/>
        </w:rPr>
      </w:pPr>
      <w:r>
        <w:rPr>
          <w:lang w:val="fr-FR"/>
        </w:rPr>
        <w:br w:type="page"/>
      </w:r>
      <w:r w:rsidR="007D24DC" w:rsidRPr="00D479C1">
        <w:rPr>
          <w:lang w:val="fr-FR"/>
        </w:rPr>
        <w:lastRenderedPageBreak/>
        <w:tab/>
      </w:r>
      <w:r w:rsidR="007D24DC" w:rsidRPr="00D479C1">
        <w:rPr>
          <w:lang w:val="fr-FR"/>
        </w:rPr>
        <w:tab/>
        <w:t>Introduction</w:t>
      </w:r>
    </w:p>
    <w:p w:rsidR="00A2393E" w:rsidRPr="00D479C1" w:rsidRDefault="007D24DC" w:rsidP="002D0936">
      <w:pPr>
        <w:pStyle w:val="ParNoG"/>
        <w:rPr>
          <w:lang w:val="fr-FR"/>
        </w:rPr>
      </w:pPr>
      <w:r w:rsidRPr="00D479C1">
        <w:rPr>
          <w:lang w:val="fr-FR"/>
        </w:rPr>
        <w:t>Les trois sujets examinés ci-après ont été abordés dans le cadre de l’évaluation d’une ancienne procédure nationale relative à la construction des citernes pour GPL. Il a été estimé que ces sujets, qui sont en lien avec la sécurité, n’étaient pas traités, ou pas suffisamment traités, dans le RID/ADR. Il est proposé d’en discuter au sein du Groupe de travail des citernes.</w:t>
      </w:r>
    </w:p>
    <w:p w:rsidR="00A2393E" w:rsidRPr="00D479C1" w:rsidRDefault="007D24DC" w:rsidP="002D0936">
      <w:pPr>
        <w:pStyle w:val="H1G"/>
        <w:rPr>
          <w:lang w:val="fr-FR"/>
        </w:rPr>
      </w:pPr>
      <w:r w:rsidRPr="00D479C1">
        <w:rPr>
          <w:lang w:val="fr-FR"/>
        </w:rPr>
        <w:tab/>
      </w:r>
      <w:r w:rsidRPr="00D479C1">
        <w:rPr>
          <w:lang w:val="fr-FR"/>
        </w:rPr>
        <w:tab/>
      </w:r>
      <w:r w:rsidRPr="00DD685A">
        <w:rPr>
          <w:spacing w:val="3"/>
          <w:lang w:val="fr-FR"/>
        </w:rPr>
        <w:t>Sujet 1</w:t>
      </w:r>
      <w:r w:rsidR="002D0936" w:rsidRPr="00DD685A">
        <w:rPr>
          <w:spacing w:val="3"/>
          <w:lang w:val="fr-FR"/>
        </w:rPr>
        <w:t> </w:t>
      </w:r>
      <w:r w:rsidRPr="00DD685A">
        <w:rPr>
          <w:spacing w:val="3"/>
          <w:lang w:val="fr-FR"/>
        </w:rPr>
        <w:t xml:space="preserve">: </w:t>
      </w:r>
      <w:r w:rsidR="002D0936" w:rsidRPr="00DD685A">
        <w:rPr>
          <w:spacing w:val="3"/>
          <w:lang w:val="fr-FR"/>
        </w:rPr>
        <w:t>C</w:t>
      </w:r>
      <w:r w:rsidRPr="00DD685A">
        <w:rPr>
          <w:spacing w:val="3"/>
          <w:lang w:val="fr-FR"/>
        </w:rPr>
        <w:t>onception aux fins de la sécurité contre le feu des clapets</w:t>
      </w:r>
      <w:r w:rsidRPr="00D479C1">
        <w:rPr>
          <w:lang w:val="fr-FR"/>
        </w:rPr>
        <w:t xml:space="preserve"> </w:t>
      </w:r>
      <w:r w:rsidRPr="00DD685A">
        <w:rPr>
          <w:spacing w:val="-1"/>
          <w:lang w:val="fr-FR"/>
        </w:rPr>
        <w:t>d’arrêt principaux des citernes destinées au transport de gaz liquéfiés</w:t>
      </w:r>
      <w:r w:rsidRPr="00D479C1">
        <w:rPr>
          <w:lang w:val="fr-FR"/>
        </w:rPr>
        <w:t xml:space="preserve"> inflammables ou toxiques sous pression</w:t>
      </w:r>
    </w:p>
    <w:p w:rsidR="00A2393E" w:rsidRPr="00D479C1" w:rsidRDefault="007D24DC" w:rsidP="002D0936">
      <w:pPr>
        <w:pStyle w:val="H23G"/>
        <w:rPr>
          <w:lang w:val="fr-FR"/>
        </w:rPr>
      </w:pPr>
      <w:r w:rsidRPr="00D479C1">
        <w:rPr>
          <w:lang w:val="fr-FR"/>
        </w:rPr>
        <w:tab/>
      </w:r>
      <w:r w:rsidRPr="00D479C1">
        <w:rPr>
          <w:lang w:val="fr-FR"/>
        </w:rPr>
        <w:tab/>
        <w:t>Proposition 1</w:t>
      </w:r>
    </w:p>
    <w:p w:rsidR="00A2393E" w:rsidRPr="00D479C1" w:rsidRDefault="007D24DC" w:rsidP="002D0936">
      <w:pPr>
        <w:pStyle w:val="ParNoG"/>
        <w:rPr>
          <w:lang w:val="fr-FR"/>
        </w:rPr>
      </w:pPr>
      <w:r w:rsidRPr="00D479C1">
        <w:rPr>
          <w:lang w:val="fr-FR"/>
        </w:rPr>
        <w:t xml:space="preserve">Modifier le 6.8.3.2.3 comme suit (les modifications sont signalées en </w:t>
      </w:r>
      <w:r w:rsidRPr="00D479C1">
        <w:rPr>
          <w:i/>
          <w:lang w:val="fr-FR"/>
        </w:rPr>
        <w:t>italique</w:t>
      </w:r>
      <w:r w:rsidRPr="00D479C1">
        <w:rPr>
          <w:lang w:val="fr-FR"/>
        </w:rPr>
        <w:t>)</w:t>
      </w:r>
      <w:r w:rsidR="009E324E">
        <w:rPr>
          <w:lang w:val="fr-FR"/>
        </w:rPr>
        <w:t> </w:t>
      </w:r>
      <w:r w:rsidRPr="00D479C1">
        <w:rPr>
          <w:lang w:val="fr-FR"/>
        </w:rPr>
        <w:t>:</w:t>
      </w:r>
    </w:p>
    <w:p w:rsidR="00A2393E" w:rsidRPr="00D479C1" w:rsidRDefault="007D24DC" w:rsidP="004A05C5">
      <w:pPr>
        <w:pStyle w:val="SingleTxtG"/>
        <w:ind w:left="2268" w:hanging="1134"/>
        <w:rPr>
          <w:bCs/>
          <w:lang w:val="fr-FR"/>
        </w:rPr>
      </w:pPr>
      <w:r w:rsidRPr="00D479C1">
        <w:rPr>
          <w:bCs/>
          <w:lang w:val="fr-FR"/>
        </w:rPr>
        <w:t>«</w:t>
      </w:r>
      <w:r w:rsidR="009E324E">
        <w:rPr>
          <w:bCs/>
          <w:lang w:val="fr-FR"/>
        </w:rPr>
        <w:t> </w:t>
      </w:r>
      <w:r w:rsidRPr="00D479C1">
        <w:rPr>
          <w:bCs/>
          <w:lang w:val="fr-FR"/>
        </w:rPr>
        <w:t>6.8.3.2.3</w:t>
      </w:r>
      <w:r w:rsidRPr="00D479C1">
        <w:rPr>
          <w:bCs/>
          <w:lang w:val="fr-FR"/>
        </w:rPr>
        <w:tab/>
        <w:t>L’obturateur interne de toutes les ouvertures de remplissage et de toutes les ouv</w:t>
      </w:r>
      <w:r w:rsidR="009E324E">
        <w:rPr>
          <w:bCs/>
          <w:lang w:val="fr-FR"/>
        </w:rPr>
        <w:t>ertures de vidange des citernes</w:t>
      </w:r>
    </w:p>
    <w:tbl>
      <w:tblPr>
        <w:tblW w:w="7370" w:type="dxa"/>
        <w:tblInd w:w="1134" w:type="dxa"/>
        <w:tblLayout w:type="fixed"/>
        <w:tblCellMar>
          <w:left w:w="71" w:type="dxa"/>
          <w:right w:w="71" w:type="dxa"/>
        </w:tblCellMar>
        <w:tblLook w:val="0000" w:firstRow="0" w:lastRow="0" w:firstColumn="0" w:lastColumn="0" w:noHBand="0" w:noVBand="0"/>
      </w:tblPr>
      <w:tblGrid>
        <w:gridCol w:w="3292"/>
        <w:gridCol w:w="4078"/>
      </w:tblGrid>
      <w:tr w:rsidR="00A2393E" w:rsidRPr="00D479C1" w:rsidTr="009E324E">
        <w:tc>
          <w:tcPr>
            <w:tcW w:w="3544" w:type="dxa"/>
            <w:tcBorders>
              <w:right w:val="single" w:sz="6" w:space="0" w:color="auto"/>
            </w:tcBorders>
          </w:tcPr>
          <w:p w:rsidR="00A2393E" w:rsidRPr="00D479C1" w:rsidRDefault="00DB501D" w:rsidP="00D479C1">
            <w:pPr>
              <w:pStyle w:val="SingleTxtG"/>
              <w:rPr>
                <w:lang w:val="fr-FR"/>
              </w:rPr>
            </w:pPr>
          </w:p>
        </w:tc>
        <w:tc>
          <w:tcPr>
            <w:tcW w:w="4394" w:type="dxa"/>
            <w:tcBorders>
              <w:left w:val="nil"/>
            </w:tcBorders>
          </w:tcPr>
          <w:p w:rsidR="00A2393E" w:rsidRPr="00D479C1" w:rsidRDefault="007D24DC" w:rsidP="009E324E">
            <w:pPr>
              <w:pStyle w:val="SingleTxtG"/>
              <w:jc w:val="left"/>
              <w:rPr>
                <w:lang w:val="fr-FR"/>
              </w:rPr>
            </w:pPr>
            <w:r w:rsidRPr="00D479C1">
              <w:rPr>
                <w:lang w:val="fr-FR"/>
              </w:rPr>
              <w:t xml:space="preserve">d’une capacité supérieure à </w:t>
            </w:r>
            <w:r w:rsidR="009E324E">
              <w:rPr>
                <w:lang w:val="fr-FR"/>
              </w:rPr>
              <w:t>1 </w:t>
            </w:r>
            <w:r w:rsidRPr="00D479C1">
              <w:rPr>
                <w:lang w:val="fr-FR"/>
              </w:rPr>
              <w:t>m</w:t>
            </w:r>
            <w:r w:rsidRPr="00D479C1">
              <w:rPr>
                <w:vertAlign w:val="superscript"/>
                <w:lang w:val="fr-FR"/>
              </w:rPr>
              <w:t>3</w:t>
            </w:r>
          </w:p>
        </w:tc>
      </w:tr>
    </w:tbl>
    <w:p w:rsidR="00A2393E" w:rsidRPr="00D479C1" w:rsidRDefault="007D24DC" w:rsidP="009E324E">
      <w:pPr>
        <w:pStyle w:val="SingleTxtG"/>
        <w:spacing w:before="120"/>
        <w:rPr>
          <w:lang w:val="fr-FR"/>
        </w:rPr>
      </w:pPr>
      <w:r w:rsidRPr="00D479C1">
        <w:rPr>
          <w:lang w:val="fr-FR"/>
        </w:rPr>
        <w:t xml:space="preserve">destinées au transport des gaz liquéfiés inflammables ou toxiques doit être </w:t>
      </w:r>
      <w:r w:rsidRPr="00D479C1">
        <w:rPr>
          <w:i/>
          <w:lang w:val="fr-FR"/>
        </w:rPr>
        <w:t>conçu aux fins de la sécurité contre le feu</w:t>
      </w:r>
      <w:r w:rsidRPr="00D479C1">
        <w:rPr>
          <w:lang w:val="fr-FR"/>
        </w:rPr>
        <w:t xml:space="preserve"> et à fermeture instantanée et doit, en cas de déplacement intempestif de la citerne ou d’incendie, se fermer automatiquement. L’obturateur interne doit aussi pouvoir être déclenché à distance.</w:t>
      </w:r>
      <w:r w:rsidR="009E324E">
        <w:rPr>
          <w:lang w:val="fr-FR"/>
        </w:rPr>
        <w:t> »</w:t>
      </w:r>
      <w:r w:rsidRPr="00D479C1">
        <w:rPr>
          <w:lang w:val="fr-FR"/>
        </w:rPr>
        <w:t>.</w:t>
      </w:r>
    </w:p>
    <w:p w:rsidR="00A2393E" w:rsidRPr="00D479C1" w:rsidRDefault="009E324E" w:rsidP="009E324E">
      <w:pPr>
        <w:pStyle w:val="H23G"/>
        <w:rPr>
          <w:lang w:val="fr-FR"/>
        </w:rPr>
      </w:pPr>
      <w:r>
        <w:rPr>
          <w:lang w:val="fr-FR"/>
        </w:rPr>
        <w:tab/>
      </w:r>
      <w:r>
        <w:rPr>
          <w:lang w:val="fr-FR"/>
        </w:rPr>
        <w:tab/>
      </w:r>
      <w:r w:rsidR="007D24DC" w:rsidRPr="00D479C1">
        <w:rPr>
          <w:lang w:val="fr-FR"/>
        </w:rPr>
        <w:t>Justification</w:t>
      </w:r>
    </w:p>
    <w:p w:rsidR="00A2393E" w:rsidRPr="00D479C1" w:rsidRDefault="007D24DC" w:rsidP="002D0936">
      <w:pPr>
        <w:pStyle w:val="ParNoG"/>
        <w:rPr>
          <w:lang w:val="fr-FR"/>
        </w:rPr>
      </w:pPr>
      <w:r w:rsidRPr="00D479C1">
        <w:rPr>
          <w:lang w:val="fr-FR"/>
        </w:rPr>
        <w:t>Les clapets internes de sécurité ou clapets d’arrêt principaux doivent se fermer automatiquement en cas d’incendie. Ils doivent également rester bien fermés dans cette même situation. La norme EN ISO</w:t>
      </w:r>
      <w:r w:rsidR="004A05C5">
        <w:rPr>
          <w:lang w:val="fr-FR"/>
        </w:rPr>
        <w:t> </w:t>
      </w:r>
      <w:r w:rsidRPr="00D479C1">
        <w:rPr>
          <w:lang w:val="fr-FR"/>
        </w:rPr>
        <w:t>10497 est disponible depuis de nombreuses années déjà et des clapets conformes à celle-ci sont proposés sur le marché. La norme EN</w:t>
      </w:r>
      <w:r w:rsidR="004A05C5">
        <w:rPr>
          <w:lang w:val="fr-FR"/>
        </w:rPr>
        <w:t> </w:t>
      </w:r>
      <w:r w:rsidRPr="00D479C1">
        <w:rPr>
          <w:lang w:val="fr-FR"/>
        </w:rPr>
        <w:t>12252, citée en référence dans l’ADR en ce qui concerne les camions-citernes pour GPL, mentionne l’autre norme mais ne précise pas à quels clapets elle s’applique.</w:t>
      </w:r>
    </w:p>
    <w:p w:rsidR="00A2393E" w:rsidRPr="00D479C1" w:rsidRDefault="007D24DC" w:rsidP="002D0936">
      <w:pPr>
        <w:pStyle w:val="ParNoG"/>
        <w:rPr>
          <w:lang w:val="fr-FR"/>
        </w:rPr>
      </w:pPr>
      <w:r w:rsidRPr="00D479C1">
        <w:rPr>
          <w:lang w:val="fr-FR"/>
        </w:rPr>
        <w:t>La norme EN</w:t>
      </w:r>
      <w:r w:rsidR="004A05C5">
        <w:rPr>
          <w:lang w:val="fr-FR"/>
        </w:rPr>
        <w:t> </w:t>
      </w:r>
      <w:r w:rsidRPr="00D479C1">
        <w:rPr>
          <w:lang w:val="fr-FR"/>
        </w:rPr>
        <w:t>12252 s’appliquant spécifiquement au GPL, des prescriptions identiques devraient être applicables à d’autres citernes contenant des gaz semblables. Il est ainsi proposé d’en tenir compte dans le RID/ADR. Si cette proposition est accueillie favorablement, il conviendra de demander au Comité européen de normalisation (CEN) de mentionner dans la norme EN</w:t>
      </w:r>
      <w:r w:rsidR="004A05C5">
        <w:rPr>
          <w:lang w:val="fr-FR"/>
        </w:rPr>
        <w:t> </w:t>
      </w:r>
      <w:r w:rsidRPr="00D479C1">
        <w:rPr>
          <w:lang w:val="fr-FR"/>
        </w:rPr>
        <w:t>12252 que la norme EN</w:t>
      </w:r>
      <w:r w:rsidR="004A05C5">
        <w:rPr>
          <w:lang w:val="fr-FR"/>
        </w:rPr>
        <w:t> </w:t>
      </w:r>
      <w:r w:rsidRPr="00D479C1">
        <w:rPr>
          <w:lang w:val="fr-FR"/>
        </w:rPr>
        <w:t>ISO</w:t>
      </w:r>
      <w:r w:rsidR="004A05C5">
        <w:rPr>
          <w:lang w:val="fr-FR"/>
        </w:rPr>
        <w:t> </w:t>
      </w:r>
      <w:r w:rsidRPr="00D479C1">
        <w:rPr>
          <w:lang w:val="fr-FR"/>
        </w:rPr>
        <w:t>10497:2010 est applicable aux clapets d’arrêt principaux et de mentionner dans la norme EN</w:t>
      </w:r>
      <w:r w:rsidR="004A05C5">
        <w:rPr>
          <w:lang w:val="fr-FR"/>
        </w:rPr>
        <w:t> </w:t>
      </w:r>
      <w:r w:rsidRPr="00D479C1">
        <w:rPr>
          <w:lang w:val="fr-FR"/>
        </w:rPr>
        <w:t>14433 que cette même norme EN</w:t>
      </w:r>
      <w:r w:rsidR="004A05C5">
        <w:rPr>
          <w:lang w:val="fr-FR"/>
        </w:rPr>
        <w:t> ISO </w:t>
      </w:r>
      <w:r w:rsidRPr="00D479C1">
        <w:rPr>
          <w:lang w:val="fr-FR"/>
        </w:rPr>
        <w:t>10497:2010 est applicable aux clapets de fond</w:t>
      </w:r>
      <w:r w:rsidR="004A05C5">
        <w:rPr>
          <w:lang w:val="fr-FR"/>
        </w:rPr>
        <w:t xml:space="preserve"> pour les matières gazeuses. Il </w:t>
      </w:r>
      <w:r w:rsidRPr="00D479C1">
        <w:rPr>
          <w:lang w:val="fr-FR"/>
        </w:rPr>
        <w:t>faudrait en outre se poser la question de savoir si une disposition transitoire est nécessair</w:t>
      </w:r>
      <w:r w:rsidR="004A05C5">
        <w:rPr>
          <w:lang w:val="fr-FR"/>
        </w:rPr>
        <w:t>e pour les citernes existantes.</w:t>
      </w:r>
    </w:p>
    <w:p w:rsidR="00A2393E" w:rsidRPr="00D479C1" w:rsidRDefault="007D24DC" w:rsidP="00DD685A">
      <w:pPr>
        <w:pStyle w:val="H1G"/>
        <w:rPr>
          <w:lang w:val="fr-FR"/>
        </w:rPr>
      </w:pPr>
      <w:r w:rsidRPr="00D479C1">
        <w:rPr>
          <w:lang w:val="fr-FR"/>
        </w:rPr>
        <w:lastRenderedPageBreak/>
        <w:tab/>
      </w:r>
      <w:r w:rsidRPr="00D479C1">
        <w:rPr>
          <w:lang w:val="fr-FR"/>
        </w:rPr>
        <w:tab/>
        <w:t>Sujet 2</w:t>
      </w:r>
      <w:r w:rsidR="004A05C5">
        <w:rPr>
          <w:lang w:val="fr-FR"/>
        </w:rPr>
        <w:t> </w:t>
      </w:r>
      <w:r w:rsidRPr="00D479C1">
        <w:rPr>
          <w:lang w:val="fr-FR"/>
        </w:rPr>
        <w:t xml:space="preserve">: </w:t>
      </w:r>
      <w:r w:rsidR="004A05C5">
        <w:rPr>
          <w:lang w:val="fr-FR"/>
        </w:rPr>
        <w:t>I</w:t>
      </w:r>
      <w:r w:rsidRPr="00D479C1">
        <w:rPr>
          <w:lang w:val="fr-FR"/>
        </w:rPr>
        <w:t>nterdiction des tubes indicateurs de niveau en verre</w:t>
      </w:r>
    </w:p>
    <w:p w:rsidR="00A2393E" w:rsidRPr="00D479C1" w:rsidRDefault="007D24DC" w:rsidP="00DD685A">
      <w:pPr>
        <w:pStyle w:val="H23G"/>
        <w:rPr>
          <w:lang w:val="fr-FR"/>
        </w:rPr>
      </w:pPr>
      <w:r w:rsidRPr="00D479C1">
        <w:rPr>
          <w:lang w:val="fr-FR"/>
        </w:rPr>
        <w:tab/>
      </w:r>
      <w:r w:rsidRPr="00D479C1">
        <w:rPr>
          <w:lang w:val="fr-FR"/>
        </w:rPr>
        <w:tab/>
        <w:t>Proposition 2</w:t>
      </w:r>
    </w:p>
    <w:p w:rsidR="00A2393E" w:rsidRPr="00D479C1" w:rsidRDefault="007D24DC" w:rsidP="00DD685A">
      <w:pPr>
        <w:pStyle w:val="ParNoG"/>
        <w:keepNext/>
        <w:keepLines/>
        <w:rPr>
          <w:lang w:val="fr-FR"/>
        </w:rPr>
      </w:pPr>
      <w:r w:rsidRPr="00D479C1">
        <w:rPr>
          <w:lang w:val="fr-FR"/>
        </w:rPr>
        <w:t>Ajouter un nouveau paragraphe, 6.8.2.2.11, libellé comme suit</w:t>
      </w:r>
      <w:r w:rsidR="004A05C5">
        <w:rPr>
          <w:lang w:val="fr-FR"/>
        </w:rPr>
        <w:t> </w:t>
      </w:r>
      <w:r w:rsidRPr="00D479C1">
        <w:rPr>
          <w:lang w:val="fr-FR"/>
        </w:rPr>
        <w:t>:</w:t>
      </w:r>
    </w:p>
    <w:p w:rsidR="00A2393E" w:rsidRPr="00D479C1" w:rsidRDefault="004A05C5" w:rsidP="004A05C5">
      <w:pPr>
        <w:pStyle w:val="SingleTxtG"/>
        <w:ind w:left="2268" w:hanging="1134"/>
        <w:rPr>
          <w:lang w:val="fr-FR"/>
        </w:rPr>
      </w:pPr>
      <w:r>
        <w:rPr>
          <w:lang w:val="fr-FR"/>
        </w:rPr>
        <w:t>« </w:t>
      </w:r>
      <w:r w:rsidR="007D24DC" w:rsidRPr="00D479C1">
        <w:rPr>
          <w:i/>
          <w:lang w:val="fr-FR"/>
        </w:rPr>
        <w:t>6.8.2.2.11</w:t>
      </w:r>
      <w:r w:rsidR="007D24DC" w:rsidRPr="00D479C1">
        <w:rPr>
          <w:i/>
          <w:lang w:val="fr-FR"/>
        </w:rPr>
        <w:tab/>
        <w:t>Les tubes indicateurs de niveau en verre et autres tubes de niveau réalisés dans d’autres matériaux fragiles, qui sont en contact direct avec le contenu du réservoir, doivent être proscrits.</w:t>
      </w:r>
      <w:r>
        <w:rPr>
          <w:lang w:val="fr-FR"/>
        </w:rPr>
        <w:t> »</w:t>
      </w:r>
      <w:r w:rsidR="007D24DC" w:rsidRPr="00D479C1">
        <w:rPr>
          <w:lang w:val="fr-FR"/>
        </w:rPr>
        <w:t>.</w:t>
      </w:r>
    </w:p>
    <w:p w:rsidR="00A2393E" w:rsidRPr="00D479C1" w:rsidRDefault="00FA676C" w:rsidP="00FA676C">
      <w:pPr>
        <w:pStyle w:val="H23G"/>
        <w:rPr>
          <w:lang w:val="fr-FR"/>
        </w:rPr>
      </w:pPr>
      <w:r>
        <w:rPr>
          <w:lang w:val="fr-FR"/>
        </w:rPr>
        <w:tab/>
      </w:r>
      <w:r>
        <w:rPr>
          <w:lang w:val="fr-FR"/>
        </w:rPr>
        <w:tab/>
      </w:r>
      <w:r w:rsidR="007D24DC" w:rsidRPr="00D479C1">
        <w:rPr>
          <w:lang w:val="fr-FR"/>
        </w:rPr>
        <w:t>Proposition 3</w:t>
      </w:r>
    </w:p>
    <w:p w:rsidR="00A2393E" w:rsidRPr="00D479C1" w:rsidRDefault="007D24DC" w:rsidP="002D0936">
      <w:pPr>
        <w:pStyle w:val="ParNoG"/>
        <w:rPr>
          <w:lang w:val="fr-FR"/>
        </w:rPr>
      </w:pPr>
      <w:r w:rsidRPr="00D479C1">
        <w:rPr>
          <w:lang w:val="fr-FR"/>
        </w:rPr>
        <w:t xml:space="preserve">Supprimer la première phrase du 6.8.3.2.6, comme suit (les mots supprimés sont </w:t>
      </w:r>
      <w:r w:rsidRPr="00FA676C">
        <w:rPr>
          <w:strike/>
          <w:lang w:val="fr-FR"/>
        </w:rPr>
        <w:t>biffés</w:t>
      </w:r>
      <w:r w:rsidRPr="00D479C1">
        <w:rPr>
          <w:lang w:val="fr-FR"/>
        </w:rPr>
        <w:t>)</w:t>
      </w:r>
      <w:r w:rsidR="00FA676C">
        <w:rPr>
          <w:lang w:val="fr-FR"/>
        </w:rPr>
        <w:t> </w:t>
      </w:r>
      <w:r w:rsidRPr="00D479C1">
        <w:rPr>
          <w:lang w:val="fr-FR"/>
        </w:rPr>
        <w:t>:</w:t>
      </w:r>
    </w:p>
    <w:p w:rsidR="00A2393E" w:rsidRPr="00D479C1" w:rsidRDefault="00FA676C" w:rsidP="00FA676C">
      <w:pPr>
        <w:pStyle w:val="SingleTxtG"/>
        <w:ind w:left="2268" w:hanging="1134"/>
        <w:rPr>
          <w:lang w:val="fr-FR"/>
        </w:rPr>
      </w:pPr>
      <w:r>
        <w:rPr>
          <w:lang w:val="fr-FR"/>
        </w:rPr>
        <w:t>« </w:t>
      </w:r>
      <w:r w:rsidR="007D24DC" w:rsidRPr="00D479C1">
        <w:rPr>
          <w:lang w:val="fr-FR"/>
        </w:rPr>
        <w:t>6.8.3.2.6</w:t>
      </w:r>
      <w:r w:rsidR="007D24DC" w:rsidRPr="00D479C1">
        <w:rPr>
          <w:lang w:val="fr-FR"/>
        </w:rPr>
        <w:tab/>
      </w:r>
      <w:r w:rsidR="007D24DC" w:rsidRPr="00FA676C">
        <w:rPr>
          <w:strike/>
          <w:lang w:val="fr-FR"/>
        </w:rPr>
        <w:t>Si les citernes sont équipées de jauges directement en contact avec la matière transportée, les jauges ne doivent pas être en matériau transparent.</w:t>
      </w:r>
      <w:r w:rsidR="007D24DC" w:rsidRPr="00D479C1">
        <w:rPr>
          <w:lang w:val="fr-FR"/>
        </w:rPr>
        <w:t xml:space="preserve"> S’il existe des thermomètres, ils ne pourront plonger directement dans le gaz ou le liquide au travers du réservoir.</w:t>
      </w:r>
      <w:r>
        <w:rPr>
          <w:lang w:val="fr-FR"/>
        </w:rPr>
        <w:t> »</w:t>
      </w:r>
      <w:r w:rsidR="007D24DC" w:rsidRPr="00D479C1">
        <w:rPr>
          <w:lang w:val="fr-FR"/>
        </w:rPr>
        <w:t>.</w:t>
      </w:r>
    </w:p>
    <w:p w:rsidR="00A2393E" w:rsidRPr="00D479C1" w:rsidRDefault="00FA676C" w:rsidP="00FA676C">
      <w:pPr>
        <w:pStyle w:val="H23G"/>
        <w:rPr>
          <w:lang w:val="fr-FR"/>
        </w:rPr>
      </w:pPr>
      <w:r>
        <w:rPr>
          <w:lang w:val="fr-FR"/>
        </w:rPr>
        <w:tab/>
      </w:r>
      <w:r>
        <w:rPr>
          <w:lang w:val="fr-FR"/>
        </w:rPr>
        <w:tab/>
      </w:r>
      <w:r w:rsidR="007D24DC" w:rsidRPr="00D479C1">
        <w:rPr>
          <w:lang w:val="fr-FR"/>
        </w:rPr>
        <w:t>Proposition 4</w:t>
      </w:r>
    </w:p>
    <w:p w:rsidR="00A2393E" w:rsidRPr="00D479C1" w:rsidRDefault="007D24DC" w:rsidP="002D0936">
      <w:pPr>
        <w:pStyle w:val="ParNoG"/>
        <w:rPr>
          <w:lang w:val="fr-FR"/>
        </w:rPr>
      </w:pPr>
      <w:r w:rsidRPr="00D479C1">
        <w:rPr>
          <w:lang w:val="fr-FR"/>
        </w:rPr>
        <w:t>Modifier le premier paragraphe du 6.10.3.8</w:t>
      </w:r>
      <w:r w:rsidR="00FA676C">
        <w:rPr>
          <w:lang w:val="fr-FR"/>
        </w:rPr>
        <w:t> </w:t>
      </w:r>
      <w:r w:rsidRPr="00D479C1">
        <w:rPr>
          <w:lang w:val="fr-FR"/>
        </w:rPr>
        <w:t xml:space="preserve">f) comme suit (les mots ajoutés sont en </w:t>
      </w:r>
      <w:r w:rsidRPr="00D479C1">
        <w:rPr>
          <w:i/>
          <w:lang w:val="fr-FR"/>
        </w:rPr>
        <w:t>italique</w:t>
      </w:r>
      <w:r w:rsidRPr="00D479C1">
        <w:rPr>
          <w:lang w:val="fr-FR"/>
        </w:rPr>
        <w:t xml:space="preserve"> et les mots supprimés sont </w:t>
      </w:r>
      <w:r w:rsidRPr="00FA676C">
        <w:rPr>
          <w:strike/>
          <w:lang w:val="fr-FR"/>
        </w:rPr>
        <w:t>biffés</w:t>
      </w:r>
      <w:r w:rsidRPr="00D479C1">
        <w:rPr>
          <w:lang w:val="fr-FR"/>
        </w:rPr>
        <w:t>)</w:t>
      </w:r>
      <w:r w:rsidR="00FA676C">
        <w:rPr>
          <w:lang w:val="fr-FR"/>
        </w:rPr>
        <w:t> </w:t>
      </w:r>
      <w:r w:rsidRPr="00D479C1">
        <w:rPr>
          <w:lang w:val="fr-FR"/>
        </w:rPr>
        <w:t>:</w:t>
      </w:r>
    </w:p>
    <w:p w:rsidR="00A2393E" w:rsidRPr="00D479C1" w:rsidRDefault="00FA676C" w:rsidP="00FA676C">
      <w:pPr>
        <w:pStyle w:val="SingleTxtG"/>
        <w:ind w:left="1701" w:hanging="567"/>
        <w:rPr>
          <w:lang w:val="fr-FR"/>
        </w:rPr>
      </w:pPr>
      <w:r>
        <w:rPr>
          <w:lang w:val="fr-FR"/>
        </w:rPr>
        <w:t>« </w:t>
      </w:r>
      <w:r w:rsidR="007D24DC" w:rsidRPr="00D479C1">
        <w:rPr>
          <w:lang w:val="fr-FR"/>
        </w:rPr>
        <w:t>f)</w:t>
      </w:r>
      <w:r w:rsidR="007D24DC" w:rsidRPr="00D479C1">
        <w:rPr>
          <w:lang w:val="fr-FR"/>
        </w:rPr>
        <w:tab/>
        <w:t xml:space="preserve">La citerne, ou dans le cas d’une citerne à compartiments, chaque compartiment, doit être équipé d’un indicateur de niveau. </w:t>
      </w:r>
      <w:r w:rsidR="007D24DC" w:rsidRPr="00D479C1">
        <w:rPr>
          <w:i/>
          <w:lang w:val="fr-FR"/>
        </w:rPr>
        <w:t>Les indicateurs de niveau en verre et dans d’autres matériaux transparents appropriés</w:t>
      </w:r>
      <w:r w:rsidR="007D24DC" w:rsidRPr="00D479C1">
        <w:rPr>
          <w:lang w:val="fr-FR"/>
        </w:rPr>
        <w:t xml:space="preserve"> </w:t>
      </w:r>
      <w:r w:rsidR="007D24DC" w:rsidRPr="00FA676C">
        <w:rPr>
          <w:strike/>
          <w:lang w:val="fr-FR"/>
        </w:rPr>
        <w:t>Des repères transparents</w:t>
      </w:r>
      <w:r w:rsidR="007D24DC" w:rsidRPr="00D479C1">
        <w:rPr>
          <w:lang w:val="fr-FR"/>
        </w:rPr>
        <w:t xml:space="preserve"> peuvent servir d’indicateurs de niveau à condition</w:t>
      </w:r>
      <w:r>
        <w:rPr>
          <w:lang w:val="fr-FR"/>
        </w:rPr>
        <w:t> </w:t>
      </w:r>
      <w:r w:rsidR="007D24DC" w:rsidRPr="00D479C1">
        <w:rPr>
          <w:lang w:val="fr-FR"/>
        </w:rPr>
        <w:t>:</w:t>
      </w:r>
      <w:r>
        <w:rPr>
          <w:lang w:val="fr-FR"/>
        </w:rPr>
        <w:t> »</w:t>
      </w:r>
      <w:r w:rsidR="007D24DC" w:rsidRPr="00D479C1">
        <w:rPr>
          <w:lang w:val="fr-FR"/>
        </w:rPr>
        <w:t>.</w:t>
      </w:r>
    </w:p>
    <w:p w:rsidR="00A2393E" w:rsidRPr="00D479C1" w:rsidRDefault="00F53E4F" w:rsidP="00F53E4F">
      <w:pPr>
        <w:pStyle w:val="H23G"/>
        <w:rPr>
          <w:lang w:val="fr-FR"/>
        </w:rPr>
      </w:pPr>
      <w:r>
        <w:rPr>
          <w:lang w:val="fr-FR"/>
        </w:rPr>
        <w:tab/>
      </w:r>
      <w:r>
        <w:rPr>
          <w:lang w:val="fr-FR"/>
        </w:rPr>
        <w:tab/>
        <w:t>Justification</w:t>
      </w:r>
    </w:p>
    <w:p w:rsidR="00A2393E" w:rsidRPr="00D479C1" w:rsidRDefault="007D24DC" w:rsidP="002D0936">
      <w:pPr>
        <w:pStyle w:val="ParNoG"/>
        <w:rPr>
          <w:lang w:val="fr-FR"/>
        </w:rPr>
      </w:pPr>
      <w:r w:rsidRPr="00D479C1">
        <w:rPr>
          <w:lang w:val="fr-FR"/>
        </w:rPr>
        <w:t>Si un dispositif particulier n’est pas autorisé, il convient de l’indiquer clairement dans le texte du règlement. Les repères transparents, les indicateurs de niveau transparents et les indicateurs de niveau à colonne en verre ne sont pas autorisés au chapitre</w:t>
      </w:r>
      <w:r w:rsidR="00F53E4F">
        <w:rPr>
          <w:lang w:val="fr-FR"/>
        </w:rPr>
        <w:t> </w:t>
      </w:r>
      <w:r w:rsidRPr="00D479C1">
        <w:rPr>
          <w:lang w:val="fr-FR"/>
        </w:rPr>
        <w:t>6.8. Au chapitre</w:t>
      </w:r>
      <w:r w:rsidR="00F53E4F">
        <w:rPr>
          <w:lang w:val="fr-FR"/>
        </w:rPr>
        <w:t> </w:t>
      </w:r>
      <w:r w:rsidRPr="00D479C1">
        <w:rPr>
          <w:lang w:val="fr-FR"/>
        </w:rPr>
        <w:t xml:space="preserve">6.10, on apporte une modification là où il est dit que les repères transparents sont autorisés sous certaines conditions. Au 6.8.3.2.6, la phrase dans laquelle il est dit que </w:t>
      </w:r>
      <w:r w:rsidR="00F53E4F">
        <w:rPr>
          <w:lang w:val="fr-FR"/>
        </w:rPr>
        <w:t>« </w:t>
      </w:r>
      <w:r w:rsidRPr="00D479C1">
        <w:rPr>
          <w:lang w:val="fr-FR"/>
        </w:rPr>
        <w:t>les jauges ne doivent pas être en matériau transparent</w:t>
      </w:r>
      <w:r w:rsidR="00F53E4F">
        <w:rPr>
          <w:lang w:val="fr-FR"/>
        </w:rPr>
        <w:t> »</w:t>
      </w:r>
      <w:r w:rsidRPr="00D479C1">
        <w:rPr>
          <w:lang w:val="fr-FR"/>
        </w:rPr>
        <w:t xml:space="preserve"> a été biffée. Au chapitre</w:t>
      </w:r>
      <w:r w:rsidR="00F53E4F">
        <w:rPr>
          <w:lang w:val="fr-FR"/>
        </w:rPr>
        <w:t> </w:t>
      </w:r>
      <w:r w:rsidRPr="00D479C1">
        <w:rPr>
          <w:lang w:val="fr-FR"/>
        </w:rPr>
        <w:t>6.7, il est bien indiqué qu’il est interdit d’utiliser des indicateurs de niveau transparents (voir les 6.7.2.16.1 et 6.7.3.12.1)</w:t>
      </w:r>
      <w:r w:rsidR="00F53E4F">
        <w:rPr>
          <w:lang w:val="fr-FR"/>
        </w:rPr>
        <w:t>.</w:t>
      </w:r>
    </w:p>
    <w:p w:rsidR="00A2393E" w:rsidRPr="00D479C1" w:rsidRDefault="007D24DC" w:rsidP="002D0936">
      <w:pPr>
        <w:pStyle w:val="ParNoG"/>
        <w:rPr>
          <w:lang w:val="fr-FR"/>
        </w:rPr>
      </w:pPr>
      <w:r w:rsidRPr="00D479C1">
        <w:rPr>
          <w:lang w:val="fr-FR"/>
        </w:rPr>
        <w:t>La proposition</w:t>
      </w:r>
      <w:r w:rsidR="00F53E4F">
        <w:rPr>
          <w:lang w:val="fr-FR"/>
        </w:rPr>
        <w:t> </w:t>
      </w:r>
      <w:r w:rsidRPr="00D479C1">
        <w:rPr>
          <w:lang w:val="fr-FR"/>
        </w:rPr>
        <w:t>2 (par</w:t>
      </w:r>
      <w:r w:rsidR="00F53E4F">
        <w:rPr>
          <w:lang w:val="fr-FR"/>
        </w:rPr>
        <w:t>. </w:t>
      </w:r>
      <w:r w:rsidRPr="00D479C1">
        <w:rPr>
          <w:lang w:val="fr-FR"/>
        </w:rPr>
        <w:t>6.8.2.2.11) est formulée sur la base des paragraphes correspondants du chapitre</w:t>
      </w:r>
      <w:r w:rsidR="00F53E4F">
        <w:rPr>
          <w:lang w:val="fr-FR"/>
        </w:rPr>
        <w:t> </w:t>
      </w:r>
      <w:r w:rsidRPr="00D479C1">
        <w:rPr>
          <w:lang w:val="fr-FR"/>
        </w:rPr>
        <w:t>6.7 et permet ainsi d’aligner le chapitre</w:t>
      </w:r>
      <w:r w:rsidR="00F53E4F">
        <w:rPr>
          <w:lang w:val="fr-FR"/>
        </w:rPr>
        <w:t> </w:t>
      </w:r>
      <w:r w:rsidRPr="00D479C1">
        <w:rPr>
          <w:lang w:val="fr-FR"/>
        </w:rPr>
        <w:t>6.8 sur le chapitre</w:t>
      </w:r>
      <w:r w:rsidR="00F53E4F">
        <w:rPr>
          <w:lang w:val="fr-FR"/>
        </w:rPr>
        <w:t> </w:t>
      </w:r>
      <w:r w:rsidRPr="00D479C1">
        <w:rPr>
          <w:lang w:val="fr-FR"/>
        </w:rPr>
        <w:t xml:space="preserve">6.7. L’adoption de la nouvelle formulation donne lieu à l’introduction de deux amendements consécutifs. Le 6.8.3 modifiant ou complétant le 6.8.2 pour les gaz, il n’est pas nécessaire de répéter les dispositions dans le 6.8.3. Enfin, il convient d’adopter la même formulation au </w:t>
      </w:r>
      <w:r w:rsidR="00F53E4F">
        <w:rPr>
          <w:lang w:val="fr-FR"/>
        </w:rPr>
        <w:t>6.10.3.8 </w:t>
      </w:r>
      <w:r w:rsidRPr="00D479C1">
        <w:rPr>
          <w:lang w:val="fr-FR"/>
        </w:rPr>
        <w:t>f) afin d’éviter toute confusion.</w:t>
      </w:r>
    </w:p>
    <w:p w:rsidR="00A2393E" w:rsidRPr="00D479C1" w:rsidRDefault="007D24DC" w:rsidP="00F53E4F">
      <w:pPr>
        <w:pStyle w:val="H1G"/>
        <w:rPr>
          <w:lang w:val="fr-FR"/>
        </w:rPr>
      </w:pPr>
      <w:r w:rsidRPr="00D479C1">
        <w:rPr>
          <w:lang w:val="fr-FR"/>
        </w:rPr>
        <w:tab/>
      </w:r>
      <w:r w:rsidRPr="00D479C1">
        <w:rPr>
          <w:lang w:val="fr-FR"/>
        </w:rPr>
        <w:tab/>
        <w:t>Sujet 3</w:t>
      </w:r>
      <w:r>
        <w:rPr>
          <w:lang w:val="fr-FR"/>
        </w:rPr>
        <w:t> </w:t>
      </w:r>
      <w:r w:rsidRPr="00D479C1">
        <w:rPr>
          <w:lang w:val="fr-FR"/>
        </w:rPr>
        <w:t xml:space="preserve">: </w:t>
      </w:r>
      <w:r w:rsidR="00F53E4F">
        <w:rPr>
          <w:lang w:val="fr-FR"/>
        </w:rPr>
        <w:t>P</w:t>
      </w:r>
      <w:r w:rsidRPr="00D479C1">
        <w:rPr>
          <w:lang w:val="fr-FR"/>
        </w:rPr>
        <w:t>révention des infiltrations d’eau dans les soupapes de sécurité</w:t>
      </w:r>
    </w:p>
    <w:p w:rsidR="00A2393E" w:rsidRPr="00D479C1" w:rsidRDefault="007D24DC" w:rsidP="00F53E4F">
      <w:pPr>
        <w:pStyle w:val="H23G"/>
        <w:rPr>
          <w:lang w:val="fr-FR"/>
        </w:rPr>
      </w:pPr>
      <w:r w:rsidRPr="00D479C1">
        <w:rPr>
          <w:lang w:val="fr-FR"/>
        </w:rPr>
        <w:tab/>
      </w:r>
      <w:r w:rsidRPr="00D479C1">
        <w:rPr>
          <w:lang w:val="fr-FR"/>
        </w:rPr>
        <w:tab/>
        <w:t>Proposition 5</w:t>
      </w:r>
    </w:p>
    <w:p w:rsidR="00A2393E" w:rsidRPr="00D479C1" w:rsidRDefault="007D24DC" w:rsidP="00D479C1">
      <w:pPr>
        <w:pStyle w:val="SingleTxtG"/>
        <w:rPr>
          <w:lang w:val="fr-FR"/>
        </w:rPr>
      </w:pPr>
      <w:r w:rsidRPr="00D479C1">
        <w:rPr>
          <w:lang w:val="fr-FR"/>
        </w:rPr>
        <w:t xml:space="preserve">Ajouter le texte ci-après à la fin du 6.8.3.2.9 (le texte ajouté est en </w:t>
      </w:r>
      <w:r w:rsidRPr="00D479C1">
        <w:rPr>
          <w:i/>
          <w:lang w:val="fr-FR"/>
        </w:rPr>
        <w:t>italique</w:t>
      </w:r>
      <w:r w:rsidRPr="00D479C1">
        <w:rPr>
          <w:lang w:val="fr-FR"/>
        </w:rPr>
        <w:t>)</w:t>
      </w:r>
      <w:r w:rsidR="00F53E4F">
        <w:rPr>
          <w:lang w:val="fr-FR"/>
        </w:rPr>
        <w:t> </w:t>
      </w:r>
      <w:r w:rsidRPr="00D479C1">
        <w:rPr>
          <w:lang w:val="fr-FR"/>
        </w:rPr>
        <w:t>:</w:t>
      </w:r>
    </w:p>
    <w:p w:rsidR="00A2393E" w:rsidRPr="00D479C1" w:rsidRDefault="00F53E4F" w:rsidP="00D479C1">
      <w:pPr>
        <w:pStyle w:val="SingleTxtG"/>
        <w:rPr>
          <w:lang w:val="fr-FR"/>
        </w:rPr>
      </w:pPr>
      <w:r>
        <w:rPr>
          <w:lang w:val="fr-FR"/>
        </w:rPr>
        <w:t>« </w:t>
      </w:r>
      <w:r w:rsidR="007D24DC" w:rsidRPr="00D479C1">
        <w:rPr>
          <w:lang w:val="fr-FR"/>
        </w:rPr>
        <w:t>6.8.3.2.9</w:t>
      </w:r>
      <w:r w:rsidR="007D24DC" w:rsidRPr="00D479C1">
        <w:rPr>
          <w:lang w:val="fr-FR"/>
        </w:rPr>
        <w:tab/>
        <w:t>Les citernes destinées…</w:t>
      </w:r>
    </w:p>
    <w:p w:rsidR="00A2393E" w:rsidRPr="00D479C1" w:rsidRDefault="00F53E4F" w:rsidP="00D479C1">
      <w:pPr>
        <w:pStyle w:val="SingleTxtG"/>
        <w:rPr>
          <w:lang w:val="fr-FR"/>
        </w:rPr>
      </w:pPr>
      <w:r>
        <w:rPr>
          <w:lang w:val="fr-FR"/>
        </w:rPr>
        <w:tab/>
      </w:r>
      <w:r>
        <w:rPr>
          <w:lang w:val="fr-FR"/>
        </w:rPr>
        <w:tab/>
      </w:r>
      <w:r w:rsidR="007D24DC" w:rsidRPr="00D479C1">
        <w:rPr>
          <w:lang w:val="fr-FR"/>
        </w:rPr>
        <w:t>formule du 6.7.3.8.1.1.</w:t>
      </w:r>
    </w:p>
    <w:p w:rsidR="00A2393E" w:rsidRPr="00D479C1" w:rsidRDefault="00F53E4F" w:rsidP="00F53E4F">
      <w:pPr>
        <w:pStyle w:val="SingleTxtG"/>
        <w:ind w:left="2268" w:hanging="1134"/>
        <w:rPr>
          <w:i/>
          <w:lang w:val="fr-FR"/>
        </w:rPr>
      </w:pPr>
      <w:r>
        <w:rPr>
          <w:i/>
          <w:lang w:val="fr-FR"/>
        </w:rPr>
        <w:lastRenderedPageBreak/>
        <w:tab/>
      </w:r>
      <w:r>
        <w:rPr>
          <w:i/>
          <w:lang w:val="fr-FR"/>
        </w:rPr>
        <w:tab/>
      </w:r>
      <w:r w:rsidR="007D24DC" w:rsidRPr="00D479C1">
        <w:rPr>
          <w:i/>
          <w:lang w:val="fr-FR"/>
        </w:rPr>
        <w:t xml:space="preserve">Les soupapes de sécurité dans lesquelles peut s’accumuler, à la suite d’une pluie ou d’une projection, de l’eau faisant obstacle au fonctionnement correct [lorsque l’eau est gelée] doivent être munies d’un capuchon. Celui-ci ne doit pas accroître sensiblement la pression de vidange ni </w:t>
      </w:r>
      <w:r w:rsidR="00DD685A">
        <w:rPr>
          <w:i/>
          <w:lang w:val="fr-FR"/>
        </w:rPr>
        <w:t>réduire le flux de </w:t>
      </w:r>
      <w:r w:rsidR="007D24DC" w:rsidRPr="00D479C1">
        <w:rPr>
          <w:i/>
          <w:lang w:val="fr-FR"/>
        </w:rPr>
        <w:t>vidange.</w:t>
      </w:r>
      <w:r w:rsidRPr="00F53E4F">
        <w:rPr>
          <w:lang w:val="fr-FR"/>
        </w:rPr>
        <w:t> »</w:t>
      </w:r>
      <w:r w:rsidR="007D24DC" w:rsidRPr="00F53E4F">
        <w:rPr>
          <w:lang w:val="fr-FR"/>
        </w:rPr>
        <w:t>.</w:t>
      </w:r>
    </w:p>
    <w:p w:rsidR="00A2393E" w:rsidRPr="00D479C1" w:rsidRDefault="00677D5B" w:rsidP="00677D5B">
      <w:pPr>
        <w:pStyle w:val="H23G"/>
        <w:rPr>
          <w:i/>
          <w:lang w:val="fr-FR"/>
        </w:rPr>
      </w:pPr>
      <w:r>
        <w:rPr>
          <w:lang w:val="fr-FR"/>
        </w:rPr>
        <w:tab/>
      </w:r>
      <w:r>
        <w:rPr>
          <w:lang w:val="fr-FR"/>
        </w:rPr>
        <w:tab/>
        <w:t>Justification</w:t>
      </w:r>
    </w:p>
    <w:p w:rsidR="00CB492B" w:rsidRDefault="007D24DC" w:rsidP="00D479C1">
      <w:pPr>
        <w:pStyle w:val="SingleTxtG"/>
        <w:rPr>
          <w:lang w:val="fr-FR"/>
        </w:rPr>
      </w:pPr>
      <w:r w:rsidRPr="00D479C1">
        <w:rPr>
          <w:lang w:val="fr-FR"/>
        </w:rPr>
        <w:t xml:space="preserve">Certaines soupapes de sécurité sont conçues de telle manière que de l’eau peut s’accumuler dans l’ouverture de vidange. C’est le cas en particulier pour certains types de soupapes </w:t>
      </w:r>
      <w:r w:rsidRPr="00677D5B">
        <w:rPr>
          <w:spacing w:val="-1"/>
          <w:lang w:val="fr-FR"/>
        </w:rPr>
        <w:t xml:space="preserve">utilisés sur des citernes destinées au transport de gaz liquéfiés inflammables </w:t>
      </w:r>
      <w:r w:rsidR="00677D5B" w:rsidRPr="00677D5B">
        <w:rPr>
          <w:spacing w:val="-1"/>
          <w:lang w:val="fr-FR"/>
        </w:rPr>
        <w:t xml:space="preserve">tels que le </w:t>
      </w:r>
      <w:r w:rsidRPr="00677D5B">
        <w:rPr>
          <w:spacing w:val="-1"/>
          <w:lang w:val="fr-FR"/>
        </w:rPr>
        <w:t>GPL.</w:t>
      </w:r>
    </w:p>
    <w:p w:rsidR="002D0936" w:rsidRPr="002D0936" w:rsidRDefault="002D0936" w:rsidP="002D093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D0936" w:rsidRPr="002D0936" w:rsidSect="00290B1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13" w:rsidRDefault="00592B13" w:rsidP="00F95C08">
      <w:pPr>
        <w:spacing w:line="240" w:lineRule="auto"/>
      </w:pPr>
    </w:p>
  </w:endnote>
  <w:endnote w:type="continuationSeparator" w:id="0">
    <w:p w:rsidR="00592B13" w:rsidRPr="00AC3823" w:rsidRDefault="00592B13" w:rsidP="00AC3823">
      <w:pPr>
        <w:pStyle w:val="Footer"/>
      </w:pPr>
    </w:p>
  </w:endnote>
  <w:endnote w:type="continuationNotice" w:id="1">
    <w:p w:rsidR="00592B13" w:rsidRDefault="00592B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15" w:rsidRPr="00290B15" w:rsidRDefault="00290B15" w:rsidP="00290B15">
    <w:pPr>
      <w:pStyle w:val="Footer"/>
      <w:tabs>
        <w:tab w:val="right" w:pos="9638"/>
      </w:tabs>
    </w:pPr>
    <w:r w:rsidRPr="00290B15">
      <w:rPr>
        <w:b/>
        <w:sz w:val="18"/>
      </w:rPr>
      <w:fldChar w:fldCharType="begin"/>
    </w:r>
    <w:r w:rsidRPr="00290B15">
      <w:rPr>
        <w:b/>
        <w:sz w:val="18"/>
      </w:rPr>
      <w:instrText xml:space="preserve"> PAGE  \* MERGEFORMAT </w:instrText>
    </w:r>
    <w:r w:rsidRPr="00290B15">
      <w:rPr>
        <w:b/>
        <w:sz w:val="18"/>
      </w:rPr>
      <w:fldChar w:fldCharType="separate"/>
    </w:r>
    <w:r w:rsidR="00DB501D">
      <w:rPr>
        <w:b/>
        <w:noProof/>
        <w:sz w:val="18"/>
      </w:rPr>
      <w:t>2</w:t>
    </w:r>
    <w:r w:rsidRPr="00290B15">
      <w:rPr>
        <w:b/>
        <w:sz w:val="18"/>
      </w:rPr>
      <w:fldChar w:fldCharType="end"/>
    </w:r>
    <w:r>
      <w:rPr>
        <w:b/>
        <w:sz w:val="18"/>
      </w:rPr>
      <w:tab/>
    </w:r>
    <w:r>
      <w:t>GE.16-11088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15" w:rsidRPr="00290B15" w:rsidRDefault="00290B15" w:rsidP="00290B15">
    <w:pPr>
      <w:pStyle w:val="Footer"/>
      <w:tabs>
        <w:tab w:val="right" w:pos="9638"/>
      </w:tabs>
      <w:rPr>
        <w:b/>
        <w:sz w:val="18"/>
      </w:rPr>
    </w:pPr>
    <w:r>
      <w:t>GE.16-11088</w:t>
    </w:r>
    <w:r>
      <w:tab/>
    </w:r>
    <w:r w:rsidRPr="00290B15">
      <w:rPr>
        <w:b/>
        <w:sz w:val="18"/>
      </w:rPr>
      <w:fldChar w:fldCharType="begin"/>
    </w:r>
    <w:r w:rsidRPr="00290B15">
      <w:rPr>
        <w:b/>
        <w:sz w:val="18"/>
      </w:rPr>
      <w:instrText xml:space="preserve"> PAGE  \* MERGEFORMAT </w:instrText>
    </w:r>
    <w:r w:rsidRPr="00290B15">
      <w:rPr>
        <w:b/>
        <w:sz w:val="18"/>
      </w:rPr>
      <w:fldChar w:fldCharType="separate"/>
    </w:r>
    <w:r w:rsidR="00DB501D">
      <w:rPr>
        <w:b/>
        <w:noProof/>
        <w:sz w:val="18"/>
      </w:rPr>
      <w:t>3</w:t>
    </w:r>
    <w:r w:rsidRPr="00290B1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290B15" w:rsidRDefault="00290B15" w:rsidP="00290B15">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44834538" wp14:editId="7B03443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16-11088  (F)    190716    2</w:t>
    </w:r>
    <w:r w:rsidR="008E0079">
      <w:rPr>
        <w:sz w:val="20"/>
      </w:rPr>
      <w:t>7</w:t>
    </w:r>
    <w:r>
      <w:rPr>
        <w:sz w:val="20"/>
      </w:rPr>
      <w:t>0716</w:t>
    </w:r>
    <w:r>
      <w:rPr>
        <w:sz w:val="20"/>
      </w:rPr>
      <w:br/>
    </w:r>
    <w:r w:rsidRPr="00290B15">
      <w:rPr>
        <w:rFonts w:ascii="C39T30Lfz" w:hAnsi="C39T30Lfz"/>
        <w:sz w:val="56"/>
      </w:rPr>
      <w:t></w:t>
    </w:r>
    <w:r w:rsidRPr="00290B15">
      <w:rPr>
        <w:rFonts w:ascii="C39T30Lfz" w:hAnsi="C39T30Lfz"/>
        <w:sz w:val="56"/>
      </w:rPr>
      <w:t></w:t>
    </w:r>
    <w:r w:rsidRPr="00290B15">
      <w:rPr>
        <w:rFonts w:ascii="C39T30Lfz" w:hAnsi="C39T30Lfz"/>
        <w:sz w:val="56"/>
      </w:rPr>
      <w:t></w:t>
    </w:r>
    <w:r w:rsidRPr="00290B15">
      <w:rPr>
        <w:rFonts w:ascii="C39T30Lfz" w:hAnsi="C39T30Lfz"/>
        <w:sz w:val="56"/>
      </w:rPr>
      <w:t></w:t>
    </w:r>
    <w:r w:rsidRPr="00290B15">
      <w:rPr>
        <w:rFonts w:ascii="C39T30Lfz" w:hAnsi="C39T30Lfz"/>
        <w:sz w:val="56"/>
      </w:rPr>
      <w:t></w:t>
    </w:r>
    <w:r w:rsidRPr="00290B15">
      <w:rPr>
        <w:rFonts w:ascii="C39T30Lfz" w:hAnsi="C39T30Lfz"/>
        <w:sz w:val="56"/>
      </w:rPr>
      <w:t></w:t>
    </w:r>
    <w:r w:rsidRPr="00290B15">
      <w:rPr>
        <w:rFonts w:ascii="C39T30Lfz" w:hAnsi="C39T30Lfz"/>
        <w:sz w:val="56"/>
      </w:rPr>
      <w:t></w:t>
    </w:r>
    <w:r w:rsidRPr="00290B15">
      <w:rPr>
        <w:rFonts w:ascii="C39T30Lfz" w:hAnsi="C39T30Lfz"/>
        <w:sz w:val="56"/>
      </w:rPr>
      <w:t></w:t>
    </w:r>
    <w:r w:rsidRPr="00290B15">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6/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6/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13" w:rsidRPr="00AC3823" w:rsidRDefault="00592B13" w:rsidP="00AC3823">
      <w:pPr>
        <w:pStyle w:val="Footer"/>
        <w:tabs>
          <w:tab w:val="right" w:pos="2155"/>
        </w:tabs>
        <w:spacing w:after="80" w:line="240" w:lineRule="atLeast"/>
        <w:ind w:left="680"/>
        <w:rPr>
          <w:u w:val="single"/>
        </w:rPr>
      </w:pPr>
      <w:r>
        <w:rPr>
          <w:u w:val="single"/>
        </w:rPr>
        <w:tab/>
      </w:r>
    </w:p>
  </w:footnote>
  <w:footnote w:type="continuationSeparator" w:id="0">
    <w:p w:rsidR="00592B13" w:rsidRPr="00AC3823" w:rsidRDefault="00592B13" w:rsidP="00AC3823">
      <w:pPr>
        <w:pStyle w:val="Footer"/>
        <w:tabs>
          <w:tab w:val="right" w:pos="2155"/>
        </w:tabs>
        <w:spacing w:after="80" w:line="240" w:lineRule="atLeast"/>
        <w:ind w:left="680"/>
        <w:rPr>
          <w:u w:val="single"/>
        </w:rPr>
      </w:pPr>
      <w:r>
        <w:rPr>
          <w:u w:val="single"/>
        </w:rPr>
        <w:tab/>
      </w:r>
    </w:p>
  </w:footnote>
  <w:footnote w:type="continuationNotice" w:id="1">
    <w:p w:rsidR="00592B13" w:rsidRPr="00AC3823" w:rsidRDefault="00592B13">
      <w:pPr>
        <w:spacing w:line="240" w:lineRule="auto"/>
        <w:rPr>
          <w:sz w:val="2"/>
          <w:szCs w:val="2"/>
        </w:rPr>
      </w:pPr>
    </w:p>
  </w:footnote>
  <w:footnote w:id="2">
    <w:p w:rsidR="002B7C6E" w:rsidRDefault="002B7C6E">
      <w:pPr>
        <w:pStyle w:val="FootnoteText"/>
      </w:pPr>
      <w:r>
        <w:tab/>
      </w:r>
      <w:r>
        <w:rPr>
          <w:rStyle w:val="FootnoteReference"/>
        </w:rPr>
        <w:footnoteRef/>
      </w:r>
      <w:r>
        <w:tab/>
      </w:r>
      <w:r w:rsidR="007D24DC" w:rsidRPr="002B7C6E">
        <w:t>Conformément au programme de travail du Comité des transports intérieurs pour 2016-2017 (ECE/TRANS/2016/28/Add.1 (9.2)).</w:t>
      </w:r>
    </w:p>
  </w:footnote>
  <w:footnote w:id="3">
    <w:p w:rsidR="002B7C6E" w:rsidRDefault="002B7C6E" w:rsidP="002B7C6E">
      <w:pPr>
        <w:pStyle w:val="FootnoteText"/>
      </w:pPr>
      <w:r>
        <w:tab/>
      </w:r>
      <w:r>
        <w:rPr>
          <w:rStyle w:val="FootnoteReference"/>
        </w:rPr>
        <w:footnoteRef/>
      </w:r>
      <w:r>
        <w:tab/>
      </w:r>
      <w:r w:rsidR="007D24DC" w:rsidRPr="002B7C6E">
        <w:t>Distribuée par l’Organisation intergouvernementale pour les transports internationaux ferroviaires (OTIF) sous la cote OTIF/RID/RC/2016/26.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15" w:rsidRPr="00290B15" w:rsidRDefault="00290B15">
    <w:pPr>
      <w:pStyle w:val="Header"/>
    </w:pPr>
    <w:r>
      <w:t>ECE/TRANS/WP.15/AC.1/2016/26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15" w:rsidRPr="00290B15" w:rsidRDefault="00290B15" w:rsidP="00290B15">
    <w:pPr>
      <w:pStyle w:val="Header"/>
      <w:jc w:val="right"/>
    </w:pPr>
    <w:r>
      <w:t>ECE/TRANS/WP.15/AC.1/2016/26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13"/>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90B15"/>
    <w:rsid w:val="002B7C6E"/>
    <w:rsid w:val="002D0936"/>
    <w:rsid w:val="002D7C93"/>
    <w:rsid w:val="00305801"/>
    <w:rsid w:val="003916DE"/>
    <w:rsid w:val="00441C3B"/>
    <w:rsid w:val="00446FE5"/>
    <w:rsid w:val="00452396"/>
    <w:rsid w:val="004837D8"/>
    <w:rsid w:val="004A05C5"/>
    <w:rsid w:val="004E468C"/>
    <w:rsid w:val="005505B7"/>
    <w:rsid w:val="00573BE5"/>
    <w:rsid w:val="00586ED3"/>
    <w:rsid w:val="00592B13"/>
    <w:rsid w:val="00596AA9"/>
    <w:rsid w:val="00677D5B"/>
    <w:rsid w:val="0071601D"/>
    <w:rsid w:val="007A62E6"/>
    <w:rsid w:val="007D24DC"/>
    <w:rsid w:val="007F20FA"/>
    <w:rsid w:val="0080684C"/>
    <w:rsid w:val="00871C75"/>
    <w:rsid w:val="008776DC"/>
    <w:rsid w:val="008E0079"/>
    <w:rsid w:val="009705C8"/>
    <w:rsid w:val="009C1CF4"/>
    <w:rsid w:val="009E324E"/>
    <w:rsid w:val="009F6B74"/>
    <w:rsid w:val="00A30353"/>
    <w:rsid w:val="00AC3823"/>
    <w:rsid w:val="00AE323C"/>
    <w:rsid w:val="00AF0CB5"/>
    <w:rsid w:val="00B00181"/>
    <w:rsid w:val="00B00B0D"/>
    <w:rsid w:val="00B765F7"/>
    <w:rsid w:val="00BA0CA9"/>
    <w:rsid w:val="00C02897"/>
    <w:rsid w:val="00CB492B"/>
    <w:rsid w:val="00D3439C"/>
    <w:rsid w:val="00D479C1"/>
    <w:rsid w:val="00DB1831"/>
    <w:rsid w:val="00DB501D"/>
    <w:rsid w:val="00DD3BFD"/>
    <w:rsid w:val="00DD685A"/>
    <w:rsid w:val="00DF6678"/>
    <w:rsid w:val="00E85C74"/>
    <w:rsid w:val="00EA6547"/>
    <w:rsid w:val="00EF2E22"/>
    <w:rsid w:val="00F35BAF"/>
    <w:rsid w:val="00F35FD0"/>
    <w:rsid w:val="00F53E4F"/>
    <w:rsid w:val="00F660DF"/>
    <w:rsid w:val="00F94664"/>
    <w:rsid w:val="00F9573C"/>
    <w:rsid w:val="00F95C08"/>
    <w:rsid w:val="00FA676C"/>
    <w:rsid w:val="00FD025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B492B"/>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B492B"/>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6946-BEF9-48FC-92AC-E86B1152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5615</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ECE/TRANS/WP.15/AC.1/2016/26</vt:lpstr>
      <vt:lpstr>ECE/TRANS/WP.15/AC.1/2016/26</vt:lpstr>
    </vt:vector>
  </TitlesOfParts>
  <Company>DCM</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ECE/TRANS/WP.15/AC.1/2016/26</dc:title>
  <dc:subject>final</dc:subject>
  <dc:creator>Deschamps</dc:creator>
  <cp:lastModifiedBy>barrio-champeau</cp:lastModifiedBy>
  <cp:revision>2</cp:revision>
  <cp:lastPrinted>2014-05-14T10:59:00Z</cp:lastPrinted>
  <dcterms:created xsi:type="dcterms:W3CDTF">2016-07-27T09:00:00Z</dcterms:created>
  <dcterms:modified xsi:type="dcterms:W3CDTF">2016-07-27T09:00:00Z</dcterms:modified>
</cp:coreProperties>
</file>