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49E" w:rsidRPr="001F744F" w:rsidRDefault="009D249E" w:rsidP="009D249E">
      <w:pPr>
        <w:spacing w:line="240" w:lineRule="auto"/>
        <w:rPr>
          <w:sz w:val="2"/>
        </w:rPr>
        <w:sectPr w:rsidR="009D249E" w:rsidRPr="001F744F" w:rsidSect="009D249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r w:rsidRPr="001F744F">
        <w:rPr>
          <w:rStyle w:val="CommentReference"/>
        </w:rPr>
        <w:commentReference w:id="0"/>
      </w:r>
      <w:bookmarkStart w:id="1" w:name="_GoBack"/>
      <w:bookmarkEnd w:id="1"/>
    </w:p>
    <w:p w:rsidR="009D249E" w:rsidRPr="001F744F" w:rsidRDefault="009D249E" w:rsidP="009D249E">
      <w:pPr>
        <w:pStyle w:val="H1"/>
        <w:spacing w:before="120"/>
        <w:rPr>
          <w:sz w:val="28"/>
        </w:rPr>
      </w:pPr>
      <w:r w:rsidRPr="001F744F">
        <w:rPr>
          <w:sz w:val="28"/>
        </w:rPr>
        <w:lastRenderedPageBreak/>
        <w:t>Economic Commission for Europe</w:t>
      </w:r>
    </w:p>
    <w:p w:rsidR="009D249E" w:rsidRPr="001F744F" w:rsidRDefault="009D249E" w:rsidP="009D249E">
      <w:pPr>
        <w:pStyle w:val="H1"/>
        <w:spacing w:line="120" w:lineRule="exact"/>
        <w:rPr>
          <w:sz w:val="10"/>
        </w:rPr>
      </w:pPr>
    </w:p>
    <w:p w:rsidR="009D249E" w:rsidRPr="001F744F" w:rsidRDefault="009D249E" w:rsidP="009D249E">
      <w:pPr>
        <w:pStyle w:val="H1"/>
        <w:rPr>
          <w:b w:val="0"/>
          <w:sz w:val="28"/>
        </w:rPr>
      </w:pPr>
      <w:r w:rsidRPr="001F744F">
        <w:rPr>
          <w:b w:val="0"/>
          <w:sz w:val="28"/>
        </w:rPr>
        <w:t>Inland Transport Committee</w:t>
      </w:r>
    </w:p>
    <w:p w:rsidR="009D249E" w:rsidRPr="001F744F" w:rsidRDefault="009D249E" w:rsidP="009D249E">
      <w:pPr>
        <w:pStyle w:val="H1"/>
        <w:spacing w:line="120" w:lineRule="exact"/>
        <w:rPr>
          <w:b w:val="0"/>
          <w:sz w:val="10"/>
        </w:rPr>
      </w:pPr>
    </w:p>
    <w:p w:rsidR="009D249E" w:rsidRPr="001F744F" w:rsidRDefault="009D249E" w:rsidP="009D249E">
      <w:pPr>
        <w:pStyle w:val="H23"/>
        <w:rPr>
          <w:sz w:val="24"/>
        </w:rPr>
      </w:pPr>
      <w:r w:rsidRPr="001F744F">
        <w:rPr>
          <w:sz w:val="24"/>
        </w:rPr>
        <w:t xml:space="preserve">Working Party on the Transport of </w:t>
      </w:r>
      <w:r w:rsidR="004427F1" w:rsidRPr="004427F1">
        <w:rPr>
          <w:sz w:val="24"/>
        </w:rPr>
        <w:t>Dangerous Goods</w:t>
      </w:r>
    </w:p>
    <w:p w:rsidR="004427F1" w:rsidRPr="004427F1" w:rsidRDefault="004427F1" w:rsidP="004427F1">
      <w:pPr>
        <w:pStyle w:val="Title2"/>
        <w:spacing w:line="120" w:lineRule="exact"/>
        <w:rPr>
          <w:sz w:val="10"/>
        </w:rPr>
      </w:pPr>
    </w:p>
    <w:p w:rsidR="004427F1" w:rsidRDefault="004427F1" w:rsidP="004427F1">
      <w:pPr>
        <w:pStyle w:val="Type"/>
      </w:pPr>
      <w:r>
        <w:t>Joint Meeting of the RID Committee of Experts and the</w:t>
      </w:r>
    </w:p>
    <w:p w:rsidR="004427F1" w:rsidRDefault="004427F1" w:rsidP="004427F1">
      <w:pPr>
        <w:pStyle w:val="Type"/>
      </w:pPr>
      <w:r>
        <w:t>Working Party on the Transport of Dangerous Goods</w:t>
      </w:r>
    </w:p>
    <w:p w:rsidR="008D717F" w:rsidRPr="008D717F" w:rsidRDefault="008D717F" w:rsidP="008D717F">
      <w:pPr>
        <w:pStyle w:val="AgendaTitle"/>
        <w:spacing w:line="120" w:lineRule="exact"/>
        <w:rPr>
          <w:sz w:val="10"/>
        </w:rPr>
      </w:pPr>
    </w:p>
    <w:p w:rsidR="004427F1" w:rsidRDefault="004427F1" w:rsidP="008D717F">
      <w:pPr>
        <w:pStyle w:val="AgendaTitle"/>
      </w:pPr>
      <w:r>
        <w:t>Bern, 14</w:t>
      </w:r>
      <w:r w:rsidR="008D717F">
        <w:t>-</w:t>
      </w:r>
      <w:r>
        <w:t>18 March 2016</w:t>
      </w:r>
    </w:p>
    <w:p w:rsidR="004427F1" w:rsidRDefault="004427F1" w:rsidP="004427F1">
      <w:pPr>
        <w:pStyle w:val="AgendaTitle"/>
      </w:pPr>
      <w:r>
        <w:t>Item 5 (b) of the provisional agenda</w:t>
      </w:r>
    </w:p>
    <w:p w:rsidR="004427F1" w:rsidRDefault="004427F1" w:rsidP="004427F1">
      <w:pPr>
        <w:pStyle w:val="Session"/>
      </w:pPr>
      <w:r>
        <w:t>Proposals for amendments to RID/ADR/ADN:</w:t>
      </w:r>
    </w:p>
    <w:p w:rsidR="009D249E" w:rsidRDefault="004427F1" w:rsidP="004427F1">
      <w:pPr>
        <w:pStyle w:val="Session"/>
      </w:pPr>
      <w:r>
        <w:t>New proposals</w:t>
      </w:r>
    </w:p>
    <w:p w:rsidR="004427F1" w:rsidRPr="004427F1" w:rsidRDefault="004427F1" w:rsidP="004427F1">
      <w:pPr>
        <w:pStyle w:val="Session"/>
        <w:spacing w:line="120" w:lineRule="exact"/>
        <w:rPr>
          <w:sz w:val="10"/>
        </w:rPr>
      </w:pPr>
    </w:p>
    <w:p w:rsidR="004427F1" w:rsidRPr="004427F1" w:rsidRDefault="004427F1" w:rsidP="004427F1">
      <w:pPr>
        <w:pStyle w:val="Session"/>
        <w:spacing w:line="120" w:lineRule="exact"/>
        <w:rPr>
          <w:sz w:val="10"/>
        </w:rPr>
      </w:pPr>
    </w:p>
    <w:p w:rsidR="004427F1" w:rsidRDefault="004427F1" w:rsidP="00074E84">
      <w:pPr>
        <w:pStyle w:val="HCh"/>
        <w:ind w:left="1267" w:right="1260" w:hanging="1267"/>
      </w:pPr>
      <w:r>
        <w:tab/>
      </w:r>
      <w:r>
        <w:tab/>
      </w:r>
      <w:r w:rsidRPr="004427F1">
        <w:t>Orange-coloured plate marking required under 5.3.2 for the carriage of radioactive material</w:t>
      </w:r>
    </w:p>
    <w:p w:rsidR="00074E84" w:rsidRPr="00074E84" w:rsidRDefault="00074E84" w:rsidP="00074E84">
      <w:pPr>
        <w:spacing w:line="120" w:lineRule="exact"/>
        <w:rPr>
          <w:sz w:val="10"/>
        </w:rPr>
      </w:pPr>
    </w:p>
    <w:p w:rsidR="004427F1" w:rsidRPr="004427F1" w:rsidRDefault="004427F1" w:rsidP="004427F1">
      <w:pPr>
        <w:pStyle w:val="SingleTxt"/>
        <w:spacing w:after="0" w:line="120" w:lineRule="exact"/>
        <w:rPr>
          <w:sz w:val="10"/>
        </w:rPr>
      </w:pPr>
    </w:p>
    <w:p w:rsidR="004427F1" w:rsidRPr="00D16F66" w:rsidRDefault="00D16F66" w:rsidP="00074E84">
      <w:pPr>
        <w:pStyle w:val="HCh"/>
        <w:ind w:left="1267" w:right="1260" w:hanging="1267"/>
      </w:pPr>
      <w:r w:rsidRPr="00D16F66">
        <w:tab/>
      </w:r>
      <w:r w:rsidRPr="00D16F66">
        <w:tab/>
        <w:t>Transmitted by the Government of France</w:t>
      </w:r>
      <w:r w:rsidRPr="002F375F">
        <w:rPr>
          <w:rStyle w:val="FootnoteReference"/>
          <w:b w:val="0"/>
          <w:bCs/>
          <w:sz w:val="17"/>
          <w:szCs w:val="17"/>
        </w:rPr>
        <w:footnoteReference w:id="1"/>
      </w:r>
      <w:r w:rsidRPr="008001DC">
        <w:rPr>
          <w:rStyle w:val="FootnoteReference"/>
          <w:b w:val="0"/>
          <w:bCs/>
          <w:sz w:val="17"/>
          <w:szCs w:val="17"/>
          <w:vertAlign w:val="baseline"/>
        </w:rPr>
        <w:t>,</w:t>
      </w:r>
      <w:r w:rsidRPr="002F375F">
        <w:rPr>
          <w:rStyle w:val="FootnoteReference"/>
          <w:b w:val="0"/>
          <w:bCs/>
          <w:sz w:val="17"/>
          <w:szCs w:val="17"/>
        </w:rPr>
        <w:footnoteReference w:id="2"/>
      </w:r>
    </w:p>
    <w:p w:rsidR="00D16F66" w:rsidRPr="00D16F66" w:rsidRDefault="00D16F66" w:rsidP="00D16F66">
      <w:pPr>
        <w:pStyle w:val="SingleTxt"/>
        <w:spacing w:after="0" w:line="120" w:lineRule="exact"/>
        <w:rPr>
          <w:sz w:val="10"/>
        </w:rPr>
      </w:pPr>
    </w:p>
    <w:p w:rsidR="00D16F66" w:rsidRPr="004427F1" w:rsidRDefault="00D16F66" w:rsidP="004427F1">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4427F1" w:rsidTr="004427F1">
        <w:tc>
          <w:tcPr>
            <w:tcW w:w="10051" w:type="dxa"/>
            <w:tcBorders>
              <w:top w:val="single" w:sz="2" w:space="0" w:color="auto"/>
            </w:tcBorders>
            <w:shd w:val="clear" w:color="auto" w:fill="auto"/>
          </w:tcPr>
          <w:p w:rsidR="004427F1" w:rsidRPr="004427F1" w:rsidRDefault="004427F1" w:rsidP="004427F1">
            <w:pPr>
              <w:tabs>
                <w:tab w:val="left" w:pos="240"/>
              </w:tabs>
              <w:spacing w:before="240" w:after="120"/>
              <w:rPr>
                <w:i/>
                <w:sz w:val="24"/>
              </w:rPr>
            </w:pPr>
            <w:r>
              <w:rPr>
                <w:i/>
                <w:sz w:val="24"/>
              </w:rPr>
              <w:tab/>
              <w:t>Summary</w:t>
            </w:r>
          </w:p>
        </w:tc>
      </w:tr>
      <w:tr w:rsidR="004427F1" w:rsidTr="004427F1">
        <w:tc>
          <w:tcPr>
            <w:tcW w:w="10051" w:type="dxa"/>
            <w:shd w:val="clear" w:color="auto" w:fill="auto"/>
          </w:tcPr>
          <w:p w:rsidR="004427F1" w:rsidRPr="004427F1" w:rsidRDefault="004427F1" w:rsidP="004427F1">
            <w:pPr>
              <w:pStyle w:val="SingleTxtG"/>
              <w:spacing w:after="60" w:line="240" w:lineRule="exact"/>
              <w:ind w:left="2563" w:right="1138" w:hanging="2275"/>
            </w:pPr>
            <w:r w:rsidRPr="004427F1">
              <w:rPr>
                <w:b/>
                <w:bCs/>
              </w:rPr>
              <w:t>Executive</w:t>
            </w:r>
            <w:r w:rsidRPr="004427F1">
              <w:t xml:space="preserve"> </w:t>
            </w:r>
            <w:r w:rsidRPr="004427F1">
              <w:rPr>
                <w:b/>
                <w:szCs w:val="22"/>
              </w:rPr>
              <w:t>summary</w:t>
            </w:r>
            <w:r w:rsidRPr="004427F1">
              <w:t>:</w:t>
            </w:r>
            <w:r>
              <w:tab/>
            </w:r>
            <w:r w:rsidRPr="004427F1">
              <w:t>This proposal is intended to introduce into ADR, ADN and RID the requirement to mark the orange-coloured plates for all carriage of packaged radioactive material where the load corresponds to a single UN number (with no other dangerous goods), whether under exclusive use or not.</w:t>
            </w:r>
          </w:p>
        </w:tc>
      </w:tr>
      <w:tr w:rsidR="004427F1" w:rsidTr="004427F1">
        <w:tc>
          <w:tcPr>
            <w:tcW w:w="10051" w:type="dxa"/>
            <w:shd w:val="clear" w:color="auto" w:fill="auto"/>
          </w:tcPr>
          <w:p w:rsidR="004427F1" w:rsidRPr="004427F1" w:rsidRDefault="004427F1" w:rsidP="004427F1">
            <w:pPr>
              <w:pStyle w:val="SingleTxtG"/>
              <w:spacing w:after="60" w:line="240" w:lineRule="exact"/>
              <w:ind w:left="2563" w:right="1138" w:hanging="2275"/>
              <w:rPr>
                <w:b/>
                <w:bCs/>
              </w:rPr>
            </w:pPr>
            <w:r w:rsidRPr="004427F1">
              <w:rPr>
                <w:b/>
                <w:bCs/>
              </w:rPr>
              <w:t xml:space="preserve">Decision </w:t>
            </w:r>
            <w:r w:rsidRPr="004427F1">
              <w:rPr>
                <w:b/>
                <w:bCs/>
                <w:szCs w:val="22"/>
              </w:rPr>
              <w:t>to</w:t>
            </w:r>
            <w:r w:rsidRPr="004427F1">
              <w:rPr>
                <w:b/>
                <w:bCs/>
              </w:rPr>
              <w:t xml:space="preserve"> be taken</w:t>
            </w:r>
            <w:r w:rsidRPr="004427F1">
              <w:t>:</w:t>
            </w:r>
            <w:r>
              <w:rPr>
                <w:b/>
                <w:bCs/>
              </w:rPr>
              <w:tab/>
            </w:r>
            <w:r w:rsidRPr="004427F1">
              <w:t>Amendment to 5.3.2.1.4 and</w:t>
            </w:r>
            <w:r w:rsidR="000C7156">
              <w:t xml:space="preserve"> </w:t>
            </w:r>
            <w:r w:rsidRPr="004427F1">
              <w:t>5.3.2.2.1 of ADR and ADN, and 5.3.2.1.1 of RID.</w:t>
            </w:r>
          </w:p>
        </w:tc>
      </w:tr>
      <w:tr w:rsidR="004427F1" w:rsidTr="004427F1">
        <w:tc>
          <w:tcPr>
            <w:tcW w:w="10051" w:type="dxa"/>
            <w:tcBorders>
              <w:bottom w:val="single" w:sz="2" w:space="0" w:color="auto"/>
            </w:tcBorders>
            <w:shd w:val="clear" w:color="auto" w:fill="auto"/>
          </w:tcPr>
          <w:p w:rsidR="004427F1" w:rsidRPr="004427F1" w:rsidRDefault="004427F1" w:rsidP="004427F1">
            <w:pPr>
              <w:pStyle w:val="SingleTxt"/>
            </w:pPr>
          </w:p>
        </w:tc>
      </w:tr>
    </w:tbl>
    <w:p w:rsidR="00074E84" w:rsidRPr="00074E84" w:rsidRDefault="00074E84" w:rsidP="00074E84">
      <w:pPr>
        <w:pStyle w:val="HCh"/>
        <w:spacing w:line="120" w:lineRule="exact"/>
        <w:ind w:left="1267" w:right="1260" w:hanging="1267"/>
        <w:rPr>
          <w:sz w:val="10"/>
        </w:rPr>
      </w:pPr>
    </w:p>
    <w:p w:rsidR="00074E84" w:rsidRPr="00074E84" w:rsidRDefault="00074E84" w:rsidP="00074E84">
      <w:pPr>
        <w:pStyle w:val="HCh"/>
        <w:spacing w:line="120" w:lineRule="exact"/>
        <w:ind w:left="1267" w:right="1260" w:hanging="1267"/>
        <w:rPr>
          <w:sz w:val="10"/>
        </w:rPr>
      </w:pPr>
    </w:p>
    <w:p w:rsidR="00074E84" w:rsidRDefault="00074E84" w:rsidP="00074E84">
      <w:pPr>
        <w:pStyle w:val="HCh"/>
        <w:ind w:left="1267" w:right="1260" w:hanging="1267"/>
      </w:pPr>
      <w:r>
        <w:tab/>
      </w:r>
      <w:r>
        <w:tab/>
        <w:t>Introduction</w:t>
      </w:r>
    </w:p>
    <w:p w:rsidR="00074E84" w:rsidRPr="00074E84" w:rsidRDefault="00074E84" w:rsidP="00074E84">
      <w:pPr>
        <w:pStyle w:val="SingleTxt"/>
        <w:spacing w:after="0" w:line="120" w:lineRule="exact"/>
        <w:rPr>
          <w:sz w:val="10"/>
        </w:rPr>
      </w:pPr>
    </w:p>
    <w:p w:rsidR="00074E84" w:rsidRPr="00074E84" w:rsidRDefault="00074E84" w:rsidP="00074E84">
      <w:pPr>
        <w:pStyle w:val="SingleTxt"/>
        <w:spacing w:after="0" w:line="120" w:lineRule="exact"/>
        <w:rPr>
          <w:sz w:val="10"/>
        </w:rPr>
      </w:pPr>
    </w:p>
    <w:p w:rsidR="00074E84" w:rsidRDefault="00074E84" w:rsidP="00074E84">
      <w:pPr>
        <w:pStyle w:val="SingleTxt"/>
      </w:pPr>
      <w:r>
        <w:t>1.</w:t>
      </w:r>
      <w:r>
        <w:tab/>
        <w:t>In the event of an accident occurring during the carriage of radioactive material, the appropriate measures to be taken by the emergency services, whether in the form of safety areas, individual protection for those involved or extinguishers, depend greatly on the type of material being transported. It is therefore vital that the emergency services should have rapid access to detailed information on the load.</w:t>
      </w:r>
    </w:p>
    <w:p w:rsidR="00074E84" w:rsidRDefault="00074E84" w:rsidP="00074E84">
      <w:pPr>
        <w:pStyle w:val="SingleTxt"/>
      </w:pPr>
      <w:r>
        <w:t>2.</w:t>
      </w:r>
      <w:r>
        <w:tab/>
        <w:t>For instance, if an accident followed by a serious fire were to occur during the carriage of enriched uranium hexafluoride (UF</w:t>
      </w:r>
      <w:r w:rsidRPr="00490098">
        <w:rPr>
          <w:vertAlign w:val="subscript"/>
        </w:rPr>
        <w:t>6</w:t>
      </w:r>
      <w:r>
        <w:t xml:space="preserve">), it would be important that the radius </w:t>
      </w:r>
      <w:r>
        <w:lastRenderedPageBreak/>
        <w:t>of the exclusion zone set up by the emergency services be extended, appropriate protective gear and breathing devices be worn and water not be used to put out the fire if the packages were damaged, but, if the packages were not damaged, water should be used to achieve rapid cooling.</w:t>
      </w:r>
    </w:p>
    <w:p w:rsidR="00074E84" w:rsidRDefault="00074E84" w:rsidP="00074E84">
      <w:pPr>
        <w:pStyle w:val="SingleTxt"/>
      </w:pPr>
      <w:r>
        <w:t>3.</w:t>
      </w:r>
      <w:r>
        <w:tab/>
        <w:t>In such a situation, it would be very useful to have a UN number on the vehicle, particularly if the driver was not able to provide the emergency services with the relevant information or the transport document.</w:t>
      </w:r>
    </w:p>
    <w:p w:rsidR="00074E84" w:rsidRDefault="00074E84" w:rsidP="00074E84">
      <w:pPr>
        <w:pStyle w:val="SingleTxt"/>
      </w:pPr>
      <w:r>
        <w:t>4.</w:t>
      </w:r>
      <w:r>
        <w:tab/>
        <w:t>The orange-coloured plates required under 5.3.2 of ADR and ADN are either blank or marked with the hazard identification number and the appropriate UN number for the load. Under 5.3.2 of RID, the plates are systematically marked with the numbers, but do not have to be affixed on all wagons.</w:t>
      </w:r>
    </w:p>
    <w:p w:rsidR="00074E84" w:rsidRDefault="00074E84" w:rsidP="00074E84">
      <w:pPr>
        <w:pStyle w:val="SingleTxt"/>
      </w:pPr>
      <w:r>
        <w:t>5.</w:t>
      </w:r>
      <w:r>
        <w:tab/>
        <w:t>In 5.3.2.1.4, ADR and ADN provide that, for transport units and containers carrying packaged radioactive material with a single UN number under exclusive use and no other dangerous goods, the orange-coloured plates must bear the hazard identification number and the UN number.</w:t>
      </w:r>
    </w:p>
    <w:p w:rsidR="00074E84" w:rsidRDefault="00074E84" w:rsidP="00074E84">
      <w:pPr>
        <w:pStyle w:val="SingleTxt"/>
      </w:pPr>
      <w:r>
        <w:t>6.</w:t>
      </w:r>
      <w:r>
        <w:tab/>
        <w:t>Similarly, 5.3.2.1.1 of RID makes it obligatory to affix marked orange-coloured plates on the sides of wagons containing packaged radioactive material with a single UN number under exclusive use and no other dangerous goods.</w:t>
      </w:r>
    </w:p>
    <w:p w:rsidR="00074E84" w:rsidRDefault="00074E84" w:rsidP="00074E84">
      <w:pPr>
        <w:pStyle w:val="SingleTxt"/>
      </w:pPr>
      <w:r>
        <w:t>7.</w:t>
      </w:r>
      <w:r>
        <w:tab/>
        <w:t>Exclusive use applies only to the carriage of radioactive materials and is defined in 1.2.1 (a single consignor and all transport operations carried out in accordance with the directions of either the consignor or the consignee). In the 2015 editions of RID/ADR/ADN, that definition has been supplemented so that only carriage that is required to take place under exclusive use can be declared as exclusive use. This development considerably reduces the number of transport operations carried out under exclusive use and changes the situation in terms of marking, as it had been possible to send a consignment under exclusive use in order to improve the marking.</w:t>
      </w:r>
    </w:p>
    <w:p w:rsidR="00074E84" w:rsidRDefault="00074E84" w:rsidP="00074E84">
      <w:pPr>
        <w:pStyle w:val="SingleTxt"/>
      </w:pPr>
      <w:r>
        <w:t>8.</w:t>
      </w:r>
      <w:r>
        <w:tab/>
        <w:t>In the example given above (para. 2), there is no reason why carriage must take place under exclusive use. The orange-coloured plates would therefore be left blank. Consequently, if the packages containing UF</w:t>
      </w:r>
      <w:r w:rsidRPr="00490098">
        <w:rPr>
          <w:vertAlign w:val="subscript"/>
        </w:rPr>
        <w:t>6</w:t>
      </w:r>
      <w:r>
        <w:t xml:space="preserve"> were hidden under a sheet (which is what happens in practice) and if the transport document was not available, the emergency services would not have any information about the content of the packages and could not take appropriate measures to cope with the significant radiological and chemical hazards presented by UF</w:t>
      </w:r>
      <w:r w:rsidRPr="00490098">
        <w:rPr>
          <w:vertAlign w:val="subscript"/>
        </w:rPr>
        <w:t>6</w:t>
      </w:r>
      <w:r>
        <w:t>.</w:t>
      </w:r>
    </w:p>
    <w:p w:rsidR="00074E84" w:rsidRDefault="00074E84" w:rsidP="00074E84">
      <w:pPr>
        <w:pStyle w:val="SingleTxt"/>
      </w:pPr>
      <w:r>
        <w:t>9.</w:t>
      </w:r>
      <w:r>
        <w:tab/>
        <w:t>To facilitate the work of the emergency services in the case of an accident, we think a requirement should be introduced into RID/ADR/ADN that the orange-coloured plates be marked for all carriage of packaged radioactive material where the load corresponds to a single UN number (with no other dangerous goods), whether under exclusive use or not.</w:t>
      </w:r>
    </w:p>
    <w:p w:rsidR="00074E84" w:rsidRDefault="00074E84" w:rsidP="00074E84">
      <w:pPr>
        <w:pStyle w:val="SingleTxt"/>
      </w:pPr>
      <w:r>
        <w:t>10.</w:t>
      </w:r>
      <w:r>
        <w:tab/>
        <w:t xml:space="preserve">However, where packages with different UN numbers are loaded on the same </w:t>
      </w:r>
      <w:r w:rsidRPr="00B720A6">
        <w:t>conveyance</w:t>
      </w:r>
      <w:r>
        <w:t>, the carrier may have to change the orange-coloured plate several times during carriage. To avoid that situation, our proposal specifies that the orange-coloured plates have to be marked only if the transport unit or container contains packages that correspond to only one UN number throughout carriage.</w:t>
      </w:r>
    </w:p>
    <w:p w:rsidR="00074E84" w:rsidRDefault="00074E84" w:rsidP="00074E84">
      <w:pPr>
        <w:pStyle w:val="SingleTxt"/>
      </w:pPr>
      <w:r>
        <w:t>11.</w:t>
      </w:r>
      <w:r>
        <w:tab/>
        <w:t>Furthermore, the proposal does not contradict paragraph 572 of the IAEA Regulations for the Safe Transport of Radioactive Material (SSR-6).</w:t>
      </w:r>
    </w:p>
    <w:p w:rsidR="0041759E" w:rsidRPr="0041759E" w:rsidRDefault="0041759E" w:rsidP="0041759E">
      <w:pPr>
        <w:pStyle w:val="HCh"/>
        <w:spacing w:line="120" w:lineRule="exact"/>
        <w:ind w:left="1267" w:right="1260" w:hanging="1267"/>
        <w:rPr>
          <w:sz w:val="10"/>
        </w:rPr>
      </w:pPr>
    </w:p>
    <w:p w:rsidR="0041759E" w:rsidRPr="0041759E" w:rsidRDefault="0041759E" w:rsidP="0041759E">
      <w:pPr>
        <w:pStyle w:val="HCh"/>
        <w:spacing w:line="120" w:lineRule="exact"/>
        <w:ind w:left="1267" w:right="1260" w:hanging="1267"/>
        <w:rPr>
          <w:sz w:val="10"/>
        </w:rPr>
      </w:pPr>
    </w:p>
    <w:p w:rsidR="00074E84" w:rsidRDefault="00074E84" w:rsidP="00074E84">
      <w:pPr>
        <w:pStyle w:val="HCh"/>
        <w:ind w:left="1267" w:right="1260" w:hanging="1267"/>
      </w:pPr>
      <w:r>
        <w:tab/>
      </w:r>
      <w:r>
        <w:tab/>
        <w:t>Proposal</w:t>
      </w:r>
    </w:p>
    <w:p w:rsidR="00074E84" w:rsidRPr="0041759E" w:rsidRDefault="00074E84" w:rsidP="0041759E">
      <w:pPr>
        <w:pStyle w:val="SingleTxt"/>
        <w:spacing w:after="0" w:line="120" w:lineRule="exact"/>
        <w:rPr>
          <w:sz w:val="10"/>
        </w:rPr>
      </w:pPr>
    </w:p>
    <w:p w:rsidR="0041759E" w:rsidRPr="0041759E" w:rsidRDefault="0041759E" w:rsidP="0041759E">
      <w:pPr>
        <w:pStyle w:val="SingleTxt"/>
        <w:spacing w:after="0" w:line="120" w:lineRule="exact"/>
        <w:rPr>
          <w:sz w:val="10"/>
        </w:rPr>
      </w:pPr>
    </w:p>
    <w:p w:rsidR="00074E84" w:rsidRPr="0079116B" w:rsidRDefault="00074E84" w:rsidP="00074E84">
      <w:pPr>
        <w:pStyle w:val="SingleTxt"/>
      </w:pPr>
      <w:r w:rsidRPr="0079116B">
        <w:t>In 5.3.2.1.4 of ADR and ADN, replace the words:</w:t>
      </w:r>
    </w:p>
    <w:p w:rsidR="00074E84" w:rsidRPr="0079116B" w:rsidRDefault="0041759E" w:rsidP="00074E84">
      <w:pPr>
        <w:pStyle w:val="SingleTxt"/>
      </w:pPr>
      <w:r>
        <w:lastRenderedPageBreak/>
        <w:t>“</w:t>
      </w:r>
      <w:proofErr w:type="gramStart"/>
      <w:r w:rsidR="00074E84" w:rsidRPr="0079116B">
        <w:t>required</w:t>
      </w:r>
      <w:proofErr w:type="gramEnd"/>
      <w:r w:rsidR="00074E84" w:rsidRPr="0079116B">
        <w:t xml:space="preserve"> to be carried under exclusive use and no other dangerous goods</w:t>
      </w:r>
      <w:r>
        <w:t>”</w:t>
      </w:r>
    </w:p>
    <w:p w:rsidR="00074E84" w:rsidRPr="0079116B" w:rsidRDefault="00074E84" w:rsidP="00074E84">
      <w:pPr>
        <w:pStyle w:val="SingleTxt"/>
      </w:pPr>
      <w:proofErr w:type="gramStart"/>
      <w:r w:rsidRPr="0079116B">
        <w:t>by</w:t>
      </w:r>
      <w:proofErr w:type="gramEnd"/>
      <w:r w:rsidRPr="0079116B">
        <w:t xml:space="preserve"> the words:</w:t>
      </w:r>
    </w:p>
    <w:p w:rsidR="00074E84" w:rsidRPr="0079116B" w:rsidRDefault="0041759E" w:rsidP="00074E84">
      <w:pPr>
        <w:pStyle w:val="SingleTxt"/>
      </w:pPr>
      <w:r>
        <w:t>“</w:t>
      </w:r>
      <w:proofErr w:type="gramStart"/>
      <w:r w:rsidR="00074E84" w:rsidRPr="0079116B">
        <w:t>where</w:t>
      </w:r>
      <w:proofErr w:type="gramEnd"/>
      <w:r w:rsidR="00074E84" w:rsidRPr="0079116B">
        <w:t xml:space="preserve"> the transport unit or container does not at any time during carriage contain radioactive material with a different UN number or another </w:t>
      </w:r>
      <w:r w:rsidR="00074E84">
        <w:t>hazardous substance</w:t>
      </w:r>
      <w:r w:rsidR="00074E84" w:rsidRPr="0079116B">
        <w:t>,</w:t>
      </w:r>
      <w:r>
        <w:t>”</w:t>
      </w:r>
      <w:r w:rsidR="00074E84" w:rsidRPr="0079116B">
        <w:t xml:space="preserve"> and delete the words </w:t>
      </w:r>
      <w:r>
        <w:t>“</w:t>
      </w:r>
      <w:r w:rsidR="00074E84" w:rsidRPr="0079116B">
        <w:t>required to be carried under exclusive use</w:t>
      </w:r>
      <w:r>
        <w:t>”</w:t>
      </w:r>
      <w:r w:rsidR="00074E84" w:rsidRPr="0079116B">
        <w:t>.</w:t>
      </w:r>
    </w:p>
    <w:p w:rsidR="00074E84" w:rsidRPr="0079116B" w:rsidRDefault="00074E84" w:rsidP="00074E84">
      <w:pPr>
        <w:pStyle w:val="SingleTxt"/>
      </w:pPr>
      <w:r w:rsidRPr="0079116B">
        <w:t>In the third paragraph of 5.3.2.2.1, delete the words:</w:t>
      </w:r>
    </w:p>
    <w:p w:rsidR="00074E84" w:rsidRPr="0079116B" w:rsidRDefault="0041759E" w:rsidP="00074E84">
      <w:pPr>
        <w:pStyle w:val="SingleTxt"/>
      </w:pPr>
      <w:r>
        <w:t>“</w:t>
      </w:r>
      <w:proofErr w:type="gramStart"/>
      <w:r w:rsidR="00074E84" w:rsidRPr="0079116B">
        <w:t>carried</w:t>
      </w:r>
      <w:proofErr w:type="gramEnd"/>
      <w:r w:rsidR="00074E84" w:rsidRPr="0079116B">
        <w:t xml:space="preserve"> under exclusive use</w:t>
      </w:r>
      <w:r>
        <w:t>”</w:t>
      </w:r>
      <w:r w:rsidR="00074E84" w:rsidRPr="0079116B">
        <w:t>.</w:t>
      </w:r>
    </w:p>
    <w:p w:rsidR="00074E84" w:rsidRPr="0079116B" w:rsidRDefault="00074E84" w:rsidP="00074E84">
      <w:pPr>
        <w:pStyle w:val="SingleTxt"/>
      </w:pPr>
      <w:r w:rsidRPr="0079116B">
        <w:t>In 5.3.2.1.1 of RID, replace the words:</w:t>
      </w:r>
    </w:p>
    <w:p w:rsidR="00074E84" w:rsidRPr="0079116B" w:rsidRDefault="0041759E" w:rsidP="005C4684">
      <w:pPr>
        <w:pStyle w:val="SingleTxt"/>
      </w:pPr>
      <w:r>
        <w:t>“</w:t>
      </w:r>
      <w:proofErr w:type="gramStart"/>
      <w:r w:rsidR="00074E84" w:rsidRPr="0079116B">
        <w:t>under</w:t>
      </w:r>
      <w:proofErr w:type="gramEnd"/>
      <w:r w:rsidR="00074E84" w:rsidRPr="0079116B">
        <w:t xml:space="preserve"> exclusive use and no other dangerous goods</w:t>
      </w:r>
      <w:r w:rsidR="005C4684">
        <w:t>”</w:t>
      </w:r>
    </w:p>
    <w:p w:rsidR="00074E84" w:rsidRPr="0079116B" w:rsidRDefault="00074E84" w:rsidP="00074E84">
      <w:pPr>
        <w:pStyle w:val="SingleTxt"/>
      </w:pPr>
      <w:proofErr w:type="gramStart"/>
      <w:r w:rsidRPr="0079116B">
        <w:t>by</w:t>
      </w:r>
      <w:proofErr w:type="gramEnd"/>
      <w:r w:rsidRPr="0079116B">
        <w:t xml:space="preserve">: </w:t>
      </w:r>
    </w:p>
    <w:p w:rsidR="00074E84" w:rsidRDefault="0041759E" w:rsidP="00074E84">
      <w:pPr>
        <w:pStyle w:val="SingleTxt"/>
      </w:pPr>
      <w:r>
        <w:t>“</w:t>
      </w:r>
      <w:proofErr w:type="gramStart"/>
      <w:r w:rsidR="00074E84" w:rsidRPr="0079116B">
        <w:t>where</w:t>
      </w:r>
      <w:proofErr w:type="gramEnd"/>
      <w:r w:rsidR="00074E84" w:rsidRPr="0079116B">
        <w:t xml:space="preserve"> the wagon or container does not at any time during carriage contain radioactive material with a different UN number or another </w:t>
      </w:r>
      <w:r w:rsidR="00074E84">
        <w:t>hazardous substance</w:t>
      </w:r>
      <w:r>
        <w:t>”</w:t>
      </w:r>
      <w:r w:rsidR="00074E84" w:rsidRPr="0079116B">
        <w:t>.</w:t>
      </w:r>
    </w:p>
    <w:p w:rsidR="00074E84" w:rsidRPr="00074E84" w:rsidRDefault="00074E84" w:rsidP="00074E84">
      <w:pPr>
        <w:pStyle w:val="HCh"/>
        <w:spacing w:line="120" w:lineRule="exact"/>
        <w:ind w:left="1267" w:right="1260" w:hanging="1267"/>
        <w:rPr>
          <w:sz w:val="10"/>
        </w:rPr>
      </w:pPr>
    </w:p>
    <w:p w:rsidR="00074E84" w:rsidRPr="00074E84" w:rsidRDefault="00074E84" w:rsidP="00074E84">
      <w:pPr>
        <w:pStyle w:val="HCh"/>
        <w:spacing w:line="120" w:lineRule="exact"/>
        <w:ind w:left="1267" w:right="1260" w:hanging="1267"/>
        <w:rPr>
          <w:sz w:val="10"/>
        </w:rPr>
      </w:pPr>
    </w:p>
    <w:p w:rsidR="00074E84" w:rsidRDefault="00074E84" w:rsidP="00074E84">
      <w:pPr>
        <w:pStyle w:val="HCh"/>
        <w:ind w:left="1267" w:right="1260" w:hanging="1267"/>
      </w:pPr>
      <w:r>
        <w:tab/>
      </w:r>
      <w:r>
        <w:tab/>
        <w:t>Justification</w:t>
      </w:r>
    </w:p>
    <w:p w:rsidR="00074E84" w:rsidRPr="00074E84" w:rsidRDefault="00074E84" w:rsidP="00074E84">
      <w:pPr>
        <w:pStyle w:val="SingleTxt"/>
        <w:spacing w:after="0" w:line="120" w:lineRule="exact"/>
        <w:rPr>
          <w:sz w:val="10"/>
        </w:rPr>
      </w:pPr>
    </w:p>
    <w:p w:rsidR="00074E84" w:rsidRPr="00074E84" w:rsidRDefault="00074E84" w:rsidP="00074E84">
      <w:pPr>
        <w:pStyle w:val="SingleTxt"/>
        <w:spacing w:after="0" w:line="120" w:lineRule="exact"/>
        <w:rPr>
          <w:sz w:val="10"/>
        </w:rPr>
      </w:pPr>
    </w:p>
    <w:tbl>
      <w:tblPr>
        <w:tblW w:w="0" w:type="auto"/>
        <w:tblLayout w:type="fixed"/>
        <w:tblLook w:val="04A0" w:firstRow="1" w:lastRow="0" w:firstColumn="1" w:lastColumn="0" w:noHBand="0" w:noVBand="1"/>
      </w:tblPr>
      <w:tblGrid>
        <w:gridCol w:w="3631"/>
        <w:gridCol w:w="5207"/>
      </w:tblGrid>
      <w:tr w:rsidR="00074E84" w:rsidRPr="00074E84" w:rsidTr="00074E84">
        <w:trPr>
          <w:trHeight w:hRule="exact" w:val="115"/>
          <w:tblHeader/>
        </w:trPr>
        <w:tc>
          <w:tcPr>
            <w:tcW w:w="3631" w:type="dxa"/>
            <w:shd w:val="clear" w:color="auto" w:fill="auto"/>
            <w:vAlign w:val="bottom"/>
          </w:tcPr>
          <w:p w:rsidR="00074E84" w:rsidRPr="00074E84" w:rsidRDefault="00074E84" w:rsidP="00074E84">
            <w:pPr>
              <w:pStyle w:val="SingleTxt"/>
              <w:spacing w:before="40"/>
              <w:ind w:right="40"/>
            </w:pPr>
          </w:p>
        </w:tc>
        <w:tc>
          <w:tcPr>
            <w:tcW w:w="5207" w:type="dxa"/>
            <w:shd w:val="clear" w:color="auto" w:fill="auto"/>
            <w:vAlign w:val="bottom"/>
          </w:tcPr>
          <w:p w:rsidR="00074E84" w:rsidRPr="00074E84" w:rsidRDefault="00074E84" w:rsidP="00074E84">
            <w:pPr>
              <w:pStyle w:val="SingleTxt"/>
              <w:spacing w:before="40"/>
              <w:ind w:left="144" w:right="40"/>
              <w:jc w:val="left"/>
            </w:pPr>
          </w:p>
        </w:tc>
      </w:tr>
      <w:tr w:rsidR="00074E84" w:rsidRPr="00074E84" w:rsidTr="00074E84">
        <w:tc>
          <w:tcPr>
            <w:tcW w:w="3631" w:type="dxa"/>
            <w:shd w:val="clear" w:color="auto" w:fill="auto"/>
            <w:hideMark/>
          </w:tcPr>
          <w:p w:rsidR="00074E84" w:rsidRPr="00074E84" w:rsidRDefault="00074E84" w:rsidP="00074E84">
            <w:pPr>
              <w:pStyle w:val="SingleTxt"/>
              <w:tabs>
                <w:tab w:val="left" w:pos="288"/>
                <w:tab w:val="left" w:pos="576"/>
                <w:tab w:val="left" w:pos="864"/>
                <w:tab w:val="left" w:pos="1152"/>
              </w:tabs>
              <w:spacing w:before="40"/>
              <w:ind w:right="40"/>
              <w:rPr>
                <w:lang w:val="fr-CH"/>
              </w:rPr>
            </w:pPr>
            <w:r w:rsidRPr="00074E84">
              <w:t>Safety:</w:t>
            </w:r>
          </w:p>
        </w:tc>
        <w:tc>
          <w:tcPr>
            <w:tcW w:w="5207" w:type="dxa"/>
            <w:shd w:val="clear" w:color="auto" w:fill="auto"/>
          </w:tcPr>
          <w:p w:rsidR="00074E84" w:rsidRPr="00074E84" w:rsidRDefault="00074E84" w:rsidP="00E35DE0">
            <w:pPr>
              <w:pStyle w:val="SingleTxt"/>
              <w:tabs>
                <w:tab w:val="left" w:pos="288"/>
                <w:tab w:val="left" w:pos="576"/>
                <w:tab w:val="left" w:pos="864"/>
                <w:tab w:val="left" w:pos="1152"/>
              </w:tabs>
              <w:spacing w:before="40"/>
              <w:ind w:left="144" w:right="40"/>
            </w:pPr>
            <w:r w:rsidRPr="00074E84">
              <w:t>The proposed amendment is intended to improve the safety of the carriage of radioactive material by allowing the emergency services to take more appropriate measures in the case of an accident.</w:t>
            </w:r>
          </w:p>
        </w:tc>
      </w:tr>
      <w:tr w:rsidR="00074E84" w:rsidRPr="00074E84" w:rsidTr="00074E84">
        <w:tc>
          <w:tcPr>
            <w:tcW w:w="3631" w:type="dxa"/>
            <w:shd w:val="clear" w:color="auto" w:fill="auto"/>
            <w:hideMark/>
          </w:tcPr>
          <w:p w:rsidR="00074E84" w:rsidRPr="00074E84" w:rsidRDefault="00074E84" w:rsidP="00074E84">
            <w:pPr>
              <w:pStyle w:val="SingleTxt"/>
              <w:tabs>
                <w:tab w:val="left" w:pos="288"/>
                <w:tab w:val="left" w:pos="576"/>
                <w:tab w:val="left" w:pos="864"/>
                <w:tab w:val="left" w:pos="1152"/>
              </w:tabs>
              <w:spacing w:before="40"/>
              <w:ind w:right="40"/>
              <w:rPr>
                <w:lang w:val="fr-CH"/>
              </w:rPr>
            </w:pPr>
            <w:r w:rsidRPr="00074E84">
              <w:t>Feasibility:</w:t>
            </w:r>
          </w:p>
        </w:tc>
        <w:tc>
          <w:tcPr>
            <w:tcW w:w="5207" w:type="dxa"/>
            <w:shd w:val="clear" w:color="auto" w:fill="auto"/>
          </w:tcPr>
          <w:p w:rsidR="00074E84" w:rsidRPr="00074E84" w:rsidRDefault="00074E84" w:rsidP="00E35DE0">
            <w:pPr>
              <w:pStyle w:val="SingleTxt"/>
              <w:tabs>
                <w:tab w:val="left" w:pos="288"/>
                <w:tab w:val="left" w:pos="576"/>
                <w:tab w:val="left" w:pos="864"/>
                <w:tab w:val="left" w:pos="1152"/>
              </w:tabs>
              <w:spacing w:before="40"/>
              <w:ind w:left="144" w:right="40"/>
            </w:pPr>
            <w:r w:rsidRPr="00074E84">
              <w:t>All carriers of radioactive material are concerned by the proposed amendment. However, the cost to carriers will be limited. The proposal may require them to purchase a set of orange-coloured plates.</w:t>
            </w:r>
          </w:p>
        </w:tc>
      </w:tr>
      <w:tr w:rsidR="00074E84" w:rsidRPr="00074E84" w:rsidTr="00074E84">
        <w:tc>
          <w:tcPr>
            <w:tcW w:w="3631" w:type="dxa"/>
            <w:shd w:val="clear" w:color="auto" w:fill="auto"/>
            <w:hideMark/>
          </w:tcPr>
          <w:p w:rsidR="00074E84" w:rsidRPr="00074E84" w:rsidRDefault="00074E84" w:rsidP="00074E84">
            <w:pPr>
              <w:pStyle w:val="SingleTxt"/>
              <w:tabs>
                <w:tab w:val="left" w:pos="288"/>
                <w:tab w:val="left" w:pos="576"/>
                <w:tab w:val="left" w:pos="864"/>
                <w:tab w:val="left" w:pos="1152"/>
              </w:tabs>
              <w:spacing w:before="40"/>
              <w:ind w:right="40"/>
              <w:rPr>
                <w:lang w:val="fr-CH"/>
              </w:rPr>
            </w:pPr>
            <w:r w:rsidRPr="00074E84">
              <w:rPr>
                <w:szCs w:val="24"/>
              </w:rPr>
              <w:t>Enforceability</w:t>
            </w:r>
            <w:r w:rsidRPr="00074E84">
              <w:t>:</w:t>
            </w:r>
          </w:p>
        </w:tc>
        <w:tc>
          <w:tcPr>
            <w:tcW w:w="5207" w:type="dxa"/>
            <w:shd w:val="clear" w:color="auto" w:fill="auto"/>
            <w:hideMark/>
          </w:tcPr>
          <w:p w:rsidR="00074E84" w:rsidRPr="00074E84" w:rsidRDefault="00074E84" w:rsidP="00E35DE0">
            <w:pPr>
              <w:pStyle w:val="SingleTxt"/>
              <w:tabs>
                <w:tab w:val="left" w:pos="288"/>
                <w:tab w:val="left" w:pos="576"/>
                <w:tab w:val="left" w:pos="864"/>
                <w:tab w:val="left" w:pos="1152"/>
              </w:tabs>
              <w:spacing w:before="40"/>
              <w:ind w:left="144" w:right="40"/>
            </w:pPr>
            <w:r w:rsidRPr="00074E84">
              <w:t>The application of the amendment could be monitored through inspections of conveyances carrying radioactive material.</w:t>
            </w:r>
          </w:p>
        </w:tc>
      </w:tr>
    </w:tbl>
    <w:p w:rsidR="00074E84" w:rsidRPr="00074E84" w:rsidRDefault="00074E84" w:rsidP="00074E84">
      <w:pPr>
        <w:pStyle w:val="SingleTxt"/>
        <w:spacing w:after="0" w:line="120" w:lineRule="exact"/>
        <w:rPr>
          <w:sz w:val="10"/>
        </w:rPr>
      </w:pPr>
    </w:p>
    <w:p w:rsidR="00074E84" w:rsidRPr="00074E84" w:rsidRDefault="00074E84" w:rsidP="00074E84">
      <w:pPr>
        <w:pStyle w:val="SingleTxt"/>
        <w:spacing w:after="0" w:line="120" w:lineRule="exact"/>
        <w:rPr>
          <w:sz w:val="10"/>
        </w:rPr>
      </w:pPr>
    </w:p>
    <w:p w:rsidR="00074E84" w:rsidRDefault="00074E84" w:rsidP="00074E84">
      <w:pPr>
        <w:pStyle w:val="HCh"/>
        <w:ind w:left="1267" w:right="1260" w:hanging="1267"/>
      </w:pPr>
      <w:r>
        <w:tab/>
      </w:r>
      <w:r>
        <w:tab/>
        <w:t xml:space="preserve">Text with amendments highlighted </w:t>
      </w:r>
    </w:p>
    <w:p w:rsidR="00074E84" w:rsidRPr="00074E84" w:rsidRDefault="00074E84" w:rsidP="00074E84">
      <w:pPr>
        <w:pStyle w:val="SingleTxt"/>
        <w:spacing w:after="0" w:line="120" w:lineRule="exact"/>
        <w:rPr>
          <w:b/>
          <w:sz w:val="10"/>
        </w:rPr>
      </w:pPr>
    </w:p>
    <w:p w:rsidR="00074E84" w:rsidRPr="00074E84" w:rsidRDefault="00074E84" w:rsidP="00074E84">
      <w:pPr>
        <w:pStyle w:val="SingleTxt"/>
        <w:spacing w:after="0" w:line="120" w:lineRule="exact"/>
        <w:rPr>
          <w:b/>
          <w:sz w:val="10"/>
        </w:rPr>
      </w:pPr>
    </w:p>
    <w:p w:rsidR="00074E84" w:rsidRDefault="00074E84" w:rsidP="00E35DE0">
      <w:pPr>
        <w:pStyle w:val="H1"/>
        <w:ind w:right="1260"/>
      </w:pPr>
      <w:r>
        <w:tab/>
      </w:r>
      <w:r>
        <w:tab/>
        <w:t>ADR and ADN:</w:t>
      </w:r>
    </w:p>
    <w:p w:rsidR="00E35DE0" w:rsidRPr="00E35DE0" w:rsidRDefault="00E35DE0" w:rsidP="00E35DE0">
      <w:pPr>
        <w:pStyle w:val="SingleTxt"/>
        <w:spacing w:after="0" w:line="120" w:lineRule="exact"/>
        <w:rPr>
          <w:sz w:val="10"/>
        </w:rPr>
      </w:pPr>
    </w:p>
    <w:p w:rsidR="00E35DE0" w:rsidRPr="00E35DE0" w:rsidRDefault="00E35DE0" w:rsidP="00E35DE0">
      <w:pPr>
        <w:pStyle w:val="SingleTxt"/>
        <w:spacing w:after="0" w:line="120" w:lineRule="exact"/>
        <w:rPr>
          <w:sz w:val="10"/>
        </w:rPr>
      </w:pPr>
    </w:p>
    <w:tbl>
      <w:tblPr>
        <w:tblW w:w="0" w:type="auto"/>
        <w:tblCellMar>
          <w:left w:w="113" w:type="dxa"/>
        </w:tblCellMar>
        <w:tblLook w:val="04A0" w:firstRow="1" w:lastRow="0" w:firstColumn="1" w:lastColumn="0" w:noHBand="0" w:noVBand="1"/>
      </w:tblPr>
      <w:tblGrid>
        <w:gridCol w:w="3623"/>
        <w:gridCol w:w="5220"/>
      </w:tblGrid>
      <w:tr w:rsidR="00E35DE0" w:rsidRPr="00E35DE0" w:rsidTr="00E35DE0">
        <w:trPr>
          <w:trHeight w:hRule="exact" w:val="115"/>
          <w:tblHeader/>
        </w:trPr>
        <w:tc>
          <w:tcPr>
            <w:tcW w:w="3623" w:type="dxa"/>
            <w:shd w:val="clear" w:color="auto" w:fill="auto"/>
            <w:vAlign w:val="bottom"/>
          </w:tcPr>
          <w:p w:rsidR="00E35DE0" w:rsidRPr="00E35DE0" w:rsidRDefault="00E35DE0" w:rsidP="00E35DE0">
            <w:pPr>
              <w:kinsoku w:val="0"/>
              <w:overflowPunct w:val="0"/>
              <w:autoSpaceDE w:val="0"/>
              <w:autoSpaceDN w:val="0"/>
              <w:adjustRightInd w:val="0"/>
              <w:snapToGrid w:val="0"/>
              <w:spacing w:before="40" w:after="80"/>
              <w:ind w:left="1134" w:right="40"/>
              <w:jc w:val="both"/>
            </w:pPr>
          </w:p>
        </w:tc>
        <w:tc>
          <w:tcPr>
            <w:tcW w:w="5220" w:type="dxa"/>
            <w:shd w:val="clear" w:color="auto" w:fill="auto"/>
            <w:vAlign w:val="bottom"/>
          </w:tcPr>
          <w:p w:rsidR="00E35DE0" w:rsidRPr="00E35DE0" w:rsidRDefault="00E35DE0" w:rsidP="00E35DE0">
            <w:pPr>
              <w:spacing w:before="40" w:after="80"/>
              <w:ind w:right="397"/>
              <w:rPr>
                <w:lang w:eastAsia="en-GB"/>
              </w:rPr>
            </w:pPr>
          </w:p>
        </w:tc>
      </w:tr>
      <w:tr w:rsidR="00074E84" w:rsidRPr="00E35DE0" w:rsidTr="00E35DE0">
        <w:tc>
          <w:tcPr>
            <w:tcW w:w="3623" w:type="dxa"/>
            <w:shd w:val="clear" w:color="auto" w:fill="auto"/>
            <w:hideMark/>
          </w:tcPr>
          <w:p w:rsidR="00074E84" w:rsidRPr="00E35DE0" w:rsidRDefault="00074E84" w:rsidP="007877AD">
            <w:pPr>
              <w:pStyle w:val="SingleTxt"/>
              <w:rPr>
                <w:lang w:val="fr-CH"/>
              </w:rPr>
            </w:pPr>
            <w:r w:rsidRPr="00E35DE0">
              <w:t>5.3.2.1.4</w:t>
            </w:r>
          </w:p>
        </w:tc>
        <w:tc>
          <w:tcPr>
            <w:tcW w:w="5220" w:type="dxa"/>
            <w:shd w:val="clear" w:color="auto" w:fill="auto"/>
          </w:tcPr>
          <w:p w:rsidR="00E35DE0" w:rsidRPr="00E35DE0" w:rsidRDefault="00074E84" w:rsidP="00A84708">
            <w:pPr>
              <w:pStyle w:val="SingleTxt"/>
              <w:tabs>
                <w:tab w:val="left" w:pos="288"/>
                <w:tab w:val="left" w:pos="576"/>
                <w:tab w:val="left" w:pos="864"/>
                <w:tab w:val="left" w:pos="1152"/>
              </w:tabs>
              <w:spacing w:before="40"/>
              <w:ind w:left="144" w:right="40"/>
            </w:pPr>
            <w:r w:rsidRPr="00E35DE0">
              <w:t xml:space="preserve">When a hazard identification number is indicated in Column (20) of Table A of Chapter 3.2, transport units and containers carrying unpackaged solids or articles or packaged radioactive material with a single UN number, </w:t>
            </w:r>
            <w:r w:rsidRPr="00A84708">
              <w:rPr>
                <w:u w:val="single"/>
              </w:rPr>
              <w:t>where the transport unit or container does not at any time during carriage contain radioactive material with a different UN number or another hazardous substance,</w:t>
            </w:r>
            <w:r w:rsidRPr="00E35DE0">
              <w:t xml:space="preserve"> </w:t>
            </w:r>
            <w:r w:rsidRPr="00A84708">
              <w:rPr>
                <w:strike/>
              </w:rPr>
              <w:t>required to be carried under exclusive use and no other dangerous goods</w:t>
            </w:r>
            <w:r w:rsidRPr="00E35DE0">
              <w:t xml:space="preserve"> shall in addition display on the sides of each transport unit or container, clearly visible and parallel to the longitudinal axis of the vehicle, orange-coloured plates identical with those prescribed in 5.3.2.1.1. These orange-coloured plates shall bear the hazard identification number and the UN number prescribed respectively in Columns (20) and </w:t>
            </w:r>
            <w:r w:rsidRPr="00E35DE0">
              <w:lastRenderedPageBreak/>
              <w:t xml:space="preserve">(1) of table A of Chapter 3.2 for each of the substances carried in bulk in the transport unit or in the container or for the packaged radioactive material </w:t>
            </w:r>
            <w:r w:rsidRPr="00A84708">
              <w:rPr>
                <w:strike/>
              </w:rPr>
              <w:t>when required to be carried under exclusive use</w:t>
            </w:r>
            <w:r w:rsidRPr="00A84708">
              <w:t xml:space="preserve"> </w:t>
            </w:r>
            <w:r w:rsidRPr="00E35DE0">
              <w:t>in the transport unit or in the container.</w:t>
            </w:r>
          </w:p>
        </w:tc>
      </w:tr>
      <w:tr w:rsidR="00074E84" w:rsidRPr="00E35DE0" w:rsidTr="00E35DE0">
        <w:tc>
          <w:tcPr>
            <w:tcW w:w="3623" w:type="dxa"/>
            <w:shd w:val="clear" w:color="auto" w:fill="auto"/>
            <w:hideMark/>
          </w:tcPr>
          <w:p w:rsidR="00074E84" w:rsidRPr="00E35DE0" w:rsidRDefault="00074E84" w:rsidP="007877AD">
            <w:pPr>
              <w:pStyle w:val="SingleTxt"/>
              <w:rPr>
                <w:lang w:val="fr-CH"/>
              </w:rPr>
            </w:pPr>
            <w:r w:rsidRPr="00E35DE0">
              <w:lastRenderedPageBreak/>
              <w:t>5.3.2.2.1</w:t>
            </w:r>
          </w:p>
        </w:tc>
        <w:tc>
          <w:tcPr>
            <w:tcW w:w="5220" w:type="dxa"/>
            <w:shd w:val="clear" w:color="auto" w:fill="auto"/>
          </w:tcPr>
          <w:p w:rsidR="00074E84" w:rsidRPr="00E35DE0" w:rsidRDefault="00074E84" w:rsidP="00A84708">
            <w:pPr>
              <w:pStyle w:val="SingleTxt"/>
              <w:tabs>
                <w:tab w:val="left" w:pos="288"/>
                <w:tab w:val="left" w:pos="576"/>
                <w:tab w:val="left" w:pos="864"/>
                <w:tab w:val="left" w:pos="1152"/>
              </w:tabs>
              <w:spacing w:before="40"/>
              <w:ind w:left="144" w:right="40"/>
            </w:pPr>
            <w:r w:rsidRPr="00E35DE0">
              <w:t>Third paragraph</w:t>
            </w:r>
          </w:p>
          <w:p w:rsidR="00074E84" w:rsidRPr="00E35DE0" w:rsidRDefault="00074E84" w:rsidP="00A84708">
            <w:pPr>
              <w:pStyle w:val="SingleTxt"/>
              <w:tabs>
                <w:tab w:val="left" w:pos="288"/>
                <w:tab w:val="left" w:pos="576"/>
                <w:tab w:val="left" w:pos="864"/>
                <w:tab w:val="left" w:pos="1152"/>
              </w:tabs>
              <w:spacing w:before="40"/>
              <w:ind w:left="144" w:right="40"/>
            </w:pPr>
            <w:r w:rsidRPr="00E35DE0">
              <w:t>When reduced dimensions of orange-coloured plates are used for packaged radioactive material</w:t>
            </w:r>
            <w:r w:rsidRPr="00A84708">
              <w:t xml:space="preserve"> </w:t>
            </w:r>
            <w:r w:rsidRPr="00A84708">
              <w:rPr>
                <w:strike/>
              </w:rPr>
              <w:t>carried under exclusive use</w:t>
            </w:r>
            <w:r w:rsidRPr="00E35DE0">
              <w:t xml:space="preserve">, only the UN number is required and the size of the digits stipulated in 5.3.2.2.2 may be reduced to 65 mm in height and 10 mm in stroke thickness. </w:t>
            </w:r>
          </w:p>
        </w:tc>
      </w:tr>
    </w:tbl>
    <w:p w:rsidR="00E35DE0" w:rsidRPr="00E35DE0" w:rsidRDefault="00E35DE0" w:rsidP="00E35DE0">
      <w:pPr>
        <w:pStyle w:val="H1"/>
        <w:spacing w:line="120" w:lineRule="exact"/>
        <w:ind w:right="1260"/>
        <w:rPr>
          <w:sz w:val="10"/>
        </w:rPr>
      </w:pPr>
    </w:p>
    <w:p w:rsidR="00E35DE0" w:rsidRPr="00E35DE0" w:rsidRDefault="00E35DE0" w:rsidP="00E35DE0">
      <w:pPr>
        <w:pStyle w:val="H1"/>
        <w:spacing w:line="120" w:lineRule="exact"/>
        <w:ind w:right="1260"/>
        <w:rPr>
          <w:sz w:val="10"/>
        </w:rPr>
      </w:pPr>
    </w:p>
    <w:p w:rsidR="00074E84" w:rsidRDefault="00E35DE0" w:rsidP="00E35DE0">
      <w:pPr>
        <w:pStyle w:val="H1"/>
        <w:ind w:right="1260"/>
      </w:pPr>
      <w:r>
        <w:tab/>
      </w:r>
      <w:r>
        <w:tab/>
      </w:r>
      <w:r w:rsidR="00074E84">
        <w:t>RID:</w:t>
      </w:r>
    </w:p>
    <w:p w:rsidR="00E35DE0" w:rsidRPr="00E35DE0" w:rsidRDefault="00E35DE0" w:rsidP="00E35DE0">
      <w:pPr>
        <w:pStyle w:val="SingleTxt"/>
        <w:spacing w:after="0" w:line="120" w:lineRule="exact"/>
        <w:rPr>
          <w:sz w:val="10"/>
        </w:rPr>
      </w:pPr>
    </w:p>
    <w:p w:rsidR="00E35DE0" w:rsidRPr="00E35DE0" w:rsidRDefault="00E35DE0" w:rsidP="00E35DE0">
      <w:pPr>
        <w:pStyle w:val="SingleTxt"/>
        <w:spacing w:after="0" w:line="120" w:lineRule="exact"/>
        <w:rPr>
          <w:sz w:val="10"/>
        </w:rPr>
      </w:pPr>
    </w:p>
    <w:tbl>
      <w:tblPr>
        <w:tblW w:w="0" w:type="auto"/>
        <w:tblCellMar>
          <w:left w:w="113" w:type="dxa"/>
        </w:tblCellMar>
        <w:tblLook w:val="04A0" w:firstRow="1" w:lastRow="0" w:firstColumn="1" w:lastColumn="0" w:noHBand="0" w:noVBand="1"/>
      </w:tblPr>
      <w:tblGrid>
        <w:gridCol w:w="3623"/>
        <w:gridCol w:w="5220"/>
      </w:tblGrid>
      <w:tr w:rsidR="00E35DE0" w:rsidRPr="00E35DE0" w:rsidTr="00E35DE0">
        <w:trPr>
          <w:trHeight w:hRule="exact" w:val="115"/>
          <w:tblHeader/>
        </w:trPr>
        <w:tc>
          <w:tcPr>
            <w:tcW w:w="3623" w:type="dxa"/>
            <w:shd w:val="clear" w:color="auto" w:fill="auto"/>
            <w:vAlign w:val="bottom"/>
          </w:tcPr>
          <w:p w:rsidR="00E35DE0" w:rsidRPr="00E35DE0" w:rsidRDefault="00E35DE0" w:rsidP="00E35DE0">
            <w:pPr>
              <w:kinsoku w:val="0"/>
              <w:overflowPunct w:val="0"/>
              <w:autoSpaceDE w:val="0"/>
              <w:autoSpaceDN w:val="0"/>
              <w:adjustRightInd w:val="0"/>
              <w:snapToGrid w:val="0"/>
              <w:spacing w:before="40" w:after="80"/>
              <w:ind w:left="1134" w:right="40"/>
              <w:jc w:val="both"/>
            </w:pPr>
          </w:p>
        </w:tc>
        <w:tc>
          <w:tcPr>
            <w:tcW w:w="5220" w:type="dxa"/>
            <w:shd w:val="clear" w:color="auto" w:fill="auto"/>
            <w:vAlign w:val="bottom"/>
          </w:tcPr>
          <w:p w:rsidR="00E35DE0" w:rsidRPr="00E35DE0" w:rsidRDefault="00E35DE0" w:rsidP="00E35DE0">
            <w:pPr>
              <w:spacing w:before="40" w:after="80"/>
              <w:ind w:right="397"/>
            </w:pPr>
          </w:p>
        </w:tc>
      </w:tr>
      <w:tr w:rsidR="00074E84" w:rsidRPr="00E35DE0" w:rsidTr="00A84708">
        <w:tc>
          <w:tcPr>
            <w:tcW w:w="3623" w:type="dxa"/>
            <w:shd w:val="clear" w:color="auto" w:fill="auto"/>
            <w:hideMark/>
          </w:tcPr>
          <w:p w:rsidR="00074E84" w:rsidRPr="00E35DE0" w:rsidRDefault="00074E84" w:rsidP="007877AD">
            <w:pPr>
              <w:pStyle w:val="SingleTxt"/>
              <w:rPr>
                <w:lang w:val="fr-CH"/>
              </w:rPr>
            </w:pPr>
            <w:r w:rsidRPr="00E35DE0">
              <w:t>5.3.2.1.1</w:t>
            </w:r>
          </w:p>
        </w:tc>
        <w:tc>
          <w:tcPr>
            <w:tcW w:w="5220" w:type="dxa"/>
            <w:shd w:val="clear" w:color="auto" w:fill="auto"/>
            <w:hideMark/>
          </w:tcPr>
          <w:p w:rsidR="00074E84" w:rsidRPr="00E35DE0" w:rsidRDefault="00074E84" w:rsidP="00A84708">
            <w:pPr>
              <w:pStyle w:val="SingleTxt"/>
              <w:tabs>
                <w:tab w:val="left" w:pos="288"/>
                <w:tab w:val="left" w:pos="576"/>
                <w:tab w:val="left" w:pos="864"/>
                <w:tab w:val="left" w:pos="1152"/>
              </w:tabs>
              <w:spacing w:before="40"/>
              <w:ind w:left="144" w:right="40"/>
            </w:pPr>
            <w:r w:rsidRPr="00E35DE0">
              <w:t xml:space="preserve">A rectangular, orange-coloured plate conforming to 5.3.2.2.1, and so as to be clearly visible, shall be affixed on each side of a </w:t>
            </w:r>
          </w:p>
          <w:p w:rsidR="00074E84" w:rsidRPr="00E35DE0" w:rsidRDefault="0062701D" w:rsidP="0062701D">
            <w:pPr>
              <w:pStyle w:val="Bullet1"/>
              <w:numPr>
                <w:ilvl w:val="0"/>
                <w:numId w:val="0"/>
              </w:numPr>
              <w:ind w:left="207"/>
            </w:pPr>
            <w:r>
              <w:t xml:space="preserve">– </w:t>
            </w:r>
            <w:r w:rsidR="00074E84" w:rsidRPr="00E35DE0">
              <w:t xml:space="preserve">tank-wagon, </w:t>
            </w:r>
          </w:p>
          <w:p w:rsidR="00074E84" w:rsidRPr="00E35DE0" w:rsidRDefault="0062701D" w:rsidP="0062701D">
            <w:pPr>
              <w:pStyle w:val="Bullet1"/>
              <w:numPr>
                <w:ilvl w:val="0"/>
                <w:numId w:val="0"/>
              </w:numPr>
              <w:ind w:left="207"/>
            </w:pPr>
            <w:r>
              <w:t xml:space="preserve">– </w:t>
            </w:r>
            <w:r w:rsidR="00074E84" w:rsidRPr="00E35DE0">
              <w:t xml:space="preserve">battery-wagon, </w:t>
            </w:r>
          </w:p>
          <w:p w:rsidR="00074E84" w:rsidRPr="00E35DE0" w:rsidRDefault="0062701D" w:rsidP="0062701D">
            <w:pPr>
              <w:pStyle w:val="Bullet1"/>
              <w:numPr>
                <w:ilvl w:val="0"/>
                <w:numId w:val="0"/>
              </w:numPr>
              <w:ind w:left="207"/>
            </w:pPr>
            <w:r>
              <w:t xml:space="preserve">– </w:t>
            </w:r>
            <w:r w:rsidR="00074E84" w:rsidRPr="00E35DE0">
              <w:t xml:space="preserve">wagon with demountable tanks, </w:t>
            </w:r>
          </w:p>
          <w:p w:rsidR="00074E84" w:rsidRPr="00E35DE0" w:rsidRDefault="0062701D" w:rsidP="0062701D">
            <w:pPr>
              <w:pStyle w:val="Bullet1"/>
              <w:numPr>
                <w:ilvl w:val="0"/>
                <w:numId w:val="0"/>
              </w:numPr>
              <w:ind w:left="207"/>
            </w:pPr>
            <w:r>
              <w:t xml:space="preserve">– </w:t>
            </w:r>
            <w:r w:rsidR="00074E84" w:rsidRPr="00E35DE0">
              <w:t xml:space="preserve">tank-container, </w:t>
            </w:r>
          </w:p>
          <w:p w:rsidR="00074E84" w:rsidRPr="00E35DE0" w:rsidRDefault="0062701D" w:rsidP="0062701D">
            <w:pPr>
              <w:pStyle w:val="Bullet1"/>
              <w:numPr>
                <w:ilvl w:val="0"/>
                <w:numId w:val="0"/>
              </w:numPr>
              <w:ind w:left="207"/>
            </w:pPr>
            <w:r>
              <w:t xml:space="preserve">– </w:t>
            </w:r>
            <w:r w:rsidR="00074E84" w:rsidRPr="00E35DE0">
              <w:t xml:space="preserve">MEGC, </w:t>
            </w:r>
          </w:p>
          <w:p w:rsidR="00074E84" w:rsidRPr="00E35DE0" w:rsidRDefault="0062701D" w:rsidP="0062701D">
            <w:pPr>
              <w:pStyle w:val="Bullet1"/>
              <w:numPr>
                <w:ilvl w:val="0"/>
                <w:numId w:val="0"/>
              </w:numPr>
              <w:ind w:left="207"/>
            </w:pPr>
            <w:r>
              <w:t xml:space="preserve">– </w:t>
            </w:r>
            <w:r w:rsidR="00074E84" w:rsidRPr="00E35DE0">
              <w:t xml:space="preserve">portable tank, </w:t>
            </w:r>
          </w:p>
          <w:p w:rsidR="00074E84" w:rsidRPr="00E35DE0" w:rsidRDefault="0062701D" w:rsidP="0062701D">
            <w:pPr>
              <w:pStyle w:val="Bullet1"/>
              <w:numPr>
                <w:ilvl w:val="0"/>
                <w:numId w:val="0"/>
              </w:numPr>
              <w:ind w:left="207"/>
            </w:pPr>
            <w:r>
              <w:t xml:space="preserve">– </w:t>
            </w:r>
            <w:r w:rsidR="00074E84" w:rsidRPr="00E35DE0">
              <w:t xml:space="preserve">wagon for carriage in bulk, </w:t>
            </w:r>
          </w:p>
          <w:p w:rsidR="00074E84" w:rsidRPr="00E35DE0" w:rsidRDefault="0062701D" w:rsidP="0062701D">
            <w:pPr>
              <w:pStyle w:val="Bullet1"/>
              <w:numPr>
                <w:ilvl w:val="0"/>
                <w:numId w:val="0"/>
              </w:numPr>
              <w:ind w:left="207"/>
            </w:pPr>
            <w:r>
              <w:t xml:space="preserve">– </w:t>
            </w:r>
            <w:r w:rsidR="00074E84" w:rsidRPr="00E35DE0">
              <w:t>small or large container for carriage in bulk,</w:t>
            </w:r>
          </w:p>
          <w:p w:rsidR="00074E84" w:rsidRPr="00E35DE0" w:rsidRDefault="0062701D" w:rsidP="0062701D">
            <w:pPr>
              <w:pStyle w:val="Bullet1"/>
              <w:numPr>
                <w:ilvl w:val="0"/>
                <w:numId w:val="0"/>
              </w:numPr>
              <w:ind w:left="207" w:right="72"/>
            </w:pPr>
            <w:r>
              <w:t>– </w:t>
            </w:r>
            <w:r w:rsidR="00074E84" w:rsidRPr="00E35DE0">
              <w:t xml:space="preserve">wagons and containers carrying packaged radioactive material with a single UN number </w:t>
            </w:r>
            <w:r w:rsidR="00074E84" w:rsidRPr="00A84708">
              <w:rPr>
                <w:strike/>
              </w:rPr>
              <w:t>under exclusive use and no other dangerous goods</w:t>
            </w:r>
            <w:r w:rsidR="00074E84" w:rsidRPr="00E35DE0">
              <w:t xml:space="preserve"> </w:t>
            </w:r>
            <w:r w:rsidR="00074E84" w:rsidRPr="00A84708">
              <w:rPr>
                <w:u w:val="single"/>
              </w:rPr>
              <w:t>where the wagon or container does not at any time during carriage contain radioactive material with a different UN number or another hazardous substance,</w:t>
            </w:r>
          </w:p>
          <w:p w:rsidR="00074E84" w:rsidRPr="00E35DE0" w:rsidRDefault="00074E84" w:rsidP="00A84708">
            <w:pPr>
              <w:pStyle w:val="SingleTxt"/>
              <w:tabs>
                <w:tab w:val="left" w:pos="288"/>
                <w:tab w:val="left" w:pos="576"/>
                <w:tab w:val="left" w:pos="864"/>
                <w:tab w:val="left" w:pos="1152"/>
              </w:tabs>
              <w:spacing w:before="40"/>
              <w:ind w:left="144" w:right="40"/>
            </w:pPr>
            <w:proofErr w:type="gramStart"/>
            <w:r w:rsidRPr="00E35DE0">
              <w:t>used</w:t>
            </w:r>
            <w:proofErr w:type="gramEnd"/>
            <w:r w:rsidRPr="00E35DE0">
              <w:t xml:space="preserve"> for the carriage of goods for which a hazard identification number is given in column (20) of Table A of Chapter 3.2.</w:t>
            </w:r>
            <w:r w:rsidR="0041759E">
              <w:t xml:space="preserve"> </w:t>
            </w:r>
          </w:p>
        </w:tc>
      </w:tr>
    </w:tbl>
    <w:p w:rsidR="00074E84" w:rsidRPr="00074E84" w:rsidRDefault="000A2669" w:rsidP="00074E84">
      <w:r>
        <w:rPr>
          <w:noProof/>
          <w:w w:val="100"/>
          <w:lang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074E84" w:rsidRPr="00074E84" w:rsidSect="009D249E">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13T15:29:00Z" w:initials="Start">
    <w:p w:rsidR="009D249E" w:rsidRDefault="009D249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NO&gt;&gt;N16E&lt;&lt;ODS JOB NO&gt;&gt;</w:t>
      </w:r>
    </w:p>
    <w:p w:rsidR="009D249E" w:rsidRDefault="009D249E">
      <w:pPr>
        <w:pStyle w:val="CommentText"/>
      </w:pPr>
      <w:r>
        <w:t>&lt;&lt;ODS DOC SYMBOL1&gt;&gt;ECE/TRANS/WP.15/AC.1/2016/14&lt;&lt;ODS DOC SYMBOL1&gt;&gt;</w:t>
      </w:r>
    </w:p>
    <w:p w:rsidR="009D249E" w:rsidRDefault="009D249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5D7" w:rsidRDefault="007825D7">
      <w:r>
        <w:separator/>
      </w:r>
    </w:p>
  </w:endnote>
  <w:endnote w:type="continuationSeparator" w:id="0">
    <w:p w:rsidR="007825D7" w:rsidRDefault="0078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D249E" w:rsidTr="009D249E">
      <w:trPr>
        <w:jc w:val="center"/>
      </w:trPr>
      <w:tc>
        <w:tcPr>
          <w:tcW w:w="5126" w:type="dxa"/>
          <w:shd w:val="clear" w:color="auto" w:fill="auto"/>
        </w:tcPr>
        <w:p w:rsidR="009D249E" w:rsidRPr="009D249E" w:rsidRDefault="009D249E" w:rsidP="009D249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55DF5">
            <w:rPr>
              <w:b w:val="0"/>
              <w:w w:val="103"/>
              <w:sz w:val="14"/>
            </w:rPr>
            <w:t>GE.15-22786</w:t>
          </w:r>
          <w:r>
            <w:rPr>
              <w:b w:val="0"/>
              <w:w w:val="103"/>
              <w:sz w:val="14"/>
            </w:rPr>
            <w:fldChar w:fldCharType="end"/>
          </w:r>
        </w:p>
      </w:tc>
      <w:tc>
        <w:tcPr>
          <w:tcW w:w="5127" w:type="dxa"/>
          <w:shd w:val="clear" w:color="auto" w:fill="auto"/>
        </w:tcPr>
        <w:p w:rsidR="009D249E" w:rsidRPr="009D249E" w:rsidRDefault="009D249E" w:rsidP="009D249E">
          <w:pPr>
            <w:pStyle w:val="Footer"/>
            <w:rPr>
              <w:w w:val="103"/>
            </w:rPr>
          </w:pPr>
          <w:r>
            <w:rPr>
              <w:w w:val="103"/>
            </w:rPr>
            <w:fldChar w:fldCharType="begin"/>
          </w:r>
          <w:r>
            <w:rPr>
              <w:w w:val="103"/>
            </w:rPr>
            <w:instrText xml:space="preserve"> PAGE  \* Arabic  \* MERGEFORMAT </w:instrText>
          </w:r>
          <w:r>
            <w:rPr>
              <w:w w:val="103"/>
            </w:rPr>
            <w:fldChar w:fldCharType="separate"/>
          </w:r>
          <w:r w:rsidR="00555DF5">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55DF5">
            <w:rPr>
              <w:w w:val="103"/>
            </w:rPr>
            <w:t>4</w:t>
          </w:r>
          <w:r>
            <w:rPr>
              <w:w w:val="103"/>
            </w:rPr>
            <w:fldChar w:fldCharType="end"/>
          </w:r>
        </w:p>
      </w:tc>
    </w:tr>
  </w:tbl>
  <w:p w:rsidR="009D249E" w:rsidRPr="009D249E" w:rsidRDefault="009D249E" w:rsidP="009D24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D249E" w:rsidTr="009D249E">
      <w:trPr>
        <w:jc w:val="center"/>
      </w:trPr>
      <w:tc>
        <w:tcPr>
          <w:tcW w:w="5126" w:type="dxa"/>
          <w:shd w:val="clear" w:color="auto" w:fill="auto"/>
        </w:tcPr>
        <w:p w:rsidR="009D249E" w:rsidRPr="009D249E" w:rsidRDefault="009D249E" w:rsidP="009D249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55DF5">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55DF5">
            <w:rPr>
              <w:w w:val="103"/>
            </w:rPr>
            <w:t>4</w:t>
          </w:r>
          <w:r>
            <w:rPr>
              <w:w w:val="103"/>
            </w:rPr>
            <w:fldChar w:fldCharType="end"/>
          </w:r>
        </w:p>
      </w:tc>
      <w:tc>
        <w:tcPr>
          <w:tcW w:w="5127" w:type="dxa"/>
          <w:shd w:val="clear" w:color="auto" w:fill="auto"/>
        </w:tcPr>
        <w:p w:rsidR="009D249E" w:rsidRPr="009D249E" w:rsidRDefault="009D249E" w:rsidP="009D249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55DF5">
            <w:rPr>
              <w:b w:val="0"/>
              <w:w w:val="103"/>
              <w:sz w:val="14"/>
            </w:rPr>
            <w:t>GE.15-22786</w:t>
          </w:r>
          <w:r>
            <w:rPr>
              <w:b w:val="0"/>
              <w:w w:val="103"/>
              <w:sz w:val="14"/>
            </w:rPr>
            <w:fldChar w:fldCharType="end"/>
          </w:r>
        </w:p>
      </w:tc>
    </w:tr>
  </w:tbl>
  <w:p w:rsidR="009D249E" w:rsidRPr="009D249E" w:rsidRDefault="009D249E" w:rsidP="009D24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9D249E" w:rsidTr="009D249E">
      <w:tc>
        <w:tcPr>
          <w:tcW w:w="3859" w:type="dxa"/>
        </w:tcPr>
        <w:p w:rsidR="009D249E" w:rsidRDefault="009D249E" w:rsidP="009D249E">
          <w:pPr>
            <w:pStyle w:val="ReleaseDate"/>
          </w:pPr>
          <w:r>
            <w:rPr>
              <w:noProof/>
              <w:lang w:eastAsia="en-GB"/>
            </w:rPr>
            <w:drawing>
              <wp:anchor distT="0" distB="0" distL="114300" distR="114300" simplePos="0" relativeHeight="251658240" behindDoc="0" locked="0" layoutInCell="1" allowOverlap="1" wp14:anchorId="6F29281D" wp14:editId="18F4D3ED">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ECE/TRANS/WP.15/AC.1/2016/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1/2016/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F26656">
            <w:t>GE.15-22786 (E)    130116    14</w:t>
          </w:r>
          <w:r>
            <w:t>0116</w:t>
          </w:r>
        </w:p>
        <w:p w:rsidR="009D249E" w:rsidRPr="009D249E" w:rsidRDefault="009D249E" w:rsidP="009D249E">
          <w:pPr>
            <w:pStyle w:val="Footer"/>
            <w:spacing w:before="80" w:line="210" w:lineRule="exact"/>
            <w:rPr>
              <w:rFonts w:ascii="Barcode 3 of 9 by request" w:hAnsi="Barcode 3 of 9 by request"/>
              <w:sz w:val="24"/>
              <w:lang w:val="en-GB"/>
            </w:rPr>
          </w:pPr>
          <w:r>
            <w:rPr>
              <w:rFonts w:ascii="Barcode 3 of 9 by request" w:hAnsi="Barcode 3 of 9 by request" w:hint="eastAsia"/>
              <w:sz w:val="24"/>
              <w:lang w:val="en-GB"/>
            </w:rPr>
            <w:t>*1522786*</w:t>
          </w:r>
        </w:p>
      </w:tc>
      <w:tc>
        <w:tcPr>
          <w:tcW w:w="5127" w:type="dxa"/>
        </w:tcPr>
        <w:p w:rsidR="009D249E" w:rsidRDefault="009D249E" w:rsidP="009D249E">
          <w:pPr>
            <w:pStyle w:val="Footer"/>
            <w:jc w:val="right"/>
            <w:rPr>
              <w:b w:val="0"/>
              <w:sz w:val="20"/>
            </w:rPr>
          </w:pPr>
          <w:r>
            <w:rPr>
              <w:b w:val="0"/>
              <w:sz w:val="20"/>
              <w:lang w:val="en-GB" w:eastAsia="en-GB"/>
            </w:rPr>
            <w:drawing>
              <wp:inline distT="0" distB="0" distL="0" distR="0" wp14:anchorId="0372FA73" wp14:editId="6CFECEF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9D249E" w:rsidRPr="009D249E" w:rsidRDefault="009D249E" w:rsidP="009D249E">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5D7" w:rsidRPr="00E35DE0" w:rsidRDefault="00E35DE0" w:rsidP="00E35DE0">
      <w:pPr>
        <w:pStyle w:val="Footer"/>
        <w:spacing w:after="80"/>
        <w:ind w:left="792"/>
        <w:rPr>
          <w:sz w:val="16"/>
        </w:rPr>
      </w:pPr>
      <w:r w:rsidRPr="00E35DE0">
        <w:rPr>
          <w:sz w:val="16"/>
        </w:rPr>
        <w:t>__________________</w:t>
      </w:r>
    </w:p>
  </w:footnote>
  <w:footnote w:type="continuationSeparator" w:id="0">
    <w:p w:rsidR="007825D7" w:rsidRPr="00E35DE0" w:rsidRDefault="00E35DE0" w:rsidP="00E35DE0">
      <w:pPr>
        <w:pStyle w:val="Footer"/>
        <w:spacing w:after="80"/>
        <w:ind w:left="792"/>
        <w:rPr>
          <w:sz w:val="16"/>
        </w:rPr>
      </w:pPr>
      <w:r w:rsidRPr="00E35DE0">
        <w:rPr>
          <w:sz w:val="16"/>
        </w:rPr>
        <w:t>__________________</w:t>
      </w:r>
    </w:p>
  </w:footnote>
  <w:footnote w:id="1">
    <w:p w:rsidR="00D16F66" w:rsidRDefault="00D16F66" w:rsidP="00E35DE0">
      <w:pPr>
        <w:pStyle w:val="FootnoteText"/>
        <w:tabs>
          <w:tab w:val="clear" w:pos="418"/>
          <w:tab w:val="right" w:pos="1195"/>
          <w:tab w:val="left" w:pos="1267"/>
          <w:tab w:val="left" w:pos="1742"/>
          <w:tab w:val="left" w:pos="2218"/>
          <w:tab w:val="left" w:pos="2693"/>
        </w:tabs>
        <w:ind w:left="1267" w:right="1260" w:hanging="432"/>
        <w:jc w:val="both"/>
      </w:pPr>
      <w:r>
        <w:tab/>
      </w:r>
      <w:r>
        <w:rPr>
          <w:rStyle w:val="FootnoteReference"/>
        </w:rPr>
        <w:footnoteRef/>
      </w:r>
      <w:r>
        <w:tab/>
      </w:r>
      <w:proofErr w:type="gramStart"/>
      <w:r>
        <w:t>In accordance with the draft programme of work of the Inland Transport Committee for 2016-2017, (ECE/TRANS/WP.15/2015/19 (9.2)).</w:t>
      </w:r>
      <w:proofErr w:type="gramEnd"/>
    </w:p>
  </w:footnote>
  <w:footnote w:id="2">
    <w:p w:rsidR="00D16F66" w:rsidRDefault="00D16F66" w:rsidP="00E35DE0">
      <w:pPr>
        <w:pStyle w:val="FootnoteText"/>
        <w:tabs>
          <w:tab w:val="clear" w:pos="418"/>
          <w:tab w:val="right" w:pos="1195"/>
          <w:tab w:val="left" w:pos="1267"/>
          <w:tab w:val="left" w:pos="1742"/>
          <w:tab w:val="left" w:pos="2218"/>
          <w:tab w:val="left" w:pos="2693"/>
        </w:tabs>
        <w:ind w:left="1267" w:right="1260" w:hanging="432"/>
        <w:jc w:val="both"/>
        <w:rPr>
          <w:lang w:val="en-US"/>
        </w:rPr>
      </w:pPr>
      <w:r>
        <w:tab/>
      </w:r>
      <w:r>
        <w:rPr>
          <w:rStyle w:val="FootnoteReference"/>
        </w:rPr>
        <w:footnoteRef/>
      </w:r>
      <w:r>
        <w:tab/>
      </w:r>
      <w:proofErr w:type="gramStart"/>
      <w:r>
        <w:t>Circulated by the Intergovernmental Organisation for International Carriage by Rail (OTIF) under the symbol OTIF/RID/RC/2016/14.</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9D249E" w:rsidTr="009D249E">
      <w:trPr>
        <w:trHeight w:hRule="exact" w:val="864"/>
        <w:jc w:val="center"/>
      </w:trPr>
      <w:tc>
        <w:tcPr>
          <w:tcW w:w="4882" w:type="dxa"/>
          <w:shd w:val="clear" w:color="auto" w:fill="auto"/>
          <w:vAlign w:val="bottom"/>
        </w:tcPr>
        <w:p w:rsidR="009D249E" w:rsidRPr="009D249E" w:rsidRDefault="009D249E" w:rsidP="009D249E">
          <w:pPr>
            <w:pStyle w:val="Header"/>
            <w:spacing w:after="80"/>
            <w:rPr>
              <w:b/>
            </w:rPr>
          </w:pPr>
          <w:r>
            <w:rPr>
              <w:b/>
            </w:rPr>
            <w:fldChar w:fldCharType="begin"/>
          </w:r>
          <w:r>
            <w:rPr>
              <w:b/>
            </w:rPr>
            <w:instrText xml:space="preserve"> DOCVARIABLE "sss1" \* MERGEFORMAT </w:instrText>
          </w:r>
          <w:r>
            <w:rPr>
              <w:b/>
            </w:rPr>
            <w:fldChar w:fldCharType="separate"/>
          </w:r>
          <w:r w:rsidR="00555DF5">
            <w:rPr>
              <w:b/>
            </w:rPr>
            <w:t>ECE/TRANS/WP.15/AC.1/2016/14</w:t>
          </w:r>
          <w:r>
            <w:rPr>
              <w:b/>
            </w:rPr>
            <w:fldChar w:fldCharType="end"/>
          </w:r>
        </w:p>
      </w:tc>
      <w:tc>
        <w:tcPr>
          <w:tcW w:w="5127" w:type="dxa"/>
          <w:shd w:val="clear" w:color="auto" w:fill="auto"/>
          <w:vAlign w:val="bottom"/>
        </w:tcPr>
        <w:p w:rsidR="009D249E" w:rsidRDefault="009D249E" w:rsidP="009D249E">
          <w:pPr>
            <w:pStyle w:val="Header"/>
          </w:pPr>
        </w:p>
      </w:tc>
    </w:tr>
  </w:tbl>
  <w:p w:rsidR="009D249E" w:rsidRPr="009D249E" w:rsidRDefault="009D249E" w:rsidP="009D24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9D249E" w:rsidTr="009D249E">
      <w:trPr>
        <w:trHeight w:hRule="exact" w:val="864"/>
        <w:jc w:val="center"/>
      </w:trPr>
      <w:tc>
        <w:tcPr>
          <w:tcW w:w="4882" w:type="dxa"/>
          <w:shd w:val="clear" w:color="auto" w:fill="auto"/>
          <w:vAlign w:val="bottom"/>
        </w:tcPr>
        <w:p w:rsidR="009D249E" w:rsidRDefault="009D249E" w:rsidP="009D249E">
          <w:pPr>
            <w:pStyle w:val="Header"/>
          </w:pPr>
        </w:p>
      </w:tc>
      <w:tc>
        <w:tcPr>
          <w:tcW w:w="5127" w:type="dxa"/>
          <w:shd w:val="clear" w:color="auto" w:fill="auto"/>
          <w:vAlign w:val="bottom"/>
        </w:tcPr>
        <w:p w:rsidR="009D249E" w:rsidRPr="009D249E" w:rsidRDefault="009D249E" w:rsidP="009D249E">
          <w:pPr>
            <w:pStyle w:val="Header"/>
            <w:spacing w:after="80"/>
            <w:jc w:val="right"/>
            <w:rPr>
              <w:b/>
            </w:rPr>
          </w:pPr>
          <w:r>
            <w:rPr>
              <w:b/>
            </w:rPr>
            <w:fldChar w:fldCharType="begin"/>
          </w:r>
          <w:r>
            <w:rPr>
              <w:b/>
            </w:rPr>
            <w:instrText xml:space="preserve"> DOCVARIABLE "sss1" \* MERGEFORMAT </w:instrText>
          </w:r>
          <w:r>
            <w:rPr>
              <w:b/>
            </w:rPr>
            <w:fldChar w:fldCharType="separate"/>
          </w:r>
          <w:r w:rsidR="00555DF5">
            <w:rPr>
              <w:b/>
            </w:rPr>
            <w:t>ECE/TRANS/WP.15/AC.1/2016/14</w:t>
          </w:r>
          <w:r>
            <w:rPr>
              <w:b/>
            </w:rPr>
            <w:fldChar w:fldCharType="end"/>
          </w:r>
        </w:p>
      </w:tc>
    </w:tr>
  </w:tbl>
  <w:p w:rsidR="009D249E" w:rsidRPr="009D249E" w:rsidRDefault="009D249E" w:rsidP="009D24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9D249E" w:rsidTr="009D249E">
      <w:trPr>
        <w:trHeight w:hRule="exact" w:val="864"/>
      </w:trPr>
      <w:tc>
        <w:tcPr>
          <w:tcW w:w="1267" w:type="dxa"/>
          <w:tcBorders>
            <w:bottom w:val="single" w:sz="4" w:space="0" w:color="auto"/>
          </w:tcBorders>
          <w:shd w:val="clear" w:color="auto" w:fill="auto"/>
          <w:vAlign w:val="bottom"/>
        </w:tcPr>
        <w:p w:rsidR="009D249E" w:rsidRDefault="009D249E" w:rsidP="009D249E">
          <w:pPr>
            <w:pStyle w:val="Header"/>
            <w:spacing w:after="120"/>
          </w:pPr>
        </w:p>
      </w:tc>
      <w:tc>
        <w:tcPr>
          <w:tcW w:w="1872" w:type="dxa"/>
          <w:tcBorders>
            <w:bottom w:val="single" w:sz="4" w:space="0" w:color="auto"/>
          </w:tcBorders>
          <w:shd w:val="clear" w:color="auto" w:fill="auto"/>
          <w:vAlign w:val="bottom"/>
        </w:tcPr>
        <w:p w:rsidR="009D249E" w:rsidRPr="009D249E" w:rsidRDefault="009D249E" w:rsidP="009D249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9D249E" w:rsidRDefault="009D249E" w:rsidP="009D249E">
          <w:pPr>
            <w:pStyle w:val="Header"/>
            <w:spacing w:after="120"/>
          </w:pPr>
        </w:p>
      </w:tc>
      <w:tc>
        <w:tcPr>
          <w:tcW w:w="6653" w:type="dxa"/>
          <w:gridSpan w:val="4"/>
          <w:tcBorders>
            <w:bottom w:val="single" w:sz="4" w:space="0" w:color="auto"/>
          </w:tcBorders>
          <w:shd w:val="clear" w:color="auto" w:fill="auto"/>
          <w:vAlign w:val="bottom"/>
        </w:tcPr>
        <w:p w:rsidR="009D249E" w:rsidRPr="009D249E" w:rsidRDefault="009D249E" w:rsidP="009D249E">
          <w:pPr>
            <w:spacing w:after="80" w:line="240" w:lineRule="auto"/>
            <w:jc w:val="right"/>
            <w:rPr>
              <w:position w:val="-4"/>
            </w:rPr>
          </w:pPr>
          <w:r>
            <w:rPr>
              <w:position w:val="-4"/>
              <w:sz w:val="40"/>
            </w:rPr>
            <w:t>ECE</w:t>
          </w:r>
          <w:r>
            <w:rPr>
              <w:position w:val="-4"/>
            </w:rPr>
            <w:t>/TRANS/WP.15/AC.1/2016/14</w:t>
          </w:r>
        </w:p>
      </w:tc>
    </w:tr>
    <w:tr w:rsidR="009D249E" w:rsidRPr="009D249E" w:rsidTr="009D249E">
      <w:trPr>
        <w:gridAfter w:val="1"/>
        <w:wAfter w:w="18" w:type="dxa"/>
        <w:trHeight w:hRule="exact" w:val="2880"/>
      </w:trPr>
      <w:tc>
        <w:tcPr>
          <w:tcW w:w="1267" w:type="dxa"/>
          <w:tcBorders>
            <w:top w:val="single" w:sz="4" w:space="0" w:color="auto"/>
            <w:bottom w:val="single" w:sz="12" w:space="0" w:color="auto"/>
          </w:tcBorders>
          <w:shd w:val="clear" w:color="auto" w:fill="auto"/>
        </w:tcPr>
        <w:p w:rsidR="009D249E" w:rsidRPr="009D249E" w:rsidRDefault="009D249E" w:rsidP="009D249E">
          <w:pPr>
            <w:pStyle w:val="Header"/>
            <w:spacing w:before="120"/>
            <w:jc w:val="center"/>
          </w:pPr>
          <w:r>
            <w:t xml:space="preserve"> </w:t>
          </w:r>
          <w:r>
            <w:rPr>
              <w:lang w:val="en-GB" w:eastAsia="en-GB"/>
            </w:rPr>
            <w:drawing>
              <wp:inline distT="0" distB="0" distL="0" distR="0" wp14:anchorId="682DB0E9" wp14:editId="3BE8DB1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D249E" w:rsidRPr="009D249E" w:rsidRDefault="009D249E" w:rsidP="009D249E">
          <w:pPr>
            <w:pStyle w:val="XLarge"/>
            <w:spacing w:before="109"/>
          </w:pPr>
          <w:r>
            <w:t>Economic and Social Council</w:t>
          </w:r>
        </w:p>
      </w:tc>
      <w:tc>
        <w:tcPr>
          <w:tcW w:w="245" w:type="dxa"/>
          <w:tcBorders>
            <w:top w:val="single" w:sz="4" w:space="0" w:color="auto"/>
            <w:bottom w:val="single" w:sz="12" w:space="0" w:color="auto"/>
          </w:tcBorders>
          <w:shd w:val="clear" w:color="auto" w:fill="auto"/>
        </w:tcPr>
        <w:p w:rsidR="009D249E" w:rsidRPr="009D249E" w:rsidRDefault="009D249E" w:rsidP="009D249E">
          <w:pPr>
            <w:pStyle w:val="Header"/>
            <w:spacing w:before="109"/>
          </w:pPr>
        </w:p>
      </w:tc>
      <w:tc>
        <w:tcPr>
          <w:tcW w:w="3280" w:type="dxa"/>
          <w:tcBorders>
            <w:top w:val="single" w:sz="4" w:space="0" w:color="auto"/>
            <w:bottom w:val="single" w:sz="12" w:space="0" w:color="auto"/>
          </w:tcBorders>
          <w:shd w:val="clear" w:color="auto" w:fill="auto"/>
        </w:tcPr>
        <w:p w:rsidR="009D249E" w:rsidRDefault="009D249E" w:rsidP="009D249E">
          <w:pPr>
            <w:pStyle w:val="Distribution"/>
            <w:rPr>
              <w:color w:val="010000"/>
            </w:rPr>
          </w:pPr>
          <w:r>
            <w:rPr>
              <w:color w:val="010000"/>
            </w:rPr>
            <w:t>Distr.: General</w:t>
          </w:r>
        </w:p>
        <w:p w:rsidR="009D249E" w:rsidRDefault="009D249E" w:rsidP="009D249E">
          <w:pPr>
            <w:pStyle w:val="Publication"/>
            <w:rPr>
              <w:color w:val="010000"/>
            </w:rPr>
          </w:pPr>
          <w:r>
            <w:rPr>
              <w:color w:val="010000"/>
            </w:rPr>
            <w:t>23 December 2015</w:t>
          </w:r>
        </w:p>
        <w:p w:rsidR="009D249E" w:rsidRDefault="009D249E" w:rsidP="009D249E">
          <w:pPr>
            <w:rPr>
              <w:color w:val="010000"/>
            </w:rPr>
          </w:pPr>
          <w:r>
            <w:rPr>
              <w:color w:val="010000"/>
            </w:rPr>
            <w:t>English</w:t>
          </w:r>
        </w:p>
        <w:p w:rsidR="009D249E" w:rsidRDefault="009D249E" w:rsidP="009D249E">
          <w:pPr>
            <w:pStyle w:val="Original"/>
            <w:rPr>
              <w:color w:val="010000"/>
            </w:rPr>
          </w:pPr>
          <w:r>
            <w:rPr>
              <w:color w:val="010000"/>
            </w:rPr>
            <w:t>Original: French</w:t>
          </w:r>
        </w:p>
        <w:p w:rsidR="009D249E" w:rsidRPr="009D249E" w:rsidRDefault="009D249E" w:rsidP="009D249E"/>
      </w:tc>
    </w:tr>
  </w:tbl>
  <w:p w:rsidR="009D249E" w:rsidRPr="009D249E" w:rsidRDefault="009D249E" w:rsidP="009D249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120"/>
  <w:displayHorizontalDrawingGridEvery w:val="2"/>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786*"/>
    <w:docVar w:name="CreationDt" w:val="1/13/2016 3:29: PM"/>
    <w:docVar w:name="DocCategory" w:val="Doc"/>
    <w:docVar w:name="DocType" w:val="Final"/>
    <w:docVar w:name="DutyStation" w:val="Geneva"/>
    <w:docVar w:name="FooterJN" w:val="GE.15-22786"/>
    <w:docVar w:name="jobn" w:val="GE.15-22786 (E)"/>
    <w:docVar w:name="jobnDT" w:val="GE.15-22786 (E)   130116"/>
    <w:docVar w:name="jobnDTDT" w:val="GE. 15-22786 (E)   130116   130116"/>
    <w:docVar w:name="JobNo" w:val="GE.1522786E"/>
    <w:docVar w:name="JobNo2" w:val="16E"/>
    <w:docVar w:name="LocalDrive" w:val="0"/>
    <w:docVar w:name="OandT" w:val="pae"/>
    <w:docVar w:name="PaperSize" w:val="A4"/>
    <w:docVar w:name="sss1" w:val="ECE/TRANS/WP.15/AC.1/2016/14"/>
    <w:docVar w:name="sss2" w:val="-"/>
    <w:docVar w:name="Symbol1" w:val="ECE/TRANS/WP.15/AC.1/2016/14"/>
    <w:docVar w:name="Symbol2" w:val="-"/>
  </w:docVars>
  <w:rsids>
    <w:rsidRoot w:val="007825D7"/>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3427B"/>
    <w:rsid w:val="00041CAB"/>
    <w:rsid w:val="00045DEF"/>
    <w:rsid w:val="000509B8"/>
    <w:rsid w:val="00051981"/>
    <w:rsid w:val="00051D6F"/>
    <w:rsid w:val="00054828"/>
    <w:rsid w:val="00056CC8"/>
    <w:rsid w:val="00057F15"/>
    <w:rsid w:val="00057FD3"/>
    <w:rsid w:val="00060FB4"/>
    <w:rsid w:val="00062E0F"/>
    <w:rsid w:val="00070481"/>
    <w:rsid w:val="00073B00"/>
    <w:rsid w:val="00074E84"/>
    <w:rsid w:val="00075E3E"/>
    <w:rsid w:val="00076459"/>
    <w:rsid w:val="0007729C"/>
    <w:rsid w:val="00077C68"/>
    <w:rsid w:val="00077DB0"/>
    <w:rsid w:val="00080953"/>
    <w:rsid w:val="00081CC0"/>
    <w:rsid w:val="000873DA"/>
    <w:rsid w:val="0009142F"/>
    <w:rsid w:val="000930EA"/>
    <w:rsid w:val="00095653"/>
    <w:rsid w:val="00096611"/>
    <w:rsid w:val="000A1401"/>
    <w:rsid w:val="000A2669"/>
    <w:rsid w:val="000B2AB1"/>
    <w:rsid w:val="000B6F32"/>
    <w:rsid w:val="000B7349"/>
    <w:rsid w:val="000C30BC"/>
    <w:rsid w:val="000C49BE"/>
    <w:rsid w:val="000C676D"/>
    <w:rsid w:val="000C7156"/>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44F"/>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375F"/>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1759E"/>
    <w:rsid w:val="00425258"/>
    <w:rsid w:val="00434183"/>
    <w:rsid w:val="00436FEA"/>
    <w:rsid w:val="004411C5"/>
    <w:rsid w:val="00441580"/>
    <w:rsid w:val="00441EF4"/>
    <w:rsid w:val="004423AB"/>
    <w:rsid w:val="004427F1"/>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3E3F"/>
    <w:rsid w:val="00494C70"/>
    <w:rsid w:val="00496B26"/>
    <w:rsid w:val="00497BF5"/>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5DF5"/>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684"/>
    <w:rsid w:val="005C493E"/>
    <w:rsid w:val="005C5A80"/>
    <w:rsid w:val="005C639D"/>
    <w:rsid w:val="005C76B7"/>
    <w:rsid w:val="005D0BE5"/>
    <w:rsid w:val="005D1801"/>
    <w:rsid w:val="005D3D41"/>
    <w:rsid w:val="005D7A0E"/>
    <w:rsid w:val="005E0744"/>
    <w:rsid w:val="005E0C30"/>
    <w:rsid w:val="005E125B"/>
    <w:rsid w:val="005E360C"/>
    <w:rsid w:val="005F03CA"/>
    <w:rsid w:val="005F333C"/>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5073"/>
    <w:rsid w:val="006165A5"/>
    <w:rsid w:val="00617904"/>
    <w:rsid w:val="006208E6"/>
    <w:rsid w:val="00620A95"/>
    <w:rsid w:val="0062207B"/>
    <w:rsid w:val="006242A5"/>
    <w:rsid w:val="006246A9"/>
    <w:rsid w:val="0062527E"/>
    <w:rsid w:val="0062701D"/>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25D7"/>
    <w:rsid w:val="00783F24"/>
    <w:rsid w:val="0078480B"/>
    <w:rsid w:val="007877AD"/>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54"/>
    <w:rsid w:val="007C29F7"/>
    <w:rsid w:val="007C3EEC"/>
    <w:rsid w:val="007C5499"/>
    <w:rsid w:val="007C5AD3"/>
    <w:rsid w:val="007C78B7"/>
    <w:rsid w:val="007D2E6A"/>
    <w:rsid w:val="007D586B"/>
    <w:rsid w:val="007D5AC2"/>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8001DC"/>
    <w:rsid w:val="00802C43"/>
    <w:rsid w:val="0080697C"/>
    <w:rsid w:val="00810F2C"/>
    <w:rsid w:val="00812539"/>
    <w:rsid w:val="008134C8"/>
    <w:rsid w:val="00816CF9"/>
    <w:rsid w:val="00826ECD"/>
    <w:rsid w:val="00827519"/>
    <w:rsid w:val="00835605"/>
    <w:rsid w:val="00835A0F"/>
    <w:rsid w:val="00836679"/>
    <w:rsid w:val="00837F18"/>
    <w:rsid w:val="00843AC5"/>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AA2"/>
    <w:rsid w:val="00875D2D"/>
    <w:rsid w:val="0088069E"/>
    <w:rsid w:val="00880CB5"/>
    <w:rsid w:val="00882652"/>
    <w:rsid w:val="00884D77"/>
    <w:rsid w:val="008858E6"/>
    <w:rsid w:val="00885F41"/>
    <w:rsid w:val="008915FF"/>
    <w:rsid w:val="00891DB1"/>
    <w:rsid w:val="00895AA1"/>
    <w:rsid w:val="00896C72"/>
    <w:rsid w:val="00897067"/>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D717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249E"/>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4708"/>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137"/>
    <w:rsid w:val="00CD7F8F"/>
    <w:rsid w:val="00CE1B29"/>
    <w:rsid w:val="00CE29C5"/>
    <w:rsid w:val="00CE3C21"/>
    <w:rsid w:val="00CF08B0"/>
    <w:rsid w:val="00CF2576"/>
    <w:rsid w:val="00CF5802"/>
    <w:rsid w:val="00CF734C"/>
    <w:rsid w:val="00CF76C2"/>
    <w:rsid w:val="00D048A7"/>
    <w:rsid w:val="00D05543"/>
    <w:rsid w:val="00D05C08"/>
    <w:rsid w:val="00D13BFB"/>
    <w:rsid w:val="00D151CD"/>
    <w:rsid w:val="00D16C00"/>
    <w:rsid w:val="00D16F66"/>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5591C"/>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2F7A"/>
    <w:rsid w:val="00DD53BD"/>
    <w:rsid w:val="00DE0C29"/>
    <w:rsid w:val="00DF27DD"/>
    <w:rsid w:val="00E02BE4"/>
    <w:rsid w:val="00E049B4"/>
    <w:rsid w:val="00E0514B"/>
    <w:rsid w:val="00E05A3F"/>
    <w:rsid w:val="00E05FB1"/>
    <w:rsid w:val="00E06DAD"/>
    <w:rsid w:val="00E103B0"/>
    <w:rsid w:val="00E1107B"/>
    <w:rsid w:val="00E147DD"/>
    <w:rsid w:val="00E16E00"/>
    <w:rsid w:val="00E2569F"/>
    <w:rsid w:val="00E26A38"/>
    <w:rsid w:val="00E26E2E"/>
    <w:rsid w:val="00E33FE5"/>
    <w:rsid w:val="00E34A2A"/>
    <w:rsid w:val="00E35AF0"/>
    <w:rsid w:val="00E35DE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20BE3"/>
    <w:rsid w:val="00F20E96"/>
    <w:rsid w:val="00F25A51"/>
    <w:rsid w:val="00F260C9"/>
    <w:rsid w:val="00F26656"/>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6C37"/>
    <w:rsid w:val="00F9791A"/>
    <w:rsid w:val="00FA02D8"/>
    <w:rsid w:val="00FA0BA7"/>
    <w:rsid w:val="00FA2355"/>
    <w:rsid w:val="00FA2933"/>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2F0"/>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4_GR,Footnote Reference/"/>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5_GR"/>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9D249E"/>
    <w:pPr>
      <w:spacing w:line="240" w:lineRule="auto"/>
    </w:pPr>
  </w:style>
  <w:style w:type="character" w:customStyle="1" w:styleId="CommentTextChar">
    <w:name w:val="Comment Text Char"/>
    <w:basedOn w:val="DefaultParagraphFont"/>
    <w:link w:val="CommentText"/>
    <w:rsid w:val="009D249E"/>
    <w:rPr>
      <w:spacing w:val="4"/>
      <w:w w:val="103"/>
      <w:kern w:val="14"/>
      <w:lang w:val="en-GB"/>
    </w:rPr>
  </w:style>
  <w:style w:type="paragraph" w:styleId="CommentSubject">
    <w:name w:val="annotation subject"/>
    <w:basedOn w:val="CommentText"/>
    <w:next w:val="CommentText"/>
    <w:link w:val="CommentSubjectChar"/>
    <w:rsid w:val="009D249E"/>
    <w:rPr>
      <w:b/>
      <w:bCs/>
    </w:rPr>
  </w:style>
  <w:style w:type="character" w:customStyle="1" w:styleId="CommentSubjectChar">
    <w:name w:val="Comment Subject Char"/>
    <w:basedOn w:val="CommentTextChar"/>
    <w:link w:val="CommentSubject"/>
    <w:rsid w:val="009D249E"/>
    <w:rPr>
      <w:b/>
      <w:bCs/>
      <w:spacing w:val="4"/>
      <w:w w:val="103"/>
      <w:kern w:val="14"/>
      <w:lang w:val="en-GB"/>
    </w:rPr>
  </w:style>
  <w:style w:type="paragraph" w:customStyle="1" w:styleId="SingleTxtG">
    <w:name w:val="_ Single Txt_G"/>
    <w:basedOn w:val="Normal"/>
    <w:qFormat/>
    <w:rsid w:val="004427F1"/>
    <w:pPr>
      <w:spacing w:after="120" w:line="240" w:lineRule="atLeast"/>
      <w:ind w:left="1134" w:right="1134"/>
      <w:jc w:val="both"/>
    </w:pPr>
    <w:rPr>
      <w:rFonts w:eastAsia="Times New Roman"/>
      <w:spacing w:val="0"/>
      <w:w w:val="100"/>
      <w:kern w:val="0"/>
      <w:lang w:eastAsia="en-US"/>
    </w:rPr>
  </w:style>
  <w:style w:type="character" w:customStyle="1" w:styleId="FootnoteTextChar">
    <w:name w:val="Footnote Text Char"/>
    <w:aliases w:val="5_G Char,5_GR Char"/>
    <w:basedOn w:val="DefaultParagraphFont"/>
    <w:link w:val="FootnoteText"/>
    <w:rsid w:val="00D16F66"/>
    <w:rPr>
      <w:spacing w:val="5"/>
      <w:w w:val="103"/>
      <w:kern w:val="14"/>
      <w:sz w:val="17"/>
      <w:lang w:val="en-GB"/>
    </w:rPr>
  </w:style>
  <w:style w:type="paragraph" w:customStyle="1" w:styleId="HChG">
    <w:name w:val="_ H _Ch_G"/>
    <w:basedOn w:val="Normal"/>
    <w:next w:val="Normal"/>
    <w:link w:val="HChGChar"/>
    <w:uiPriority w:val="99"/>
    <w:qFormat/>
    <w:rsid w:val="002F375F"/>
    <w:pPr>
      <w:keepNext/>
      <w:keepLines/>
      <w:tabs>
        <w:tab w:val="right" w:pos="851"/>
      </w:tabs>
      <w:spacing w:before="360" w:after="240" w:line="300" w:lineRule="exact"/>
      <w:ind w:left="1134" w:right="1134" w:hanging="1134"/>
    </w:pPr>
    <w:rPr>
      <w:rFonts w:eastAsia="Times New Roman"/>
      <w:b/>
      <w:spacing w:val="0"/>
      <w:w w:val="100"/>
      <w:kern w:val="0"/>
      <w:sz w:val="28"/>
      <w:lang w:eastAsia="en-US"/>
    </w:rPr>
  </w:style>
  <w:style w:type="character" w:customStyle="1" w:styleId="HChGChar">
    <w:name w:val="_ H _Ch_G Char"/>
    <w:link w:val="HChG"/>
    <w:locked/>
    <w:rsid w:val="002F375F"/>
    <w:rPr>
      <w:rFonts w:eastAsia="Times New Roman"/>
      <w:b/>
      <w:sz w:val="28"/>
      <w:lang w:val="en-GB" w:eastAsia="en-US"/>
    </w:rPr>
  </w:style>
  <w:style w:type="paragraph" w:styleId="ListParagraph">
    <w:name w:val="List Paragraph"/>
    <w:basedOn w:val="Normal"/>
    <w:uiPriority w:val="99"/>
    <w:qFormat/>
    <w:rsid w:val="002F375F"/>
    <w:pPr>
      <w:spacing w:after="160" w:line="254" w:lineRule="auto"/>
      <w:ind w:left="720"/>
      <w:contextualSpacing/>
    </w:pPr>
    <w:rPr>
      <w:rFonts w:ascii="Calibri" w:eastAsia="Times New Roman" w:hAnsi="Calibri" w:cs="Calibri"/>
      <w:spacing w:val="0"/>
      <w:w w:val="100"/>
      <w:kern w:val="0"/>
      <w:sz w:val="22"/>
      <w:szCs w:val="22"/>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2F0"/>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4_GR,Footnote Reference/"/>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5_GR"/>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9D249E"/>
    <w:pPr>
      <w:spacing w:line="240" w:lineRule="auto"/>
    </w:pPr>
  </w:style>
  <w:style w:type="character" w:customStyle="1" w:styleId="CommentTextChar">
    <w:name w:val="Comment Text Char"/>
    <w:basedOn w:val="DefaultParagraphFont"/>
    <w:link w:val="CommentText"/>
    <w:rsid w:val="009D249E"/>
    <w:rPr>
      <w:spacing w:val="4"/>
      <w:w w:val="103"/>
      <w:kern w:val="14"/>
      <w:lang w:val="en-GB"/>
    </w:rPr>
  </w:style>
  <w:style w:type="paragraph" w:styleId="CommentSubject">
    <w:name w:val="annotation subject"/>
    <w:basedOn w:val="CommentText"/>
    <w:next w:val="CommentText"/>
    <w:link w:val="CommentSubjectChar"/>
    <w:rsid w:val="009D249E"/>
    <w:rPr>
      <w:b/>
      <w:bCs/>
    </w:rPr>
  </w:style>
  <w:style w:type="character" w:customStyle="1" w:styleId="CommentSubjectChar">
    <w:name w:val="Comment Subject Char"/>
    <w:basedOn w:val="CommentTextChar"/>
    <w:link w:val="CommentSubject"/>
    <w:rsid w:val="009D249E"/>
    <w:rPr>
      <w:b/>
      <w:bCs/>
      <w:spacing w:val="4"/>
      <w:w w:val="103"/>
      <w:kern w:val="14"/>
      <w:lang w:val="en-GB"/>
    </w:rPr>
  </w:style>
  <w:style w:type="paragraph" w:customStyle="1" w:styleId="SingleTxtG">
    <w:name w:val="_ Single Txt_G"/>
    <w:basedOn w:val="Normal"/>
    <w:qFormat/>
    <w:rsid w:val="004427F1"/>
    <w:pPr>
      <w:spacing w:after="120" w:line="240" w:lineRule="atLeast"/>
      <w:ind w:left="1134" w:right="1134"/>
      <w:jc w:val="both"/>
    </w:pPr>
    <w:rPr>
      <w:rFonts w:eastAsia="Times New Roman"/>
      <w:spacing w:val="0"/>
      <w:w w:val="100"/>
      <w:kern w:val="0"/>
      <w:lang w:eastAsia="en-US"/>
    </w:rPr>
  </w:style>
  <w:style w:type="character" w:customStyle="1" w:styleId="FootnoteTextChar">
    <w:name w:val="Footnote Text Char"/>
    <w:aliases w:val="5_G Char,5_GR Char"/>
    <w:basedOn w:val="DefaultParagraphFont"/>
    <w:link w:val="FootnoteText"/>
    <w:rsid w:val="00D16F66"/>
    <w:rPr>
      <w:spacing w:val="5"/>
      <w:w w:val="103"/>
      <w:kern w:val="14"/>
      <w:sz w:val="17"/>
      <w:lang w:val="en-GB"/>
    </w:rPr>
  </w:style>
  <w:style w:type="paragraph" w:customStyle="1" w:styleId="HChG">
    <w:name w:val="_ H _Ch_G"/>
    <w:basedOn w:val="Normal"/>
    <w:next w:val="Normal"/>
    <w:link w:val="HChGChar"/>
    <w:uiPriority w:val="99"/>
    <w:qFormat/>
    <w:rsid w:val="002F375F"/>
    <w:pPr>
      <w:keepNext/>
      <w:keepLines/>
      <w:tabs>
        <w:tab w:val="right" w:pos="851"/>
      </w:tabs>
      <w:spacing w:before="360" w:after="240" w:line="300" w:lineRule="exact"/>
      <w:ind w:left="1134" w:right="1134" w:hanging="1134"/>
    </w:pPr>
    <w:rPr>
      <w:rFonts w:eastAsia="Times New Roman"/>
      <w:b/>
      <w:spacing w:val="0"/>
      <w:w w:val="100"/>
      <w:kern w:val="0"/>
      <w:sz w:val="28"/>
      <w:lang w:eastAsia="en-US"/>
    </w:rPr>
  </w:style>
  <w:style w:type="character" w:customStyle="1" w:styleId="HChGChar">
    <w:name w:val="_ H _Ch_G Char"/>
    <w:link w:val="HChG"/>
    <w:locked/>
    <w:rsid w:val="002F375F"/>
    <w:rPr>
      <w:rFonts w:eastAsia="Times New Roman"/>
      <w:b/>
      <w:sz w:val="28"/>
      <w:lang w:val="en-GB" w:eastAsia="en-US"/>
    </w:rPr>
  </w:style>
  <w:style w:type="paragraph" w:styleId="ListParagraph">
    <w:name w:val="List Paragraph"/>
    <w:basedOn w:val="Normal"/>
    <w:uiPriority w:val="99"/>
    <w:qFormat/>
    <w:rsid w:val="002F375F"/>
    <w:pPr>
      <w:spacing w:after="160" w:line="254" w:lineRule="auto"/>
      <w:ind w:left="720"/>
      <w:contextualSpacing/>
    </w:pPr>
    <w:rPr>
      <w:rFonts w:ascii="Calibri" w:eastAsia="Times New Roman" w:hAnsi="Calibri" w:cs="Calibri"/>
      <w:spacing w:val="0"/>
      <w:w w:val="100"/>
      <w:kern w:val="0"/>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A5CF4-B5AD-4B8D-A630-E83102EF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Escalante</dc:creator>
  <cp:lastModifiedBy>barrio-champeau</cp:lastModifiedBy>
  <cp:revision>3</cp:revision>
  <cp:lastPrinted>2016-01-20T13:01:00Z</cp:lastPrinted>
  <dcterms:created xsi:type="dcterms:W3CDTF">2016-01-20T13:01:00Z</dcterms:created>
  <dcterms:modified xsi:type="dcterms:W3CDTF">2016-01-20T13:01:00Z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1522786</vt:lpwstr>
  </property>
  <property fmtid="{D5CDD505-2E9C-101B-9397-08002B2CF9AE}" pid="3" name="ODSRefJobNo">
    <vt:lpwstr>16E</vt:lpwstr>
  </property>
  <property fmtid="{D5CDD505-2E9C-101B-9397-08002B2CF9AE}" pid="4" name="Symbol1">
    <vt:lpwstr>ECE/TRANS/WP.15/AC.1/2016/14</vt:lpwstr>
  </property>
  <property fmtid="{D5CDD505-2E9C-101B-9397-08002B2CF9AE}" pid="5" name="Symbol2">
    <vt:lpwstr/>
  </property>
  <property fmtid="{D5CDD505-2E9C-101B-9397-08002B2CF9AE}" pid="6" name="Translator">
    <vt:lpwstr/>
  </property>
  <property fmtid="{D5CDD505-2E9C-101B-9397-08002B2CF9AE}" pid="7" name="Operator">
    <vt:lpwstr>pae</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23 December 2015</vt:lpwstr>
  </property>
  <property fmtid="{D5CDD505-2E9C-101B-9397-08002B2CF9AE}" pid="12" name="Original">
    <vt:lpwstr>French</vt:lpwstr>
  </property>
  <property fmtid="{D5CDD505-2E9C-101B-9397-08002B2CF9AE}" pid="13" name="Release Date">
    <vt:lpwstr>130116</vt:lpwstr>
  </property>
</Properties>
</file>