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1276"/>
        <w:gridCol w:w="2268"/>
        <w:gridCol w:w="3260"/>
        <w:gridCol w:w="2977"/>
      </w:tblGrid>
      <w:tr w:rsidR="003D1DF3" w:rsidRPr="00144F2B" w:rsidTr="00E44A3C">
        <w:trPr>
          <w:trHeight w:hRule="exact" w:val="851"/>
        </w:trPr>
        <w:tc>
          <w:tcPr>
            <w:tcW w:w="1276" w:type="dxa"/>
            <w:tcBorders>
              <w:bottom w:val="single" w:sz="4" w:space="0" w:color="auto"/>
            </w:tcBorders>
          </w:tcPr>
          <w:p w:rsidR="003D1DF3" w:rsidRPr="00144F2B" w:rsidRDefault="003D1DF3" w:rsidP="00F01516"/>
        </w:tc>
        <w:tc>
          <w:tcPr>
            <w:tcW w:w="2268" w:type="dxa"/>
            <w:tcBorders>
              <w:bottom w:val="single" w:sz="4" w:space="0" w:color="auto"/>
            </w:tcBorders>
            <w:vAlign w:val="bottom"/>
          </w:tcPr>
          <w:p w:rsidR="003D1DF3" w:rsidRPr="00144F2B" w:rsidRDefault="003D1DF3" w:rsidP="00F01516">
            <w:pPr>
              <w:spacing w:after="80" w:line="300" w:lineRule="exact"/>
              <w:rPr>
                <w:sz w:val="28"/>
              </w:rPr>
            </w:pPr>
            <w:r w:rsidRPr="00144F2B">
              <w:rPr>
                <w:sz w:val="28"/>
              </w:rPr>
              <w:t>Nations Unies</w:t>
            </w:r>
          </w:p>
        </w:tc>
        <w:tc>
          <w:tcPr>
            <w:tcW w:w="6237" w:type="dxa"/>
            <w:gridSpan w:val="2"/>
            <w:tcBorders>
              <w:bottom w:val="single" w:sz="4" w:space="0" w:color="auto"/>
            </w:tcBorders>
            <w:vAlign w:val="bottom"/>
          </w:tcPr>
          <w:p w:rsidR="003D1DF3" w:rsidRPr="00144F2B" w:rsidRDefault="00BC5A6C" w:rsidP="00DE3652">
            <w:pPr>
              <w:jc w:val="right"/>
            </w:pPr>
            <w:r w:rsidRPr="00144F2B">
              <w:rPr>
                <w:sz w:val="40"/>
              </w:rPr>
              <w:t>ECE</w:t>
            </w:r>
            <w:r w:rsidRPr="00144F2B">
              <w:t>/TRANS/WP.15/AC.1/</w:t>
            </w:r>
            <w:r w:rsidR="00A8739F" w:rsidRPr="00144F2B">
              <w:t>1</w:t>
            </w:r>
            <w:r w:rsidR="0078568D">
              <w:t>4</w:t>
            </w:r>
            <w:r w:rsidR="00DE3652">
              <w:t>4</w:t>
            </w:r>
          </w:p>
        </w:tc>
      </w:tr>
      <w:tr w:rsidR="003D1DF3" w:rsidRPr="00144F2B" w:rsidTr="00E44A3C">
        <w:trPr>
          <w:trHeight w:hRule="exact" w:val="2835"/>
        </w:trPr>
        <w:tc>
          <w:tcPr>
            <w:tcW w:w="1276" w:type="dxa"/>
            <w:tcBorders>
              <w:top w:val="single" w:sz="4" w:space="0" w:color="auto"/>
              <w:bottom w:val="single" w:sz="12" w:space="0" w:color="auto"/>
            </w:tcBorders>
          </w:tcPr>
          <w:p w:rsidR="003D1DF3" w:rsidRPr="00144F2B" w:rsidRDefault="00E27F1F" w:rsidP="00F01516">
            <w:pPr>
              <w:spacing w:before="120"/>
              <w:jc w:val="center"/>
            </w:pPr>
            <w:r>
              <w:rPr>
                <w:noProof/>
                <w:lang w:val="en-GB"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144F2B" w:rsidRDefault="003D1DF3" w:rsidP="00F01516">
            <w:pPr>
              <w:spacing w:before="120" w:line="420" w:lineRule="exact"/>
              <w:rPr>
                <w:b/>
                <w:sz w:val="40"/>
                <w:szCs w:val="40"/>
              </w:rPr>
            </w:pPr>
            <w:r w:rsidRPr="00144F2B">
              <w:rPr>
                <w:b/>
                <w:sz w:val="40"/>
                <w:szCs w:val="40"/>
              </w:rPr>
              <w:t>Conseil économique et social</w:t>
            </w:r>
          </w:p>
        </w:tc>
        <w:tc>
          <w:tcPr>
            <w:tcW w:w="2977" w:type="dxa"/>
            <w:tcBorders>
              <w:top w:val="single" w:sz="4" w:space="0" w:color="auto"/>
              <w:bottom w:val="single" w:sz="12" w:space="0" w:color="auto"/>
            </w:tcBorders>
          </w:tcPr>
          <w:p w:rsidR="00BC5A6C" w:rsidRPr="00144F2B" w:rsidRDefault="00D21DEF" w:rsidP="00BC5A6C">
            <w:pPr>
              <w:spacing w:before="240" w:line="240" w:lineRule="exact"/>
            </w:pPr>
            <w:proofErr w:type="spellStart"/>
            <w:r w:rsidRPr="00144F2B">
              <w:t>Distr</w:t>
            </w:r>
            <w:proofErr w:type="spellEnd"/>
            <w:r w:rsidRPr="00144F2B">
              <w:t>. générale</w:t>
            </w:r>
          </w:p>
          <w:p w:rsidR="00BC5A6C" w:rsidRPr="00144F2B" w:rsidRDefault="00C15722" w:rsidP="00BC5A6C">
            <w:pPr>
              <w:spacing w:line="240" w:lineRule="exact"/>
            </w:pPr>
            <w:r>
              <w:t>17</w:t>
            </w:r>
            <w:bookmarkStart w:id="0" w:name="_GoBack"/>
            <w:bookmarkEnd w:id="0"/>
            <w:r w:rsidR="009B2F52">
              <w:t xml:space="preserve"> </w:t>
            </w:r>
            <w:r w:rsidR="007265A1">
              <w:t>octobre</w:t>
            </w:r>
            <w:r w:rsidR="00ED577E">
              <w:t xml:space="preserve"> 201</w:t>
            </w:r>
            <w:r w:rsidR="00DE3652">
              <w:t>6</w:t>
            </w:r>
          </w:p>
          <w:p w:rsidR="00BC5A6C" w:rsidRPr="00144F2B" w:rsidRDefault="001B7B7D" w:rsidP="00BC5A6C">
            <w:pPr>
              <w:spacing w:line="240" w:lineRule="exact"/>
            </w:pPr>
            <w:r w:rsidRPr="00144F2B">
              <w:t>Français</w:t>
            </w:r>
          </w:p>
          <w:p w:rsidR="003D1DF3" w:rsidRPr="00144F2B" w:rsidRDefault="001B7B7D" w:rsidP="00DD1138">
            <w:pPr>
              <w:spacing w:line="240" w:lineRule="exact"/>
            </w:pPr>
            <w:r w:rsidRPr="00144F2B">
              <w:t xml:space="preserve">Original: </w:t>
            </w:r>
            <w:r w:rsidR="00DD1138" w:rsidRPr="00144F2B">
              <w:t xml:space="preserve">français </w:t>
            </w:r>
            <w:r w:rsidR="00DD1138">
              <w:t xml:space="preserve">et anglais </w:t>
            </w:r>
            <w:r w:rsidRPr="00144F2B">
              <w:t xml:space="preserve"> </w:t>
            </w:r>
          </w:p>
        </w:tc>
      </w:tr>
    </w:tbl>
    <w:p w:rsidR="00FF1DBD" w:rsidRPr="00144F2B" w:rsidRDefault="000312C0" w:rsidP="000312C0">
      <w:pPr>
        <w:spacing w:before="120"/>
        <w:rPr>
          <w:b/>
          <w:sz w:val="28"/>
          <w:szCs w:val="28"/>
        </w:rPr>
      </w:pPr>
      <w:r w:rsidRPr="00144F2B">
        <w:rPr>
          <w:b/>
          <w:sz w:val="28"/>
          <w:szCs w:val="28"/>
        </w:rPr>
        <w:t>Commission économique pour l’Europe</w:t>
      </w:r>
    </w:p>
    <w:p w:rsidR="00B93E72" w:rsidRPr="00144F2B" w:rsidRDefault="00B93E72" w:rsidP="00B93E72">
      <w:pPr>
        <w:spacing w:before="120"/>
        <w:rPr>
          <w:sz w:val="28"/>
          <w:szCs w:val="28"/>
        </w:rPr>
      </w:pPr>
      <w:r w:rsidRPr="00144F2B">
        <w:rPr>
          <w:sz w:val="28"/>
          <w:szCs w:val="28"/>
        </w:rPr>
        <w:t>Comité des transports intérieurs</w:t>
      </w:r>
    </w:p>
    <w:p w:rsidR="00B93E72" w:rsidRPr="00144F2B" w:rsidRDefault="00B93E72" w:rsidP="00B93E72">
      <w:pPr>
        <w:spacing w:before="120"/>
        <w:rPr>
          <w:b/>
          <w:sz w:val="24"/>
          <w:szCs w:val="24"/>
        </w:rPr>
      </w:pPr>
      <w:r w:rsidRPr="00144F2B">
        <w:rPr>
          <w:b/>
          <w:sz w:val="24"/>
          <w:szCs w:val="24"/>
        </w:rPr>
        <w:t>Groupe de travail des transports</w:t>
      </w:r>
      <w:r w:rsidR="00F80723" w:rsidRPr="00144F2B">
        <w:rPr>
          <w:b/>
          <w:sz w:val="24"/>
          <w:szCs w:val="24"/>
        </w:rPr>
        <w:t xml:space="preserve"> </w:t>
      </w:r>
      <w:r w:rsidRPr="00144F2B">
        <w:rPr>
          <w:b/>
          <w:sz w:val="24"/>
          <w:szCs w:val="24"/>
        </w:rPr>
        <w:t>de marchandises dangereuses</w:t>
      </w:r>
    </w:p>
    <w:p w:rsidR="00B93E72" w:rsidRPr="00144F2B" w:rsidRDefault="00B93E72" w:rsidP="000837D7">
      <w:pPr>
        <w:spacing w:before="120"/>
        <w:rPr>
          <w:b/>
        </w:rPr>
      </w:pPr>
      <w:r w:rsidRPr="00144F2B">
        <w:rPr>
          <w:b/>
        </w:rPr>
        <w:t>Réunion commune de la Commission d’experts</w:t>
      </w:r>
      <w:r w:rsidR="000837D7">
        <w:rPr>
          <w:b/>
        </w:rPr>
        <w:t xml:space="preserve"> </w:t>
      </w:r>
      <w:r w:rsidRPr="00144F2B">
        <w:rPr>
          <w:b/>
        </w:rPr>
        <w:t>du RID</w:t>
      </w:r>
      <w:r w:rsidR="00926E87" w:rsidRPr="00144F2B">
        <w:rPr>
          <w:b/>
        </w:rPr>
        <w:t xml:space="preserve"> </w:t>
      </w:r>
      <w:r w:rsidR="000837D7">
        <w:rPr>
          <w:b/>
        </w:rPr>
        <w:t>et</w:t>
      </w:r>
      <w:r w:rsidR="000837D7">
        <w:rPr>
          <w:b/>
        </w:rPr>
        <w:br/>
        <w:t xml:space="preserve">du Groupe de </w:t>
      </w:r>
      <w:r w:rsidRPr="00144F2B">
        <w:rPr>
          <w:b/>
        </w:rPr>
        <w:t>travail</w:t>
      </w:r>
      <w:r w:rsidR="003D76E4" w:rsidRPr="00144F2B">
        <w:rPr>
          <w:b/>
        </w:rPr>
        <w:t xml:space="preserve"> </w:t>
      </w:r>
      <w:r w:rsidRPr="00144F2B">
        <w:rPr>
          <w:b/>
        </w:rPr>
        <w:t>des transports</w:t>
      </w:r>
      <w:r w:rsidR="000837D7">
        <w:rPr>
          <w:b/>
        </w:rPr>
        <w:t xml:space="preserve"> </w:t>
      </w:r>
      <w:r w:rsidRPr="00144F2B">
        <w:rPr>
          <w:b/>
        </w:rPr>
        <w:t>de marchandises dangereuses</w:t>
      </w:r>
    </w:p>
    <w:p w:rsidR="00BF06B0" w:rsidRPr="00FE33F3" w:rsidRDefault="00440A62" w:rsidP="004B6AAD">
      <w:pPr>
        <w:pStyle w:val="HChG"/>
        <w:spacing w:after="120"/>
        <w:rPr>
          <w:b w:val="0"/>
        </w:rPr>
      </w:pPr>
      <w:r w:rsidRPr="00144F2B">
        <w:rPr>
          <w:bCs/>
        </w:rPr>
        <w:tab/>
      </w:r>
      <w:r w:rsidRPr="00144F2B">
        <w:rPr>
          <w:bCs/>
        </w:rPr>
        <w:tab/>
        <w:t>Rappo</w:t>
      </w:r>
      <w:r w:rsidR="00155707" w:rsidRPr="00144F2B">
        <w:rPr>
          <w:bCs/>
        </w:rPr>
        <w:t>rt de la Réunion commune de la C</w:t>
      </w:r>
      <w:r w:rsidRPr="00144F2B">
        <w:rPr>
          <w:bCs/>
        </w:rPr>
        <w:t>ommission d'experts du R</w:t>
      </w:r>
      <w:r w:rsidR="00B54E27" w:rsidRPr="00144F2B">
        <w:rPr>
          <w:bCs/>
        </w:rPr>
        <w:t>ID et du Groupe de travail des t</w:t>
      </w:r>
      <w:r w:rsidRPr="00144F2B">
        <w:rPr>
          <w:bCs/>
        </w:rPr>
        <w:t>ransports de marchandises dan</w:t>
      </w:r>
      <w:r w:rsidR="00B54E27" w:rsidRPr="00144F2B">
        <w:rPr>
          <w:bCs/>
        </w:rPr>
        <w:t>gereuses sur s</w:t>
      </w:r>
      <w:r w:rsidRPr="00144F2B">
        <w:rPr>
          <w:bCs/>
        </w:rPr>
        <w:t>a session</w:t>
      </w:r>
      <w:r w:rsidR="00B54E27" w:rsidRPr="00144F2B">
        <w:rPr>
          <w:bCs/>
        </w:rPr>
        <w:t xml:space="preserve"> </w:t>
      </w:r>
      <w:r w:rsidR="00AE7DA5">
        <w:rPr>
          <w:bCs/>
        </w:rPr>
        <w:t xml:space="preserve">d’automne </w:t>
      </w:r>
      <w:r w:rsidR="00147716">
        <w:rPr>
          <w:bCs/>
        </w:rPr>
        <w:t>201</w:t>
      </w:r>
      <w:r w:rsidR="00541847">
        <w:rPr>
          <w:bCs/>
        </w:rPr>
        <w:t>6</w:t>
      </w:r>
      <w:r w:rsidR="004F44BD">
        <w:rPr>
          <w:rStyle w:val="FootnoteReference"/>
          <w:bCs/>
        </w:rPr>
        <w:footnoteReference w:id="2"/>
      </w:r>
    </w:p>
    <w:p w:rsidR="00BC5A6C" w:rsidRPr="00144F2B" w:rsidRDefault="004E302B" w:rsidP="004E302B">
      <w:pPr>
        <w:pStyle w:val="H56G"/>
      </w:pPr>
      <w:r w:rsidRPr="00144F2B">
        <w:tab/>
      </w:r>
      <w:r w:rsidRPr="00144F2B">
        <w:tab/>
      </w:r>
      <w:proofErr w:type="gramStart"/>
      <w:r w:rsidRPr="00144F2B">
        <w:t>tenue</w:t>
      </w:r>
      <w:proofErr w:type="gramEnd"/>
      <w:r w:rsidRPr="00144F2B">
        <w:t xml:space="preserve"> à </w:t>
      </w:r>
      <w:r w:rsidR="00AE7DA5">
        <w:t>Genève</w:t>
      </w:r>
      <w:r w:rsidR="00A8739F" w:rsidRPr="00144F2B">
        <w:t xml:space="preserve"> du </w:t>
      </w:r>
      <w:r w:rsidR="009E2601">
        <w:t>1</w:t>
      </w:r>
      <w:r w:rsidR="00DE3652">
        <w:t>9</w:t>
      </w:r>
      <w:r w:rsidRPr="00144F2B">
        <w:t xml:space="preserve"> au </w:t>
      </w:r>
      <w:r w:rsidR="0078568D">
        <w:t>2</w:t>
      </w:r>
      <w:r w:rsidR="00DE3652">
        <w:t>3</w:t>
      </w:r>
      <w:r w:rsidR="00A8739F" w:rsidRPr="00144F2B">
        <w:t xml:space="preserve"> </w:t>
      </w:r>
      <w:r w:rsidR="00AE7DA5">
        <w:t>septembre</w:t>
      </w:r>
      <w:r w:rsidR="00A8739F" w:rsidRPr="00144F2B">
        <w:t xml:space="preserve"> 201</w:t>
      </w:r>
      <w:r w:rsidR="00DE3652">
        <w:t>6</w:t>
      </w:r>
    </w:p>
    <w:p w:rsidR="000846A0" w:rsidRPr="00144F2B" w:rsidRDefault="00B54E27" w:rsidP="004B6AAD">
      <w:pPr>
        <w:spacing w:line="120" w:lineRule="atLeast"/>
        <w:outlineLvl w:val="0"/>
        <w:rPr>
          <w:sz w:val="28"/>
        </w:rPr>
      </w:pPr>
      <w:r w:rsidRPr="00144F2B">
        <w:rPr>
          <w:sz w:val="28"/>
        </w:rPr>
        <w:t>Table des m</w:t>
      </w:r>
      <w:r w:rsidR="0001469C" w:rsidRPr="00144F2B">
        <w:rPr>
          <w:sz w:val="28"/>
        </w:rPr>
        <w:t>atières</w:t>
      </w:r>
    </w:p>
    <w:p w:rsidR="001300BA" w:rsidRPr="00FB2CA4" w:rsidRDefault="000846A0" w:rsidP="00503307">
      <w:pPr>
        <w:tabs>
          <w:tab w:val="right" w:pos="8929"/>
          <w:tab w:val="right" w:pos="9638"/>
        </w:tabs>
        <w:spacing w:after="120"/>
        <w:ind w:left="284"/>
        <w:rPr>
          <w:lang w:val="en-GB"/>
        </w:rPr>
      </w:pPr>
      <w:r w:rsidRPr="00144F2B">
        <w:rPr>
          <w:i/>
          <w:sz w:val="18"/>
        </w:rPr>
        <w:tab/>
      </w:r>
      <w:r w:rsidR="001300BA" w:rsidRPr="005D0F9D">
        <w:rPr>
          <w:i/>
          <w:sz w:val="18"/>
        </w:rPr>
        <w:tab/>
      </w:r>
      <w:r w:rsidR="001300BA" w:rsidRPr="00FB2CA4">
        <w:rPr>
          <w:i/>
          <w:sz w:val="18"/>
          <w:lang w:val="en-GB"/>
        </w:rPr>
        <w:t>Paragraphs</w:t>
      </w:r>
      <w:r w:rsidR="001300BA" w:rsidRPr="00FB2CA4">
        <w:rPr>
          <w:i/>
          <w:sz w:val="18"/>
          <w:lang w:val="en-GB"/>
        </w:rPr>
        <w:tab/>
        <w:t>Page</w:t>
      </w:r>
    </w:p>
    <w:p w:rsidR="001300BA" w:rsidRPr="001300BA" w:rsidRDefault="001300BA" w:rsidP="001300BA">
      <w:pPr>
        <w:tabs>
          <w:tab w:val="right" w:pos="850"/>
          <w:tab w:val="left" w:pos="1134"/>
          <w:tab w:val="left" w:pos="1559"/>
          <w:tab w:val="left" w:pos="1984"/>
          <w:tab w:val="left" w:leader="dot" w:pos="7654"/>
          <w:tab w:val="right" w:pos="8929"/>
          <w:tab w:val="right" w:pos="9638"/>
        </w:tabs>
        <w:spacing w:after="120"/>
        <w:rPr>
          <w:lang w:val="fr-FR"/>
        </w:rPr>
      </w:pPr>
      <w:r w:rsidRPr="00FB2CA4">
        <w:rPr>
          <w:lang w:val="en-GB"/>
        </w:rPr>
        <w:tab/>
      </w:r>
      <w:r w:rsidRPr="001300BA">
        <w:rPr>
          <w:lang w:val="fr-FR"/>
        </w:rPr>
        <w:t>I.</w:t>
      </w:r>
      <w:r w:rsidRPr="001300BA">
        <w:rPr>
          <w:lang w:val="fr-FR"/>
        </w:rPr>
        <w:tab/>
      </w:r>
      <w:r w:rsidRPr="007729C1">
        <w:t>P</w:t>
      </w:r>
      <w:r>
        <w:t>articipation</w:t>
      </w:r>
      <w:r w:rsidRPr="001300BA">
        <w:rPr>
          <w:lang w:val="fr-FR"/>
        </w:rPr>
        <w:tab/>
      </w:r>
      <w:r w:rsidRPr="001300BA">
        <w:rPr>
          <w:lang w:val="fr-FR"/>
        </w:rPr>
        <w:tab/>
        <w:t>1-</w:t>
      </w:r>
      <w:r w:rsidR="00B07DC1">
        <w:rPr>
          <w:lang w:val="fr-FR"/>
        </w:rPr>
        <w:t>3</w:t>
      </w:r>
      <w:r w:rsidRPr="001300BA">
        <w:rPr>
          <w:lang w:val="fr-FR"/>
        </w:rPr>
        <w:tab/>
        <w:t>4</w:t>
      </w:r>
    </w:p>
    <w:p w:rsidR="001300BA" w:rsidRPr="001300BA" w:rsidRDefault="001300BA" w:rsidP="001300BA">
      <w:pPr>
        <w:tabs>
          <w:tab w:val="right" w:pos="850"/>
          <w:tab w:val="left" w:pos="1134"/>
          <w:tab w:val="left" w:pos="1559"/>
          <w:tab w:val="left" w:pos="1984"/>
          <w:tab w:val="left" w:leader="dot" w:pos="7654"/>
          <w:tab w:val="right" w:pos="8929"/>
          <w:tab w:val="right" w:pos="9638"/>
        </w:tabs>
        <w:spacing w:after="120"/>
        <w:rPr>
          <w:lang w:val="fr-FR"/>
        </w:rPr>
      </w:pPr>
      <w:r w:rsidRPr="001300BA">
        <w:rPr>
          <w:lang w:val="fr-FR"/>
        </w:rPr>
        <w:tab/>
        <w:t>II.</w:t>
      </w:r>
      <w:r w:rsidRPr="001300BA">
        <w:rPr>
          <w:lang w:val="fr-FR"/>
        </w:rPr>
        <w:tab/>
      </w:r>
      <w:r>
        <w:rPr>
          <w:lang w:val="fr-FR"/>
        </w:rPr>
        <w:t>A</w:t>
      </w:r>
      <w:r w:rsidRPr="001F7089">
        <w:rPr>
          <w:lang w:val="fr-FR"/>
        </w:rPr>
        <w:t xml:space="preserve">doption de l'ordre du jour </w:t>
      </w:r>
      <w:r w:rsidRPr="00C35A40">
        <w:rPr>
          <w:lang w:val="fr-FR"/>
        </w:rPr>
        <w:t>(point 1 de l’ordre du jour)</w:t>
      </w:r>
      <w:r w:rsidRPr="001300BA">
        <w:rPr>
          <w:lang w:val="fr-FR"/>
        </w:rPr>
        <w:tab/>
      </w:r>
      <w:r w:rsidRPr="001300BA">
        <w:rPr>
          <w:lang w:val="fr-FR"/>
        </w:rPr>
        <w:tab/>
      </w:r>
      <w:r w:rsidR="00B07DC1">
        <w:rPr>
          <w:lang w:val="fr-FR"/>
        </w:rPr>
        <w:t>4-</w:t>
      </w:r>
      <w:r w:rsidR="00581C22">
        <w:rPr>
          <w:lang w:val="fr-FR"/>
        </w:rPr>
        <w:t>5</w:t>
      </w:r>
      <w:r w:rsidRPr="001300BA">
        <w:rPr>
          <w:lang w:val="fr-FR"/>
        </w:rPr>
        <w:tab/>
      </w:r>
      <w:r>
        <w:rPr>
          <w:lang w:val="fr-FR"/>
        </w:rPr>
        <w:t>4</w:t>
      </w:r>
    </w:p>
    <w:p w:rsidR="001300BA" w:rsidRDefault="0047747B" w:rsidP="0047747B">
      <w:pPr>
        <w:tabs>
          <w:tab w:val="right" w:pos="850"/>
          <w:tab w:val="left" w:pos="1134"/>
          <w:tab w:val="left" w:pos="1559"/>
          <w:tab w:val="left" w:pos="1984"/>
          <w:tab w:val="left" w:leader="dot" w:pos="7654"/>
          <w:tab w:val="right" w:pos="8929"/>
          <w:tab w:val="right" w:pos="9638"/>
        </w:tabs>
        <w:spacing w:after="120"/>
        <w:ind w:left="1134" w:hanging="1134"/>
        <w:rPr>
          <w:lang w:val="fr-FR"/>
        </w:rPr>
      </w:pPr>
      <w:r>
        <w:rPr>
          <w:lang w:val="en-GB"/>
        </w:rPr>
        <w:tab/>
      </w:r>
      <w:r w:rsidRPr="0047747B">
        <w:t>III.</w:t>
      </w:r>
      <w:r w:rsidRPr="0047747B">
        <w:tab/>
      </w:r>
      <w:r w:rsidR="00B07DC1">
        <w:rPr>
          <w:lang w:val="fr-FR"/>
        </w:rPr>
        <w:t>Citernes</w:t>
      </w:r>
      <w:r w:rsidR="00B07DC1" w:rsidRPr="001F7089">
        <w:rPr>
          <w:lang w:val="fr-FR"/>
        </w:rPr>
        <w:t xml:space="preserve"> </w:t>
      </w:r>
      <w:r w:rsidR="00B07DC1">
        <w:rPr>
          <w:lang w:val="fr-FR"/>
        </w:rPr>
        <w:t>(point 2</w:t>
      </w:r>
      <w:r w:rsidR="00B07DC1" w:rsidRPr="00C35A40">
        <w:rPr>
          <w:lang w:val="fr-FR"/>
        </w:rPr>
        <w:t xml:space="preserve"> de l’ordre du jour)</w:t>
      </w:r>
      <w:r w:rsidR="001300BA" w:rsidRPr="001300BA">
        <w:rPr>
          <w:lang w:val="fr-FR"/>
        </w:rPr>
        <w:tab/>
      </w:r>
      <w:r w:rsidR="001300BA" w:rsidRPr="001300BA">
        <w:rPr>
          <w:lang w:val="fr-FR"/>
        </w:rPr>
        <w:tab/>
      </w:r>
      <w:r w:rsidR="00581C22">
        <w:rPr>
          <w:lang w:val="fr-FR"/>
        </w:rPr>
        <w:t>6</w:t>
      </w:r>
      <w:r w:rsidR="001300BA" w:rsidRPr="001300BA">
        <w:rPr>
          <w:lang w:val="fr-FR"/>
        </w:rPr>
        <w:t>-</w:t>
      </w:r>
      <w:r w:rsidR="00B07DC1">
        <w:rPr>
          <w:lang w:val="fr-FR"/>
        </w:rPr>
        <w:t>13</w:t>
      </w:r>
      <w:r w:rsidR="001300BA" w:rsidRPr="001300BA">
        <w:rPr>
          <w:lang w:val="fr-FR"/>
        </w:rPr>
        <w:tab/>
        <w:t>5</w:t>
      </w:r>
    </w:p>
    <w:p w:rsidR="00581C22" w:rsidRPr="001300BA" w:rsidRDefault="00581C22" w:rsidP="00581C22">
      <w:pPr>
        <w:tabs>
          <w:tab w:val="right" w:pos="850"/>
          <w:tab w:val="left" w:pos="1134"/>
          <w:tab w:val="left" w:pos="1559"/>
          <w:tab w:val="left" w:pos="1984"/>
          <w:tab w:val="left" w:leader="dot" w:pos="7654"/>
          <w:tab w:val="right" w:pos="8929"/>
          <w:tab w:val="right" w:pos="9638"/>
        </w:tabs>
        <w:spacing w:after="120"/>
        <w:ind w:left="1559" w:hanging="1559"/>
        <w:rPr>
          <w:lang w:val="fr-FR"/>
        </w:rPr>
      </w:pPr>
      <w:r>
        <w:rPr>
          <w:lang w:val="fr-FR"/>
        </w:rPr>
        <w:tab/>
      </w:r>
      <w:r>
        <w:rPr>
          <w:lang w:val="fr-FR"/>
        </w:rPr>
        <w:tab/>
      </w:r>
      <w:r w:rsidR="00B07DC1">
        <w:t>Rapport du Groupe de travail sur les citernes</w:t>
      </w:r>
      <w:r>
        <w:tab/>
      </w:r>
      <w:r>
        <w:tab/>
      </w:r>
      <w:r w:rsidR="00B07DC1">
        <w:t>7</w:t>
      </w:r>
      <w:r>
        <w:t>-</w:t>
      </w:r>
      <w:r w:rsidR="00B07DC1">
        <w:t>13</w:t>
      </w:r>
      <w:r>
        <w:tab/>
      </w:r>
      <w:r w:rsidR="00B07DC1">
        <w:t>6</w:t>
      </w:r>
    </w:p>
    <w:p w:rsidR="001300BA" w:rsidRDefault="001300BA" w:rsidP="00581C22">
      <w:pPr>
        <w:tabs>
          <w:tab w:val="right" w:pos="850"/>
          <w:tab w:val="left" w:pos="1134"/>
          <w:tab w:val="left" w:pos="1559"/>
          <w:tab w:val="left" w:leader="dot" w:pos="7654"/>
          <w:tab w:val="right" w:pos="8929"/>
          <w:tab w:val="right" w:pos="9638"/>
        </w:tabs>
        <w:spacing w:after="120"/>
        <w:ind w:left="1134" w:hanging="534"/>
        <w:rPr>
          <w:lang w:val="fr-FR"/>
        </w:rPr>
      </w:pPr>
      <w:r w:rsidRPr="001300BA">
        <w:rPr>
          <w:lang w:val="fr-FR"/>
        </w:rPr>
        <w:tab/>
      </w:r>
      <w:r w:rsidR="00D64435" w:rsidRPr="00D05E17">
        <w:t>IV.</w:t>
      </w:r>
      <w:r w:rsidR="00D64435" w:rsidRPr="00D05E17">
        <w:tab/>
      </w:r>
      <w:r w:rsidR="00B07DC1">
        <w:rPr>
          <w:lang w:val="fr-FR"/>
        </w:rPr>
        <w:t>Normes</w:t>
      </w:r>
      <w:r w:rsidR="00B07DC1" w:rsidRPr="001F7089">
        <w:rPr>
          <w:lang w:val="fr-FR"/>
        </w:rPr>
        <w:t xml:space="preserve"> </w:t>
      </w:r>
      <w:r w:rsidR="00B07DC1">
        <w:rPr>
          <w:lang w:val="fr-FR"/>
        </w:rPr>
        <w:t>(point 3</w:t>
      </w:r>
      <w:r w:rsidR="00B07DC1" w:rsidRPr="00C35A40">
        <w:rPr>
          <w:lang w:val="fr-FR"/>
        </w:rPr>
        <w:t xml:space="preserve"> de l’ordre du jour)</w:t>
      </w:r>
      <w:r w:rsidRPr="00D64435">
        <w:rPr>
          <w:lang w:val="fr-FR"/>
        </w:rPr>
        <w:tab/>
      </w:r>
      <w:r w:rsidRPr="00D64435">
        <w:rPr>
          <w:lang w:val="fr-FR"/>
        </w:rPr>
        <w:tab/>
      </w:r>
      <w:r w:rsidR="00B07DC1">
        <w:rPr>
          <w:lang w:val="fr-FR"/>
        </w:rPr>
        <w:t>14-16</w:t>
      </w:r>
      <w:r w:rsidRPr="00D64435">
        <w:rPr>
          <w:lang w:val="fr-FR"/>
        </w:rPr>
        <w:tab/>
      </w:r>
      <w:r w:rsidR="00B07DC1">
        <w:rPr>
          <w:lang w:val="fr-FR"/>
        </w:rPr>
        <w:t>6</w:t>
      </w:r>
    </w:p>
    <w:p w:rsidR="00DD2276" w:rsidRPr="00A05504" w:rsidRDefault="00DD2276" w:rsidP="00DD2276">
      <w:pPr>
        <w:tabs>
          <w:tab w:val="right" w:pos="850"/>
          <w:tab w:val="left" w:pos="1134"/>
          <w:tab w:val="left" w:pos="1559"/>
          <w:tab w:val="left" w:pos="1984"/>
          <w:tab w:val="left" w:leader="dot" w:pos="7654"/>
          <w:tab w:val="right" w:pos="8929"/>
          <w:tab w:val="right" w:pos="9638"/>
        </w:tabs>
        <w:spacing w:after="120"/>
        <w:ind w:left="1134" w:hanging="1134"/>
        <w:rPr>
          <w:i/>
        </w:rPr>
      </w:pPr>
      <w:r>
        <w:rPr>
          <w:lang w:val="fr-FR"/>
        </w:rPr>
        <w:tab/>
      </w:r>
      <w:r w:rsidRPr="00DD2276">
        <w:t>V.</w:t>
      </w:r>
      <w:r w:rsidRPr="00DD2276">
        <w:tab/>
      </w:r>
      <w:r w:rsidR="00B07DC1">
        <w:rPr>
          <w:lang w:val="fr-FR"/>
        </w:rPr>
        <w:t>Interprétation du RID/ADR/ADN</w:t>
      </w:r>
      <w:r w:rsidR="00B07DC1" w:rsidRPr="001F7089">
        <w:rPr>
          <w:lang w:val="fr-FR"/>
        </w:rPr>
        <w:t xml:space="preserve"> </w:t>
      </w:r>
      <w:r w:rsidR="00B07DC1">
        <w:rPr>
          <w:lang w:val="fr-FR"/>
        </w:rPr>
        <w:t>(point 4</w:t>
      </w:r>
      <w:r w:rsidR="00B07DC1" w:rsidRPr="00C35A40">
        <w:rPr>
          <w:lang w:val="fr-FR"/>
        </w:rPr>
        <w:t xml:space="preserve"> de l’ordre du jour)</w:t>
      </w:r>
      <w:r>
        <w:rPr>
          <w:lang w:val="fr-FR"/>
        </w:rPr>
        <w:tab/>
      </w:r>
      <w:r>
        <w:rPr>
          <w:lang w:val="fr-FR"/>
        </w:rPr>
        <w:tab/>
      </w:r>
      <w:r w:rsidR="00B07DC1">
        <w:rPr>
          <w:lang w:val="fr-FR"/>
        </w:rPr>
        <w:t>17-21</w:t>
      </w:r>
      <w:r>
        <w:rPr>
          <w:lang w:val="fr-FR"/>
        </w:rPr>
        <w:tab/>
      </w:r>
      <w:r w:rsidR="00B07DC1">
        <w:rPr>
          <w:lang w:val="fr-FR"/>
        </w:rPr>
        <w:t>7</w:t>
      </w:r>
    </w:p>
    <w:p w:rsidR="00DD2276" w:rsidRPr="00A05504" w:rsidRDefault="00DD2276" w:rsidP="00DD2276">
      <w:pPr>
        <w:tabs>
          <w:tab w:val="right" w:pos="850"/>
          <w:tab w:val="left" w:pos="1134"/>
          <w:tab w:val="left" w:pos="1559"/>
          <w:tab w:val="left" w:pos="1984"/>
          <w:tab w:val="left" w:leader="dot" w:pos="7654"/>
          <w:tab w:val="right" w:pos="8929"/>
          <w:tab w:val="right" w:pos="9638"/>
        </w:tabs>
        <w:spacing w:after="120"/>
        <w:ind w:left="1559" w:hanging="1559"/>
        <w:rPr>
          <w:i/>
        </w:rPr>
      </w:pPr>
      <w:r>
        <w:tab/>
      </w:r>
      <w:r>
        <w:tab/>
      </w:r>
      <w:r w:rsidRPr="00DD2276">
        <w:rPr>
          <w:lang w:val="fr-FR"/>
        </w:rPr>
        <w:t>A.</w:t>
      </w:r>
      <w:r w:rsidRPr="00DD2276">
        <w:rPr>
          <w:lang w:val="fr-FR"/>
        </w:rPr>
        <w:tab/>
      </w:r>
      <w:r w:rsidR="00B07DC1">
        <w:rPr>
          <w:szCs w:val="24"/>
        </w:rPr>
        <w:t>Indication du nom technique dans le document de transport</w:t>
      </w:r>
      <w:r>
        <w:tab/>
      </w:r>
      <w:r>
        <w:tab/>
      </w:r>
      <w:r w:rsidR="00B07DC1">
        <w:t>17-20</w:t>
      </w:r>
      <w:r>
        <w:tab/>
      </w:r>
      <w:r w:rsidR="00B07DC1">
        <w:t>7</w:t>
      </w:r>
    </w:p>
    <w:p w:rsidR="00DD2276" w:rsidRPr="00E91043" w:rsidRDefault="00DD2276" w:rsidP="00DD2276">
      <w:pPr>
        <w:tabs>
          <w:tab w:val="right" w:pos="850"/>
          <w:tab w:val="left" w:pos="1134"/>
          <w:tab w:val="left" w:pos="1559"/>
          <w:tab w:val="left" w:pos="1984"/>
          <w:tab w:val="left" w:leader="dot" w:pos="7654"/>
          <w:tab w:val="right" w:pos="8929"/>
          <w:tab w:val="right" w:pos="9638"/>
        </w:tabs>
        <w:spacing w:after="120"/>
        <w:ind w:left="1559" w:hanging="1559"/>
      </w:pPr>
      <w:r>
        <w:tab/>
      </w:r>
      <w:r>
        <w:tab/>
      </w:r>
      <w:r w:rsidRPr="00DD2276">
        <w:rPr>
          <w:lang w:val="fr-FR"/>
        </w:rPr>
        <w:t>B.</w:t>
      </w:r>
      <w:r w:rsidRPr="00DD2276">
        <w:rPr>
          <w:lang w:val="fr-FR"/>
        </w:rPr>
        <w:tab/>
      </w:r>
      <w:r w:rsidR="00B07DC1">
        <w:t>Dispositions transitoires 1.6.2.13 et 1.6.2.15</w:t>
      </w:r>
      <w:r>
        <w:rPr>
          <w:lang w:val="fr-FR"/>
        </w:rPr>
        <w:tab/>
      </w:r>
      <w:r>
        <w:rPr>
          <w:lang w:val="fr-FR"/>
        </w:rPr>
        <w:tab/>
      </w:r>
      <w:r w:rsidR="00B07DC1">
        <w:rPr>
          <w:lang w:val="fr-FR"/>
        </w:rPr>
        <w:t>21</w:t>
      </w:r>
      <w:r>
        <w:rPr>
          <w:lang w:val="fr-FR"/>
        </w:rPr>
        <w:tab/>
      </w:r>
      <w:r w:rsidR="00B07DC1">
        <w:rPr>
          <w:lang w:val="fr-FR"/>
        </w:rPr>
        <w:t>7</w:t>
      </w:r>
    </w:p>
    <w:p w:rsidR="00C72098" w:rsidRDefault="00C72098" w:rsidP="00C72098">
      <w:pPr>
        <w:tabs>
          <w:tab w:val="right" w:pos="850"/>
          <w:tab w:val="left" w:pos="1134"/>
          <w:tab w:val="left" w:pos="1559"/>
          <w:tab w:val="left" w:pos="1984"/>
          <w:tab w:val="left" w:leader="dot" w:pos="7654"/>
          <w:tab w:val="right" w:pos="8929"/>
          <w:tab w:val="right" w:pos="9638"/>
        </w:tabs>
        <w:spacing w:after="120"/>
        <w:ind w:left="1134" w:hanging="1134"/>
        <w:rPr>
          <w:lang w:val="fr-FR"/>
        </w:rPr>
      </w:pPr>
      <w:r>
        <w:rPr>
          <w:lang w:val="fr-FR"/>
        </w:rPr>
        <w:tab/>
        <w:t>VI.</w:t>
      </w:r>
      <w:r>
        <w:rPr>
          <w:lang w:val="fr-FR"/>
        </w:rPr>
        <w:tab/>
      </w:r>
      <w:r w:rsidR="00B07DC1">
        <w:rPr>
          <w:lang w:val="fr-FR"/>
        </w:rPr>
        <w:t>Propositions d’amendements au RID/ADR/ADN</w:t>
      </w:r>
      <w:r w:rsidR="00B07DC1" w:rsidRPr="001F7089">
        <w:rPr>
          <w:lang w:val="fr-FR"/>
        </w:rPr>
        <w:t xml:space="preserve"> </w:t>
      </w:r>
      <w:r w:rsidR="00B07DC1">
        <w:rPr>
          <w:lang w:val="fr-FR"/>
        </w:rPr>
        <w:t>(point 5</w:t>
      </w:r>
      <w:r w:rsidR="00B07DC1" w:rsidRPr="00C35A40">
        <w:rPr>
          <w:lang w:val="fr-FR"/>
        </w:rPr>
        <w:t xml:space="preserve"> de l’ordre du jour)</w:t>
      </w:r>
      <w:r>
        <w:rPr>
          <w:lang w:val="fr-FR"/>
        </w:rPr>
        <w:tab/>
      </w:r>
      <w:r>
        <w:rPr>
          <w:lang w:val="fr-FR"/>
        </w:rPr>
        <w:tab/>
      </w:r>
      <w:r w:rsidR="00B07DC1">
        <w:rPr>
          <w:lang w:val="fr-FR"/>
        </w:rPr>
        <w:t>22-48</w:t>
      </w:r>
      <w:r>
        <w:rPr>
          <w:lang w:val="fr-FR"/>
        </w:rPr>
        <w:tab/>
      </w:r>
      <w:r w:rsidR="009D5E80">
        <w:rPr>
          <w:lang w:val="fr-FR"/>
        </w:rPr>
        <w:t>8</w:t>
      </w:r>
    </w:p>
    <w:p w:rsidR="00B07DC1" w:rsidRDefault="00B07DC1" w:rsidP="00B07DC1">
      <w:pPr>
        <w:tabs>
          <w:tab w:val="right" w:pos="850"/>
          <w:tab w:val="left" w:pos="1134"/>
          <w:tab w:val="left" w:pos="1559"/>
          <w:tab w:val="left" w:pos="1984"/>
          <w:tab w:val="left" w:leader="dot" w:pos="7654"/>
          <w:tab w:val="right" w:pos="8929"/>
          <w:tab w:val="right" w:pos="9638"/>
        </w:tabs>
        <w:spacing w:after="120"/>
        <w:ind w:left="1559" w:hanging="1559"/>
      </w:pPr>
      <w:r>
        <w:tab/>
      </w:r>
      <w:r>
        <w:tab/>
      </w:r>
      <w:r w:rsidRPr="00DD2276">
        <w:rPr>
          <w:lang w:val="fr-FR"/>
        </w:rPr>
        <w:t>A.</w:t>
      </w:r>
      <w:r w:rsidRPr="00DD2276">
        <w:rPr>
          <w:lang w:val="fr-FR"/>
        </w:rPr>
        <w:tab/>
      </w:r>
      <w:r>
        <w:t>Questions en suspens</w:t>
      </w:r>
      <w:r>
        <w:tab/>
      </w:r>
      <w:r>
        <w:tab/>
      </w:r>
      <w:r w:rsidR="00EE06A1">
        <w:t>22-31</w:t>
      </w:r>
      <w:r>
        <w:tab/>
      </w:r>
      <w:r w:rsidR="009D5E80">
        <w:t>8</w:t>
      </w:r>
    </w:p>
    <w:p w:rsidR="00EE06A1" w:rsidRPr="00A05504" w:rsidRDefault="00EE06A1" w:rsidP="00B07DC1">
      <w:pPr>
        <w:tabs>
          <w:tab w:val="right" w:pos="850"/>
          <w:tab w:val="left" w:pos="1134"/>
          <w:tab w:val="left" w:pos="1559"/>
          <w:tab w:val="left" w:pos="1984"/>
          <w:tab w:val="left" w:leader="dot" w:pos="7654"/>
          <w:tab w:val="right" w:pos="8929"/>
          <w:tab w:val="right" w:pos="9638"/>
        </w:tabs>
        <w:spacing w:after="120"/>
        <w:ind w:left="1559" w:hanging="1559"/>
        <w:rPr>
          <w:i/>
        </w:rPr>
      </w:pPr>
      <w:r>
        <w:lastRenderedPageBreak/>
        <w:tab/>
      </w:r>
      <w:r>
        <w:tab/>
      </w:r>
      <w:r>
        <w:tab/>
        <w:t>1.</w:t>
      </w:r>
      <w:r>
        <w:tab/>
        <w:t xml:space="preserve">Correction à la disposition spéciale 363 telle que modifiée </w:t>
      </w:r>
      <w:r>
        <w:br/>
      </w:r>
      <w:r>
        <w:tab/>
        <w:t>par les amendements entrant en vigueur le 1</w:t>
      </w:r>
      <w:r w:rsidRPr="00046DFF">
        <w:rPr>
          <w:vertAlign w:val="superscript"/>
        </w:rPr>
        <w:t>er</w:t>
      </w:r>
      <w:r>
        <w:t xml:space="preserve"> janvier 2017</w:t>
      </w:r>
      <w:r>
        <w:tab/>
      </w:r>
      <w:r>
        <w:tab/>
        <w:t>22</w:t>
      </w:r>
      <w:r>
        <w:tab/>
        <w:t>8</w:t>
      </w:r>
    </w:p>
    <w:p w:rsidR="00B07DC1" w:rsidRDefault="00EE06A1" w:rsidP="00EE06A1">
      <w:pPr>
        <w:tabs>
          <w:tab w:val="right" w:pos="850"/>
          <w:tab w:val="left" w:pos="1134"/>
          <w:tab w:val="left" w:pos="1559"/>
          <w:tab w:val="left" w:pos="1984"/>
          <w:tab w:val="left" w:leader="dot" w:pos="7654"/>
          <w:tab w:val="right" w:pos="8929"/>
          <w:tab w:val="right" w:pos="9638"/>
        </w:tabs>
        <w:spacing w:after="120"/>
        <w:ind w:left="1559" w:hanging="1559"/>
      </w:pPr>
      <w:r>
        <w:rPr>
          <w:lang w:val="fr-FR"/>
        </w:rPr>
        <w:tab/>
      </w:r>
      <w:r>
        <w:rPr>
          <w:lang w:val="fr-FR"/>
        </w:rPr>
        <w:tab/>
      </w:r>
      <w:r>
        <w:rPr>
          <w:lang w:val="fr-FR"/>
        </w:rPr>
        <w:tab/>
        <w:t>2.</w:t>
      </w:r>
      <w:r>
        <w:rPr>
          <w:lang w:val="fr-FR"/>
        </w:rPr>
        <w:tab/>
      </w:r>
      <w:r>
        <w:t>Amendement de conséquence au 7.5.2.1</w:t>
      </w:r>
      <w:r>
        <w:tab/>
      </w:r>
      <w:r>
        <w:tab/>
        <w:t>23</w:t>
      </w:r>
      <w:r>
        <w:tab/>
        <w:t>8</w:t>
      </w:r>
    </w:p>
    <w:p w:rsidR="00EE06A1" w:rsidRDefault="00EE06A1" w:rsidP="00EE06A1">
      <w:pPr>
        <w:tabs>
          <w:tab w:val="right" w:pos="850"/>
          <w:tab w:val="left" w:pos="1134"/>
          <w:tab w:val="left" w:pos="1559"/>
          <w:tab w:val="left" w:pos="1984"/>
          <w:tab w:val="left" w:leader="dot" w:pos="7654"/>
          <w:tab w:val="right" w:pos="8929"/>
          <w:tab w:val="right" w:pos="9638"/>
        </w:tabs>
        <w:spacing w:after="120"/>
        <w:ind w:left="1559" w:hanging="1559"/>
      </w:pPr>
      <w:r>
        <w:tab/>
      </w:r>
      <w:r>
        <w:tab/>
      </w:r>
      <w:r>
        <w:tab/>
        <w:t>3.</w:t>
      </w:r>
      <w:r>
        <w:tab/>
        <w:t>Questions relatives aux conseillers à la sécurité</w:t>
      </w:r>
      <w:r>
        <w:tab/>
      </w:r>
      <w:r>
        <w:tab/>
        <w:t>24-28</w:t>
      </w:r>
      <w:r>
        <w:tab/>
        <w:t>8</w:t>
      </w:r>
    </w:p>
    <w:p w:rsidR="00EE06A1" w:rsidRDefault="00EE06A1" w:rsidP="00EE06A1">
      <w:pPr>
        <w:tabs>
          <w:tab w:val="right" w:pos="850"/>
          <w:tab w:val="left" w:pos="1134"/>
          <w:tab w:val="left" w:pos="1559"/>
          <w:tab w:val="left" w:pos="1984"/>
          <w:tab w:val="left" w:leader="dot" w:pos="7654"/>
          <w:tab w:val="right" w:pos="8929"/>
          <w:tab w:val="right" w:pos="9638"/>
        </w:tabs>
        <w:spacing w:after="120"/>
        <w:ind w:left="1559" w:hanging="1559"/>
        <w:rPr>
          <w:lang w:val="fr-FR"/>
        </w:rPr>
      </w:pPr>
      <w:r>
        <w:tab/>
      </w:r>
      <w:r>
        <w:tab/>
      </w:r>
      <w:r>
        <w:tab/>
        <w:t>4.</w:t>
      </w:r>
      <w:r>
        <w:tab/>
      </w:r>
      <w:r>
        <w:rPr>
          <w:lang w:val="fr-FR"/>
        </w:rPr>
        <w:t xml:space="preserve">Méthodes alternatives pour le contrôle périodique </w:t>
      </w:r>
      <w:r>
        <w:rPr>
          <w:lang w:val="fr-FR"/>
        </w:rPr>
        <w:br/>
      </w:r>
      <w:r w:rsidR="00490A27">
        <w:rPr>
          <w:lang w:val="fr-FR"/>
        </w:rPr>
        <w:tab/>
      </w:r>
      <w:r>
        <w:rPr>
          <w:lang w:val="fr-FR"/>
        </w:rPr>
        <w:t>des bouteilles rechargeables</w:t>
      </w:r>
      <w:r>
        <w:rPr>
          <w:lang w:val="fr-FR"/>
        </w:rPr>
        <w:tab/>
      </w:r>
      <w:r>
        <w:rPr>
          <w:lang w:val="fr-FR"/>
        </w:rPr>
        <w:tab/>
        <w:t>29-31</w:t>
      </w:r>
      <w:r>
        <w:rPr>
          <w:lang w:val="fr-FR"/>
        </w:rPr>
        <w:tab/>
        <w:t>9</w:t>
      </w:r>
    </w:p>
    <w:p w:rsidR="00EE06A1" w:rsidRDefault="00EE06A1" w:rsidP="00EE06A1">
      <w:pPr>
        <w:tabs>
          <w:tab w:val="right" w:pos="850"/>
          <w:tab w:val="left" w:pos="1134"/>
          <w:tab w:val="left" w:pos="1559"/>
          <w:tab w:val="left" w:pos="1984"/>
          <w:tab w:val="left" w:leader="dot" w:pos="7654"/>
          <w:tab w:val="right" w:pos="8929"/>
          <w:tab w:val="right" w:pos="9638"/>
        </w:tabs>
        <w:spacing w:after="120"/>
        <w:ind w:left="1559" w:hanging="1559"/>
        <w:rPr>
          <w:lang w:val="fr-FR"/>
        </w:rPr>
      </w:pPr>
      <w:r>
        <w:tab/>
      </w:r>
      <w:r>
        <w:tab/>
      </w:r>
      <w:r w:rsidRPr="00DD2276">
        <w:rPr>
          <w:lang w:val="fr-FR"/>
        </w:rPr>
        <w:t>B.</w:t>
      </w:r>
      <w:r w:rsidRPr="00DD2276">
        <w:rPr>
          <w:lang w:val="fr-FR"/>
        </w:rPr>
        <w:tab/>
      </w:r>
      <w:r>
        <w:t>Nouvelles propositions</w:t>
      </w:r>
      <w:r>
        <w:rPr>
          <w:lang w:val="fr-FR"/>
        </w:rPr>
        <w:tab/>
      </w:r>
      <w:r>
        <w:rPr>
          <w:lang w:val="fr-FR"/>
        </w:rPr>
        <w:tab/>
        <w:t>32-48</w:t>
      </w:r>
      <w:r>
        <w:rPr>
          <w:lang w:val="fr-FR"/>
        </w:rPr>
        <w:tab/>
      </w:r>
      <w:r w:rsidR="006E0D4D">
        <w:rPr>
          <w:lang w:val="fr-FR"/>
        </w:rPr>
        <w:t>9</w:t>
      </w:r>
    </w:p>
    <w:p w:rsidR="00EE06A1" w:rsidRDefault="00EE06A1" w:rsidP="00EE06A1">
      <w:pPr>
        <w:tabs>
          <w:tab w:val="right" w:pos="850"/>
          <w:tab w:val="left" w:pos="1134"/>
          <w:tab w:val="left" w:pos="1559"/>
          <w:tab w:val="left" w:pos="1984"/>
          <w:tab w:val="left" w:leader="dot" w:pos="7654"/>
          <w:tab w:val="right" w:pos="8929"/>
          <w:tab w:val="right" w:pos="9638"/>
        </w:tabs>
        <w:spacing w:after="120"/>
        <w:ind w:left="1559" w:hanging="1559"/>
      </w:pPr>
      <w:r>
        <w:rPr>
          <w:lang w:val="fr-FR"/>
        </w:rPr>
        <w:tab/>
      </w:r>
      <w:r>
        <w:rPr>
          <w:lang w:val="fr-FR"/>
        </w:rPr>
        <w:tab/>
      </w:r>
      <w:r>
        <w:rPr>
          <w:lang w:val="fr-FR"/>
        </w:rPr>
        <w:tab/>
        <w:t>1.</w:t>
      </w:r>
      <w:r>
        <w:rPr>
          <w:lang w:val="fr-FR"/>
        </w:rPr>
        <w:tab/>
      </w:r>
      <w:r>
        <w:t>Amendement au 6.2.3.9.6 concernant les récipients à pression</w:t>
      </w:r>
      <w:r>
        <w:tab/>
      </w:r>
      <w:r>
        <w:tab/>
        <w:t>32</w:t>
      </w:r>
      <w:r>
        <w:tab/>
        <w:t>9</w:t>
      </w:r>
    </w:p>
    <w:p w:rsidR="00EE06A1" w:rsidRDefault="00BC22ED" w:rsidP="00EE06A1">
      <w:pPr>
        <w:tabs>
          <w:tab w:val="right" w:pos="850"/>
          <w:tab w:val="left" w:pos="1134"/>
          <w:tab w:val="left" w:pos="1559"/>
          <w:tab w:val="left" w:pos="1984"/>
          <w:tab w:val="left" w:leader="dot" w:pos="7654"/>
          <w:tab w:val="right" w:pos="8929"/>
          <w:tab w:val="right" w:pos="9638"/>
        </w:tabs>
        <w:spacing w:after="120"/>
        <w:ind w:left="1559" w:hanging="1559"/>
      </w:pPr>
      <w:r>
        <w:tab/>
      </w:r>
      <w:r>
        <w:tab/>
      </w:r>
      <w:r>
        <w:tab/>
        <w:t>2.</w:t>
      </w:r>
      <w:r>
        <w:tab/>
        <w:t xml:space="preserve">Utilisation du </w:t>
      </w:r>
      <w:proofErr w:type="spellStart"/>
      <w:r>
        <w:t>No.</w:t>
      </w:r>
      <w:r w:rsidR="00EE06A1">
        <w:t>ONU</w:t>
      </w:r>
      <w:proofErr w:type="spellEnd"/>
      <w:r w:rsidR="00EE06A1">
        <w:t xml:space="preserve"> 1202 pour le transport de mazout</w:t>
      </w:r>
      <w:r w:rsidR="00EE06A1">
        <w:tab/>
      </w:r>
      <w:r w:rsidR="00EE06A1">
        <w:tab/>
        <w:t>33-35</w:t>
      </w:r>
      <w:r w:rsidR="00EE06A1">
        <w:tab/>
        <w:t>9</w:t>
      </w:r>
    </w:p>
    <w:p w:rsidR="00EE06A1" w:rsidRDefault="00EE06A1" w:rsidP="00EE06A1">
      <w:pPr>
        <w:tabs>
          <w:tab w:val="right" w:pos="850"/>
          <w:tab w:val="left" w:pos="1134"/>
          <w:tab w:val="left" w:pos="1559"/>
          <w:tab w:val="left" w:pos="1984"/>
          <w:tab w:val="left" w:leader="dot" w:pos="7654"/>
          <w:tab w:val="right" w:pos="8929"/>
          <w:tab w:val="right" w:pos="9638"/>
        </w:tabs>
        <w:spacing w:after="120"/>
        <w:ind w:left="1559" w:hanging="1559"/>
      </w:pPr>
      <w:r>
        <w:tab/>
      </w:r>
      <w:r>
        <w:tab/>
      </w:r>
      <w:r>
        <w:tab/>
        <w:t>3.</w:t>
      </w:r>
      <w:r>
        <w:tab/>
        <w:t>Obligations des intervenants et traçabilité</w:t>
      </w:r>
      <w:r>
        <w:tab/>
      </w:r>
      <w:r>
        <w:tab/>
        <w:t>36-38</w:t>
      </w:r>
      <w:r>
        <w:tab/>
        <w:t>10</w:t>
      </w:r>
    </w:p>
    <w:p w:rsidR="00EE06A1" w:rsidRDefault="00EE06A1" w:rsidP="00EE06A1">
      <w:pPr>
        <w:tabs>
          <w:tab w:val="right" w:pos="850"/>
          <w:tab w:val="left" w:pos="1134"/>
          <w:tab w:val="left" w:pos="1559"/>
          <w:tab w:val="left" w:pos="1984"/>
          <w:tab w:val="left" w:leader="dot" w:pos="7654"/>
          <w:tab w:val="right" w:pos="8929"/>
          <w:tab w:val="right" w:pos="9638"/>
        </w:tabs>
        <w:spacing w:after="120"/>
        <w:ind w:left="1559" w:hanging="1559"/>
      </w:pPr>
      <w:r>
        <w:tab/>
      </w:r>
      <w:r>
        <w:tab/>
      </w:r>
      <w:r>
        <w:tab/>
        <w:t>4.</w:t>
      </w:r>
      <w:r>
        <w:tab/>
        <w:t>Utilisation des termes «danger» et «risque» dans le 1.4.1.1</w:t>
      </w:r>
      <w:r>
        <w:tab/>
      </w:r>
      <w:r>
        <w:tab/>
        <w:t>39</w:t>
      </w:r>
      <w:r>
        <w:tab/>
        <w:t>10</w:t>
      </w:r>
    </w:p>
    <w:p w:rsidR="00EE06A1" w:rsidRDefault="00EE06A1" w:rsidP="00EE06A1">
      <w:pPr>
        <w:tabs>
          <w:tab w:val="right" w:pos="850"/>
          <w:tab w:val="left" w:pos="1134"/>
          <w:tab w:val="left" w:pos="1559"/>
          <w:tab w:val="left" w:pos="1984"/>
          <w:tab w:val="left" w:leader="dot" w:pos="7654"/>
          <w:tab w:val="right" w:pos="8929"/>
          <w:tab w:val="right" w:pos="9638"/>
        </w:tabs>
        <w:spacing w:after="120"/>
        <w:ind w:left="1559" w:hanging="1559"/>
      </w:pPr>
      <w:r>
        <w:tab/>
      </w:r>
      <w:r>
        <w:tab/>
      </w:r>
      <w:r>
        <w:tab/>
        <w:t>5.</w:t>
      </w:r>
      <w:r>
        <w:tab/>
        <w:t xml:space="preserve">Obligations du transporteur; examen visuel du chargement contenu </w:t>
      </w:r>
      <w:r>
        <w:br/>
      </w:r>
      <w:r>
        <w:tab/>
        <w:t>dans un engin de transport scellé</w:t>
      </w:r>
      <w:r>
        <w:tab/>
      </w:r>
      <w:r>
        <w:tab/>
        <w:t>40</w:t>
      </w:r>
      <w:r>
        <w:tab/>
        <w:t>10</w:t>
      </w:r>
    </w:p>
    <w:p w:rsidR="00EE06A1" w:rsidRDefault="00EE06A1" w:rsidP="00EE06A1">
      <w:pPr>
        <w:tabs>
          <w:tab w:val="right" w:pos="850"/>
          <w:tab w:val="left" w:pos="1134"/>
          <w:tab w:val="left" w:pos="1559"/>
          <w:tab w:val="left" w:pos="1984"/>
          <w:tab w:val="left" w:leader="dot" w:pos="7654"/>
          <w:tab w:val="right" w:pos="8929"/>
          <w:tab w:val="right" w:pos="9638"/>
        </w:tabs>
        <w:spacing w:after="120"/>
        <w:ind w:left="1559" w:hanging="1559"/>
      </w:pPr>
      <w:r>
        <w:tab/>
      </w:r>
      <w:r>
        <w:tab/>
      </w:r>
      <w:r>
        <w:tab/>
        <w:t>6.</w:t>
      </w:r>
      <w:r>
        <w:tab/>
        <w:t xml:space="preserve">Utilisation de récipients pour la collecte de déchets répondant à la fois </w:t>
      </w:r>
      <w:r>
        <w:br/>
      </w:r>
      <w:r>
        <w:tab/>
        <w:t xml:space="preserve">aux prescriptions du chapitre 6.1 pour les emballages et à celle </w:t>
      </w:r>
      <w:r>
        <w:br/>
      </w:r>
      <w:r>
        <w:tab/>
        <w:t>du chapitre 6.5 pour les grands récipients pour vrac</w:t>
      </w:r>
      <w:r>
        <w:tab/>
      </w:r>
      <w:r>
        <w:tab/>
        <w:t>41-43</w:t>
      </w:r>
      <w:r>
        <w:tab/>
        <w:t>10</w:t>
      </w:r>
    </w:p>
    <w:p w:rsidR="00EE06A1" w:rsidRDefault="00EE06A1" w:rsidP="00EE06A1">
      <w:pPr>
        <w:tabs>
          <w:tab w:val="right" w:pos="850"/>
          <w:tab w:val="left" w:pos="1134"/>
          <w:tab w:val="left" w:pos="1559"/>
          <w:tab w:val="left" w:pos="1984"/>
          <w:tab w:val="left" w:leader="dot" w:pos="7654"/>
          <w:tab w:val="right" w:pos="8929"/>
          <w:tab w:val="right" w:pos="9638"/>
        </w:tabs>
        <w:spacing w:after="120"/>
        <w:ind w:left="1559" w:hanging="1559"/>
      </w:pPr>
      <w:r>
        <w:tab/>
      </w:r>
      <w:r>
        <w:tab/>
      </w:r>
      <w:r>
        <w:tab/>
        <w:t>7.</w:t>
      </w:r>
      <w:r>
        <w:tab/>
        <w:t>Transport de lampes à décharge «TL» basse pression usagées</w:t>
      </w:r>
      <w:r>
        <w:tab/>
      </w:r>
      <w:r>
        <w:tab/>
        <w:t>44-48</w:t>
      </w:r>
      <w:r>
        <w:tab/>
        <w:t>11</w:t>
      </w:r>
    </w:p>
    <w:p w:rsidR="00DD2276" w:rsidRDefault="00DD2276" w:rsidP="00C72098">
      <w:pPr>
        <w:tabs>
          <w:tab w:val="right" w:pos="850"/>
          <w:tab w:val="left" w:pos="1134"/>
          <w:tab w:val="left" w:pos="1559"/>
          <w:tab w:val="left" w:pos="1984"/>
          <w:tab w:val="left" w:leader="dot" w:pos="7654"/>
          <w:tab w:val="right" w:pos="8929"/>
          <w:tab w:val="right" w:pos="9638"/>
        </w:tabs>
        <w:spacing w:after="120"/>
        <w:ind w:left="1134" w:hanging="1134"/>
      </w:pPr>
      <w:r w:rsidRPr="00DD2276">
        <w:tab/>
      </w:r>
      <w:r w:rsidR="00C72098" w:rsidRPr="00C72098">
        <w:t>VII.</w:t>
      </w:r>
      <w:r w:rsidR="00C72098" w:rsidRPr="00C72098">
        <w:tab/>
      </w:r>
      <w:r w:rsidR="00EE06A1">
        <w:rPr>
          <w:lang w:val="fr-FR"/>
        </w:rPr>
        <w:t>Rapports des groupes de travail informels</w:t>
      </w:r>
      <w:r w:rsidR="00EE06A1" w:rsidRPr="001F7089">
        <w:rPr>
          <w:lang w:val="fr-FR"/>
        </w:rPr>
        <w:t xml:space="preserve"> </w:t>
      </w:r>
      <w:r w:rsidR="00EE06A1">
        <w:rPr>
          <w:lang w:val="fr-FR"/>
        </w:rPr>
        <w:t>(point 6</w:t>
      </w:r>
      <w:r w:rsidR="00EE06A1" w:rsidRPr="00C35A40">
        <w:rPr>
          <w:lang w:val="fr-FR"/>
        </w:rPr>
        <w:t xml:space="preserve"> de l’ordre du jour)</w:t>
      </w:r>
      <w:r w:rsidR="00EE06A1">
        <w:rPr>
          <w:lang w:val="fr-FR"/>
        </w:rPr>
        <w:tab/>
      </w:r>
      <w:r w:rsidR="00C72098">
        <w:rPr>
          <w:lang w:val="fr-FR"/>
        </w:rPr>
        <w:tab/>
      </w:r>
      <w:r w:rsidR="00EE06A1">
        <w:t>49-54</w:t>
      </w:r>
      <w:r>
        <w:tab/>
        <w:t>1</w:t>
      </w:r>
      <w:r w:rsidR="00EE06A1">
        <w:t>2</w:t>
      </w:r>
    </w:p>
    <w:p w:rsidR="00EE06A1" w:rsidRDefault="00EE06A1" w:rsidP="00C72098">
      <w:pPr>
        <w:tabs>
          <w:tab w:val="right" w:pos="850"/>
          <w:tab w:val="left" w:pos="1134"/>
          <w:tab w:val="left" w:pos="1559"/>
          <w:tab w:val="left" w:pos="1984"/>
          <w:tab w:val="left" w:leader="dot" w:pos="7654"/>
          <w:tab w:val="right" w:pos="8929"/>
          <w:tab w:val="right" w:pos="9638"/>
        </w:tabs>
        <w:spacing w:after="120"/>
        <w:ind w:left="1134" w:hanging="1134"/>
      </w:pPr>
      <w:r>
        <w:tab/>
      </w:r>
      <w:r>
        <w:tab/>
        <w:t>A.</w:t>
      </w:r>
      <w:r>
        <w:tab/>
        <w:t xml:space="preserve">Discussions sur l’admission des récipients agréés par le Département </w:t>
      </w:r>
      <w:r>
        <w:br/>
      </w:r>
      <w:r>
        <w:tab/>
        <w:t>des transports des Etats-Unis d’Amérique</w:t>
      </w:r>
      <w:r>
        <w:tab/>
      </w:r>
      <w:r>
        <w:tab/>
        <w:t>49</w:t>
      </w:r>
      <w:r>
        <w:tab/>
        <w:t>12</w:t>
      </w:r>
    </w:p>
    <w:p w:rsidR="00EE06A1" w:rsidRDefault="00EE06A1" w:rsidP="00C72098">
      <w:pPr>
        <w:tabs>
          <w:tab w:val="right" w:pos="850"/>
          <w:tab w:val="left" w:pos="1134"/>
          <w:tab w:val="left" w:pos="1559"/>
          <w:tab w:val="left" w:pos="1984"/>
          <w:tab w:val="left" w:leader="dot" w:pos="7654"/>
          <w:tab w:val="right" w:pos="8929"/>
          <w:tab w:val="right" w:pos="9638"/>
        </w:tabs>
        <w:spacing w:after="120"/>
        <w:ind w:left="1134" w:hanging="1134"/>
      </w:pPr>
      <w:r>
        <w:tab/>
      </w:r>
      <w:r>
        <w:tab/>
        <w:t>B.</w:t>
      </w:r>
      <w:r>
        <w:tab/>
        <w:t xml:space="preserve">Groupe de travail informel sur le transport des équipements électriques </w:t>
      </w:r>
      <w:r>
        <w:br/>
      </w:r>
      <w:r>
        <w:tab/>
        <w:t>et électroniques mis au rebut contenant des piles au lithium</w:t>
      </w:r>
      <w:r>
        <w:tab/>
      </w:r>
      <w:r>
        <w:tab/>
        <w:t>50-5</w:t>
      </w:r>
      <w:r w:rsidR="006E0D4D">
        <w:t>1</w:t>
      </w:r>
      <w:r>
        <w:tab/>
        <w:t>12</w:t>
      </w:r>
    </w:p>
    <w:p w:rsidR="006E0D4D" w:rsidRPr="00DD2276" w:rsidRDefault="006E0D4D" w:rsidP="00C72098">
      <w:pPr>
        <w:tabs>
          <w:tab w:val="right" w:pos="850"/>
          <w:tab w:val="left" w:pos="1134"/>
          <w:tab w:val="left" w:pos="1559"/>
          <w:tab w:val="left" w:pos="1984"/>
          <w:tab w:val="left" w:leader="dot" w:pos="7654"/>
          <w:tab w:val="right" w:pos="8929"/>
          <w:tab w:val="right" w:pos="9638"/>
        </w:tabs>
        <w:spacing w:after="120"/>
        <w:ind w:left="1134" w:hanging="1134"/>
      </w:pPr>
      <w:r>
        <w:tab/>
      </w:r>
      <w:r>
        <w:tab/>
        <w:t>C.</w:t>
      </w:r>
      <w:r>
        <w:tab/>
        <w:t xml:space="preserve">Septième atelier de l’Agence ferroviaire européenne de l’Union européenne </w:t>
      </w:r>
      <w:r>
        <w:br/>
      </w:r>
      <w:r>
        <w:tab/>
        <w:t xml:space="preserve">(ERA) sur la feuille de route relative au management de risque dans le contexte </w:t>
      </w:r>
      <w:r>
        <w:br/>
      </w:r>
      <w:r>
        <w:tab/>
        <w:t xml:space="preserve">du transport des marchandises dangereuses par route, chemin de fer et </w:t>
      </w:r>
      <w:r>
        <w:br/>
      </w:r>
      <w:r>
        <w:tab/>
        <w:t>voies de navigation intérieures (Valenciennes, 14-16 juin 2016)</w:t>
      </w:r>
      <w:r>
        <w:tab/>
      </w:r>
      <w:r>
        <w:tab/>
        <w:t>52-54</w:t>
      </w:r>
      <w:r>
        <w:tab/>
        <w:t>12</w:t>
      </w:r>
    </w:p>
    <w:p w:rsidR="00DD2276" w:rsidRPr="00DD2276" w:rsidRDefault="00DD2276" w:rsidP="00DD2276">
      <w:pPr>
        <w:tabs>
          <w:tab w:val="right" w:pos="850"/>
          <w:tab w:val="left" w:pos="1134"/>
          <w:tab w:val="left" w:pos="1559"/>
          <w:tab w:val="left" w:pos="1984"/>
          <w:tab w:val="left" w:leader="dot" w:pos="7654"/>
          <w:tab w:val="right" w:pos="8929"/>
          <w:tab w:val="right" w:pos="9638"/>
        </w:tabs>
        <w:spacing w:after="120"/>
        <w:ind w:left="1134" w:hanging="1134"/>
      </w:pPr>
      <w:r w:rsidRPr="00DD2276">
        <w:tab/>
        <w:t>VIII.</w:t>
      </w:r>
      <w:r w:rsidRPr="00DD2276">
        <w:tab/>
      </w:r>
      <w:r w:rsidR="00EE06A1">
        <w:rPr>
          <w:lang w:val="fr-FR"/>
        </w:rPr>
        <w:t>Election du bureau pour 2017 (point 7 de l’ordre du jour)</w:t>
      </w:r>
      <w:r>
        <w:tab/>
      </w:r>
      <w:r>
        <w:tab/>
      </w:r>
      <w:r w:rsidR="00EE06A1">
        <w:t>55</w:t>
      </w:r>
      <w:r>
        <w:tab/>
        <w:t>1</w:t>
      </w:r>
      <w:r w:rsidR="00EE06A1">
        <w:t>3</w:t>
      </w:r>
    </w:p>
    <w:p w:rsidR="00DD2276" w:rsidRPr="00DD2276" w:rsidRDefault="00DD2276" w:rsidP="00DD2276">
      <w:pPr>
        <w:tabs>
          <w:tab w:val="right" w:pos="850"/>
          <w:tab w:val="left" w:pos="1134"/>
          <w:tab w:val="left" w:pos="1559"/>
          <w:tab w:val="left" w:pos="1984"/>
          <w:tab w:val="left" w:leader="dot" w:pos="7654"/>
          <w:tab w:val="right" w:pos="8929"/>
          <w:tab w:val="right" w:pos="9638"/>
        </w:tabs>
        <w:spacing w:after="120"/>
        <w:ind w:left="1134" w:hanging="1134"/>
      </w:pPr>
      <w:r w:rsidRPr="00DD2276">
        <w:tab/>
        <w:t>IX.</w:t>
      </w:r>
      <w:r w:rsidRPr="00DD2276">
        <w:tab/>
      </w:r>
      <w:r w:rsidR="00EE06A1">
        <w:rPr>
          <w:lang w:val="fr-FR"/>
        </w:rPr>
        <w:t>Travaux futurs (point 8 de l’ordre du jour)</w:t>
      </w:r>
      <w:r w:rsidRPr="00DD2276">
        <w:t xml:space="preserve"> </w:t>
      </w:r>
      <w:r>
        <w:tab/>
      </w:r>
      <w:r>
        <w:tab/>
      </w:r>
      <w:r w:rsidR="00EE06A1">
        <w:t>56</w:t>
      </w:r>
      <w:r w:rsidR="00C72098">
        <w:tab/>
        <w:t>1</w:t>
      </w:r>
      <w:r w:rsidR="00EE06A1">
        <w:t>3</w:t>
      </w:r>
    </w:p>
    <w:p w:rsidR="00DD2276" w:rsidRDefault="00DD2276" w:rsidP="00DD2276">
      <w:pPr>
        <w:tabs>
          <w:tab w:val="right" w:pos="850"/>
          <w:tab w:val="left" w:pos="1134"/>
          <w:tab w:val="left" w:pos="1559"/>
          <w:tab w:val="left" w:pos="1984"/>
          <w:tab w:val="left" w:leader="dot" w:pos="7654"/>
          <w:tab w:val="right" w:pos="8929"/>
          <w:tab w:val="right" w:pos="9638"/>
        </w:tabs>
        <w:spacing w:after="120"/>
        <w:ind w:left="1134" w:hanging="1134"/>
      </w:pPr>
      <w:r w:rsidRPr="00DD2276">
        <w:tab/>
        <w:t>X.</w:t>
      </w:r>
      <w:r w:rsidRPr="00DD2276">
        <w:tab/>
      </w:r>
      <w:r w:rsidR="00EE06A1">
        <w:rPr>
          <w:lang w:val="fr-FR"/>
        </w:rPr>
        <w:t>Questions diverses</w:t>
      </w:r>
      <w:r w:rsidR="00EE06A1" w:rsidRPr="0080235F">
        <w:rPr>
          <w:lang w:val="fr-FR"/>
        </w:rPr>
        <w:t xml:space="preserve"> (point </w:t>
      </w:r>
      <w:r w:rsidR="00EE06A1">
        <w:rPr>
          <w:lang w:val="fr-FR"/>
        </w:rPr>
        <w:t>9</w:t>
      </w:r>
      <w:r w:rsidR="00EE06A1" w:rsidRPr="0080235F">
        <w:rPr>
          <w:lang w:val="fr-FR"/>
        </w:rPr>
        <w:t xml:space="preserve"> de l’ordre du jour)</w:t>
      </w:r>
      <w:r w:rsidR="00D87B9E">
        <w:tab/>
      </w:r>
      <w:r w:rsidR="00D87B9E">
        <w:tab/>
      </w:r>
      <w:r w:rsidR="00C4442E">
        <w:t>57-6</w:t>
      </w:r>
      <w:r w:rsidR="006E0D4D">
        <w:t>5</w:t>
      </w:r>
      <w:r w:rsidR="00D87B9E">
        <w:tab/>
        <w:t>1</w:t>
      </w:r>
      <w:r w:rsidR="00C4442E">
        <w:t>3</w:t>
      </w:r>
    </w:p>
    <w:p w:rsidR="00C4442E" w:rsidRDefault="00C4442E" w:rsidP="00C4442E">
      <w:pPr>
        <w:tabs>
          <w:tab w:val="right" w:pos="850"/>
          <w:tab w:val="left" w:pos="1134"/>
          <w:tab w:val="left" w:pos="1559"/>
          <w:tab w:val="left" w:pos="1984"/>
          <w:tab w:val="left" w:leader="dot" w:pos="7654"/>
          <w:tab w:val="right" w:pos="8929"/>
          <w:tab w:val="right" w:pos="9638"/>
        </w:tabs>
        <w:spacing w:after="120"/>
        <w:ind w:left="1134" w:hanging="1134"/>
      </w:pPr>
      <w:r>
        <w:tab/>
      </w:r>
      <w:r>
        <w:tab/>
        <w:t>A.</w:t>
      </w:r>
      <w:r>
        <w:tab/>
        <w:t>Demande de statut consultatif</w:t>
      </w:r>
      <w:r>
        <w:tab/>
      </w:r>
      <w:r>
        <w:tab/>
        <w:t>57-58</w:t>
      </w:r>
      <w:r>
        <w:tab/>
        <w:t>13</w:t>
      </w:r>
    </w:p>
    <w:p w:rsidR="00C4442E" w:rsidRDefault="00C4442E" w:rsidP="00DD2276">
      <w:pPr>
        <w:tabs>
          <w:tab w:val="right" w:pos="850"/>
          <w:tab w:val="left" w:pos="1134"/>
          <w:tab w:val="left" w:pos="1559"/>
          <w:tab w:val="left" w:pos="1984"/>
          <w:tab w:val="left" w:leader="dot" w:pos="7654"/>
          <w:tab w:val="right" w:pos="8929"/>
          <w:tab w:val="right" w:pos="9638"/>
        </w:tabs>
        <w:spacing w:after="120"/>
        <w:ind w:left="1134" w:hanging="1134"/>
      </w:pPr>
      <w:r>
        <w:tab/>
      </w:r>
      <w:r>
        <w:tab/>
        <w:t>B.</w:t>
      </w:r>
      <w:r>
        <w:tab/>
        <w:t xml:space="preserve">Création d’un groupe de travail informel pour traiter des modifications </w:t>
      </w:r>
      <w:r>
        <w:br/>
      </w:r>
      <w:r>
        <w:tab/>
        <w:t>éditoriales des règlements</w:t>
      </w:r>
      <w:r>
        <w:tab/>
      </w:r>
      <w:r>
        <w:tab/>
        <w:t>59-61</w:t>
      </w:r>
      <w:r>
        <w:tab/>
        <w:t>13</w:t>
      </w:r>
    </w:p>
    <w:p w:rsidR="00C4442E" w:rsidRDefault="00AF175D" w:rsidP="00DD2276">
      <w:pPr>
        <w:tabs>
          <w:tab w:val="right" w:pos="850"/>
          <w:tab w:val="left" w:pos="1134"/>
          <w:tab w:val="left" w:pos="1559"/>
          <w:tab w:val="left" w:pos="1984"/>
          <w:tab w:val="left" w:leader="dot" w:pos="7654"/>
          <w:tab w:val="right" w:pos="8929"/>
          <w:tab w:val="right" w:pos="9638"/>
        </w:tabs>
        <w:spacing w:after="120"/>
        <w:ind w:left="1134" w:hanging="1134"/>
      </w:pPr>
      <w:r>
        <w:tab/>
      </w:r>
      <w:r>
        <w:tab/>
        <w:t>C.</w:t>
      </w:r>
      <w:r>
        <w:tab/>
        <w:t>Hommage à M.</w:t>
      </w:r>
      <w:r w:rsidR="00C4442E">
        <w:t xml:space="preserve"> Thomsen</w:t>
      </w:r>
      <w:r w:rsidR="00C4442E">
        <w:tab/>
      </w:r>
      <w:r w:rsidR="00C4442E">
        <w:tab/>
        <w:t>62</w:t>
      </w:r>
      <w:r w:rsidR="00C4442E">
        <w:tab/>
        <w:t>14</w:t>
      </w:r>
    </w:p>
    <w:p w:rsidR="00C4442E" w:rsidRDefault="00C4442E" w:rsidP="00DD2276">
      <w:pPr>
        <w:tabs>
          <w:tab w:val="right" w:pos="850"/>
          <w:tab w:val="left" w:pos="1134"/>
          <w:tab w:val="left" w:pos="1559"/>
          <w:tab w:val="left" w:pos="1984"/>
          <w:tab w:val="left" w:leader="dot" w:pos="7654"/>
          <w:tab w:val="right" w:pos="8929"/>
          <w:tab w:val="right" w:pos="9638"/>
        </w:tabs>
        <w:spacing w:after="120"/>
        <w:ind w:left="1134" w:hanging="1134"/>
      </w:pPr>
      <w:r>
        <w:tab/>
      </w:r>
      <w:r>
        <w:tab/>
        <w:t>D.</w:t>
      </w:r>
      <w:r>
        <w:tab/>
        <w:t xml:space="preserve">Impact global et régional des règlements de la CEE-ONU et </w:t>
      </w:r>
      <w:r>
        <w:br/>
      </w:r>
      <w:r>
        <w:tab/>
        <w:t xml:space="preserve">des Recommandations de l’ONU relatifs au transport </w:t>
      </w:r>
      <w:r>
        <w:br/>
      </w:r>
      <w:r>
        <w:tab/>
        <w:t>des marchandises dangereuses</w:t>
      </w:r>
      <w:r>
        <w:tab/>
      </w:r>
      <w:r>
        <w:tab/>
        <w:t>63</w:t>
      </w:r>
      <w:r>
        <w:tab/>
        <w:t>14</w:t>
      </w:r>
    </w:p>
    <w:p w:rsidR="00C4442E" w:rsidRDefault="00C4442E" w:rsidP="00DD2276">
      <w:pPr>
        <w:tabs>
          <w:tab w:val="right" w:pos="850"/>
          <w:tab w:val="left" w:pos="1134"/>
          <w:tab w:val="left" w:pos="1559"/>
          <w:tab w:val="left" w:pos="1984"/>
          <w:tab w:val="left" w:leader="dot" w:pos="7654"/>
          <w:tab w:val="right" w:pos="8929"/>
          <w:tab w:val="right" w:pos="9638"/>
        </w:tabs>
        <w:spacing w:after="120"/>
        <w:ind w:left="1134" w:hanging="1134"/>
      </w:pPr>
      <w:r>
        <w:tab/>
      </w:r>
      <w:r>
        <w:tab/>
        <w:t>E.</w:t>
      </w:r>
      <w:r>
        <w:tab/>
        <w:t xml:space="preserve">Soixante-dixième anniversaire du Comité des transports intérieurs </w:t>
      </w:r>
      <w:r>
        <w:br/>
      </w:r>
      <w:r>
        <w:tab/>
        <w:t>de la CEE-ONU</w:t>
      </w:r>
      <w:r>
        <w:tab/>
      </w:r>
      <w:r>
        <w:tab/>
        <w:t>64</w:t>
      </w:r>
      <w:r>
        <w:tab/>
        <w:t>1</w:t>
      </w:r>
      <w:r w:rsidR="009D5E80">
        <w:t>5</w:t>
      </w:r>
    </w:p>
    <w:p w:rsidR="00C4442E" w:rsidRPr="00DD2276" w:rsidRDefault="00C4442E" w:rsidP="00DD2276">
      <w:pPr>
        <w:tabs>
          <w:tab w:val="right" w:pos="850"/>
          <w:tab w:val="left" w:pos="1134"/>
          <w:tab w:val="left" w:pos="1559"/>
          <w:tab w:val="left" w:pos="1984"/>
          <w:tab w:val="left" w:leader="dot" w:pos="7654"/>
          <w:tab w:val="right" w:pos="8929"/>
          <w:tab w:val="right" w:pos="9638"/>
        </w:tabs>
        <w:spacing w:after="120"/>
        <w:ind w:left="1134" w:hanging="1134"/>
      </w:pPr>
      <w:r>
        <w:tab/>
      </w:r>
      <w:r>
        <w:tab/>
        <w:t>F.</w:t>
      </w:r>
      <w:r>
        <w:tab/>
        <w:t xml:space="preserve">Terminologie relative aux termes «placardage» et «plaques-étiquettes» </w:t>
      </w:r>
      <w:r>
        <w:br/>
      </w:r>
      <w:r>
        <w:tab/>
        <w:t>en russe</w:t>
      </w:r>
      <w:r>
        <w:tab/>
      </w:r>
      <w:r>
        <w:tab/>
        <w:t>65</w:t>
      </w:r>
      <w:r>
        <w:tab/>
        <w:t>15</w:t>
      </w:r>
    </w:p>
    <w:p w:rsidR="00DD2276" w:rsidRPr="00DD2276" w:rsidRDefault="00DD2276" w:rsidP="00DD2276">
      <w:pPr>
        <w:tabs>
          <w:tab w:val="right" w:pos="850"/>
          <w:tab w:val="left" w:pos="1134"/>
          <w:tab w:val="left" w:pos="1559"/>
          <w:tab w:val="left" w:pos="1984"/>
          <w:tab w:val="left" w:leader="dot" w:pos="7654"/>
          <w:tab w:val="right" w:pos="8929"/>
          <w:tab w:val="right" w:pos="9638"/>
        </w:tabs>
        <w:spacing w:after="120"/>
        <w:ind w:left="1134" w:hanging="1134"/>
      </w:pPr>
      <w:r w:rsidRPr="00DD2276">
        <w:tab/>
        <w:t>XI.</w:t>
      </w:r>
      <w:r w:rsidRPr="00DD2276">
        <w:tab/>
      </w:r>
      <w:r w:rsidR="00C4442E">
        <w:rPr>
          <w:lang w:val="fr-FR"/>
        </w:rPr>
        <w:t>Adoption du rapport (point 10 de l’ordre du jour)</w:t>
      </w:r>
      <w:r w:rsidR="00D87B9E">
        <w:tab/>
      </w:r>
      <w:r w:rsidR="00D87B9E">
        <w:tab/>
      </w:r>
      <w:r w:rsidR="00C4442E">
        <w:t>66</w:t>
      </w:r>
      <w:r w:rsidR="00D87B9E">
        <w:tab/>
        <w:t>1</w:t>
      </w:r>
      <w:r w:rsidR="00C4442E">
        <w:t>5</w:t>
      </w:r>
    </w:p>
    <w:p w:rsidR="004F44BD" w:rsidRPr="00401BB3" w:rsidRDefault="00F80723" w:rsidP="00A336BF">
      <w:pPr>
        <w:pStyle w:val="HChG"/>
        <w:rPr>
          <w:lang w:val="fr-FR"/>
        </w:rPr>
      </w:pPr>
      <w:r w:rsidRPr="00401BB3">
        <w:rPr>
          <w:lang w:val="fr-FR"/>
        </w:rPr>
        <w:lastRenderedPageBreak/>
        <w:t>Annexes</w:t>
      </w:r>
    </w:p>
    <w:p w:rsidR="00A336BF" w:rsidRPr="00A336BF" w:rsidRDefault="00A336BF" w:rsidP="00A336BF">
      <w:pPr>
        <w:tabs>
          <w:tab w:val="right" w:pos="850"/>
          <w:tab w:val="left" w:pos="1134"/>
          <w:tab w:val="left" w:pos="1559"/>
          <w:tab w:val="left" w:pos="1984"/>
          <w:tab w:val="left" w:leader="dot" w:pos="7654"/>
          <w:tab w:val="right" w:pos="8929"/>
          <w:tab w:val="right" w:pos="9638"/>
        </w:tabs>
        <w:spacing w:after="120"/>
        <w:ind w:left="1134" w:hanging="1134"/>
        <w:rPr>
          <w:lang w:val="fr-FR"/>
        </w:rPr>
      </w:pPr>
      <w:r>
        <w:rPr>
          <w:lang w:val="fr-FR"/>
        </w:rPr>
        <w:tab/>
      </w:r>
      <w:r w:rsidR="004F44BD" w:rsidRPr="00F41FF4">
        <w:rPr>
          <w:lang w:val="fr-FR"/>
        </w:rPr>
        <w:t>I.</w:t>
      </w:r>
      <w:r w:rsidR="004F44BD">
        <w:rPr>
          <w:lang w:val="fr-FR"/>
        </w:rPr>
        <w:tab/>
      </w:r>
      <w:r w:rsidRPr="00A336BF">
        <w:rPr>
          <w:lang w:val="fr-FR"/>
        </w:rPr>
        <w:t xml:space="preserve">Rapport </w:t>
      </w:r>
      <w:r w:rsidR="00955653">
        <w:rPr>
          <w:lang w:val="fr-FR"/>
        </w:rPr>
        <w:t>du</w:t>
      </w:r>
      <w:r w:rsidRPr="00A336BF">
        <w:rPr>
          <w:lang w:val="fr-FR"/>
        </w:rPr>
        <w:t xml:space="preserve"> Groupe de travail </w:t>
      </w:r>
      <w:r w:rsidR="00955653">
        <w:rPr>
          <w:lang w:val="fr-FR"/>
        </w:rPr>
        <w:t>sur les</w:t>
      </w:r>
      <w:r w:rsidRPr="00A336BF">
        <w:rPr>
          <w:lang w:val="fr-FR"/>
        </w:rPr>
        <w:t xml:space="preserve"> citernes</w:t>
      </w:r>
      <w:r>
        <w:rPr>
          <w:lang w:val="fr-FR"/>
        </w:rPr>
        <w:t xml:space="preserve"> </w:t>
      </w:r>
      <w:r>
        <w:rPr>
          <w:lang w:val="fr-FR"/>
        </w:rPr>
        <w:br/>
        <w:t>(</w:t>
      </w:r>
      <w:r w:rsidRPr="00A336BF">
        <w:rPr>
          <w:lang w:val="fr-FR"/>
        </w:rPr>
        <w:t>voir ECE/TRANS/WP.15/AC.1/</w:t>
      </w:r>
      <w:r w:rsidR="007265A1">
        <w:rPr>
          <w:lang w:val="fr-FR"/>
        </w:rPr>
        <w:t>144/</w:t>
      </w:r>
      <w:r w:rsidR="00955653">
        <w:rPr>
          <w:lang w:val="fr-FR"/>
        </w:rPr>
        <w:t>Add.1</w:t>
      </w:r>
      <w:r w:rsidRPr="00A336BF">
        <w:rPr>
          <w:lang w:val="fr-FR"/>
        </w:rPr>
        <w:t>)</w:t>
      </w:r>
      <w:r>
        <w:rPr>
          <w:lang w:val="fr-FR"/>
        </w:rPr>
        <w:tab/>
      </w:r>
      <w:r>
        <w:rPr>
          <w:lang w:val="fr-FR"/>
        </w:rPr>
        <w:tab/>
      </w:r>
      <w:r>
        <w:rPr>
          <w:lang w:val="fr-FR"/>
        </w:rPr>
        <w:tab/>
        <w:t>16</w:t>
      </w:r>
    </w:p>
    <w:p w:rsidR="00DF1D1D" w:rsidRDefault="00A336BF" w:rsidP="00A336BF">
      <w:pPr>
        <w:tabs>
          <w:tab w:val="right" w:pos="850"/>
          <w:tab w:val="left" w:pos="1134"/>
          <w:tab w:val="left" w:pos="1559"/>
          <w:tab w:val="left" w:pos="1984"/>
          <w:tab w:val="left" w:leader="dot" w:pos="7654"/>
          <w:tab w:val="right" w:pos="8929"/>
          <w:tab w:val="right" w:pos="9638"/>
        </w:tabs>
        <w:spacing w:after="120"/>
        <w:ind w:left="1134" w:hanging="1134"/>
        <w:rPr>
          <w:lang w:val="fr-FR"/>
        </w:rPr>
      </w:pPr>
      <w:r>
        <w:rPr>
          <w:lang w:val="fr-FR"/>
        </w:rPr>
        <w:tab/>
      </w:r>
      <w:r w:rsidR="00DF1D1D">
        <w:rPr>
          <w:lang w:val="fr-FR"/>
        </w:rPr>
        <w:t>II</w:t>
      </w:r>
      <w:r w:rsidR="004F44BD">
        <w:rPr>
          <w:lang w:val="fr-FR"/>
        </w:rPr>
        <w:t>.</w:t>
      </w:r>
      <w:r w:rsidR="004F44BD">
        <w:rPr>
          <w:lang w:val="fr-FR"/>
        </w:rPr>
        <w:tab/>
      </w:r>
      <w:r w:rsidRPr="001F0D5B">
        <w:rPr>
          <w:lang w:val="fr-FR"/>
        </w:rPr>
        <w:t>Propositions d’amendements au RID/à l’ADR/à l’ADN</w:t>
      </w:r>
      <w:r w:rsidR="00DF1D1D">
        <w:rPr>
          <w:lang w:val="fr-FR"/>
        </w:rPr>
        <w:tab/>
      </w:r>
      <w:r w:rsidR="00DF1D1D">
        <w:rPr>
          <w:lang w:val="fr-FR"/>
        </w:rPr>
        <w:tab/>
      </w:r>
      <w:r w:rsidR="00DF1D1D">
        <w:rPr>
          <w:lang w:val="fr-FR"/>
        </w:rPr>
        <w:tab/>
      </w:r>
      <w:r>
        <w:rPr>
          <w:lang w:val="fr-FR"/>
        </w:rPr>
        <w:t>17</w:t>
      </w:r>
    </w:p>
    <w:p w:rsidR="00A336BF" w:rsidRDefault="00A336BF" w:rsidP="00A336BF">
      <w:pPr>
        <w:tabs>
          <w:tab w:val="right" w:pos="850"/>
          <w:tab w:val="left" w:pos="1134"/>
          <w:tab w:val="left" w:pos="1559"/>
          <w:tab w:val="left" w:pos="1984"/>
          <w:tab w:val="left" w:leader="dot" w:pos="7654"/>
          <w:tab w:val="right" w:pos="8929"/>
          <w:tab w:val="right" w:pos="9638"/>
        </w:tabs>
        <w:spacing w:after="120"/>
        <w:ind w:left="1134" w:hanging="1134"/>
        <w:rPr>
          <w:lang w:val="fr-FR"/>
        </w:rPr>
      </w:pPr>
      <w:r>
        <w:rPr>
          <w:lang w:val="fr-FR"/>
        </w:rPr>
        <w:tab/>
        <w:t>III.</w:t>
      </w:r>
      <w:r>
        <w:rPr>
          <w:lang w:val="fr-FR"/>
        </w:rPr>
        <w:tab/>
      </w:r>
      <w:r w:rsidR="00955653">
        <w:rPr>
          <w:lang w:val="fr-FR"/>
        </w:rPr>
        <w:t>Propositions de c</w:t>
      </w:r>
      <w:r w:rsidRPr="001E5187">
        <w:rPr>
          <w:lang w:val="fr-FR"/>
        </w:rPr>
        <w:t>orrections au RID/à l’ADR/à</w:t>
      </w:r>
      <w:r w:rsidRPr="001F0D5B">
        <w:rPr>
          <w:lang w:val="fr-FR"/>
        </w:rPr>
        <w:t xml:space="preserve"> l’ADN </w:t>
      </w:r>
      <w:r w:rsidR="00955653">
        <w:rPr>
          <w:lang w:val="fr-FR"/>
        </w:rPr>
        <w:t xml:space="preserve">tels que modifiés par les </w:t>
      </w:r>
      <w:r w:rsidR="007265A1">
        <w:rPr>
          <w:lang w:val="fr-FR"/>
        </w:rPr>
        <w:br/>
      </w:r>
      <w:r w:rsidR="00955653">
        <w:rPr>
          <w:lang w:val="fr-FR"/>
        </w:rPr>
        <w:t>amendements</w:t>
      </w:r>
      <w:r w:rsidR="007265A1">
        <w:rPr>
          <w:lang w:val="fr-FR"/>
        </w:rPr>
        <w:t xml:space="preserve"> </w:t>
      </w:r>
      <w:r>
        <w:rPr>
          <w:lang w:val="fr-FR"/>
        </w:rPr>
        <w:t>entrant</w:t>
      </w:r>
      <w:r w:rsidRPr="001F0D5B">
        <w:rPr>
          <w:lang w:val="fr-FR"/>
        </w:rPr>
        <w:t xml:space="preserve"> en vigueur au 1er janvier 2017</w:t>
      </w:r>
      <w:r>
        <w:rPr>
          <w:lang w:val="fr-FR"/>
        </w:rPr>
        <w:tab/>
      </w:r>
      <w:r>
        <w:rPr>
          <w:lang w:val="fr-FR"/>
        </w:rPr>
        <w:tab/>
      </w:r>
      <w:r>
        <w:rPr>
          <w:lang w:val="fr-FR"/>
        </w:rPr>
        <w:tab/>
        <w:t>25</w:t>
      </w:r>
    </w:p>
    <w:p w:rsidR="00793A84" w:rsidRDefault="000E0A08" w:rsidP="00793A84">
      <w:pPr>
        <w:pStyle w:val="HChG"/>
      </w:pPr>
      <w:r>
        <w:br w:type="page"/>
      </w:r>
      <w:r w:rsidR="00793A84">
        <w:lastRenderedPageBreak/>
        <w:tab/>
      </w:r>
      <w:r w:rsidR="00793A84">
        <w:tab/>
        <w:t xml:space="preserve">Rapport </w:t>
      </w:r>
    </w:p>
    <w:p w:rsidR="005045C0" w:rsidRPr="007729C1" w:rsidRDefault="00853379" w:rsidP="005045C0">
      <w:pPr>
        <w:pStyle w:val="HChG"/>
      </w:pPr>
      <w:r>
        <w:tab/>
      </w:r>
      <w:r>
        <w:tab/>
      </w:r>
      <w:r w:rsidR="005045C0" w:rsidRPr="007729C1">
        <w:t>I.</w:t>
      </w:r>
      <w:r w:rsidR="005045C0">
        <w:tab/>
      </w:r>
      <w:r w:rsidR="005045C0" w:rsidRPr="007729C1">
        <w:t>P</w:t>
      </w:r>
      <w:r w:rsidR="005045C0">
        <w:t>articipation</w:t>
      </w:r>
    </w:p>
    <w:p w:rsidR="005045C0" w:rsidRDefault="005045C0" w:rsidP="005045C0">
      <w:pPr>
        <w:pStyle w:val="SingleTxtG"/>
        <w:rPr>
          <w:lang w:val="fr-FR"/>
        </w:rPr>
      </w:pPr>
      <w:r>
        <w:rPr>
          <w:lang w:val="fr-FR"/>
        </w:rPr>
        <w:t>1.</w:t>
      </w:r>
      <w:r>
        <w:rPr>
          <w:lang w:val="fr-FR"/>
        </w:rPr>
        <w:tab/>
      </w:r>
      <w:r w:rsidRPr="007C1E4B">
        <w:rPr>
          <w:lang w:val="fr-FR"/>
        </w:rPr>
        <w:t>La Réunion commune de la Commission d’experts du RID et du Groupe de travail des transports de march</w:t>
      </w:r>
      <w:r>
        <w:rPr>
          <w:lang w:val="fr-FR"/>
        </w:rPr>
        <w:t>andises dangereuses de la CEE-</w:t>
      </w:r>
      <w:r w:rsidRPr="007C1E4B">
        <w:rPr>
          <w:lang w:val="fr-FR"/>
        </w:rPr>
        <w:t xml:space="preserve">ONU s’est tenue </w:t>
      </w:r>
      <w:r>
        <w:rPr>
          <w:lang w:val="fr-FR"/>
        </w:rPr>
        <w:t xml:space="preserve">à Genève </w:t>
      </w:r>
      <w:r w:rsidRPr="007C1E4B">
        <w:rPr>
          <w:lang w:val="fr-FR"/>
        </w:rPr>
        <w:t xml:space="preserve">du </w:t>
      </w:r>
      <w:r>
        <w:rPr>
          <w:lang w:val="fr-FR"/>
        </w:rPr>
        <w:t>19 au 23 septembre 2016</w:t>
      </w:r>
      <w:r w:rsidRPr="007C1E4B">
        <w:rPr>
          <w:lang w:val="fr-FR"/>
        </w:rPr>
        <w:t xml:space="preserve"> sous la </w:t>
      </w:r>
      <w:r>
        <w:rPr>
          <w:lang w:val="fr-FR"/>
        </w:rPr>
        <w:t>p</w:t>
      </w:r>
      <w:r w:rsidRPr="007C1E4B">
        <w:rPr>
          <w:lang w:val="fr-FR"/>
        </w:rPr>
        <w:t xml:space="preserve">résidence de M. C. </w:t>
      </w:r>
      <w:proofErr w:type="spellStart"/>
      <w:r w:rsidRPr="007C1E4B">
        <w:rPr>
          <w:lang w:val="fr-FR"/>
        </w:rPr>
        <w:t>Pfauvadel</w:t>
      </w:r>
      <w:proofErr w:type="spellEnd"/>
      <w:r w:rsidRPr="007C1E4B">
        <w:rPr>
          <w:lang w:val="fr-FR"/>
        </w:rPr>
        <w:t xml:space="preserve"> (</w:t>
      </w:r>
      <w:r>
        <w:rPr>
          <w:lang w:val="fr-FR"/>
        </w:rPr>
        <w:t>France) et la vice-présidence de M. H. Rein (Allemagne).</w:t>
      </w:r>
    </w:p>
    <w:p w:rsidR="005045C0" w:rsidRDefault="005045C0" w:rsidP="005045C0">
      <w:pPr>
        <w:spacing w:after="120"/>
        <w:ind w:left="1134" w:right="1134"/>
        <w:jc w:val="both"/>
        <w:rPr>
          <w:lang w:val="fr-FR"/>
        </w:rPr>
      </w:pPr>
      <w:r w:rsidRPr="009E2601">
        <w:rPr>
          <w:lang w:val="fr-FR"/>
        </w:rPr>
        <w:t>2.</w:t>
      </w:r>
      <w:r w:rsidRPr="009E2601">
        <w:rPr>
          <w:lang w:val="fr-FR"/>
        </w:rPr>
        <w:tab/>
        <w:t>Conformément à l’article 1 a) du Règlement intérieur de la Réunion commune, (ECE/TRANS/WP.15/AC.1/112/Add.2), les représentants des pays suivants ont partic</w:t>
      </w:r>
      <w:r>
        <w:rPr>
          <w:lang w:val="fr-FR"/>
        </w:rPr>
        <w:t>ipé de plein droit à la session</w:t>
      </w:r>
      <w:r w:rsidRPr="009E2601">
        <w:rPr>
          <w:lang w:val="fr-FR"/>
        </w:rPr>
        <w:t xml:space="preserve">: </w:t>
      </w:r>
      <w:r w:rsidRPr="00AE5300">
        <w:rPr>
          <w:lang w:val="fr-FR"/>
        </w:rPr>
        <w:t xml:space="preserve">Allemagne, Autriche, Belgique, </w:t>
      </w:r>
      <w:r>
        <w:rPr>
          <w:lang w:val="fr-FR"/>
        </w:rPr>
        <w:t xml:space="preserve">Croatie, </w:t>
      </w:r>
      <w:r w:rsidRPr="00AE5300">
        <w:rPr>
          <w:lang w:val="fr-FR"/>
        </w:rPr>
        <w:t xml:space="preserve">Danemark, Espagne, </w:t>
      </w:r>
      <w:r>
        <w:rPr>
          <w:lang w:val="fr-FR"/>
        </w:rPr>
        <w:t xml:space="preserve">Etats-Unis d’Amérique, </w:t>
      </w:r>
      <w:r w:rsidRPr="00AE5300">
        <w:rPr>
          <w:lang w:val="fr-FR"/>
        </w:rPr>
        <w:t xml:space="preserve">Fédération de Russie, Finlande, France, </w:t>
      </w:r>
      <w:r>
        <w:rPr>
          <w:lang w:val="fr-FR"/>
        </w:rPr>
        <w:t xml:space="preserve">Italie, </w:t>
      </w:r>
      <w:r w:rsidRPr="00AE5300">
        <w:rPr>
          <w:lang w:val="fr-FR"/>
        </w:rPr>
        <w:t xml:space="preserve">Lettonie, </w:t>
      </w:r>
      <w:r>
        <w:rPr>
          <w:lang w:val="fr-FR"/>
        </w:rPr>
        <w:t xml:space="preserve">Lituanie, Luxembourg, </w:t>
      </w:r>
      <w:r w:rsidRPr="00AE5300">
        <w:rPr>
          <w:lang w:val="fr-FR"/>
        </w:rPr>
        <w:t xml:space="preserve">Norvège, Pays-Bas, Pologne, </w:t>
      </w:r>
      <w:r>
        <w:rPr>
          <w:lang w:val="fr-FR"/>
        </w:rPr>
        <w:t xml:space="preserve">Portugal, </w:t>
      </w:r>
      <w:r w:rsidRPr="00AE5300">
        <w:rPr>
          <w:lang w:val="fr-FR"/>
        </w:rPr>
        <w:t xml:space="preserve">République tchèque, Roumanie, Royaume-Uni, </w:t>
      </w:r>
      <w:r>
        <w:rPr>
          <w:lang w:val="fr-FR"/>
        </w:rPr>
        <w:t xml:space="preserve">Slovaquie, Suède, </w:t>
      </w:r>
      <w:r w:rsidRPr="00AE5300">
        <w:rPr>
          <w:lang w:val="fr-FR"/>
        </w:rPr>
        <w:t>Suisse</w:t>
      </w:r>
      <w:r>
        <w:rPr>
          <w:lang w:val="fr-FR"/>
        </w:rPr>
        <w:t xml:space="preserve"> et Turquie</w:t>
      </w:r>
      <w:r w:rsidRPr="009E2601">
        <w:rPr>
          <w:lang w:val="fr-FR"/>
        </w:rPr>
        <w:t xml:space="preserve">. </w:t>
      </w:r>
    </w:p>
    <w:p w:rsidR="005045C0" w:rsidRPr="009E2601" w:rsidRDefault="005045C0" w:rsidP="005045C0">
      <w:pPr>
        <w:spacing w:after="120"/>
        <w:ind w:left="1134" w:right="1134"/>
        <w:jc w:val="both"/>
        <w:rPr>
          <w:lang w:val="fr-FR"/>
        </w:rPr>
      </w:pPr>
      <w:r>
        <w:rPr>
          <w:lang w:val="fr-FR"/>
        </w:rPr>
        <w:t>3</w:t>
      </w:r>
      <w:r w:rsidRPr="009E2601">
        <w:rPr>
          <w:lang w:val="fr-FR"/>
        </w:rPr>
        <w:t>.</w:t>
      </w:r>
      <w:r w:rsidRPr="009E2601">
        <w:rPr>
          <w:lang w:val="fr-FR"/>
        </w:rPr>
        <w:tab/>
        <w:t>Conformément à l’article 1, paragraphes c) et d)</w:t>
      </w:r>
      <w:r w:rsidR="008444FE">
        <w:rPr>
          <w:lang w:val="fr-FR"/>
        </w:rPr>
        <w:t>,</w:t>
      </w:r>
      <w:r w:rsidRPr="009E2601">
        <w:rPr>
          <w:lang w:val="fr-FR"/>
        </w:rPr>
        <w:t xml:space="preserve"> du Règlement intérieur, étaient r</w:t>
      </w:r>
      <w:r>
        <w:rPr>
          <w:lang w:val="fr-FR"/>
        </w:rPr>
        <w:t>eprésentées à titre consultatif</w:t>
      </w:r>
      <w:r w:rsidRPr="009E2601">
        <w:rPr>
          <w:lang w:val="fr-FR"/>
        </w:rPr>
        <w:t>:</w:t>
      </w:r>
    </w:p>
    <w:p w:rsidR="005045C0" w:rsidRPr="009E2601" w:rsidRDefault="005045C0" w:rsidP="005045C0">
      <w:pPr>
        <w:spacing w:after="120"/>
        <w:ind w:left="1689" w:right="1134"/>
        <w:jc w:val="both"/>
        <w:rPr>
          <w:lang w:val="fr-FR"/>
        </w:rPr>
      </w:pPr>
      <w:r>
        <w:rPr>
          <w:lang w:val="fr-FR"/>
        </w:rPr>
        <w:t>a)</w:t>
      </w:r>
      <w:r>
        <w:rPr>
          <w:lang w:val="fr-FR"/>
        </w:rPr>
        <w:tab/>
        <w:t>L'Union européenne et l’Organisation pour la Coopération des Chemins de Fer (OSJD)</w:t>
      </w:r>
      <w:r w:rsidRPr="009E2601">
        <w:rPr>
          <w:lang w:val="fr-FR"/>
        </w:rPr>
        <w:t xml:space="preserve">; </w:t>
      </w:r>
    </w:p>
    <w:p w:rsidR="005045C0" w:rsidRDefault="005045C0" w:rsidP="005045C0">
      <w:pPr>
        <w:spacing w:after="120"/>
        <w:ind w:left="1701" w:right="1134" w:hanging="567"/>
        <w:jc w:val="both"/>
        <w:rPr>
          <w:lang w:val="fr-FR"/>
        </w:rPr>
      </w:pPr>
      <w:r w:rsidRPr="003812D8">
        <w:rPr>
          <w:lang w:val="fr-FR"/>
        </w:rPr>
        <w:tab/>
        <w:t>b)</w:t>
      </w:r>
      <w:r w:rsidRPr="003812D8">
        <w:rPr>
          <w:lang w:val="fr-FR"/>
        </w:rPr>
        <w:tab/>
        <w:t xml:space="preserve">Les organisations internationales non-gouvernementales suivantes: </w:t>
      </w:r>
      <w:r w:rsidRPr="00C37CD3">
        <w:rPr>
          <w:lang w:val="fr-FR"/>
        </w:rPr>
        <w:t xml:space="preserve">l'Association européenne des gaz industriels (EIGA), l’Association européenne des gaz de pétrole liquéfiés (AEGPL), </w:t>
      </w:r>
      <w:r w:rsidR="008444FE">
        <w:rPr>
          <w:rFonts w:ascii="Helv" w:hAnsi="Helv" w:cs="Helv"/>
          <w:lang w:eastAsia="en-GB"/>
        </w:rPr>
        <w:t>l’</w:t>
      </w:r>
      <w:r w:rsidR="008444FE" w:rsidRPr="00C37CD3">
        <w:rPr>
          <w:lang w:val="fr-FR"/>
        </w:rPr>
        <w:t>Association internationale de la savonnerie, de la détergence et des produits d’entretien (AISE),</w:t>
      </w:r>
      <w:r w:rsidR="008444FE">
        <w:rPr>
          <w:lang w:val="fr-FR"/>
        </w:rPr>
        <w:t xml:space="preserve"> </w:t>
      </w:r>
      <w:r w:rsidR="00955653">
        <w:rPr>
          <w:lang w:val="fr-FR"/>
        </w:rPr>
        <w:t xml:space="preserve">le </w:t>
      </w:r>
      <w:r>
        <w:rPr>
          <w:lang w:val="fr-FR"/>
        </w:rPr>
        <w:t xml:space="preserve">Comité européen de normalisation (CEN), </w:t>
      </w:r>
      <w:r w:rsidR="008444FE">
        <w:rPr>
          <w:lang w:val="fr-FR"/>
        </w:rPr>
        <w:t xml:space="preserve">le </w:t>
      </w:r>
      <w:r w:rsidR="008444FE" w:rsidRPr="00C37CD3">
        <w:t>Comité de liaison de la construction de carrosseries et de remorques (CLCCR),</w:t>
      </w:r>
      <w:r w:rsidR="008444FE">
        <w:t xml:space="preserve"> </w:t>
      </w:r>
      <w:r w:rsidR="008444FE">
        <w:rPr>
          <w:lang w:val="fr-FR"/>
        </w:rPr>
        <w:t xml:space="preserve">la Conférence européenne des distributeurs de </w:t>
      </w:r>
      <w:r w:rsidR="008444FE" w:rsidRPr="00F826AC">
        <w:rPr>
          <w:lang w:val="fr-FR"/>
        </w:rPr>
        <w:t>combustibles et carburants</w:t>
      </w:r>
      <w:r w:rsidR="008444FE">
        <w:rPr>
          <w:rFonts w:ascii="Verdana" w:hAnsi="Verdana"/>
          <w:color w:val="DAE2E9"/>
          <w:sz w:val="18"/>
          <w:szCs w:val="18"/>
        </w:rPr>
        <w:t xml:space="preserve"> </w:t>
      </w:r>
      <w:r w:rsidR="008444FE">
        <w:rPr>
          <w:lang w:val="fr-FR"/>
        </w:rPr>
        <w:t xml:space="preserve"> (CENCC), </w:t>
      </w:r>
      <w:r w:rsidR="008444FE" w:rsidRPr="00C37CD3">
        <w:rPr>
          <w:lang w:val="fr-FR"/>
        </w:rPr>
        <w:t>le Conseil européen d</w:t>
      </w:r>
      <w:r w:rsidR="008444FE">
        <w:rPr>
          <w:lang w:val="fr-FR"/>
        </w:rPr>
        <w:t xml:space="preserve">e l’industrie chimique (CEFIC), </w:t>
      </w:r>
      <w:proofErr w:type="spellStart"/>
      <w:r w:rsidR="008444FE" w:rsidRPr="00C37CD3">
        <w:rPr>
          <w:lang w:val="fr-FR"/>
        </w:rPr>
        <w:t>Cosmetics</w:t>
      </w:r>
      <w:proofErr w:type="spellEnd"/>
      <w:r w:rsidR="008444FE" w:rsidRPr="00C37CD3">
        <w:rPr>
          <w:lang w:val="fr-FR"/>
        </w:rPr>
        <w:t xml:space="preserve"> Europe,</w:t>
      </w:r>
      <w:r w:rsidR="008444FE">
        <w:rPr>
          <w:lang w:val="fr-FR"/>
        </w:rPr>
        <w:t xml:space="preserve"> </w:t>
      </w:r>
      <w:r>
        <w:rPr>
          <w:lang w:val="fr-FR"/>
        </w:rPr>
        <w:t xml:space="preserve">Council on </w:t>
      </w:r>
      <w:proofErr w:type="spellStart"/>
      <w:r>
        <w:rPr>
          <w:lang w:val="fr-FR"/>
        </w:rPr>
        <w:t>Safe</w:t>
      </w:r>
      <w:proofErr w:type="spellEnd"/>
      <w:r>
        <w:rPr>
          <w:lang w:val="fr-FR"/>
        </w:rPr>
        <w:t xml:space="preserve"> Transportation of </w:t>
      </w:r>
      <w:proofErr w:type="spellStart"/>
      <w:r>
        <w:rPr>
          <w:lang w:val="fr-FR"/>
        </w:rPr>
        <w:t>Hazardous</w:t>
      </w:r>
      <w:proofErr w:type="spellEnd"/>
      <w:r>
        <w:rPr>
          <w:lang w:val="fr-FR"/>
        </w:rPr>
        <w:t xml:space="preserve"> Articles (COSTHA), </w:t>
      </w:r>
      <w:proofErr w:type="spellStart"/>
      <w:r>
        <w:rPr>
          <w:lang w:val="fr-FR"/>
        </w:rPr>
        <w:t>European</w:t>
      </w:r>
      <w:proofErr w:type="spellEnd"/>
      <w:r>
        <w:rPr>
          <w:lang w:val="fr-FR"/>
        </w:rPr>
        <w:t xml:space="preserve"> Association for Advanced Rechargeable Batteries (RECHARGE), </w:t>
      </w:r>
      <w:proofErr w:type="spellStart"/>
      <w:r w:rsidR="008444FE">
        <w:rPr>
          <w:lang w:val="fr-FR"/>
        </w:rPr>
        <w:t>European</w:t>
      </w:r>
      <w:proofErr w:type="spellEnd"/>
      <w:r w:rsidR="008444FE">
        <w:rPr>
          <w:lang w:val="fr-FR"/>
        </w:rPr>
        <w:t xml:space="preserve"> Association of </w:t>
      </w:r>
      <w:proofErr w:type="spellStart"/>
      <w:r w:rsidR="008444FE">
        <w:rPr>
          <w:lang w:val="fr-FR"/>
        </w:rPr>
        <w:t>Dangerous</w:t>
      </w:r>
      <w:proofErr w:type="spellEnd"/>
      <w:r w:rsidR="008444FE">
        <w:rPr>
          <w:lang w:val="fr-FR"/>
        </w:rPr>
        <w:t xml:space="preserve"> </w:t>
      </w:r>
      <w:proofErr w:type="spellStart"/>
      <w:r w:rsidR="008444FE">
        <w:rPr>
          <w:lang w:val="fr-FR"/>
        </w:rPr>
        <w:t>Goods</w:t>
      </w:r>
      <w:proofErr w:type="spellEnd"/>
      <w:r w:rsidR="008444FE">
        <w:rPr>
          <w:lang w:val="fr-FR"/>
        </w:rPr>
        <w:t xml:space="preserve"> </w:t>
      </w:r>
      <w:proofErr w:type="spellStart"/>
      <w:r w:rsidR="008444FE">
        <w:rPr>
          <w:lang w:val="fr-FR"/>
        </w:rPr>
        <w:t>Safety</w:t>
      </w:r>
      <w:proofErr w:type="spellEnd"/>
      <w:r w:rsidR="008444FE">
        <w:rPr>
          <w:lang w:val="fr-FR"/>
        </w:rPr>
        <w:t xml:space="preserve"> </w:t>
      </w:r>
      <w:proofErr w:type="spellStart"/>
      <w:r w:rsidR="008444FE">
        <w:rPr>
          <w:lang w:val="fr-FR"/>
        </w:rPr>
        <w:t>Advisers</w:t>
      </w:r>
      <w:proofErr w:type="spellEnd"/>
      <w:r w:rsidR="008444FE">
        <w:rPr>
          <w:lang w:val="fr-FR"/>
        </w:rPr>
        <w:t xml:space="preserve"> (EASA), </w:t>
      </w:r>
      <w:proofErr w:type="spellStart"/>
      <w:r w:rsidRPr="00C37CD3">
        <w:rPr>
          <w:lang w:val="fr-FR"/>
        </w:rPr>
        <w:t>European</w:t>
      </w:r>
      <w:proofErr w:type="spellEnd"/>
      <w:r w:rsidRPr="00C37CD3">
        <w:rPr>
          <w:lang w:val="fr-FR"/>
        </w:rPr>
        <w:t xml:space="preserve"> </w:t>
      </w:r>
      <w:proofErr w:type="spellStart"/>
      <w:r w:rsidRPr="00C37CD3">
        <w:rPr>
          <w:lang w:val="fr-FR"/>
        </w:rPr>
        <w:t>Cylinder</w:t>
      </w:r>
      <w:proofErr w:type="spellEnd"/>
      <w:r w:rsidRPr="00C37CD3">
        <w:rPr>
          <w:lang w:val="fr-FR"/>
        </w:rPr>
        <w:t xml:space="preserve"> </w:t>
      </w:r>
      <w:proofErr w:type="spellStart"/>
      <w:r w:rsidRPr="00C37CD3">
        <w:rPr>
          <w:lang w:val="fr-FR"/>
        </w:rPr>
        <w:t>Makers</w:t>
      </w:r>
      <w:proofErr w:type="spellEnd"/>
      <w:r w:rsidRPr="00C37CD3">
        <w:rPr>
          <w:lang w:val="fr-FR"/>
        </w:rPr>
        <w:t xml:space="preserve"> Association (ECMA), </w:t>
      </w:r>
      <w:r w:rsidR="00955653">
        <w:rPr>
          <w:lang w:val="fr-FR"/>
        </w:rPr>
        <w:t xml:space="preserve">la </w:t>
      </w:r>
      <w:r w:rsidR="008444FE">
        <w:rPr>
          <w:lang w:val="fr-FR"/>
        </w:rPr>
        <w:t>Fédération européenne des activités de la dépollution et de l’environnement</w:t>
      </w:r>
      <w:r>
        <w:rPr>
          <w:lang w:val="fr-FR"/>
        </w:rPr>
        <w:t xml:space="preserve"> (FEAD), </w:t>
      </w:r>
      <w:r w:rsidR="008444FE">
        <w:t xml:space="preserve">la </w:t>
      </w:r>
      <w:r w:rsidR="008444FE" w:rsidRPr="00C37CD3">
        <w:rPr>
          <w:lang w:val="fr-FR"/>
        </w:rPr>
        <w:t>Fédération européenne des aérosols (FEA),</w:t>
      </w:r>
      <w:r w:rsidR="008444FE">
        <w:rPr>
          <w:lang w:val="fr-FR"/>
        </w:rPr>
        <w:t xml:space="preserve"> </w:t>
      </w:r>
      <w:proofErr w:type="spellStart"/>
      <w:r>
        <w:rPr>
          <w:lang w:val="fr-FR"/>
        </w:rPr>
        <w:t>FuelsEurope</w:t>
      </w:r>
      <w:proofErr w:type="spellEnd"/>
      <w:r>
        <w:rPr>
          <w:lang w:val="fr-FR"/>
        </w:rPr>
        <w:t xml:space="preserve">, </w:t>
      </w:r>
      <w:r w:rsidRPr="00C37CD3">
        <w:rPr>
          <w:bCs/>
          <w:lang w:val="fr-FR"/>
        </w:rPr>
        <w:t>International Tank Container Organisation</w:t>
      </w:r>
      <w:r w:rsidRPr="00C37CD3">
        <w:rPr>
          <w:lang w:val="fr-FR"/>
        </w:rPr>
        <w:t xml:space="preserve"> (</w:t>
      </w:r>
      <w:r w:rsidRPr="00C37CD3">
        <w:rPr>
          <w:bCs/>
          <w:lang w:val="fr-FR"/>
        </w:rPr>
        <w:t>ITCO</w:t>
      </w:r>
      <w:r w:rsidRPr="00C37CD3">
        <w:rPr>
          <w:lang w:val="fr-FR"/>
        </w:rPr>
        <w:t>), l’Union internationale des chemins de fer (UIC), l’Union internationale des propriétaire</w:t>
      </w:r>
      <w:r w:rsidR="008444FE">
        <w:rPr>
          <w:lang w:val="fr-FR"/>
        </w:rPr>
        <w:t xml:space="preserve">s de wagons particuliers (UIP) et </w:t>
      </w:r>
      <w:r w:rsidRPr="00C37CD3">
        <w:rPr>
          <w:lang w:val="fr-FR"/>
        </w:rPr>
        <w:t>l’Union internationale</w:t>
      </w:r>
      <w:r w:rsidR="008444FE">
        <w:rPr>
          <w:lang w:val="fr-FR"/>
        </w:rPr>
        <w:t xml:space="preserve"> des transports routiers (IRU)</w:t>
      </w:r>
      <w:r w:rsidR="00955653">
        <w:rPr>
          <w:lang w:val="fr-FR"/>
        </w:rPr>
        <w:t>;</w:t>
      </w:r>
    </w:p>
    <w:p w:rsidR="00955653" w:rsidRPr="00C37CD3" w:rsidRDefault="007E7193" w:rsidP="005045C0">
      <w:pPr>
        <w:spacing w:after="120"/>
        <w:ind w:left="1701" w:right="1134" w:hanging="567"/>
        <w:jc w:val="both"/>
        <w:rPr>
          <w:lang w:val="fr-FR"/>
        </w:rPr>
      </w:pPr>
      <w:r>
        <w:rPr>
          <w:lang w:val="fr-FR"/>
        </w:rPr>
        <w:tab/>
        <w:t>c)</w:t>
      </w:r>
      <w:r>
        <w:rPr>
          <w:lang w:val="fr-FR"/>
        </w:rPr>
        <w:tab/>
        <w:t xml:space="preserve">Council on </w:t>
      </w:r>
      <w:proofErr w:type="spellStart"/>
      <w:r>
        <w:rPr>
          <w:lang w:val="fr-FR"/>
        </w:rPr>
        <w:t>Safe</w:t>
      </w:r>
      <w:proofErr w:type="spellEnd"/>
      <w:r>
        <w:rPr>
          <w:lang w:val="fr-FR"/>
        </w:rPr>
        <w:t xml:space="preserve"> </w:t>
      </w:r>
      <w:r w:rsidR="00955653">
        <w:rPr>
          <w:lang w:val="fr-FR"/>
        </w:rPr>
        <w:t xml:space="preserve">Transportation of </w:t>
      </w:r>
      <w:proofErr w:type="spellStart"/>
      <w:r w:rsidR="00955653">
        <w:rPr>
          <w:lang w:val="fr-FR"/>
        </w:rPr>
        <w:t>Hazardous</w:t>
      </w:r>
      <w:proofErr w:type="spellEnd"/>
      <w:r w:rsidR="00955653">
        <w:rPr>
          <w:lang w:val="fr-FR"/>
        </w:rPr>
        <w:t xml:space="preserve"> Articles (COSTHA), uniquement dans le cadre d sa demande de statut consultatif (voir par.57-58).</w:t>
      </w:r>
    </w:p>
    <w:p w:rsidR="005045C0" w:rsidRPr="00387D36" w:rsidRDefault="005045C0" w:rsidP="005045C0">
      <w:pPr>
        <w:pStyle w:val="HChG"/>
      </w:pPr>
      <w:r>
        <w:rPr>
          <w:lang w:val="fr-FR"/>
        </w:rPr>
        <w:tab/>
        <w:t>II.</w:t>
      </w:r>
      <w:r>
        <w:rPr>
          <w:lang w:val="fr-FR"/>
        </w:rPr>
        <w:tab/>
        <w:t>A</w:t>
      </w:r>
      <w:r w:rsidRPr="001F7089">
        <w:rPr>
          <w:lang w:val="fr-FR"/>
        </w:rPr>
        <w:t xml:space="preserve">doption de l'ordre du jour </w:t>
      </w:r>
      <w:r w:rsidRPr="00C35A40">
        <w:rPr>
          <w:lang w:val="fr-FR"/>
        </w:rPr>
        <w:t>(point 1 de l’ordre du jour)</w:t>
      </w:r>
    </w:p>
    <w:p w:rsidR="005045C0" w:rsidRPr="00C45869" w:rsidRDefault="005045C0" w:rsidP="005045C0">
      <w:pPr>
        <w:pStyle w:val="SingleTxtG"/>
        <w:tabs>
          <w:tab w:val="left" w:pos="3100"/>
        </w:tabs>
        <w:rPr>
          <w:i/>
          <w:lang w:val="fr-FR"/>
        </w:rPr>
      </w:pPr>
      <w:r w:rsidRPr="00EA4A82">
        <w:rPr>
          <w:i/>
          <w:lang w:val="fr-FR"/>
        </w:rPr>
        <w:t>Document</w:t>
      </w:r>
      <w:r w:rsidR="00955653">
        <w:rPr>
          <w:i/>
          <w:lang w:val="fr-FR"/>
        </w:rPr>
        <w:t>s</w:t>
      </w:r>
      <w:r w:rsidRPr="00E30AEE">
        <w:rPr>
          <w:i/>
          <w:lang w:val="fr-FR"/>
        </w:rPr>
        <w:t>:</w:t>
      </w:r>
      <w:r>
        <w:rPr>
          <w:lang w:val="fr-FR"/>
        </w:rPr>
        <w:tab/>
        <w:t>ECE/TRANS/WP.15/AC.1/143 et Add.1</w:t>
      </w:r>
    </w:p>
    <w:p w:rsidR="005045C0" w:rsidRDefault="005045C0" w:rsidP="005045C0">
      <w:pPr>
        <w:pStyle w:val="SingleTxtG"/>
        <w:tabs>
          <w:tab w:val="left" w:pos="3100"/>
        </w:tabs>
        <w:rPr>
          <w:lang w:val="fr-FR"/>
        </w:rPr>
      </w:pPr>
      <w:r w:rsidRPr="00EA4A82">
        <w:rPr>
          <w:i/>
          <w:lang w:val="fr-FR"/>
        </w:rPr>
        <w:t>Documents informels</w:t>
      </w:r>
      <w:r>
        <w:rPr>
          <w:lang w:val="fr-FR"/>
        </w:rPr>
        <w:t xml:space="preserve">: </w:t>
      </w:r>
      <w:r>
        <w:rPr>
          <w:lang w:val="fr-FR"/>
        </w:rPr>
        <w:tab/>
        <w:t>INF.1 et INF.2 (Secrétariat)</w:t>
      </w:r>
    </w:p>
    <w:p w:rsidR="005045C0" w:rsidRDefault="00D43327" w:rsidP="005045C0">
      <w:pPr>
        <w:spacing w:after="120"/>
        <w:ind w:left="1134" w:right="1134"/>
        <w:jc w:val="both"/>
        <w:rPr>
          <w:lang w:val="fr-FR"/>
        </w:rPr>
      </w:pPr>
      <w:r>
        <w:rPr>
          <w:lang w:val="fr-FR"/>
        </w:rPr>
        <w:t>4</w:t>
      </w:r>
      <w:r w:rsidR="005045C0" w:rsidRPr="009E2601">
        <w:rPr>
          <w:lang w:val="fr-FR"/>
        </w:rPr>
        <w:t>.</w:t>
      </w:r>
      <w:r w:rsidR="005045C0" w:rsidRPr="009E2601">
        <w:rPr>
          <w:lang w:val="fr-FR"/>
        </w:rPr>
        <w:tab/>
        <w:t>La Réunion commune a adopté l’ordre du jour proposé par le secrétariat dans les do</w:t>
      </w:r>
      <w:r w:rsidR="005045C0">
        <w:rPr>
          <w:lang w:val="fr-FR"/>
        </w:rPr>
        <w:t>cuments ECE/TRANS/WP.15/AC.1/143</w:t>
      </w:r>
      <w:r w:rsidR="005045C0" w:rsidRPr="009E2601">
        <w:rPr>
          <w:lang w:val="fr-FR"/>
        </w:rPr>
        <w:t xml:space="preserve"> et additif 1 (lettre </w:t>
      </w:r>
      <w:r w:rsidR="005045C0" w:rsidRPr="009E2601">
        <w:rPr>
          <w:iCs/>
          <w:color w:val="000000"/>
          <w:lang w:val="fr-FR"/>
        </w:rPr>
        <w:t xml:space="preserve">A </w:t>
      </w:r>
      <w:r w:rsidR="005045C0">
        <w:rPr>
          <w:color w:val="000000"/>
          <w:lang w:val="fr-FR"/>
        </w:rPr>
        <w:t>81-02/503.2016</w:t>
      </w:r>
      <w:r w:rsidR="005045C0" w:rsidRPr="009E2601">
        <w:rPr>
          <w:i/>
          <w:color w:val="000000"/>
          <w:lang w:val="fr-FR"/>
        </w:rPr>
        <w:t xml:space="preserve"> </w:t>
      </w:r>
      <w:r w:rsidR="005045C0" w:rsidRPr="009E2601">
        <w:rPr>
          <w:lang w:val="fr-FR"/>
        </w:rPr>
        <w:t>de l’OTIF) tels que mis à jour par le</w:t>
      </w:r>
      <w:r w:rsidR="005045C0">
        <w:rPr>
          <w:lang w:val="fr-FR"/>
        </w:rPr>
        <w:t>s</w:t>
      </w:r>
      <w:r w:rsidR="005045C0" w:rsidRPr="009E2601">
        <w:rPr>
          <w:lang w:val="fr-FR"/>
        </w:rPr>
        <w:t xml:space="preserve"> document</w:t>
      </w:r>
      <w:r w:rsidR="005045C0">
        <w:rPr>
          <w:lang w:val="fr-FR"/>
        </w:rPr>
        <w:t>s</w:t>
      </w:r>
      <w:r w:rsidR="005045C0" w:rsidRPr="009E2601">
        <w:rPr>
          <w:lang w:val="fr-FR"/>
        </w:rPr>
        <w:t xml:space="preserve"> informel</w:t>
      </w:r>
      <w:r w:rsidR="005045C0">
        <w:rPr>
          <w:lang w:val="fr-FR"/>
        </w:rPr>
        <w:t>s</w:t>
      </w:r>
      <w:r w:rsidR="005045C0" w:rsidRPr="009E2601">
        <w:rPr>
          <w:lang w:val="fr-FR"/>
        </w:rPr>
        <w:t xml:space="preserve"> </w:t>
      </w:r>
      <w:r w:rsidR="005045C0">
        <w:rPr>
          <w:lang w:val="fr-FR"/>
        </w:rPr>
        <w:t>INF.1 et INF.2.</w:t>
      </w:r>
    </w:p>
    <w:p w:rsidR="005045C0" w:rsidRDefault="00D43327" w:rsidP="005045C0">
      <w:pPr>
        <w:spacing w:after="120"/>
        <w:ind w:left="1134" w:right="1134"/>
        <w:jc w:val="both"/>
        <w:rPr>
          <w:lang w:val="fr-FR"/>
        </w:rPr>
      </w:pPr>
      <w:r>
        <w:rPr>
          <w:lang w:val="fr-FR"/>
        </w:rPr>
        <w:t>5</w:t>
      </w:r>
      <w:r w:rsidR="005045C0">
        <w:rPr>
          <w:lang w:val="fr-FR"/>
        </w:rPr>
        <w:t>.</w:t>
      </w:r>
      <w:r w:rsidR="005045C0">
        <w:rPr>
          <w:lang w:val="fr-FR"/>
        </w:rPr>
        <w:tab/>
        <w:t>La représentante de la France a relevé que la documentation relative à la présente session avait été mise à disposition très tôt et a tenu à exprimer sa satisfaction devant cette nette amélioration de performance des services de traduction et de gestion des documents.</w:t>
      </w:r>
    </w:p>
    <w:p w:rsidR="005045C0" w:rsidRPr="00387D36" w:rsidRDefault="005045C0" w:rsidP="005045C0">
      <w:pPr>
        <w:pStyle w:val="HChG"/>
      </w:pPr>
      <w:r>
        <w:rPr>
          <w:lang w:val="fr-FR"/>
        </w:rPr>
        <w:lastRenderedPageBreak/>
        <w:tab/>
        <w:t>III.</w:t>
      </w:r>
      <w:r>
        <w:rPr>
          <w:lang w:val="fr-FR"/>
        </w:rPr>
        <w:tab/>
        <w:t>Citernes</w:t>
      </w:r>
      <w:r w:rsidRPr="001F7089">
        <w:rPr>
          <w:lang w:val="fr-FR"/>
        </w:rPr>
        <w:t xml:space="preserve"> </w:t>
      </w:r>
      <w:r>
        <w:rPr>
          <w:lang w:val="fr-FR"/>
        </w:rPr>
        <w:t>(point 2</w:t>
      </w:r>
      <w:r w:rsidRPr="00C35A40">
        <w:rPr>
          <w:lang w:val="fr-FR"/>
        </w:rPr>
        <w:t xml:space="preserve"> de l’ordre du jour)</w:t>
      </w:r>
    </w:p>
    <w:p w:rsidR="005045C0" w:rsidRPr="00C45869" w:rsidRDefault="005045C0" w:rsidP="005045C0">
      <w:pPr>
        <w:pStyle w:val="SingleTxtG"/>
        <w:tabs>
          <w:tab w:val="left" w:pos="3100"/>
        </w:tabs>
        <w:rPr>
          <w:i/>
          <w:lang w:val="fr-FR"/>
        </w:rPr>
      </w:pPr>
      <w:r w:rsidRPr="00EA4A82">
        <w:rPr>
          <w:i/>
          <w:lang w:val="fr-FR"/>
        </w:rPr>
        <w:t>Document</w:t>
      </w:r>
      <w:r>
        <w:rPr>
          <w:i/>
          <w:lang w:val="fr-FR"/>
        </w:rPr>
        <w:t>s</w:t>
      </w:r>
      <w:r w:rsidRPr="00E30AEE">
        <w:rPr>
          <w:i/>
          <w:lang w:val="fr-FR"/>
        </w:rPr>
        <w:t>:</w:t>
      </w:r>
      <w:r>
        <w:rPr>
          <w:lang w:val="fr-FR"/>
        </w:rPr>
        <w:tab/>
        <w:t xml:space="preserve">ECE/TRANS/WP.15/AC.1/2016/20 (CEN) (Demande d’avis en </w:t>
      </w:r>
      <w:r>
        <w:rPr>
          <w:lang w:val="fr-FR"/>
        </w:rPr>
        <w:tab/>
        <w:t>rapport avec les normes EN 16522 et ISO 16852)</w:t>
      </w:r>
    </w:p>
    <w:p w:rsidR="005045C0" w:rsidRDefault="005045C0" w:rsidP="005045C0">
      <w:pPr>
        <w:spacing w:after="120"/>
        <w:ind w:left="3119" w:right="1134"/>
        <w:jc w:val="both"/>
        <w:rPr>
          <w:lang w:val="fr-FR"/>
        </w:rPr>
      </w:pPr>
      <w:r>
        <w:rPr>
          <w:lang w:val="fr-FR"/>
        </w:rPr>
        <w:t>ECE/TRANS/WP.15/AC.1/2016/21 (EIGA) (Equipements de service pour les citernes)</w:t>
      </w:r>
    </w:p>
    <w:p w:rsidR="005045C0" w:rsidRDefault="005045C0" w:rsidP="005045C0">
      <w:pPr>
        <w:spacing w:after="120"/>
        <w:ind w:left="3119" w:right="1134"/>
        <w:jc w:val="both"/>
        <w:rPr>
          <w:lang w:val="fr-FR"/>
        </w:rPr>
      </w:pPr>
      <w:r>
        <w:rPr>
          <w:lang w:val="fr-FR"/>
        </w:rPr>
        <w:t>ECE/TRANS/WP.15/AC.1/2016/23 (Fédération de Russie) (Indication de la pression résiduelle dans les citernes à gaz vides dans le document de transport)</w:t>
      </w:r>
    </w:p>
    <w:p w:rsidR="008444FE" w:rsidRDefault="005045C0" w:rsidP="005045C0">
      <w:pPr>
        <w:spacing w:after="120"/>
        <w:ind w:left="3119" w:right="1134"/>
        <w:jc w:val="both"/>
        <w:rPr>
          <w:lang w:val="fr-FR"/>
        </w:rPr>
      </w:pPr>
      <w:r>
        <w:rPr>
          <w:lang w:val="fr-FR"/>
        </w:rPr>
        <w:t>ECE/TRANS/WP.15/AC.1/2016/25 (Pays-Bas) (Prescriptions générales concernant les soupapes de sécurité des citernes et la pression nominale des disques de rupture)</w:t>
      </w:r>
      <w:r w:rsidRPr="009A3B54">
        <w:rPr>
          <w:lang w:val="fr-FR"/>
        </w:rPr>
        <w:t xml:space="preserve"> </w:t>
      </w:r>
    </w:p>
    <w:p w:rsidR="008444FE" w:rsidRDefault="008444FE" w:rsidP="005045C0">
      <w:pPr>
        <w:spacing w:after="120"/>
        <w:ind w:left="3119" w:right="1134"/>
        <w:jc w:val="both"/>
        <w:rPr>
          <w:lang w:val="fr-FR"/>
        </w:rPr>
      </w:pPr>
      <w:r>
        <w:rPr>
          <w:lang w:val="fr-FR"/>
        </w:rPr>
        <w:t>ECE/TRANS/WP.15/AC.1/2016/26 (Pays-Bas)</w:t>
      </w:r>
      <w:r w:rsidR="007471FF">
        <w:rPr>
          <w:lang w:val="fr-FR"/>
        </w:rPr>
        <w:t xml:space="preserve"> (</w:t>
      </w:r>
      <w:r w:rsidR="007471FF" w:rsidRPr="002B7C6E">
        <w:rPr>
          <w:lang w:val="fr-FR"/>
        </w:rPr>
        <w:t>Sujets divers sur les citernes</w:t>
      </w:r>
      <w:r w:rsidR="007471FF">
        <w:rPr>
          <w:lang w:val="fr-FR"/>
        </w:rPr>
        <w:t>)</w:t>
      </w:r>
    </w:p>
    <w:p w:rsidR="005045C0" w:rsidRDefault="005045C0" w:rsidP="005045C0">
      <w:pPr>
        <w:spacing w:after="120"/>
        <w:ind w:left="3119" w:right="1134"/>
        <w:jc w:val="both"/>
        <w:rPr>
          <w:lang w:val="fr-FR"/>
        </w:rPr>
      </w:pPr>
      <w:r>
        <w:rPr>
          <w:lang w:val="fr-FR"/>
        </w:rPr>
        <w:t xml:space="preserve">ECE/TRANS/WP.15/AC.1/2016/31 (Pays-Bas) (Rapport du groupe de travail informel des citernes </w:t>
      </w:r>
      <w:r w:rsidR="00955653">
        <w:rPr>
          <w:lang w:val="fr-FR"/>
        </w:rPr>
        <w:t>munies</w:t>
      </w:r>
      <w:r>
        <w:rPr>
          <w:lang w:val="fr-FR"/>
        </w:rPr>
        <w:t xml:space="preserve"> d’un revêtement </w:t>
      </w:r>
      <w:r w:rsidR="00955653">
        <w:rPr>
          <w:lang w:val="fr-FR"/>
        </w:rPr>
        <w:t>protecteur ou d’une doublure protectrice</w:t>
      </w:r>
      <w:r>
        <w:rPr>
          <w:lang w:val="fr-FR"/>
        </w:rPr>
        <w:t>)</w:t>
      </w:r>
    </w:p>
    <w:p w:rsidR="005045C0" w:rsidRDefault="005045C0" w:rsidP="005045C0">
      <w:pPr>
        <w:spacing w:after="120"/>
        <w:ind w:left="3119" w:right="1134"/>
        <w:jc w:val="both"/>
        <w:rPr>
          <w:lang w:val="fr-FR"/>
        </w:rPr>
      </w:pPr>
      <w:r>
        <w:rPr>
          <w:lang w:val="fr-FR"/>
        </w:rPr>
        <w:t>ECE/TRANS/WP.15/AC.1/2016/36 (CEN) (Demande d’éclaircissements sur la signification des mots «dans les cas particuliers» qui figurent dans la note de bas de page 10 relative aux paragraphes 6.8.2.4.1 et 6.8.2.4.2)</w:t>
      </w:r>
    </w:p>
    <w:p w:rsidR="005045C0" w:rsidRDefault="005045C0" w:rsidP="005045C0">
      <w:pPr>
        <w:spacing w:after="120"/>
        <w:ind w:left="3119" w:right="1134"/>
        <w:jc w:val="both"/>
        <w:rPr>
          <w:lang w:val="fr-FR"/>
        </w:rPr>
      </w:pPr>
      <w:r>
        <w:rPr>
          <w:lang w:val="fr-FR"/>
        </w:rPr>
        <w:t>ECE/TRANS/WP.15/AC.1/2016/37 (France) (Transport de citernes de brome après expiration de la validité du contrôle annuel du revêtement)</w:t>
      </w:r>
    </w:p>
    <w:p w:rsidR="005045C0" w:rsidRDefault="005045C0" w:rsidP="005045C0">
      <w:pPr>
        <w:pStyle w:val="SingleTxtG"/>
        <w:tabs>
          <w:tab w:val="left" w:pos="3100"/>
        </w:tabs>
        <w:rPr>
          <w:lang w:val="fr-FR"/>
        </w:rPr>
      </w:pPr>
      <w:r w:rsidRPr="00EA4A82">
        <w:rPr>
          <w:i/>
          <w:lang w:val="fr-FR"/>
        </w:rPr>
        <w:t>Documents informels</w:t>
      </w:r>
      <w:r>
        <w:rPr>
          <w:lang w:val="fr-FR"/>
        </w:rPr>
        <w:t xml:space="preserve">: </w:t>
      </w:r>
      <w:r>
        <w:rPr>
          <w:lang w:val="fr-FR"/>
        </w:rPr>
        <w:tab/>
        <w:t xml:space="preserve">INF.6 (Fédération de Russie) (Proposition d’amendement au </w:t>
      </w:r>
      <w:r>
        <w:rPr>
          <w:lang w:val="fr-FR"/>
        </w:rPr>
        <w:tab/>
        <w:t>4.3.4.1.3)</w:t>
      </w:r>
    </w:p>
    <w:p w:rsidR="005045C0" w:rsidRDefault="005045C0" w:rsidP="005045C0">
      <w:pPr>
        <w:spacing w:after="120"/>
        <w:ind w:left="3119" w:right="1134"/>
        <w:jc w:val="both"/>
        <w:rPr>
          <w:lang w:val="fr-FR"/>
        </w:rPr>
      </w:pPr>
      <w:r>
        <w:rPr>
          <w:lang w:val="fr-FR"/>
        </w:rPr>
        <w:t>INF.8 (AEGPL) (Commentaires sur le document -/2016/26)</w:t>
      </w:r>
    </w:p>
    <w:p w:rsidR="005045C0" w:rsidRDefault="005045C0" w:rsidP="005045C0">
      <w:pPr>
        <w:spacing w:after="120"/>
        <w:ind w:left="3119" w:right="1134"/>
        <w:jc w:val="both"/>
        <w:rPr>
          <w:lang w:val="fr-FR"/>
        </w:rPr>
      </w:pPr>
      <w:r>
        <w:rPr>
          <w:lang w:val="fr-FR"/>
        </w:rPr>
        <w:t>INF.9 (AEGPL) (Commentaires sur le document -/2016/25)</w:t>
      </w:r>
    </w:p>
    <w:p w:rsidR="005045C0" w:rsidRDefault="005045C0" w:rsidP="005045C0">
      <w:pPr>
        <w:spacing w:after="120"/>
        <w:ind w:left="3119" w:right="1134"/>
        <w:jc w:val="both"/>
        <w:rPr>
          <w:lang w:val="fr-FR"/>
        </w:rPr>
      </w:pPr>
      <w:r>
        <w:rPr>
          <w:lang w:val="fr-FR"/>
        </w:rPr>
        <w:t xml:space="preserve">INF.12 (Royaume-Uni) (Rapport du </w:t>
      </w:r>
      <w:r w:rsidR="00955653">
        <w:rPr>
          <w:lang w:val="fr-FR"/>
        </w:rPr>
        <w:t>g</w:t>
      </w:r>
      <w:r>
        <w:rPr>
          <w:lang w:val="fr-FR"/>
        </w:rPr>
        <w:t>roupe de travail informel sur le contrôle et l’agrément des citernes)</w:t>
      </w:r>
    </w:p>
    <w:p w:rsidR="005045C0" w:rsidRDefault="005045C0" w:rsidP="005045C0">
      <w:pPr>
        <w:spacing w:after="120"/>
        <w:ind w:left="3119" w:right="1134"/>
        <w:jc w:val="both"/>
        <w:rPr>
          <w:lang w:val="fr-FR"/>
        </w:rPr>
      </w:pPr>
      <w:r>
        <w:rPr>
          <w:lang w:val="fr-FR"/>
        </w:rPr>
        <w:t xml:space="preserve">INF.16 (Royaume-Uni) (Commentaires sur le document </w:t>
      </w:r>
      <w:r>
        <w:rPr>
          <w:lang w:val="fr-FR"/>
        </w:rPr>
        <w:br/>
        <w:t>-/2016/37)</w:t>
      </w:r>
    </w:p>
    <w:p w:rsidR="005045C0" w:rsidRDefault="005045C0" w:rsidP="005045C0">
      <w:pPr>
        <w:spacing w:after="120"/>
        <w:ind w:left="3119" w:right="1134"/>
        <w:jc w:val="both"/>
      </w:pPr>
      <w:r>
        <w:t>INF.19 (Royaume-Uni) (Commentaires sur le document informel INF.6)</w:t>
      </w:r>
    </w:p>
    <w:p w:rsidR="005045C0" w:rsidRDefault="005045C0" w:rsidP="005045C0">
      <w:pPr>
        <w:spacing w:after="120"/>
        <w:ind w:left="3119" w:right="1134"/>
        <w:jc w:val="both"/>
      </w:pPr>
      <w:r>
        <w:t>INF.21 (Allemagne) (Marchandises dangereuses utilisées aux fins de réfrigération des citernes)</w:t>
      </w:r>
    </w:p>
    <w:p w:rsidR="005045C0" w:rsidRDefault="005045C0" w:rsidP="005045C0">
      <w:pPr>
        <w:spacing w:after="120"/>
        <w:ind w:left="3119" w:right="1134"/>
        <w:jc w:val="both"/>
      </w:pPr>
      <w:r>
        <w:t>INF.23 (Allemagne) (Interprétation de la référence au diamètre aux paragraphes 6.8.2.1.18 et 6.8.2.1.19)</w:t>
      </w:r>
    </w:p>
    <w:p w:rsidR="005045C0" w:rsidRDefault="005045C0" w:rsidP="005045C0">
      <w:pPr>
        <w:spacing w:after="120"/>
        <w:ind w:left="3119" w:right="1134"/>
        <w:jc w:val="both"/>
      </w:pPr>
      <w:r>
        <w:t>INF.28 (Portugal) (Renseignements inscrits sur les plaques de citernes)</w:t>
      </w:r>
    </w:p>
    <w:p w:rsidR="007471FF" w:rsidRDefault="007471FF" w:rsidP="005045C0">
      <w:pPr>
        <w:spacing w:after="120"/>
        <w:ind w:left="3119" w:right="1134"/>
        <w:jc w:val="both"/>
      </w:pPr>
      <w:r>
        <w:t>INF.31 (Etats-Unis d’Amérique) (Comm</w:t>
      </w:r>
      <w:r w:rsidR="00D9717E">
        <w:t>entaires</w:t>
      </w:r>
      <w:r>
        <w:t xml:space="preserve"> sur le document -/2016/37)</w:t>
      </w:r>
    </w:p>
    <w:p w:rsidR="005045C0" w:rsidRDefault="00D43327" w:rsidP="005045C0">
      <w:pPr>
        <w:spacing w:after="120"/>
        <w:ind w:left="1134" w:right="1134"/>
        <w:jc w:val="both"/>
      </w:pPr>
      <w:r>
        <w:t>6</w:t>
      </w:r>
      <w:r w:rsidR="005045C0">
        <w:t>.</w:t>
      </w:r>
      <w:r w:rsidR="005045C0">
        <w:tab/>
        <w:t>L’examen de ces documents a été confié à un Groupe de travail qui s’est réuni du 19 au 21 septembre 2016 sous la présidence de M. A. Bale (Royaume-Uni).</w:t>
      </w:r>
    </w:p>
    <w:p w:rsidR="005045C0" w:rsidRPr="00461F99" w:rsidRDefault="005045C0" w:rsidP="00902BF9">
      <w:pPr>
        <w:pStyle w:val="H1G"/>
        <w:keepNext w:val="0"/>
        <w:keepLines w:val="0"/>
      </w:pPr>
      <w:r>
        <w:lastRenderedPageBreak/>
        <w:tab/>
      </w:r>
      <w:r>
        <w:tab/>
        <w:t>Rapport du Groupe de travail sur les citernes</w:t>
      </w:r>
    </w:p>
    <w:p w:rsidR="005045C0" w:rsidRDefault="005045C0" w:rsidP="00902BF9">
      <w:pPr>
        <w:pStyle w:val="SingleTxtG"/>
        <w:tabs>
          <w:tab w:val="left" w:pos="3100"/>
        </w:tabs>
        <w:rPr>
          <w:lang w:val="fr-FR"/>
        </w:rPr>
      </w:pPr>
      <w:r w:rsidRPr="00EA4A82">
        <w:rPr>
          <w:i/>
          <w:lang w:val="fr-FR"/>
        </w:rPr>
        <w:t>Document</w:t>
      </w:r>
      <w:r>
        <w:rPr>
          <w:i/>
          <w:lang w:val="fr-FR"/>
        </w:rPr>
        <w:t xml:space="preserve"> informel</w:t>
      </w:r>
      <w:r w:rsidRPr="00E30AEE">
        <w:rPr>
          <w:i/>
          <w:lang w:val="fr-FR"/>
        </w:rPr>
        <w:t>:</w:t>
      </w:r>
      <w:r>
        <w:rPr>
          <w:lang w:val="fr-FR"/>
        </w:rPr>
        <w:tab/>
        <w:t>INF.38</w:t>
      </w:r>
    </w:p>
    <w:p w:rsidR="005045C0" w:rsidRDefault="00D43327" w:rsidP="00902BF9">
      <w:pPr>
        <w:pStyle w:val="SingleTxtG"/>
        <w:rPr>
          <w:lang w:val="fr-FR"/>
        </w:rPr>
      </w:pPr>
      <w:r>
        <w:rPr>
          <w:lang w:val="fr-FR"/>
        </w:rPr>
        <w:t>7</w:t>
      </w:r>
      <w:r w:rsidR="005045C0">
        <w:rPr>
          <w:lang w:val="fr-FR"/>
        </w:rPr>
        <w:t>.</w:t>
      </w:r>
      <w:r w:rsidR="005045C0">
        <w:rPr>
          <w:lang w:val="fr-FR"/>
        </w:rPr>
        <w:tab/>
        <w:t xml:space="preserve">La Réunion commune a repris à son compte les conclusions et recommandations du Groupe de travail, dont le rapport est reproduit en annexe I sous couvert de l’additif 1 au présent rapport, avec les commentaires ou observations suivantes. Les </w:t>
      </w:r>
      <w:r w:rsidR="00955653">
        <w:rPr>
          <w:lang w:val="fr-FR"/>
        </w:rPr>
        <w:t xml:space="preserve">propositions d’amendements au RID/ADR/ADN adoptés pour </w:t>
      </w:r>
      <w:proofErr w:type="spellStart"/>
      <w:r w:rsidR="00955653">
        <w:rPr>
          <w:lang w:val="fr-FR"/>
        </w:rPr>
        <w:t>entrée</w:t>
      </w:r>
      <w:proofErr w:type="spellEnd"/>
      <w:r w:rsidR="00955653">
        <w:rPr>
          <w:lang w:val="fr-FR"/>
        </w:rPr>
        <w:t xml:space="preserve"> en vigueur le 1 janvier 2019</w:t>
      </w:r>
      <w:r w:rsidR="005045C0">
        <w:rPr>
          <w:lang w:val="fr-FR"/>
        </w:rPr>
        <w:t xml:space="preserve"> sont reproduit</w:t>
      </w:r>
      <w:r w:rsidR="00955653">
        <w:rPr>
          <w:lang w:val="fr-FR"/>
        </w:rPr>
        <w:t xml:space="preserve">es en annexe II </w:t>
      </w:r>
      <w:r w:rsidR="005045C0">
        <w:rPr>
          <w:lang w:val="fr-FR"/>
        </w:rPr>
        <w:t>au présent rapport.</w:t>
      </w:r>
    </w:p>
    <w:p w:rsidR="005045C0" w:rsidRDefault="00D43327" w:rsidP="00902BF9">
      <w:pPr>
        <w:pStyle w:val="SingleTxtG"/>
        <w:rPr>
          <w:lang w:val="fr-FR"/>
        </w:rPr>
      </w:pPr>
      <w:r>
        <w:rPr>
          <w:lang w:val="fr-FR"/>
        </w:rPr>
        <w:t>8</w:t>
      </w:r>
      <w:r w:rsidR="005045C0">
        <w:rPr>
          <w:lang w:val="fr-FR"/>
        </w:rPr>
        <w:t>.</w:t>
      </w:r>
      <w:r w:rsidR="005045C0">
        <w:rPr>
          <w:lang w:val="fr-FR"/>
        </w:rPr>
        <w:tab/>
        <w:t>Le nouveau paragraphe proposé à la fin du 6.8.3.2.9 dans la proposition 4 sous le point 5 a été placé entre crochets afin de permettre à l’EIGA de vérifier que les chapeaux protecteurs n’entraveraient pas le bon fonctionnement des soupapes de sécurité.</w:t>
      </w:r>
    </w:p>
    <w:p w:rsidR="005045C0" w:rsidRDefault="00D43327" w:rsidP="00902BF9">
      <w:pPr>
        <w:pStyle w:val="SingleTxtG"/>
        <w:rPr>
          <w:lang w:val="fr-FR"/>
        </w:rPr>
      </w:pPr>
      <w:r>
        <w:rPr>
          <w:lang w:val="fr-FR"/>
        </w:rPr>
        <w:t>9</w:t>
      </w:r>
      <w:r w:rsidR="005045C0">
        <w:rPr>
          <w:lang w:val="fr-FR"/>
        </w:rPr>
        <w:t>.</w:t>
      </w:r>
      <w:r w:rsidR="005045C0">
        <w:rPr>
          <w:lang w:val="fr-FR"/>
        </w:rPr>
        <w:tab/>
        <w:t>A la demande du représentant des Pays-Bas, la Réunion commune est convenue que les questions relevant du point 4 restaient à l’ordre du jour de la prochaine session.</w:t>
      </w:r>
    </w:p>
    <w:p w:rsidR="005045C0" w:rsidRDefault="00D43327" w:rsidP="00902BF9">
      <w:pPr>
        <w:pStyle w:val="SingleTxtG"/>
        <w:rPr>
          <w:lang w:val="fr-FR"/>
        </w:rPr>
      </w:pPr>
      <w:r>
        <w:rPr>
          <w:lang w:val="fr-FR"/>
        </w:rPr>
        <w:t>10</w:t>
      </w:r>
      <w:r w:rsidR="005045C0">
        <w:rPr>
          <w:lang w:val="fr-FR"/>
        </w:rPr>
        <w:t>.</w:t>
      </w:r>
      <w:r w:rsidR="005045C0">
        <w:rPr>
          <w:lang w:val="fr-FR"/>
        </w:rPr>
        <w:tab/>
        <w:t>Pour le point 11, le représentant de l’Allemagne préparera une proposition d’amendement pour la prochaine session afin de refléter l’interprétation que les références au diamètre des citernes sont des références au diamètre interne.</w:t>
      </w:r>
    </w:p>
    <w:p w:rsidR="005045C0" w:rsidRDefault="00D43327" w:rsidP="00902BF9">
      <w:pPr>
        <w:pStyle w:val="SingleTxtG"/>
        <w:rPr>
          <w:lang w:val="fr-FR"/>
        </w:rPr>
      </w:pPr>
      <w:r>
        <w:rPr>
          <w:lang w:val="fr-FR"/>
        </w:rPr>
        <w:t>11</w:t>
      </w:r>
      <w:r w:rsidR="005045C0">
        <w:rPr>
          <w:lang w:val="fr-FR"/>
        </w:rPr>
        <w:t>.</w:t>
      </w:r>
      <w:r w:rsidR="005045C0">
        <w:rPr>
          <w:lang w:val="fr-FR"/>
        </w:rPr>
        <w:tab/>
        <w:t xml:space="preserve">Pour le point 12, la Réunion commune a confirmé qu’il serait souhaitable d’examiner plus avant le problème soulevé par le Portugal concernant les informations qu’il est prescrit d’inscrire sur les plaques </w:t>
      </w:r>
      <w:r w:rsidR="007471FF">
        <w:rPr>
          <w:lang w:val="fr-FR"/>
        </w:rPr>
        <w:t>ou sur les citernes mêmes. Les autorités de contrôle de la mise en application devraient être informées du problème</w:t>
      </w:r>
      <w:r w:rsidR="005045C0">
        <w:rPr>
          <w:lang w:val="fr-FR"/>
        </w:rPr>
        <w:t>.</w:t>
      </w:r>
    </w:p>
    <w:p w:rsidR="005045C0" w:rsidRDefault="00D43327" w:rsidP="00902BF9">
      <w:pPr>
        <w:pStyle w:val="SingleTxtG"/>
        <w:rPr>
          <w:lang w:val="fr-FR"/>
        </w:rPr>
      </w:pPr>
      <w:r>
        <w:rPr>
          <w:lang w:val="fr-FR"/>
        </w:rPr>
        <w:t>12</w:t>
      </w:r>
      <w:r w:rsidR="005045C0">
        <w:rPr>
          <w:lang w:val="fr-FR"/>
        </w:rPr>
        <w:t>.</w:t>
      </w:r>
      <w:r w:rsidR="005045C0">
        <w:rPr>
          <w:lang w:val="fr-FR"/>
        </w:rPr>
        <w:tab/>
        <w:t xml:space="preserve">Le Président du </w:t>
      </w:r>
      <w:r w:rsidR="007471FF">
        <w:rPr>
          <w:lang w:val="fr-FR"/>
        </w:rPr>
        <w:t>G</w:t>
      </w:r>
      <w:r w:rsidR="005045C0">
        <w:rPr>
          <w:lang w:val="fr-FR"/>
        </w:rPr>
        <w:t>roupe de travail a indiqué que le Groupe avait également discuté le document informel INF.12 (Groupe de travail informel sur le contrôle et l’agrément des citernes) mais que l’issue des discussions n’avait pas été reflétée dans le rapport par inadvertance. Le Groupe de travail avait pris note des informations fournies dans le document informel INF.12. En ce qui concerne le questionnaire sur le contrôle et l’agrément des citernes, le représentant du Royaume-Uni avait été prié de vérifier si toutes les autorités compétentes avaient bien reçu le questionnaire.</w:t>
      </w:r>
    </w:p>
    <w:p w:rsidR="005045C0" w:rsidRDefault="00D43327" w:rsidP="00902BF9">
      <w:pPr>
        <w:pStyle w:val="SingleTxtG"/>
        <w:rPr>
          <w:lang w:val="fr-FR"/>
        </w:rPr>
      </w:pPr>
      <w:r>
        <w:rPr>
          <w:lang w:val="fr-FR"/>
        </w:rPr>
        <w:t>13</w:t>
      </w:r>
      <w:r w:rsidR="005045C0">
        <w:rPr>
          <w:lang w:val="fr-FR"/>
        </w:rPr>
        <w:t>.</w:t>
      </w:r>
      <w:r w:rsidR="005045C0">
        <w:rPr>
          <w:lang w:val="fr-FR"/>
        </w:rPr>
        <w:tab/>
        <w:t>Suivant la recommandation du Groupe de travail, la Réunion commune a approuvé la proposition de travaux futurs figurant au paragraphe 9 du document informel INF.12 pour examen à la prochaine session du groupe prévue du 13 au 15 décembre 2016 à Londres.</w:t>
      </w:r>
    </w:p>
    <w:p w:rsidR="005045C0" w:rsidRPr="00387D36" w:rsidRDefault="005045C0" w:rsidP="00902BF9">
      <w:pPr>
        <w:pStyle w:val="HChG"/>
        <w:keepNext w:val="0"/>
        <w:keepLines w:val="0"/>
      </w:pPr>
      <w:r>
        <w:rPr>
          <w:lang w:val="fr-FR"/>
        </w:rPr>
        <w:tab/>
        <w:t>IV.</w:t>
      </w:r>
      <w:r>
        <w:rPr>
          <w:lang w:val="fr-FR"/>
        </w:rPr>
        <w:tab/>
        <w:t>Normes</w:t>
      </w:r>
      <w:r w:rsidRPr="001F7089">
        <w:rPr>
          <w:lang w:val="fr-FR"/>
        </w:rPr>
        <w:t xml:space="preserve"> </w:t>
      </w:r>
      <w:r>
        <w:rPr>
          <w:lang w:val="fr-FR"/>
        </w:rPr>
        <w:t>(point 3</w:t>
      </w:r>
      <w:r w:rsidRPr="00C35A40">
        <w:rPr>
          <w:lang w:val="fr-FR"/>
        </w:rPr>
        <w:t xml:space="preserve"> de l’ordre du jour)</w:t>
      </w:r>
    </w:p>
    <w:p w:rsidR="005045C0" w:rsidRDefault="005045C0" w:rsidP="005045C0">
      <w:pPr>
        <w:ind w:left="1134" w:right="1134"/>
        <w:jc w:val="both"/>
        <w:rPr>
          <w:lang w:val="fr-FR"/>
        </w:rPr>
      </w:pPr>
      <w:r w:rsidRPr="00EA4A82">
        <w:rPr>
          <w:i/>
          <w:lang w:val="fr-FR"/>
        </w:rPr>
        <w:t>Document</w:t>
      </w:r>
      <w:r>
        <w:rPr>
          <w:i/>
          <w:lang w:val="fr-FR"/>
        </w:rPr>
        <w:t>s</w:t>
      </w:r>
      <w:r w:rsidRPr="00E30AEE">
        <w:rPr>
          <w:i/>
          <w:lang w:val="fr-FR"/>
        </w:rPr>
        <w:t>:</w:t>
      </w:r>
      <w:r>
        <w:rPr>
          <w:lang w:val="fr-FR"/>
        </w:rPr>
        <w:tab/>
        <w:t xml:space="preserve">ECE/TRANS/WP.15/AC.1/2016/28 (CEN) </w:t>
      </w:r>
    </w:p>
    <w:p w:rsidR="005045C0" w:rsidRDefault="005045C0" w:rsidP="005045C0">
      <w:pPr>
        <w:spacing w:after="120"/>
        <w:ind w:left="1134" w:right="1134"/>
        <w:jc w:val="both"/>
        <w:rPr>
          <w:lang w:val="fr-FR"/>
        </w:rPr>
      </w:pPr>
      <w:r>
        <w:rPr>
          <w:lang w:val="fr-FR"/>
        </w:rPr>
        <w:tab/>
      </w:r>
      <w:r>
        <w:rPr>
          <w:lang w:val="fr-FR"/>
        </w:rPr>
        <w:tab/>
        <w:t>ECE/TRANS/WP.15/AC.1/2016/38 (ECMA)</w:t>
      </w:r>
    </w:p>
    <w:p w:rsidR="005045C0" w:rsidRDefault="005045C0" w:rsidP="005045C0">
      <w:pPr>
        <w:spacing w:after="120"/>
        <w:ind w:left="1134" w:right="1134"/>
        <w:jc w:val="both"/>
        <w:rPr>
          <w:lang w:val="fr-FR"/>
        </w:rPr>
      </w:pPr>
      <w:r w:rsidRPr="00EA4A82">
        <w:rPr>
          <w:i/>
          <w:lang w:val="fr-FR"/>
        </w:rPr>
        <w:t>Documents informels</w:t>
      </w:r>
      <w:r>
        <w:rPr>
          <w:lang w:val="fr-FR"/>
        </w:rPr>
        <w:t xml:space="preserve">: </w:t>
      </w:r>
      <w:r>
        <w:rPr>
          <w:lang w:val="fr-FR"/>
        </w:rPr>
        <w:tab/>
        <w:t xml:space="preserve">INF.11 (ECMA) </w:t>
      </w:r>
    </w:p>
    <w:p w:rsidR="005045C0" w:rsidRDefault="005045C0" w:rsidP="005045C0">
      <w:pPr>
        <w:spacing w:after="120"/>
        <w:ind w:left="1134" w:right="1134"/>
        <w:jc w:val="both"/>
      </w:pPr>
      <w:r>
        <w:rPr>
          <w:i/>
          <w:lang w:val="fr-FR"/>
        </w:rPr>
        <w:tab/>
      </w:r>
      <w:r>
        <w:rPr>
          <w:i/>
          <w:lang w:val="fr-FR"/>
        </w:rPr>
        <w:tab/>
      </w:r>
      <w:r>
        <w:rPr>
          <w:i/>
          <w:lang w:val="fr-FR"/>
        </w:rPr>
        <w:tab/>
      </w:r>
      <w:r>
        <w:rPr>
          <w:i/>
          <w:lang w:val="fr-FR"/>
        </w:rPr>
        <w:tab/>
      </w:r>
      <w:r w:rsidRPr="00AE3FD8">
        <w:rPr>
          <w:lang w:val="fr-FR"/>
        </w:rPr>
        <w:t>INF</w:t>
      </w:r>
      <w:r w:rsidRPr="00AE3FD8">
        <w:t>.</w:t>
      </w:r>
      <w:r>
        <w:t>15 (CEN)</w:t>
      </w:r>
    </w:p>
    <w:p w:rsidR="005045C0" w:rsidRDefault="00D43327" w:rsidP="005045C0">
      <w:pPr>
        <w:spacing w:after="120"/>
        <w:ind w:left="1134" w:right="1134"/>
        <w:jc w:val="both"/>
      </w:pPr>
      <w:r>
        <w:t>14</w:t>
      </w:r>
      <w:r w:rsidR="005045C0">
        <w:t>.</w:t>
      </w:r>
      <w:r w:rsidR="005045C0">
        <w:tab/>
        <w:t xml:space="preserve">L’examen de ces documents a été confié au Groupe de travail sur les normes qui s’est réuni pendant les pauses </w:t>
      </w:r>
      <w:proofErr w:type="gramStart"/>
      <w:r w:rsidR="005045C0">
        <w:t>déjeuner</w:t>
      </w:r>
      <w:proofErr w:type="gramEnd"/>
      <w:r w:rsidR="005045C0">
        <w:t xml:space="preserve"> et en soirée</w:t>
      </w:r>
      <w:r w:rsidR="005614AA">
        <w:t xml:space="preserve">, sous la présidence de M. C. </w:t>
      </w:r>
      <w:proofErr w:type="spellStart"/>
      <w:r w:rsidR="005614AA">
        <w:t>Jubb</w:t>
      </w:r>
      <w:proofErr w:type="spellEnd"/>
      <w:r w:rsidR="005614AA">
        <w:t xml:space="preserve"> (CEN)</w:t>
      </w:r>
      <w:r w:rsidR="005045C0">
        <w:t>.</w:t>
      </w:r>
    </w:p>
    <w:p w:rsidR="00C878EC" w:rsidRDefault="00C878EC" w:rsidP="00C878EC">
      <w:pPr>
        <w:pStyle w:val="SingleTxtG"/>
        <w:tabs>
          <w:tab w:val="left" w:pos="3100"/>
        </w:tabs>
        <w:rPr>
          <w:lang w:val="fr-FR"/>
        </w:rPr>
      </w:pPr>
      <w:r w:rsidRPr="00EA4A82">
        <w:rPr>
          <w:i/>
          <w:lang w:val="fr-FR"/>
        </w:rPr>
        <w:t>Document</w:t>
      </w:r>
      <w:r>
        <w:rPr>
          <w:i/>
          <w:lang w:val="fr-FR"/>
        </w:rPr>
        <w:t xml:space="preserve"> informel</w:t>
      </w:r>
      <w:r w:rsidRPr="00E30AEE">
        <w:rPr>
          <w:i/>
          <w:lang w:val="fr-FR"/>
        </w:rPr>
        <w:t>:</w:t>
      </w:r>
      <w:r>
        <w:rPr>
          <w:lang w:val="fr-FR"/>
        </w:rPr>
        <w:tab/>
        <w:t>INF.34/Rev.1 (Rapport du Groupe de travail sur les normes)</w:t>
      </w:r>
    </w:p>
    <w:p w:rsidR="005045C0" w:rsidRDefault="00D43327" w:rsidP="005045C0">
      <w:pPr>
        <w:pStyle w:val="SingleTxtG"/>
        <w:rPr>
          <w:lang w:val="fr-FR"/>
        </w:rPr>
      </w:pPr>
      <w:r>
        <w:rPr>
          <w:lang w:val="fr-FR"/>
        </w:rPr>
        <w:t>15</w:t>
      </w:r>
      <w:r w:rsidR="005045C0">
        <w:rPr>
          <w:lang w:val="fr-FR"/>
        </w:rPr>
        <w:t>.</w:t>
      </w:r>
      <w:r w:rsidR="005045C0">
        <w:rPr>
          <w:lang w:val="fr-FR"/>
        </w:rPr>
        <w:tab/>
        <w:t xml:space="preserve">La Réunion commune a repris à son compte les conclusions du Groupe et adopté ses propositions avec quelques </w:t>
      </w:r>
      <w:r w:rsidR="00C878EC">
        <w:rPr>
          <w:lang w:val="fr-FR"/>
        </w:rPr>
        <w:t>modifications (voir annexe II</w:t>
      </w:r>
      <w:r w:rsidR="005045C0">
        <w:rPr>
          <w:lang w:val="fr-FR"/>
        </w:rPr>
        <w:t>). Il a notamment été décidé, pour la quatrième proposition, de supprimer la fin de la phrase additionnelle proposée parce que le transport de récipients de faible</w:t>
      </w:r>
      <w:r w:rsidR="00C878EC">
        <w:rPr>
          <w:lang w:val="fr-FR"/>
        </w:rPr>
        <w:t xml:space="preserve"> capacité contenant du gaz (</w:t>
      </w:r>
      <w:proofErr w:type="spellStart"/>
      <w:r w:rsidR="00C878EC">
        <w:rPr>
          <w:lang w:val="fr-FR"/>
        </w:rPr>
        <w:t>No.</w:t>
      </w:r>
      <w:r w:rsidR="005045C0">
        <w:rPr>
          <w:lang w:val="fr-FR"/>
        </w:rPr>
        <w:t>ONU</w:t>
      </w:r>
      <w:proofErr w:type="spellEnd"/>
      <w:r w:rsidR="005045C0">
        <w:rPr>
          <w:lang w:val="fr-FR"/>
        </w:rPr>
        <w:t xml:space="preserve"> 2037) sous le </w:t>
      </w:r>
      <w:r w:rsidR="005045C0">
        <w:rPr>
          <w:lang w:val="fr-FR"/>
        </w:rPr>
        <w:lastRenderedPageBreak/>
        <w:t>régime du chapitre 3.4 (Quantités limitées) n’est pas une obligation et qu’il n’y a pas lieu dans le chapitre 6.2 relatif à la construction des récipients de traiter des marques d’expédition qui relèvent du chapitre 5.2 ou le cas échéant du chapitre 3.4.</w:t>
      </w:r>
    </w:p>
    <w:p w:rsidR="005045C0" w:rsidRDefault="00D43327" w:rsidP="005045C0">
      <w:pPr>
        <w:pStyle w:val="SingleTxtG"/>
        <w:rPr>
          <w:lang w:val="fr-FR"/>
        </w:rPr>
      </w:pPr>
      <w:r>
        <w:rPr>
          <w:lang w:val="fr-FR"/>
        </w:rPr>
        <w:t>16</w:t>
      </w:r>
      <w:r w:rsidR="005045C0">
        <w:rPr>
          <w:lang w:val="fr-FR"/>
        </w:rPr>
        <w:t>.</w:t>
      </w:r>
      <w:r w:rsidR="005045C0">
        <w:rPr>
          <w:lang w:val="fr-FR"/>
        </w:rPr>
        <w:tab/>
        <w:t>La Réunion commune a noté également que même si le terme «</w:t>
      </w:r>
      <w:proofErr w:type="spellStart"/>
      <w:r w:rsidR="005045C0">
        <w:rPr>
          <w:lang w:val="fr-FR"/>
        </w:rPr>
        <w:t>vessel</w:t>
      </w:r>
      <w:proofErr w:type="spellEnd"/>
      <w:r w:rsidR="005045C0">
        <w:rPr>
          <w:lang w:val="fr-FR"/>
        </w:rPr>
        <w:t>» est défini dans le Règlement type de l’ONU comme désignant un navire de mer ou un bateau de navigation intérieure, son usage en langue anglaise pour désigner un récipient est également justifié.</w:t>
      </w:r>
    </w:p>
    <w:p w:rsidR="005045C0" w:rsidRPr="00387D36" w:rsidRDefault="005045C0" w:rsidP="00902BF9">
      <w:pPr>
        <w:pStyle w:val="HChG"/>
        <w:keepNext w:val="0"/>
        <w:keepLines w:val="0"/>
      </w:pPr>
      <w:r>
        <w:rPr>
          <w:lang w:val="fr-FR"/>
        </w:rPr>
        <w:tab/>
        <w:t>V.</w:t>
      </w:r>
      <w:r>
        <w:rPr>
          <w:lang w:val="fr-FR"/>
        </w:rPr>
        <w:tab/>
        <w:t>Interprétation du RID/ADR/ADN</w:t>
      </w:r>
      <w:r w:rsidRPr="001F7089">
        <w:rPr>
          <w:lang w:val="fr-FR"/>
        </w:rPr>
        <w:t xml:space="preserve"> </w:t>
      </w:r>
      <w:r>
        <w:rPr>
          <w:lang w:val="fr-FR"/>
        </w:rPr>
        <w:t>(point 4</w:t>
      </w:r>
      <w:r w:rsidRPr="00C35A40">
        <w:rPr>
          <w:lang w:val="fr-FR"/>
        </w:rPr>
        <w:t xml:space="preserve"> de l’ordre du jour)</w:t>
      </w:r>
    </w:p>
    <w:p w:rsidR="005045C0" w:rsidRDefault="005045C0" w:rsidP="00902BF9">
      <w:pPr>
        <w:pStyle w:val="H1G"/>
        <w:keepNext w:val="0"/>
        <w:keepLines w:val="0"/>
        <w:rPr>
          <w:szCs w:val="24"/>
        </w:rPr>
      </w:pPr>
      <w:r w:rsidRPr="00C85C39">
        <w:rPr>
          <w:szCs w:val="24"/>
        </w:rPr>
        <w:tab/>
        <w:t>A.</w:t>
      </w:r>
      <w:r w:rsidRPr="00C85C39">
        <w:rPr>
          <w:szCs w:val="24"/>
        </w:rPr>
        <w:tab/>
      </w:r>
      <w:r>
        <w:rPr>
          <w:szCs w:val="24"/>
        </w:rPr>
        <w:t>Indication du nom technique dans le document de transport</w:t>
      </w:r>
    </w:p>
    <w:p w:rsidR="005045C0" w:rsidRDefault="005045C0" w:rsidP="00902BF9">
      <w:pPr>
        <w:spacing w:after="120"/>
        <w:ind w:left="1134" w:right="1134"/>
        <w:jc w:val="both"/>
        <w:rPr>
          <w:lang w:val="fr-FR"/>
        </w:rPr>
      </w:pPr>
      <w:r w:rsidRPr="00EA4A82">
        <w:rPr>
          <w:i/>
          <w:lang w:val="fr-FR"/>
        </w:rPr>
        <w:t>Document</w:t>
      </w:r>
      <w:r w:rsidRPr="00E30AEE">
        <w:rPr>
          <w:i/>
          <w:lang w:val="fr-FR"/>
        </w:rPr>
        <w:t>:</w:t>
      </w:r>
      <w:r>
        <w:rPr>
          <w:lang w:val="fr-FR"/>
        </w:rPr>
        <w:tab/>
        <w:t xml:space="preserve">ECE/TRANS/WP.15/AC.1/2016/33 (UIC) </w:t>
      </w:r>
    </w:p>
    <w:p w:rsidR="00D43327" w:rsidRDefault="00D43327" w:rsidP="00902BF9">
      <w:pPr>
        <w:spacing w:after="120"/>
        <w:ind w:left="1134" w:right="1134"/>
        <w:jc w:val="both"/>
      </w:pPr>
      <w:r>
        <w:t>17.</w:t>
      </w:r>
      <w:r>
        <w:tab/>
        <w:t xml:space="preserve">La Réunion commune a confirmé que les dispositions du paragraphe 5.4.1.4.1 du RID/ADR/ADN s’appliquent aussi au nom technique. Pour les matières infectieuses, les </w:t>
      </w:r>
      <w:r w:rsidR="005614AA">
        <w:t>dénominations scientifiques</w:t>
      </w:r>
      <w:r>
        <w:t xml:space="preserve"> sont également acceptables.</w:t>
      </w:r>
    </w:p>
    <w:p w:rsidR="00D43327" w:rsidRDefault="00D43327" w:rsidP="00902BF9">
      <w:pPr>
        <w:spacing w:after="120"/>
        <w:ind w:left="1134" w:right="1134"/>
        <w:jc w:val="both"/>
      </w:pPr>
      <w:r>
        <w:t>18.</w:t>
      </w:r>
      <w:r>
        <w:tab/>
        <w:t>Pour la deuxième question, la Réunion commune a estimé que le transporteur n’est pas tenu d’être en mesure de juger si un nom technique a été indiqué correctement dans le document de transport.</w:t>
      </w:r>
    </w:p>
    <w:p w:rsidR="00D43327" w:rsidRDefault="00D43327" w:rsidP="00902BF9">
      <w:pPr>
        <w:spacing w:after="120"/>
        <w:ind w:left="1134" w:right="1134"/>
        <w:jc w:val="both"/>
      </w:pPr>
      <w:r>
        <w:t>19.</w:t>
      </w:r>
      <w:r>
        <w:tab/>
        <w:t>Au cours des discussions, il a été noté que le paragraphe 5.4.1.4.1 du RID diffère des paragraphes équivalents de l’ADR et de l’ADN dans la mesure où le RID permet d’utiliser éventuellement uniquement l’anglais, le français ou l’allemand quels que soient les pays traversés alors que l’ADR et l’ADN exigent en outre la langue du pays expéditeur si celle-ci n’est ni l’anglais, ni le français, ni l’allemand.</w:t>
      </w:r>
    </w:p>
    <w:p w:rsidR="00D43327" w:rsidRPr="00C85C39" w:rsidRDefault="00D43327" w:rsidP="005614AA">
      <w:pPr>
        <w:spacing w:after="120"/>
        <w:ind w:left="1134" w:right="1134"/>
        <w:jc w:val="both"/>
      </w:pPr>
      <w:r>
        <w:t>20.</w:t>
      </w:r>
      <w:r>
        <w:tab/>
        <w:t xml:space="preserve">Un membre du secrétariat a </w:t>
      </w:r>
      <w:r w:rsidR="005614AA">
        <w:t>fait r</w:t>
      </w:r>
      <w:r w:rsidR="00FB578D">
        <w:t>emarquer que le sens du terme «pays expéditeur</w:t>
      </w:r>
      <w:r w:rsidR="005614AA">
        <w:t xml:space="preserve">» devrait être clarifié. La Réunion commune a accepté d’examiner cette question mais seulement sur la base d’un document écrit. </w:t>
      </w:r>
    </w:p>
    <w:p w:rsidR="005045C0" w:rsidRPr="00070058" w:rsidRDefault="005045C0" w:rsidP="00902BF9">
      <w:pPr>
        <w:pStyle w:val="H1G"/>
        <w:keepNext w:val="0"/>
        <w:keepLines w:val="0"/>
      </w:pPr>
      <w:r>
        <w:tab/>
        <w:t>B.</w:t>
      </w:r>
      <w:r>
        <w:tab/>
        <w:t>Dispositions transitoires 1.6.2.13 et 1.6.2.15</w:t>
      </w:r>
    </w:p>
    <w:p w:rsidR="005045C0" w:rsidRDefault="005045C0" w:rsidP="005045C0">
      <w:pPr>
        <w:pStyle w:val="SingleTxtG"/>
        <w:tabs>
          <w:tab w:val="left" w:pos="3100"/>
        </w:tabs>
        <w:rPr>
          <w:lang w:val="fr-FR"/>
        </w:rPr>
      </w:pPr>
      <w:r w:rsidRPr="00EA4A82">
        <w:rPr>
          <w:i/>
          <w:lang w:val="fr-FR"/>
        </w:rPr>
        <w:t>Document</w:t>
      </w:r>
      <w:r>
        <w:rPr>
          <w:i/>
          <w:lang w:val="fr-FR"/>
        </w:rPr>
        <w:t xml:space="preserve"> informel</w:t>
      </w:r>
      <w:r w:rsidRPr="00E30AEE">
        <w:rPr>
          <w:i/>
          <w:lang w:val="fr-FR"/>
        </w:rPr>
        <w:t>:</w:t>
      </w:r>
      <w:r>
        <w:rPr>
          <w:lang w:val="fr-FR"/>
        </w:rPr>
        <w:tab/>
        <w:t>INF.20 (EIGA)</w:t>
      </w:r>
    </w:p>
    <w:p w:rsidR="005045C0" w:rsidRDefault="00D43327" w:rsidP="005045C0">
      <w:pPr>
        <w:pStyle w:val="SingleTxtG"/>
      </w:pPr>
      <w:r>
        <w:t>21</w:t>
      </w:r>
      <w:r w:rsidR="005045C0">
        <w:t>.</w:t>
      </w:r>
      <w:r w:rsidR="005045C0">
        <w:tab/>
        <w:t>La Réunion commune a noté que ces dispositions transitoires faisaient l’objet d’interprétations différentes de la part de certains opérateurs et d’organismes de contrôle. Elle a relevé cependant que la formulation de ces dispositions était conforme à l’usage et modifier cette formulation reviendrait à revoir la formulation de nombreuses autres dispositions transitoires. Elle a donc préféré ne pas modifier ces deux dispositions tout en précisant que:</w:t>
      </w:r>
    </w:p>
    <w:p w:rsidR="005045C0" w:rsidRDefault="005045C0" w:rsidP="005045C0">
      <w:pPr>
        <w:pStyle w:val="SingleTxtG"/>
      </w:pPr>
      <w:r>
        <w:tab/>
        <w:t>a)</w:t>
      </w:r>
      <w:r>
        <w:tab/>
        <w:t>La disposition transitoire porte sur le marquage</w:t>
      </w:r>
      <w:r w:rsidR="00C878EC">
        <w:t>,</w:t>
      </w:r>
      <w:r>
        <w:t xml:space="preserve"> et les cadres de b</w:t>
      </w:r>
      <w:r w:rsidR="00C878EC">
        <w:t>outeilles peuvent être utilisés</w:t>
      </w:r>
      <w:r>
        <w:t xml:space="preserve"> avec l’ancien</w:t>
      </w:r>
      <w:r w:rsidR="003E5E8D">
        <w:t>ne</w:t>
      </w:r>
      <w:r>
        <w:t xml:space="preserve"> marqu</w:t>
      </w:r>
      <w:r w:rsidR="003E5E8D">
        <w:t>e</w:t>
      </w:r>
      <w:r>
        <w:t xml:space="preserve"> jusqu’à la date de la prochaine épreuve périodique;</w:t>
      </w:r>
    </w:p>
    <w:p w:rsidR="005045C0" w:rsidRDefault="005045C0" w:rsidP="005045C0">
      <w:pPr>
        <w:pStyle w:val="SingleTxtG"/>
      </w:pPr>
      <w:r>
        <w:tab/>
        <w:t>b)</w:t>
      </w:r>
      <w:r>
        <w:tab/>
        <w:t xml:space="preserve">Á cette prochaine épreuve périodique, </w:t>
      </w:r>
      <w:r w:rsidR="003E5E8D">
        <w:t>la marque</w:t>
      </w:r>
      <w:r>
        <w:t xml:space="preserve"> doit être mis</w:t>
      </w:r>
      <w:r w:rsidR="003E5E8D">
        <w:t>e</w:t>
      </w:r>
      <w:r>
        <w:t xml:space="preserve"> en conformité, suite à quoi la disposition transitoire n’est plus pertinente pour les cadres de bouteilles concernés qui peuvent donc continuer à être utilisés avec </w:t>
      </w:r>
      <w:r w:rsidR="003E5E8D">
        <w:t>cette nouvelle marque</w:t>
      </w:r>
      <w:r>
        <w:t xml:space="preserve"> conforme.</w:t>
      </w:r>
    </w:p>
    <w:p w:rsidR="005045C0" w:rsidRDefault="005045C0" w:rsidP="00902BF9">
      <w:pPr>
        <w:pStyle w:val="HChG"/>
        <w:keepNext w:val="0"/>
        <w:keepLines w:val="0"/>
        <w:rPr>
          <w:lang w:val="fr-FR"/>
        </w:rPr>
      </w:pPr>
      <w:r>
        <w:rPr>
          <w:lang w:val="fr-FR"/>
        </w:rPr>
        <w:lastRenderedPageBreak/>
        <w:tab/>
        <w:t>VI.</w:t>
      </w:r>
      <w:r>
        <w:rPr>
          <w:lang w:val="fr-FR"/>
        </w:rPr>
        <w:tab/>
        <w:t>Propositions d’amendements au RID/ADR/ADN</w:t>
      </w:r>
      <w:r w:rsidRPr="001F7089">
        <w:rPr>
          <w:lang w:val="fr-FR"/>
        </w:rPr>
        <w:t xml:space="preserve"> </w:t>
      </w:r>
      <w:r>
        <w:rPr>
          <w:lang w:val="fr-FR"/>
        </w:rPr>
        <w:t>(point 5</w:t>
      </w:r>
      <w:r w:rsidRPr="00C35A40">
        <w:rPr>
          <w:lang w:val="fr-FR"/>
        </w:rPr>
        <w:t xml:space="preserve"> de l’ordre du jour)</w:t>
      </w:r>
    </w:p>
    <w:p w:rsidR="005045C0" w:rsidRDefault="005045C0" w:rsidP="00902BF9">
      <w:pPr>
        <w:pStyle w:val="H1G"/>
        <w:keepNext w:val="0"/>
        <w:keepLines w:val="0"/>
      </w:pPr>
      <w:r>
        <w:tab/>
        <w:t>A.</w:t>
      </w:r>
      <w:r>
        <w:tab/>
        <w:t>Questions en suspens</w:t>
      </w:r>
    </w:p>
    <w:p w:rsidR="005045C0" w:rsidRDefault="005045C0" w:rsidP="00902BF9">
      <w:pPr>
        <w:pStyle w:val="H23G"/>
        <w:keepNext w:val="0"/>
        <w:keepLines w:val="0"/>
      </w:pPr>
      <w:r>
        <w:rPr>
          <w:lang w:val="fr-FR"/>
        </w:rPr>
        <w:tab/>
      </w:r>
      <w:r>
        <w:t>1</w:t>
      </w:r>
      <w:r w:rsidRPr="00070058">
        <w:t>.</w:t>
      </w:r>
      <w:r w:rsidRPr="00070058">
        <w:tab/>
      </w:r>
      <w:r>
        <w:t>Correction à la disposition spéciale 363 telle que modifiée par les amendements entrant en vigueur le 1</w:t>
      </w:r>
      <w:r w:rsidRPr="00046DFF">
        <w:rPr>
          <w:vertAlign w:val="superscript"/>
        </w:rPr>
        <w:t>er</w:t>
      </w:r>
      <w:r>
        <w:t xml:space="preserve"> janvier 2017</w:t>
      </w:r>
    </w:p>
    <w:p w:rsidR="005045C0" w:rsidRDefault="005045C0" w:rsidP="00902BF9">
      <w:pPr>
        <w:pStyle w:val="SingleTxtG"/>
        <w:tabs>
          <w:tab w:val="left" w:pos="3100"/>
        </w:tabs>
        <w:rPr>
          <w:lang w:val="fr-FR"/>
        </w:rPr>
      </w:pPr>
      <w:r w:rsidRPr="00EA4A82">
        <w:rPr>
          <w:i/>
          <w:lang w:val="fr-FR"/>
        </w:rPr>
        <w:t>Document</w:t>
      </w:r>
      <w:r w:rsidRPr="00E30AEE">
        <w:rPr>
          <w:i/>
          <w:lang w:val="fr-FR"/>
        </w:rPr>
        <w:t>:</w:t>
      </w:r>
      <w:r>
        <w:rPr>
          <w:lang w:val="fr-FR"/>
        </w:rPr>
        <w:tab/>
        <w:t>ECE/TRANS/WP.15/AC.1/2016/27 (Suisse)</w:t>
      </w:r>
    </w:p>
    <w:p w:rsidR="005045C0" w:rsidRDefault="00D43327" w:rsidP="00902BF9">
      <w:pPr>
        <w:pStyle w:val="SingleTxtG"/>
      </w:pPr>
      <w:r>
        <w:t>22</w:t>
      </w:r>
      <w:r w:rsidR="005045C0">
        <w:t>.</w:t>
      </w:r>
      <w:r w:rsidR="005045C0">
        <w:tab/>
        <w:t xml:space="preserve">La Réunion commune a confirmé que la correction proposée par la Suisse devrait être </w:t>
      </w:r>
      <w:r w:rsidR="00C878EC">
        <w:t>effectuée (voir annexe III</w:t>
      </w:r>
      <w:r w:rsidR="005045C0">
        <w:t>)</w:t>
      </w:r>
    </w:p>
    <w:p w:rsidR="005045C0" w:rsidRPr="00046DFF" w:rsidRDefault="005045C0" w:rsidP="00902BF9">
      <w:pPr>
        <w:pStyle w:val="H23G"/>
        <w:keepNext w:val="0"/>
        <w:keepLines w:val="0"/>
      </w:pPr>
      <w:r w:rsidRPr="00046DFF">
        <w:tab/>
      </w:r>
      <w:r>
        <w:t>2</w:t>
      </w:r>
      <w:r w:rsidRPr="00070058">
        <w:t>.</w:t>
      </w:r>
      <w:r w:rsidRPr="00070058">
        <w:tab/>
      </w:r>
      <w:r>
        <w:t>Amendement de conséquence au 7.5.2.1</w:t>
      </w:r>
    </w:p>
    <w:p w:rsidR="005045C0" w:rsidRDefault="005045C0" w:rsidP="00902BF9">
      <w:pPr>
        <w:pStyle w:val="SingleTxtG"/>
        <w:tabs>
          <w:tab w:val="left" w:pos="3100"/>
        </w:tabs>
        <w:rPr>
          <w:lang w:val="fr-FR"/>
        </w:rPr>
      </w:pPr>
      <w:r w:rsidRPr="00EA4A82">
        <w:rPr>
          <w:i/>
          <w:lang w:val="fr-FR"/>
        </w:rPr>
        <w:t>Document</w:t>
      </w:r>
      <w:r>
        <w:rPr>
          <w:i/>
          <w:lang w:val="fr-FR"/>
        </w:rPr>
        <w:t xml:space="preserve"> informel</w:t>
      </w:r>
      <w:r w:rsidRPr="00E30AEE">
        <w:rPr>
          <w:i/>
          <w:lang w:val="fr-FR"/>
        </w:rPr>
        <w:t>:</w:t>
      </w:r>
      <w:r>
        <w:rPr>
          <w:lang w:val="fr-FR"/>
        </w:rPr>
        <w:tab/>
        <w:t>INF.10 (Allemagne)</w:t>
      </w:r>
    </w:p>
    <w:p w:rsidR="005045C0" w:rsidRDefault="00D43327" w:rsidP="00902BF9">
      <w:pPr>
        <w:pStyle w:val="SingleTxtG"/>
        <w:rPr>
          <w:lang w:val="fr-FR"/>
        </w:rPr>
      </w:pPr>
      <w:r>
        <w:rPr>
          <w:lang w:val="fr-FR"/>
        </w:rPr>
        <w:t>23</w:t>
      </w:r>
      <w:r w:rsidR="005045C0">
        <w:rPr>
          <w:lang w:val="fr-FR"/>
        </w:rPr>
        <w:t>.</w:t>
      </w:r>
      <w:r w:rsidR="005045C0">
        <w:rPr>
          <w:lang w:val="fr-FR"/>
        </w:rPr>
        <w:tab/>
        <w:t>La Réunion commune a confirmé que l’introduction du modèle d’étiquette No. 9A dans les amendements 2017 aurait dû entraîner une modification de conséquence au 7.5.2.1. Une correction visant à refléter cet amendement de conséquence devrait d</w:t>
      </w:r>
      <w:r w:rsidR="00C878EC">
        <w:rPr>
          <w:lang w:val="fr-FR"/>
        </w:rPr>
        <w:t>onc être effectuée (voir annexe III</w:t>
      </w:r>
      <w:r w:rsidR="005045C0">
        <w:rPr>
          <w:lang w:val="fr-FR"/>
        </w:rPr>
        <w:t>).</w:t>
      </w:r>
    </w:p>
    <w:p w:rsidR="005045C0" w:rsidRDefault="005045C0" w:rsidP="00902BF9">
      <w:pPr>
        <w:pStyle w:val="H23G"/>
        <w:keepNext w:val="0"/>
        <w:keepLines w:val="0"/>
      </w:pPr>
      <w:r>
        <w:rPr>
          <w:lang w:val="fr-FR"/>
        </w:rPr>
        <w:tab/>
      </w:r>
      <w:r>
        <w:t>3</w:t>
      </w:r>
      <w:r w:rsidRPr="00070058">
        <w:t>.</w:t>
      </w:r>
      <w:r w:rsidRPr="00070058">
        <w:tab/>
      </w:r>
      <w:r>
        <w:t>Questions relatives aux conseillers à la sécurité</w:t>
      </w:r>
    </w:p>
    <w:p w:rsidR="005045C0" w:rsidRDefault="005045C0" w:rsidP="005045C0">
      <w:pPr>
        <w:pStyle w:val="SingleTxtG"/>
        <w:tabs>
          <w:tab w:val="left" w:pos="3100"/>
        </w:tabs>
        <w:rPr>
          <w:lang w:val="fr-FR"/>
        </w:rPr>
      </w:pPr>
      <w:r w:rsidRPr="00EA4A82">
        <w:rPr>
          <w:i/>
          <w:lang w:val="fr-FR"/>
        </w:rPr>
        <w:t>Document</w:t>
      </w:r>
      <w:r w:rsidRPr="00E30AEE">
        <w:rPr>
          <w:i/>
          <w:lang w:val="fr-FR"/>
        </w:rPr>
        <w:t>:</w:t>
      </w:r>
      <w:r>
        <w:rPr>
          <w:lang w:val="fr-FR"/>
        </w:rPr>
        <w:tab/>
        <w:t>ECE/TRANS/WP.15/AC.1/2016/24 (EASA)</w:t>
      </w:r>
    </w:p>
    <w:p w:rsidR="005045C0" w:rsidRDefault="005045C0" w:rsidP="005045C0">
      <w:pPr>
        <w:pStyle w:val="SingleTxtG"/>
        <w:tabs>
          <w:tab w:val="left" w:pos="3100"/>
        </w:tabs>
        <w:spacing w:after="0"/>
        <w:rPr>
          <w:lang w:val="fr-FR"/>
        </w:rPr>
      </w:pPr>
      <w:r w:rsidRPr="00EA4A82">
        <w:rPr>
          <w:i/>
          <w:lang w:val="fr-FR"/>
        </w:rPr>
        <w:t>Document</w:t>
      </w:r>
      <w:r>
        <w:rPr>
          <w:i/>
          <w:lang w:val="fr-FR"/>
        </w:rPr>
        <w:t>s informels</w:t>
      </w:r>
      <w:r w:rsidRPr="00E30AEE">
        <w:rPr>
          <w:i/>
          <w:lang w:val="fr-FR"/>
        </w:rPr>
        <w:t>:</w:t>
      </w:r>
      <w:r>
        <w:rPr>
          <w:lang w:val="fr-FR"/>
        </w:rPr>
        <w:tab/>
        <w:t>INF.17 (EASA)</w:t>
      </w:r>
    </w:p>
    <w:p w:rsidR="005045C0" w:rsidRPr="0015139D" w:rsidRDefault="005045C0" w:rsidP="005045C0">
      <w:pPr>
        <w:pStyle w:val="SingleTxtG"/>
        <w:tabs>
          <w:tab w:val="left" w:pos="3100"/>
        </w:tabs>
        <w:spacing w:after="0"/>
        <w:rPr>
          <w:lang w:val="fr-FR"/>
        </w:rPr>
      </w:pPr>
      <w:r>
        <w:rPr>
          <w:i/>
          <w:lang w:val="fr-FR"/>
        </w:rPr>
        <w:tab/>
      </w:r>
      <w:r w:rsidRPr="0015139D">
        <w:rPr>
          <w:lang w:val="fr-FR"/>
        </w:rPr>
        <w:t>INF.18 (EASA)</w:t>
      </w:r>
    </w:p>
    <w:p w:rsidR="005045C0" w:rsidRPr="0015139D" w:rsidRDefault="005045C0" w:rsidP="005045C0">
      <w:pPr>
        <w:pStyle w:val="SingleTxtG"/>
        <w:tabs>
          <w:tab w:val="left" w:pos="3100"/>
        </w:tabs>
        <w:spacing w:after="0"/>
        <w:rPr>
          <w:lang w:val="fr-FR"/>
        </w:rPr>
      </w:pPr>
      <w:r w:rsidRPr="0015139D">
        <w:rPr>
          <w:lang w:val="fr-FR"/>
        </w:rPr>
        <w:tab/>
        <w:t>INF.30 (UIP)</w:t>
      </w:r>
    </w:p>
    <w:p w:rsidR="005045C0" w:rsidRDefault="005045C0" w:rsidP="005045C0">
      <w:pPr>
        <w:pStyle w:val="SingleTxtG"/>
        <w:tabs>
          <w:tab w:val="left" w:pos="3100"/>
        </w:tabs>
        <w:rPr>
          <w:lang w:val="fr-FR"/>
        </w:rPr>
      </w:pPr>
      <w:r w:rsidRPr="0015139D">
        <w:rPr>
          <w:lang w:val="fr-FR"/>
        </w:rPr>
        <w:tab/>
        <w:t>INF.35 (Allemagne</w:t>
      </w:r>
      <w:r>
        <w:rPr>
          <w:lang w:val="fr-FR"/>
        </w:rPr>
        <w:t>)</w:t>
      </w:r>
    </w:p>
    <w:p w:rsidR="005045C0" w:rsidRDefault="00D43327" w:rsidP="005045C0">
      <w:pPr>
        <w:pStyle w:val="SingleTxtG"/>
      </w:pPr>
      <w:r>
        <w:t>24</w:t>
      </w:r>
      <w:r w:rsidR="005045C0">
        <w:t>.</w:t>
      </w:r>
      <w:r w:rsidR="005045C0">
        <w:tab/>
        <w:t>La Réunion commune a adopté des mesures transitoires relatives à l’application des prescriptions en matière de conseillers à la sécurité aux entreprises dont l’activité se limite à l’expédition des marchandises dangereuses sur la base des propositions contenues dans le document -/2016/24 et le document informel INF.35 avec quel</w:t>
      </w:r>
      <w:r w:rsidR="00C878EC">
        <w:t>ques modifications (voir annexe II</w:t>
      </w:r>
      <w:r w:rsidR="005045C0">
        <w:t>).</w:t>
      </w:r>
    </w:p>
    <w:p w:rsidR="005045C0" w:rsidRDefault="005045C0" w:rsidP="005045C0">
      <w:pPr>
        <w:pStyle w:val="SingleTxtG"/>
      </w:pPr>
      <w:r>
        <w:t>2</w:t>
      </w:r>
      <w:r w:rsidR="00D43327">
        <w:t>5</w:t>
      </w:r>
      <w:r>
        <w:t>.</w:t>
      </w:r>
      <w:r>
        <w:tab/>
        <w:t>Pour ce qui est de la proposition de directives pour la préparation de rapports annuels des conseillers à la sécurité sous une forme harmonisée, de nombreuses délégations ont exprimé leur réticence pour des raisons diverses: existence de formats obligatoires dans certains pays; adaptation des rapports aux secteurs d’activité concernés et donc aux opérations effectuées par les entreprises; besoins de flexibilité; modèles adaptés aux secteurs d’activité déjà mis au point par les organisations représentant ces secteurs.</w:t>
      </w:r>
    </w:p>
    <w:p w:rsidR="005045C0" w:rsidRDefault="005045C0" w:rsidP="005045C0">
      <w:pPr>
        <w:pStyle w:val="SingleTxtG"/>
      </w:pPr>
      <w:r>
        <w:t>2</w:t>
      </w:r>
      <w:r w:rsidR="00D43327">
        <w:t>6</w:t>
      </w:r>
      <w:r>
        <w:t>.</w:t>
      </w:r>
      <w:r>
        <w:tab/>
        <w:t>Certaines questions déjà soulevées à la dernière session (ECE/TRANS/WP.15/AC.1/142, para.41) notamment en ce qui concerne la finalité des rapports ont été à nouveau soulevées: sont-ils destinés aux chefs d’entreprise pour les aider à améliorer la sécurité et à se conformer à la réglementation? Ou aux autorités compétentes pour leur permettre d’apprécier si les entreprises s’acquittent correctement de leurs obligations réglementaires?</w:t>
      </w:r>
    </w:p>
    <w:p w:rsidR="005045C0" w:rsidRDefault="005045C0" w:rsidP="005045C0">
      <w:pPr>
        <w:pStyle w:val="SingleTxtG"/>
      </w:pPr>
      <w:r>
        <w:t>2</w:t>
      </w:r>
      <w:r w:rsidR="00D43327">
        <w:t>7</w:t>
      </w:r>
      <w:r>
        <w:t>.</w:t>
      </w:r>
      <w:r>
        <w:tab/>
        <w:t>Le représentant de l’EASA a été prié de réfléchir à la question à la lumière des discussions et à préparer une nouvelle proposition s’il le juge approprié.</w:t>
      </w:r>
    </w:p>
    <w:p w:rsidR="005045C0" w:rsidRPr="0015139D" w:rsidRDefault="005045C0" w:rsidP="005045C0">
      <w:pPr>
        <w:pStyle w:val="SingleTxtG"/>
      </w:pPr>
      <w:r>
        <w:t>2</w:t>
      </w:r>
      <w:r w:rsidR="00D43327">
        <w:t>8</w:t>
      </w:r>
      <w:r>
        <w:t>.</w:t>
      </w:r>
      <w:r>
        <w:tab/>
        <w:t xml:space="preserve">Pour la proposition d’étendre le champ d’application des prescriptions actuelles à la manutention ou l’opération de conteneurs-citernes, citernes mobiles et wagons-citernes (documents informels INF.18 et INF.30), plusieurs délégations ont émis des réserves dans la mesure où les opérateurs ne sont pas nécessairement manutentionnaires. Par ailleurs la </w:t>
      </w:r>
      <w:r>
        <w:lastRenderedPageBreak/>
        <w:t>proposition avait été soumise très tardivement sous forme de document informel et il n’avait pas été possible de vérifier les interférences éventuelles avec d’autres réglementations fixant les obligations des opérateurs dans un cadre plus large. Le représentant de l’EASA a donc été invité à soumettre une nouvelle proposition sous forme officielle tenant compte des commentaires s’il le juge toujours pertinent.</w:t>
      </w:r>
    </w:p>
    <w:p w:rsidR="005045C0" w:rsidRDefault="005045C0" w:rsidP="00902BF9">
      <w:pPr>
        <w:pStyle w:val="H23G"/>
        <w:keepNext w:val="0"/>
        <w:keepLines w:val="0"/>
        <w:rPr>
          <w:lang w:val="fr-FR"/>
        </w:rPr>
      </w:pPr>
      <w:r>
        <w:rPr>
          <w:lang w:val="fr-FR"/>
        </w:rPr>
        <w:tab/>
        <w:t>4.</w:t>
      </w:r>
      <w:r>
        <w:rPr>
          <w:lang w:val="fr-FR"/>
        </w:rPr>
        <w:tab/>
        <w:t>Méthodes alternatives pour le contrôle périodique des bouteilles rechargeables</w:t>
      </w:r>
    </w:p>
    <w:p w:rsidR="005045C0" w:rsidRDefault="005045C0" w:rsidP="00902BF9">
      <w:pPr>
        <w:pStyle w:val="SingleTxtG"/>
        <w:tabs>
          <w:tab w:val="left" w:pos="3100"/>
        </w:tabs>
        <w:rPr>
          <w:lang w:val="fr-FR"/>
        </w:rPr>
      </w:pPr>
      <w:r w:rsidRPr="00EA4A82">
        <w:rPr>
          <w:i/>
          <w:lang w:val="fr-FR"/>
        </w:rPr>
        <w:t>Document</w:t>
      </w:r>
      <w:r w:rsidRPr="00E30AEE">
        <w:rPr>
          <w:i/>
          <w:lang w:val="fr-FR"/>
        </w:rPr>
        <w:t>:</w:t>
      </w:r>
      <w:r>
        <w:rPr>
          <w:lang w:val="fr-FR"/>
        </w:rPr>
        <w:tab/>
        <w:t>ECE/TRANS/WP.15/AC.1/2016/22 (AEGPL)</w:t>
      </w:r>
    </w:p>
    <w:p w:rsidR="005045C0" w:rsidRDefault="005045C0" w:rsidP="00902BF9">
      <w:pPr>
        <w:pStyle w:val="SingleTxtG"/>
        <w:tabs>
          <w:tab w:val="left" w:pos="3100"/>
        </w:tabs>
        <w:spacing w:after="0"/>
        <w:rPr>
          <w:lang w:val="fr-FR"/>
        </w:rPr>
      </w:pPr>
      <w:r w:rsidRPr="00EA4A82">
        <w:rPr>
          <w:i/>
          <w:lang w:val="fr-FR"/>
        </w:rPr>
        <w:t>Document</w:t>
      </w:r>
      <w:r>
        <w:rPr>
          <w:i/>
          <w:lang w:val="fr-FR"/>
        </w:rPr>
        <w:t>s informels</w:t>
      </w:r>
      <w:r w:rsidRPr="00E30AEE">
        <w:rPr>
          <w:i/>
          <w:lang w:val="fr-FR"/>
        </w:rPr>
        <w:t>:</w:t>
      </w:r>
      <w:r>
        <w:rPr>
          <w:lang w:val="fr-FR"/>
        </w:rPr>
        <w:tab/>
        <w:t>INF.4 (Espagne)</w:t>
      </w:r>
    </w:p>
    <w:p w:rsidR="005045C0" w:rsidRPr="009C331C" w:rsidRDefault="005045C0" w:rsidP="00902BF9">
      <w:pPr>
        <w:pStyle w:val="SingleTxtG"/>
        <w:tabs>
          <w:tab w:val="left" w:pos="3100"/>
        </w:tabs>
        <w:spacing w:after="0"/>
        <w:rPr>
          <w:lang w:val="fr-FR"/>
        </w:rPr>
      </w:pPr>
      <w:r w:rsidRPr="009C331C">
        <w:rPr>
          <w:lang w:val="fr-FR"/>
        </w:rPr>
        <w:tab/>
        <w:t>INF.32 (Allemagne)</w:t>
      </w:r>
    </w:p>
    <w:p w:rsidR="005045C0" w:rsidRDefault="005045C0" w:rsidP="003E5E8D">
      <w:pPr>
        <w:pStyle w:val="SingleTxtG"/>
        <w:tabs>
          <w:tab w:val="left" w:pos="3100"/>
        </w:tabs>
        <w:spacing w:after="0"/>
        <w:rPr>
          <w:lang w:val="fr-FR"/>
        </w:rPr>
      </w:pPr>
      <w:r w:rsidRPr="009C331C">
        <w:rPr>
          <w:lang w:val="fr-FR"/>
        </w:rPr>
        <w:tab/>
        <w:t>INF.37 (AEGPL)</w:t>
      </w:r>
    </w:p>
    <w:p w:rsidR="003E5E8D" w:rsidRPr="009C331C" w:rsidRDefault="003E5E8D" w:rsidP="00902BF9">
      <w:pPr>
        <w:pStyle w:val="SingleTxtG"/>
        <w:tabs>
          <w:tab w:val="left" w:pos="3100"/>
        </w:tabs>
        <w:rPr>
          <w:lang w:val="fr-FR"/>
        </w:rPr>
      </w:pPr>
      <w:r>
        <w:rPr>
          <w:lang w:val="fr-FR"/>
        </w:rPr>
        <w:tab/>
      </w:r>
      <w:r w:rsidRPr="009C331C">
        <w:rPr>
          <w:lang w:val="fr-FR"/>
        </w:rPr>
        <w:t>INF.37</w:t>
      </w:r>
      <w:r>
        <w:rPr>
          <w:lang w:val="fr-FR"/>
        </w:rPr>
        <w:t>/Rev.1</w:t>
      </w:r>
      <w:r w:rsidRPr="009C331C">
        <w:rPr>
          <w:lang w:val="fr-FR"/>
        </w:rPr>
        <w:t xml:space="preserve"> (AEGPL)</w:t>
      </w:r>
    </w:p>
    <w:p w:rsidR="005045C0" w:rsidRPr="009C331C" w:rsidRDefault="00D43327" w:rsidP="00902BF9">
      <w:pPr>
        <w:pStyle w:val="SingleTxtG"/>
        <w:rPr>
          <w:lang w:val="fr-FR"/>
        </w:rPr>
      </w:pPr>
      <w:r>
        <w:rPr>
          <w:lang w:val="fr-FR"/>
        </w:rPr>
        <w:t>2</w:t>
      </w:r>
      <w:r w:rsidR="005045C0">
        <w:rPr>
          <w:lang w:val="fr-FR"/>
        </w:rPr>
        <w:t>9.</w:t>
      </w:r>
      <w:r w:rsidR="005045C0">
        <w:rPr>
          <w:lang w:val="fr-FR"/>
        </w:rPr>
        <w:tab/>
        <w:t xml:space="preserve">Après discussion en plénière des propositions de l’AEGPL transmises au nom du groupe de travail informel sur les méthodes de substitution </w:t>
      </w:r>
      <w:r w:rsidR="003E5E8D">
        <w:rPr>
          <w:lang w:val="fr-FR"/>
        </w:rPr>
        <w:t>en</w:t>
      </w:r>
      <w:r w:rsidR="005045C0">
        <w:rPr>
          <w:lang w:val="fr-FR"/>
        </w:rPr>
        <w:t xml:space="preserve"> matière de contrôle périodique, il a été décidé de confier l’examen détaillé de ces propositions à un groupe de travail qui s’est réuni aux pauses déjeuner et a soumis son rapport sous la forme du document informel INF.37.</w:t>
      </w:r>
    </w:p>
    <w:p w:rsidR="005045C0" w:rsidRDefault="00D43327" w:rsidP="005045C0">
      <w:pPr>
        <w:pStyle w:val="SingleTxtG"/>
        <w:rPr>
          <w:lang w:val="fr-FR"/>
        </w:rPr>
      </w:pPr>
      <w:r>
        <w:rPr>
          <w:lang w:val="fr-FR"/>
        </w:rPr>
        <w:t>3</w:t>
      </w:r>
      <w:r w:rsidR="005045C0">
        <w:rPr>
          <w:lang w:val="fr-FR"/>
        </w:rPr>
        <w:t>0.</w:t>
      </w:r>
      <w:r w:rsidR="005045C0">
        <w:rPr>
          <w:lang w:val="fr-FR"/>
        </w:rPr>
        <w:tab/>
        <w:t xml:space="preserve">Dans ce rapport, le groupe de travail proposait une liste de points à examiner dans le cadre des travaux futurs, et un projet d’ordre du jour pour la prochaine session du groupe de travail informel qui aurait lieu à Paris les 10 et 11 janvier 2017. Quelques délégations estimaient que la liste proposée ne reflétait pas convenablement certaines préoccupations qu’elles avaient exprimées pendant la réunion du groupe. Par conséquent </w:t>
      </w:r>
      <w:r w:rsidR="003E5E8D">
        <w:rPr>
          <w:lang w:val="fr-FR"/>
        </w:rPr>
        <w:t>une liste de points à traiter et un</w:t>
      </w:r>
      <w:r w:rsidR="005045C0">
        <w:rPr>
          <w:lang w:val="fr-FR"/>
        </w:rPr>
        <w:t xml:space="preserve"> ordre du jour révisés ont été rédigés (INF.37/Rev.1) et adoptés par la Réunion commune.</w:t>
      </w:r>
    </w:p>
    <w:p w:rsidR="005045C0" w:rsidRDefault="00D43327" w:rsidP="005045C0">
      <w:pPr>
        <w:pStyle w:val="SingleTxtG"/>
        <w:rPr>
          <w:lang w:val="fr-FR"/>
        </w:rPr>
      </w:pPr>
      <w:r>
        <w:rPr>
          <w:lang w:val="fr-FR"/>
        </w:rPr>
        <w:t>3</w:t>
      </w:r>
      <w:r w:rsidR="005045C0">
        <w:rPr>
          <w:lang w:val="fr-FR"/>
        </w:rPr>
        <w:t>1.</w:t>
      </w:r>
      <w:r w:rsidR="005045C0">
        <w:rPr>
          <w:lang w:val="fr-FR"/>
        </w:rPr>
        <w:tab/>
        <w:t>Le Président a rappelé que par principe, les normes sont destinées à expliquer comment se conformer aux exigences essentielles de la réglementation, et non à se substituer à la réglementation. Par conséquent, élaborer des normes et demander par la suite d’incorporer des exigences essentielles dans le RID/ADR/ADN sur la base des dispositions de ces normes relèverait d’une mauvaise approche contraire à ce principe.</w:t>
      </w:r>
    </w:p>
    <w:p w:rsidR="005045C0" w:rsidRDefault="005045C0" w:rsidP="005045C0">
      <w:pPr>
        <w:pStyle w:val="H1G"/>
      </w:pPr>
      <w:r>
        <w:tab/>
        <w:t>B.</w:t>
      </w:r>
      <w:r>
        <w:tab/>
        <w:t>Nouvelles propositions</w:t>
      </w:r>
    </w:p>
    <w:p w:rsidR="005045C0" w:rsidRDefault="005045C0" w:rsidP="005045C0">
      <w:pPr>
        <w:pStyle w:val="H23G"/>
      </w:pPr>
      <w:r w:rsidRPr="00046DFF">
        <w:tab/>
      </w:r>
      <w:r>
        <w:t>1</w:t>
      </w:r>
      <w:r w:rsidRPr="00070058">
        <w:t>.</w:t>
      </w:r>
      <w:r w:rsidRPr="00070058">
        <w:tab/>
      </w:r>
      <w:r>
        <w:t>Amendement au 6.2.3.9.6 concernant les récipients à pression</w:t>
      </w:r>
    </w:p>
    <w:p w:rsidR="005045C0" w:rsidRDefault="005045C0" w:rsidP="005045C0">
      <w:pPr>
        <w:pStyle w:val="SingleTxtG"/>
        <w:tabs>
          <w:tab w:val="left" w:pos="3100"/>
        </w:tabs>
        <w:rPr>
          <w:lang w:val="fr-FR"/>
        </w:rPr>
      </w:pPr>
      <w:r w:rsidRPr="00EA4A82">
        <w:rPr>
          <w:i/>
          <w:lang w:val="fr-FR"/>
        </w:rPr>
        <w:t>Document</w:t>
      </w:r>
      <w:r w:rsidRPr="00E30AEE">
        <w:rPr>
          <w:i/>
          <w:lang w:val="fr-FR"/>
        </w:rPr>
        <w:t>:</w:t>
      </w:r>
      <w:r>
        <w:rPr>
          <w:lang w:val="fr-FR"/>
        </w:rPr>
        <w:tab/>
        <w:t>ECE/TRANS/WP.15/AC.1/2016/32 (EIGA)</w:t>
      </w:r>
    </w:p>
    <w:p w:rsidR="005045C0" w:rsidRDefault="005045C0" w:rsidP="005045C0">
      <w:pPr>
        <w:pStyle w:val="SingleTxtG"/>
        <w:tabs>
          <w:tab w:val="left" w:pos="3100"/>
        </w:tabs>
        <w:rPr>
          <w:lang w:val="fr-FR"/>
        </w:rPr>
      </w:pPr>
      <w:r w:rsidRPr="00EA4A82">
        <w:rPr>
          <w:i/>
          <w:lang w:val="fr-FR"/>
        </w:rPr>
        <w:t>Document</w:t>
      </w:r>
      <w:r>
        <w:rPr>
          <w:i/>
          <w:lang w:val="fr-FR"/>
        </w:rPr>
        <w:t xml:space="preserve"> informel</w:t>
      </w:r>
      <w:r w:rsidRPr="00E30AEE">
        <w:rPr>
          <w:i/>
          <w:lang w:val="fr-FR"/>
        </w:rPr>
        <w:t>:</w:t>
      </w:r>
      <w:r>
        <w:rPr>
          <w:lang w:val="fr-FR"/>
        </w:rPr>
        <w:tab/>
        <w:t>INF.29 (EIGA)</w:t>
      </w:r>
    </w:p>
    <w:p w:rsidR="005045C0" w:rsidRDefault="00D43327" w:rsidP="005045C0">
      <w:pPr>
        <w:pStyle w:val="SingleTxtG"/>
      </w:pPr>
      <w:r>
        <w:t>32</w:t>
      </w:r>
      <w:r w:rsidR="005045C0">
        <w:t>.</w:t>
      </w:r>
      <w:r w:rsidR="005045C0">
        <w:tab/>
        <w:t>La proposition de l’</w:t>
      </w:r>
      <w:r w:rsidR="00C878EC">
        <w:t>EIGA a été adoptée (voir annexe II</w:t>
      </w:r>
      <w:r w:rsidR="005045C0">
        <w:t>).</w:t>
      </w:r>
    </w:p>
    <w:p w:rsidR="005045C0" w:rsidRDefault="00490A27" w:rsidP="005045C0">
      <w:pPr>
        <w:pStyle w:val="H23G"/>
      </w:pPr>
      <w:r>
        <w:tab/>
        <w:t>2.</w:t>
      </w:r>
      <w:r>
        <w:tab/>
        <w:t xml:space="preserve">Utilisation du </w:t>
      </w:r>
      <w:proofErr w:type="spellStart"/>
      <w:r>
        <w:t>No.</w:t>
      </w:r>
      <w:r w:rsidR="005045C0">
        <w:t>ONU</w:t>
      </w:r>
      <w:proofErr w:type="spellEnd"/>
      <w:r w:rsidR="005045C0">
        <w:t xml:space="preserve"> 1202 pour le transport de mazout</w:t>
      </w:r>
    </w:p>
    <w:p w:rsidR="005045C0" w:rsidRDefault="005045C0" w:rsidP="005045C0">
      <w:pPr>
        <w:pStyle w:val="SingleTxtG"/>
        <w:tabs>
          <w:tab w:val="left" w:pos="3100"/>
        </w:tabs>
        <w:rPr>
          <w:lang w:val="fr-FR"/>
        </w:rPr>
      </w:pPr>
      <w:r w:rsidRPr="00EA4A82">
        <w:rPr>
          <w:i/>
          <w:lang w:val="fr-FR"/>
        </w:rPr>
        <w:t>Document</w:t>
      </w:r>
      <w:r>
        <w:rPr>
          <w:i/>
          <w:lang w:val="fr-FR"/>
        </w:rPr>
        <w:t xml:space="preserve"> informel</w:t>
      </w:r>
      <w:r w:rsidRPr="00E30AEE">
        <w:rPr>
          <w:i/>
          <w:lang w:val="fr-FR"/>
        </w:rPr>
        <w:t>:</w:t>
      </w:r>
      <w:r>
        <w:rPr>
          <w:lang w:val="fr-FR"/>
        </w:rPr>
        <w:tab/>
        <w:t>INF.22 (Fédération de Russie)</w:t>
      </w:r>
    </w:p>
    <w:p w:rsidR="005045C0" w:rsidRDefault="00D43327" w:rsidP="005045C0">
      <w:pPr>
        <w:pStyle w:val="SingleTxtG"/>
      </w:pPr>
      <w:r>
        <w:t>33</w:t>
      </w:r>
      <w:r w:rsidR="005045C0">
        <w:t>.</w:t>
      </w:r>
      <w:r w:rsidR="005045C0">
        <w:tab/>
        <w:t>Il a été relevé que suivant le Règlement type de l’ONU</w:t>
      </w:r>
      <w:r w:rsidR="00BC0FE4">
        <w:t>,</w:t>
      </w:r>
      <w:r w:rsidR="005045C0">
        <w:t xml:space="preserve"> le numéro ONU 1202 ne devrait pas être utilisé pour les produits à point d’éclair supérieur à 60°C et inférieur à 100°C. Toutefois, compte tenu du NOTA 2 au 2.2.3.1.1 du RID/ADR/ADN qui permet de classer le carburant diesel, le gazole et les huiles de chauffe légères avec un point d’éclair supérieur à 60°C et inférieur à 100°C sous ce numéro ONU, plusieurs délégations estimaient qu’il serait également logique de classer sous ce même numéro ONU le mazout de caractéristiques semblables, soit par l’ajout du «mazout» comme désignation officielle de transport possible, soit par l’ajout d’une disposition spéciale indiquant la désignation officielle de transport à utiliser pour le mazout.</w:t>
      </w:r>
    </w:p>
    <w:p w:rsidR="005045C0" w:rsidRDefault="00D43327" w:rsidP="005045C0">
      <w:pPr>
        <w:pStyle w:val="SingleTxtG"/>
      </w:pPr>
      <w:r>
        <w:lastRenderedPageBreak/>
        <w:t>34</w:t>
      </w:r>
      <w:r w:rsidR="005045C0">
        <w:t>.</w:t>
      </w:r>
      <w:r w:rsidR="005045C0">
        <w:tab/>
        <w:t xml:space="preserve">Il a été noté cependant que si, comme le laisse entendre le document INF.22, le mazout est transporté à des températures supérieures au point d’éclair, le </w:t>
      </w:r>
      <w:r w:rsidR="00BC0FE4">
        <w:t>numéro</w:t>
      </w:r>
      <w:r w:rsidR="005045C0">
        <w:t xml:space="preserve"> ONU approprié est le numéro 3256.</w:t>
      </w:r>
    </w:p>
    <w:p w:rsidR="005045C0" w:rsidRDefault="00D43327" w:rsidP="005045C0">
      <w:pPr>
        <w:pStyle w:val="SingleTxtG"/>
      </w:pPr>
      <w:r>
        <w:t>35</w:t>
      </w:r>
      <w:r w:rsidR="005045C0">
        <w:t>.</w:t>
      </w:r>
      <w:r w:rsidR="005045C0">
        <w:tab/>
        <w:t>Le représentant de la Fédération de Russie a été prié de préparer une proposition officielle pour la prochaine session en expliquant plus précisément comment le mazout est transporté (à savoir température de transport inférieure ou supérieure au point d’éclair). Á ce stade il ne paraissait pas nécessaire de saisir le Sous-Comité d’experts de l’ONU, à moins que la Fédération de Russie ne souhaite généraliser l’exception du NOTA 2 du RID/ADR/ADN à tous les modes de transport.</w:t>
      </w:r>
    </w:p>
    <w:p w:rsidR="005045C0" w:rsidRDefault="005045C0" w:rsidP="005045C0">
      <w:pPr>
        <w:pStyle w:val="H23G"/>
      </w:pPr>
      <w:r w:rsidRPr="00046DFF">
        <w:tab/>
      </w:r>
      <w:r>
        <w:t>3</w:t>
      </w:r>
      <w:r w:rsidRPr="00070058">
        <w:t>.</w:t>
      </w:r>
      <w:r w:rsidRPr="00070058">
        <w:tab/>
      </w:r>
      <w:r>
        <w:t>Obligations des intervenants et traçabilité</w:t>
      </w:r>
    </w:p>
    <w:p w:rsidR="005045C0" w:rsidRDefault="005045C0" w:rsidP="005045C0">
      <w:pPr>
        <w:pStyle w:val="SingleTxtG"/>
        <w:tabs>
          <w:tab w:val="left" w:pos="3100"/>
        </w:tabs>
        <w:rPr>
          <w:lang w:val="fr-FR"/>
        </w:rPr>
      </w:pPr>
      <w:r w:rsidRPr="00EA4A82">
        <w:rPr>
          <w:i/>
          <w:lang w:val="fr-FR"/>
        </w:rPr>
        <w:t>Document</w:t>
      </w:r>
      <w:r w:rsidRPr="00E30AEE">
        <w:rPr>
          <w:i/>
          <w:lang w:val="fr-FR"/>
        </w:rPr>
        <w:t>:</w:t>
      </w:r>
      <w:r>
        <w:rPr>
          <w:lang w:val="fr-FR"/>
        </w:rPr>
        <w:tab/>
        <w:t>ECE/TRANS/WP.15/AC.1/2016/29 (Italie)</w:t>
      </w:r>
    </w:p>
    <w:p w:rsidR="005045C0" w:rsidRDefault="00D43327" w:rsidP="005045C0">
      <w:pPr>
        <w:pStyle w:val="SingleTxtG"/>
      </w:pPr>
      <w:r>
        <w:t>36</w:t>
      </w:r>
      <w:r w:rsidR="005045C0">
        <w:t>.</w:t>
      </w:r>
      <w:r w:rsidR="005045C0">
        <w:tab/>
        <w:t xml:space="preserve">La Réunion commune a considéré avec intérêt la possibilité de requérir, dans le RID, l’ADR et l’ADN, une traçabilité des activités des intervenants dans le cadre des transports de marchandises dangereuses. Cependant, plusieurs délégations n’étaient pas favorables à la proposition présentée dans le document -/2016/29 qu’elles jugeaient notamment trop générale en ce qui concerne les activités et informations concernées. </w:t>
      </w:r>
    </w:p>
    <w:p w:rsidR="005045C0" w:rsidRDefault="00D43327" w:rsidP="005045C0">
      <w:pPr>
        <w:pStyle w:val="SingleTxtG"/>
      </w:pPr>
      <w:r>
        <w:t>37</w:t>
      </w:r>
      <w:r w:rsidR="005045C0">
        <w:t>.</w:t>
      </w:r>
      <w:r w:rsidR="005045C0">
        <w:tab/>
        <w:t>Le représentant de l’Italie pourra présenter une proposition révisée à une prochaine session. Cette nouvelle proposition devra préciser dans quel cadre les informations de traçabilité sont requises (système de gestion de la sécurité ou informations requises en vue d’un contrôle). Dans le cas d’informations requises en vue d’un contrôle, il pourrait être envisagé de compléter le 1.8.1.2.</w:t>
      </w:r>
    </w:p>
    <w:p w:rsidR="005045C0" w:rsidRDefault="00D43327" w:rsidP="005045C0">
      <w:pPr>
        <w:pStyle w:val="SingleTxtG"/>
      </w:pPr>
      <w:r>
        <w:t>38</w:t>
      </w:r>
      <w:r w:rsidR="005045C0">
        <w:t>.</w:t>
      </w:r>
      <w:r w:rsidR="005045C0">
        <w:tab/>
        <w:t xml:space="preserve">Le représentant de l’Italie a invité les délégations qui le souhaiteraient à lui transmettre leurs observations par écrit. </w:t>
      </w:r>
    </w:p>
    <w:p w:rsidR="005045C0" w:rsidRDefault="005045C0" w:rsidP="005045C0">
      <w:pPr>
        <w:pStyle w:val="H23G"/>
      </w:pPr>
      <w:r w:rsidRPr="00046DFF">
        <w:tab/>
      </w:r>
      <w:r>
        <w:t>4</w:t>
      </w:r>
      <w:r w:rsidRPr="00070058">
        <w:t>.</w:t>
      </w:r>
      <w:r w:rsidRPr="00070058">
        <w:tab/>
      </w:r>
      <w:r>
        <w:t>Utilisation des termes «danger» et «risque» dans le 1.4.1.1</w:t>
      </w:r>
    </w:p>
    <w:p w:rsidR="005045C0" w:rsidRDefault="005045C0" w:rsidP="005045C0">
      <w:pPr>
        <w:pStyle w:val="SingleTxtG"/>
        <w:tabs>
          <w:tab w:val="left" w:pos="3100"/>
        </w:tabs>
        <w:rPr>
          <w:lang w:val="fr-FR"/>
        </w:rPr>
      </w:pPr>
      <w:r w:rsidRPr="00EA4A82">
        <w:rPr>
          <w:i/>
          <w:lang w:val="fr-FR"/>
        </w:rPr>
        <w:t>Document</w:t>
      </w:r>
      <w:r>
        <w:rPr>
          <w:i/>
          <w:lang w:val="fr-FR"/>
        </w:rPr>
        <w:t xml:space="preserve"> informel</w:t>
      </w:r>
      <w:r w:rsidRPr="00E30AEE">
        <w:rPr>
          <w:i/>
          <w:lang w:val="fr-FR"/>
        </w:rPr>
        <w:t>:</w:t>
      </w:r>
      <w:r>
        <w:rPr>
          <w:lang w:val="fr-FR"/>
        </w:rPr>
        <w:tab/>
        <w:t>INF.33 (Roumanie)</w:t>
      </w:r>
    </w:p>
    <w:p w:rsidR="005045C0" w:rsidRDefault="00D43327" w:rsidP="005045C0">
      <w:pPr>
        <w:pStyle w:val="SingleTxtG"/>
      </w:pPr>
      <w:r>
        <w:t>39</w:t>
      </w:r>
      <w:r w:rsidR="005045C0">
        <w:t>.</w:t>
      </w:r>
      <w:r w:rsidR="005045C0">
        <w:tab/>
        <w:t xml:space="preserve">La Réunion commune a noté que le </w:t>
      </w:r>
      <w:r w:rsidR="005045C0" w:rsidRPr="00565000">
        <w:t>Sous-Comité d’experts du transport des marchandises dangereuses de l’ONU</w:t>
      </w:r>
      <w:r w:rsidR="005045C0">
        <w:t xml:space="preserve"> avait adopté des amendements visant à harmoniser l’utilisation des termes «danger» et «risque» dans la prochaine édition du Règlement type. La Réunion commune a invité le représentant de la Roumanie à présenter sa proposition sous forme de document officiel à la session d’automne 2017 à la lumière des résultats des travaux du </w:t>
      </w:r>
      <w:r w:rsidR="005045C0">
        <w:rPr>
          <w:lang w:val="fr-FR"/>
        </w:rPr>
        <w:t>G</w:t>
      </w:r>
      <w:r w:rsidR="005045C0" w:rsidRPr="00E75C1C">
        <w:rPr>
          <w:lang w:val="fr-FR"/>
        </w:rPr>
        <w:t xml:space="preserve">roupe de travail </w:t>
      </w:r>
      <w:r w:rsidR="005045C0">
        <w:rPr>
          <w:lang w:val="fr-FR"/>
        </w:rPr>
        <w:t>spécial de</w:t>
      </w:r>
      <w:r w:rsidR="005045C0" w:rsidRPr="00E75C1C">
        <w:rPr>
          <w:lang w:val="fr-FR"/>
        </w:rPr>
        <w:t xml:space="preserve"> l’harmonisation </w:t>
      </w:r>
      <w:r w:rsidR="005045C0">
        <w:rPr>
          <w:lang w:val="fr-FR"/>
        </w:rPr>
        <w:t>des Règlements</w:t>
      </w:r>
      <w:r w:rsidR="005045C0" w:rsidRPr="00E75C1C">
        <w:rPr>
          <w:lang w:val="fr-FR"/>
        </w:rPr>
        <w:t xml:space="preserve"> RID/ADR/ADN avec les </w:t>
      </w:r>
      <w:r w:rsidR="005045C0">
        <w:rPr>
          <w:lang w:val="fr-FR"/>
        </w:rPr>
        <w:t>R</w:t>
      </w:r>
      <w:r w:rsidR="005045C0" w:rsidRPr="00E75C1C">
        <w:rPr>
          <w:lang w:val="fr-FR"/>
        </w:rPr>
        <w:t>ecommandations</w:t>
      </w:r>
      <w:r w:rsidR="005045C0">
        <w:rPr>
          <w:lang w:val="fr-FR"/>
        </w:rPr>
        <w:t xml:space="preserve"> de l’ONU</w:t>
      </w:r>
      <w:r w:rsidR="005045C0" w:rsidRPr="00E75C1C">
        <w:rPr>
          <w:lang w:val="fr-FR"/>
        </w:rPr>
        <w:t xml:space="preserve"> </w:t>
      </w:r>
      <w:r w:rsidR="005045C0">
        <w:rPr>
          <w:lang w:val="fr-FR"/>
        </w:rPr>
        <w:t>relatives au</w:t>
      </w:r>
      <w:r w:rsidR="005045C0" w:rsidRPr="00E75C1C">
        <w:rPr>
          <w:lang w:val="fr-FR"/>
        </w:rPr>
        <w:t xml:space="preserve"> transport des marchandises dangereuses</w:t>
      </w:r>
      <w:r w:rsidR="005045C0">
        <w:t>.</w:t>
      </w:r>
    </w:p>
    <w:p w:rsidR="005045C0" w:rsidRDefault="005045C0" w:rsidP="005045C0">
      <w:pPr>
        <w:pStyle w:val="H23G"/>
      </w:pPr>
      <w:r>
        <w:rPr>
          <w:lang w:val="fr-FR"/>
        </w:rPr>
        <w:tab/>
      </w:r>
      <w:r>
        <w:t>5.</w:t>
      </w:r>
      <w:r>
        <w:tab/>
        <w:t>Obligations du transporteur; examen visuel du chargement contenu dans un engin de transport scellé</w:t>
      </w:r>
    </w:p>
    <w:p w:rsidR="005045C0" w:rsidRDefault="005045C0" w:rsidP="005045C0">
      <w:pPr>
        <w:pStyle w:val="SingleTxtG"/>
        <w:tabs>
          <w:tab w:val="left" w:pos="3100"/>
        </w:tabs>
        <w:rPr>
          <w:lang w:val="fr-FR"/>
        </w:rPr>
      </w:pPr>
      <w:r w:rsidRPr="00EA4A82">
        <w:rPr>
          <w:i/>
          <w:lang w:val="fr-FR"/>
        </w:rPr>
        <w:t>Document</w:t>
      </w:r>
      <w:r w:rsidRPr="00E30AEE">
        <w:rPr>
          <w:i/>
          <w:lang w:val="fr-FR"/>
        </w:rPr>
        <w:t>:</w:t>
      </w:r>
      <w:r>
        <w:rPr>
          <w:lang w:val="fr-FR"/>
        </w:rPr>
        <w:tab/>
        <w:t>ECE/TRANS/WP.15/AC.1/2016/34 (Autriche)</w:t>
      </w:r>
    </w:p>
    <w:p w:rsidR="005045C0" w:rsidRDefault="005045C0" w:rsidP="005045C0">
      <w:pPr>
        <w:pStyle w:val="SingleTxtG"/>
        <w:tabs>
          <w:tab w:val="left" w:pos="3100"/>
        </w:tabs>
        <w:rPr>
          <w:lang w:val="fr-FR"/>
        </w:rPr>
      </w:pPr>
      <w:r w:rsidRPr="00EA4A82">
        <w:rPr>
          <w:i/>
          <w:lang w:val="fr-FR"/>
        </w:rPr>
        <w:t>Document</w:t>
      </w:r>
      <w:r>
        <w:rPr>
          <w:i/>
          <w:lang w:val="fr-FR"/>
        </w:rPr>
        <w:t xml:space="preserve"> informel</w:t>
      </w:r>
      <w:r w:rsidRPr="00E30AEE">
        <w:rPr>
          <w:i/>
          <w:lang w:val="fr-FR"/>
        </w:rPr>
        <w:t>:</w:t>
      </w:r>
      <w:r>
        <w:rPr>
          <w:lang w:val="fr-FR"/>
        </w:rPr>
        <w:tab/>
        <w:t>INF.36 (Autriche)</w:t>
      </w:r>
    </w:p>
    <w:p w:rsidR="005045C0" w:rsidRDefault="00D43327" w:rsidP="005045C0">
      <w:pPr>
        <w:pStyle w:val="SingleTxtG"/>
      </w:pPr>
      <w:r>
        <w:t>40</w:t>
      </w:r>
      <w:r w:rsidR="005045C0">
        <w:t>.</w:t>
      </w:r>
      <w:r w:rsidR="005045C0">
        <w:tab/>
        <w:t xml:space="preserve">Après un long débat où les avis étaient partagés sur la façon dont un transporteur peut s’assurer visuellement que le chargement d’un conteneur ou d’un véhicule/wagon ne présente pas de défauts, il a été décidé de seulement modifier le 1.4.2.2.2 </w:t>
      </w:r>
      <w:r w:rsidR="00BC0FE4">
        <w:t>selon la proposition du document informel INF.36 avec quelques modifications</w:t>
      </w:r>
      <w:r w:rsidR="00C878EC">
        <w:t xml:space="preserve"> (voir annexe II</w:t>
      </w:r>
      <w:r w:rsidR="005045C0">
        <w:t>).</w:t>
      </w:r>
    </w:p>
    <w:p w:rsidR="005045C0" w:rsidRDefault="005045C0" w:rsidP="005045C0">
      <w:pPr>
        <w:pStyle w:val="H23G"/>
      </w:pPr>
      <w:r>
        <w:tab/>
        <w:t>6.</w:t>
      </w:r>
      <w:r>
        <w:tab/>
        <w:t>Utilisation de récipients pour la collecte de déchets répondant à la fois aux prescriptions du chapitre 6.1 pour les emballages et à celle du chapitre 6.5 pour les grands récipients pour vrac</w:t>
      </w:r>
    </w:p>
    <w:p w:rsidR="005045C0" w:rsidRDefault="005045C0" w:rsidP="005045C0">
      <w:pPr>
        <w:pStyle w:val="SingleTxtG"/>
        <w:tabs>
          <w:tab w:val="left" w:pos="3100"/>
        </w:tabs>
        <w:rPr>
          <w:lang w:val="fr-FR"/>
        </w:rPr>
      </w:pPr>
      <w:r w:rsidRPr="00EA4A82">
        <w:rPr>
          <w:i/>
          <w:lang w:val="fr-FR"/>
        </w:rPr>
        <w:t>Document</w:t>
      </w:r>
      <w:r>
        <w:rPr>
          <w:i/>
          <w:lang w:val="fr-FR"/>
        </w:rPr>
        <w:t xml:space="preserve"> informel</w:t>
      </w:r>
      <w:r w:rsidRPr="00E30AEE">
        <w:rPr>
          <w:i/>
          <w:lang w:val="fr-FR"/>
        </w:rPr>
        <w:t>:</w:t>
      </w:r>
      <w:r>
        <w:rPr>
          <w:lang w:val="fr-FR"/>
        </w:rPr>
        <w:tab/>
        <w:t>INF.24 (FEAD)</w:t>
      </w:r>
    </w:p>
    <w:p w:rsidR="005045C0" w:rsidRDefault="00D43327" w:rsidP="005045C0">
      <w:pPr>
        <w:pStyle w:val="SingleTxtG"/>
      </w:pPr>
      <w:r>
        <w:lastRenderedPageBreak/>
        <w:t>41</w:t>
      </w:r>
      <w:r w:rsidR="005045C0">
        <w:t>.</w:t>
      </w:r>
      <w:r w:rsidR="005045C0">
        <w:tab/>
        <w:t>Le représentant de la FEAD a expliqué que, dans le cadre de la collecte de déchets, des caisses en métal font double usage: caisse 4A pour le transport de petits récipients, et GRV 11A pour le transport des matières solides en vrac. Elles répondent aux prescriptions des deux chapitres 6.1 et 6.5 et portent donc un double marquage. Toutefois la définition de GRV à la section 1.2.1 exclut les emballages spécifiés au chapitre 6.1. Il proposait donc d’en modifier la définition.</w:t>
      </w:r>
    </w:p>
    <w:p w:rsidR="005045C0" w:rsidRDefault="00D43327" w:rsidP="005045C0">
      <w:pPr>
        <w:pStyle w:val="SingleTxtG"/>
      </w:pPr>
      <w:r>
        <w:t>42</w:t>
      </w:r>
      <w:r w:rsidR="005045C0">
        <w:t>.</w:t>
      </w:r>
      <w:r w:rsidR="005045C0">
        <w:tab/>
        <w:t>Plusieurs délégations estimaient qu’avant de modifier la définition, il faudrait porter la question à l’attention du Sous-Comité d’experts de l’ONU. La modification proposée pouvait avoir un sens dans ce cas précis, mais pouvait avoir des répercussions imprévues dans d’autres cas de figure. Il conviendrait également de voir si ce problème précis ne pouvait pas être spécifiquement réglé d’une autre manière dans le cadre du RID/ADR/ADN sans modifier la définition du Règlement type de l’ONU.</w:t>
      </w:r>
    </w:p>
    <w:p w:rsidR="005045C0" w:rsidRDefault="00D43327" w:rsidP="005045C0">
      <w:pPr>
        <w:pStyle w:val="SingleTxtG"/>
      </w:pPr>
      <w:r>
        <w:t>43</w:t>
      </w:r>
      <w:r w:rsidR="005045C0">
        <w:t>.</w:t>
      </w:r>
      <w:r w:rsidR="005045C0">
        <w:tab/>
        <w:t>Le représentant de la FEAD a été prié de préparer une nouvelle proposition pour la prochaine session en l’étayant d’explications plus précises et détaillées sur ces types de récipients à la lumière des questions posées par diverses délégations.</w:t>
      </w:r>
    </w:p>
    <w:p w:rsidR="005045C0" w:rsidRDefault="005045C0" w:rsidP="005045C0">
      <w:pPr>
        <w:pStyle w:val="H23G"/>
      </w:pPr>
      <w:r>
        <w:tab/>
        <w:t>7.</w:t>
      </w:r>
      <w:r>
        <w:tab/>
        <w:t>Transport de lampes à décharge «TL» basse pression usagées</w:t>
      </w:r>
    </w:p>
    <w:p w:rsidR="005045C0" w:rsidRDefault="005045C0" w:rsidP="005045C0">
      <w:pPr>
        <w:pStyle w:val="SingleTxtG"/>
        <w:tabs>
          <w:tab w:val="left" w:pos="3100"/>
        </w:tabs>
        <w:rPr>
          <w:lang w:val="fr-FR"/>
        </w:rPr>
      </w:pPr>
      <w:r w:rsidRPr="00EA4A82">
        <w:rPr>
          <w:i/>
          <w:lang w:val="fr-FR"/>
        </w:rPr>
        <w:t>Document</w:t>
      </w:r>
      <w:r>
        <w:rPr>
          <w:i/>
          <w:lang w:val="fr-FR"/>
        </w:rPr>
        <w:t xml:space="preserve"> informel</w:t>
      </w:r>
      <w:r w:rsidRPr="00E30AEE">
        <w:rPr>
          <w:i/>
          <w:lang w:val="fr-FR"/>
        </w:rPr>
        <w:t>:</w:t>
      </w:r>
      <w:r>
        <w:rPr>
          <w:lang w:val="fr-FR"/>
        </w:rPr>
        <w:tab/>
        <w:t>INF.25 (FEAD)</w:t>
      </w:r>
    </w:p>
    <w:p w:rsidR="005045C0" w:rsidRDefault="00D43327" w:rsidP="005045C0">
      <w:pPr>
        <w:pStyle w:val="SingleTxtG"/>
        <w:rPr>
          <w:lang w:val="fr-FR"/>
        </w:rPr>
      </w:pPr>
      <w:r>
        <w:rPr>
          <w:lang w:val="fr-FR"/>
        </w:rPr>
        <w:t>44</w:t>
      </w:r>
      <w:r w:rsidR="005045C0">
        <w:rPr>
          <w:lang w:val="fr-FR"/>
        </w:rPr>
        <w:t>.</w:t>
      </w:r>
      <w:r w:rsidR="005045C0">
        <w:rPr>
          <w:lang w:val="fr-FR"/>
        </w:rPr>
        <w:tab/>
        <w:t xml:space="preserve">Les avis étaient partagés sur la proposition de la FEAD. </w:t>
      </w:r>
    </w:p>
    <w:p w:rsidR="005045C0" w:rsidRDefault="00D43327" w:rsidP="005045C0">
      <w:pPr>
        <w:pStyle w:val="SingleTxtG"/>
        <w:rPr>
          <w:lang w:val="fr-FR"/>
        </w:rPr>
      </w:pPr>
      <w:r>
        <w:rPr>
          <w:lang w:val="fr-FR"/>
        </w:rPr>
        <w:t>45</w:t>
      </w:r>
      <w:r w:rsidR="005045C0">
        <w:rPr>
          <w:lang w:val="fr-FR"/>
        </w:rPr>
        <w:t>.</w:t>
      </w:r>
      <w:r w:rsidR="005045C0">
        <w:rPr>
          <w:lang w:val="fr-FR"/>
        </w:rPr>
        <w:tab/>
        <w:t>La proposition étendait l’exemption du 1.1.3.10 a) aux lampes à décharge basse pression collectées auprès des entreprises et pas seulement auprès des particuliers, mais pour la collecte auprès des particuliers, restreignait l’exemption aux lampes à décharge basse pression. Or l’exemption du 1.1.3.10 est liée à la difficulté, en pratique, d’exiger des particuliers de se conformer à la réglementation du transport des marchandises dangereuses, ceci quel que soit le type de lampe usagée. Cette difficulté existe peut-être également lorsqu’il s’agit d’artisans ou de petites entreprises, mais ne peut pas être invoquée lorsqu’il s’agit de grosses entreprises.</w:t>
      </w:r>
    </w:p>
    <w:p w:rsidR="005045C0" w:rsidRDefault="00D43327" w:rsidP="005045C0">
      <w:pPr>
        <w:pStyle w:val="SingleTxtG"/>
        <w:rPr>
          <w:lang w:val="fr-FR"/>
        </w:rPr>
      </w:pPr>
      <w:r>
        <w:rPr>
          <w:lang w:val="fr-FR"/>
        </w:rPr>
        <w:t>46</w:t>
      </w:r>
      <w:r w:rsidR="005045C0">
        <w:rPr>
          <w:lang w:val="fr-FR"/>
        </w:rPr>
        <w:t>.</w:t>
      </w:r>
      <w:r w:rsidR="005045C0">
        <w:rPr>
          <w:lang w:val="fr-FR"/>
        </w:rPr>
        <w:tab/>
        <w:t>La plupart des délégations n’étaient pas favorables à la suppression du 1.1.3.10 c) parce qu’elles estimaient qu’en dehors du cas de la collecte auprès des particuliers (1.1.3.10 a)) et des lampes ne contenant que du mercure en quantité inférieure à 1kg, le transport de lampes usagées contenant des marchandises dangereuses devait être soumis à des règles de sécurité.</w:t>
      </w:r>
    </w:p>
    <w:p w:rsidR="005045C0" w:rsidRDefault="00D43327" w:rsidP="005045C0">
      <w:pPr>
        <w:pStyle w:val="SingleTxtG"/>
        <w:rPr>
          <w:lang w:val="fr-FR"/>
        </w:rPr>
      </w:pPr>
      <w:r>
        <w:rPr>
          <w:lang w:val="fr-FR"/>
        </w:rPr>
        <w:t>47</w:t>
      </w:r>
      <w:r w:rsidR="005045C0">
        <w:rPr>
          <w:lang w:val="fr-FR"/>
        </w:rPr>
        <w:t>.</w:t>
      </w:r>
      <w:r w:rsidR="005045C0">
        <w:rPr>
          <w:lang w:val="fr-FR"/>
        </w:rPr>
        <w:tab/>
        <w:t xml:space="preserve">Il a été fait remarquer que la disposition spéciale 366 exempte totalement les lampes ne contenant que du mercure comme matière dangereuse en quantité égale ou inférieure à 1 kg, y compris des lampes à décharge TL basse pression à vapeur de mercure, ce qu’une délégation contestait estimant que l’exemption valait pour le mercure </w:t>
      </w:r>
      <w:r w:rsidR="00BC0FE4">
        <w:rPr>
          <w:lang w:val="fr-FR"/>
        </w:rPr>
        <w:t>contenu dans des instruments ou objets, mais pas dans le cas de lampes endommagées non emballées d’où peuvent s’échapper des vapeurs de mercure.</w:t>
      </w:r>
    </w:p>
    <w:p w:rsidR="005045C0" w:rsidRDefault="00D43327" w:rsidP="005045C0">
      <w:pPr>
        <w:pStyle w:val="SingleTxtG"/>
        <w:rPr>
          <w:lang w:val="fr-FR"/>
        </w:rPr>
      </w:pPr>
      <w:r>
        <w:rPr>
          <w:lang w:val="fr-FR"/>
        </w:rPr>
        <w:t>48</w:t>
      </w:r>
      <w:r w:rsidR="005045C0">
        <w:rPr>
          <w:lang w:val="fr-FR"/>
        </w:rPr>
        <w:t>.</w:t>
      </w:r>
      <w:r w:rsidR="005045C0">
        <w:rPr>
          <w:lang w:val="fr-FR"/>
        </w:rPr>
        <w:tab/>
        <w:t>Le représentant de la FEAD a été invité à revoir sa proposition à la lumière de ces commentaires. Le Président a indiqué que, compte tenu des doutes émis sur l’interprétation du 1.1.3.10 et de la disposition spéciale 366, il conviendrait éventuellement de revenir aux documents du Sous-Comité d’experts de l’ONU ayant conduit aux exemptions du 1.1.1.9 du Règlement type de l’ONU et à la disposition spéciale 366</w:t>
      </w:r>
      <w:r w:rsidR="00BC0FE4">
        <w:rPr>
          <w:lang w:val="fr-FR"/>
        </w:rPr>
        <w:t xml:space="preserve"> (ST/SG/AC.10/C.3/80, par. 29 et document informel INF.12 de la quarantième session; ST/SG/AC.10/C.3/82, par.121 et document informel INF.18 de la quarante-et-unième session; ST/SG/AC.10/C.3/84, par.50; ST/SG/AC.10/C.3/2012/76; documents informels INF.3, INF.55, INF.61 et INF.61/Rev.1 de la </w:t>
      </w:r>
      <w:proofErr w:type="spellStart"/>
      <w:r w:rsidR="00BC0FE4">
        <w:rPr>
          <w:lang w:val="fr-FR"/>
        </w:rPr>
        <w:t>quarante-deuzième</w:t>
      </w:r>
      <w:proofErr w:type="spellEnd"/>
      <w:r w:rsidR="00BC0FE4">
        <w:rPr>
          <w:lang w:val="fr-FR"/>
        </w:rPr>
        <w:t xml:space="preserve"> session)</w:t>
      </w:r>
      <w:r w:rsidR="005045C0">
        <w:rPr>
          <w:lang w:val="fr-FR"/>
        </w:rPr>
        <w:t>.</w:t>
      </w:r>
    </w:p>
    <w:p w:rsidR="005045C0" w:rsidRDefault="005045C0" w:rsidP="005045C0">
      <w:pPr>
        <w:pStyle w:val="HChG"/>
        <w:rPr>
          <w:lang w:val="fr-FR"/>
        </w:rPr>
      </w:pPr>
      <w:r>
        <w:rPr>
          <w:lang w:val="fr-FR"/>
        </w:rPr>
        <w:lastRenderedPageBreak/>
        <w:tab/>
        <w:t>VII.</w:t>
      </w:r>
      <w:r>
        <w:rPr>
          <w:lang w:val="fr-FR"/>
        </w:rPr>
        <w:tab/>
        <w:t>Rapports des groupes de travail informels</w:t>
      </w:r>
      <w:r w:rsidRPr="001F7089">
        <w:rPr>
          <w:lang w:val="fr-FR"/>
        </w:rPr>
        <w:t xml:space="preserve"> </w:t>
      </w:r>
      <w:r>
        <w:rPr>
          <w:lang w:val="fr-FR"/>
        </w:rPr>
        <w:t>(point 6</w:t>
      </w:r>
      <w:r w:rsidRPr="00C35A40">
        <w:rPr>
          <w:lang w:val="fr-FR"/>
        </w:rPr>
        <w:t xml:space="preserve"> de l’ordre du jour)</w:t>
      </w:r>
    </w:p>
    <w:p w:rsidR="005045C0" w:rsidRDefault="005045C0" w:rsidP="005045C0">
      <w:pPr>
        <w:pStyle w:val="H1G"/>
      </w:pPr>
      <w:r>
        <w:tab/>
        <w:t>A.</w:t>
      </w:r>
      <w:r>
        <w:tab/>
        <w:t>Discussions sur l’admission des récipients agréés par le Département des transports des Etats-Unis d’Amérique</w:t>
      </w:r>
    </w:p>
    <w:p w:rsidR="005045C0" w:rsidRDefault="005045C0" w:rsidP="005045C0">
      <w:pPr>
        <w:pStyle w:val="SingleTxtG"/>
        <w:tabs>
          <w:tab w:val="left" w:pos="3100"/>
        </w:tabs>
        <w:rPr>
          <w:lang w:val="fr-FR"/>
        </w:rPr>
      </w:pPr>
      <w:r w:rsidRPr="00EA4A82">
        <w:rPr>
          <w:i/>
          <w:lang w:val="fr-FR"/>
        </w:rPr>
        <w:t>Document</w:t>
      </w:r>
      <w:r w:rsidRPr="00E30AEE">
        <w:rPr>
          <w:i/>
          <w:lang w:val="fr-FR"/>
        </w:rPr>
        <w:t>:</w:t>
      </w:r>
      <w:r>
        <w:rPr>
          <w:lang w:val="fr-FR"/>
        </w:rPr>
        <w:tab/>
        <w:t>ECE/TRANS/WP.15/AC.1/2016/30 (EIGA)</w:t>
      </w:r>
    </w:p>
    <w:p w:rsidR="005045C0" w:rsidRPr="00046DFF" w:rsidRDefault="00D43327" w:rsidP="005045C0">
      <w:pPr>
        <w:pStyle w:val="SingleTxtG"/>
      </w:pPr>
      <w:r>
        <w:t>4</w:t>
      </w:r>
      <w:r w:rsidR="005045C0">
        <w:t>9.</w:t>
      </w:r>
      <w:r w:rsidR="005045C0">
        <w:tab/>
        <w:t xml:space="preserve">La Réunion commune a noté avec satisfaction les progrès des négociations menées par l’EIGA et la Compressed </w:t>
      </w:r>
      <w:proofErr w:type="spellStart"/>
      <w:r w:rsidR="005045C0">
        <w:t>Gas</w:t>
      </w:r>
      <w:proofErr w:type="spellEnd"/>
      <w:r w:rsidR="005045C0">
        <w:t xml:space="preserve"> Association pour permettre, </w:t>
      </w:r>
      <w:r w:rsidR="00BC0FE4">
        <w:t xml:space="preserve">de préférence </w:t>
      </w:r>
      <w:r w:rsidR="005045C0">
        <w:t>à l’horizon 2019, l’acceptation par les autorités américaines des récipients à pression RID/ADR en réciprocité de l’acceptation par les autorités européennes des récipients DOT dans les conditions prévues dans l’accord multilatéral M299. Si ces démarches aboutissaient, une modification du RID/ADR pour incorporer les conditions de l’accord M299 pourrait être envisagée.</w:t>
      </w:r>
    </w:p>
    <w:p w:rsidR="005045C0" w:rsidRDefault="005045C0" w:rsidP="005045C0">
      <w:pPr>
        <w:pStyle w:val="H1G"/>
      </w:pPr>
      <w:r>
        <w:tab/>
        <w:t>B.</w:t>
      </w:r>
      <w:r>
        <w:tab/>
        <w:t>Groupe de travail informel sur le transport des équipements électriques et électroniques mis au rebut contenant des piles au lithium</w:t>
      </w:r>
    </w:p>
    <w:p w:rsidR="005045C0" w:rsidRDefault="005045C0" w:rsidP="005045C0">
      <w:pPr>
        <w:pStyle w:val="SingleTxtG"/>
        <w:tabs>
          <w:tab w:val="left" w:pos="3100"/>
        </w:tabs>
        <w:rPr>
          <w:lang w:val="fr-FR"/>
        </w:rPr>
      </w:pPr>
      <w:r w:rsidRPr="00EA4A82">
        <w:rPr>
          <w:i/>
          <w:lang w:val="fr-FR"/>
        </w:rPr>
        <w:t>Document</w:t>
      </w:r>
      <w:r w:rsidRPr="00E30AEE">
        <w:rPr>
          <w:i/>
          <w:lang w:val="fr-FR"/>
        </w:rPr>
        <w:t>:</w:t>
      </w:r>
      <w:r>
        <w:rPr>
          <w:lang w:val="fr-FR"/>
        </w:rPr>
        <w:tab/>
        <w:t>ECE/TRANS/WP.15/AC.1/2016/19 (Allemagne)</w:t>
      </w:r>
    </w:p>
    <w:p w:rsidR="005045C0" w:rsidRDefault="005045C0" w:rsidP="005045C0">
      <w:pPr>
        <w:pStyle w:val="SingleTxtG"/>
        <w:tabs>
          <w:tab w:val="left" w:pos="3100"/>
        </w:tabs>
        <w:spacing w:after="0"/>
        <w:rPr>
          <w:lang w:val="fr-FR"/>
        </w:rPr>
      </w:pPr>
      <w:r w:rsidRPr="00EA4A82">
        <w:rPr>
          <w:i/>
          <w:lang w:val="fr-FR"/>
        </w:rPr>
        <w:t>Document</w:t>
      </w:r>
      <w:r>
        <w:rPr>
          <w:i/>
          <w:lang w:val="fr-FR"/>
        </w:rPr>
        <w:t>s informels</w:t>
      </w:r>
      <w:r w:rsidRPr="00E30AEE">
        <w:rPr>
          <w:i/>
          <w:lang w:val="fr-FR"/>
        </w:rPr>
        <w:t>:</w:t>
      </w:r>
      <w:r>
        <w:rPr>
          <w:lang w:val="fr-FR"/>
        </w:rPr>
        <w:tab/>
        <w:t>INF.3 (Allemagne)</w:t>
      </w:r>
    </w:p>
    <w:p w:rsidR="005045C0" w:rsidRDefault="005045C0" w:rsidP="005045C0">
      <w:pPr>
        <w:pStyle w:val="SingleTxtG"/>
        <w:tabs>
          <w:tab w:val="left" w:pos="3100"/>
        </w:tabs>
        <w:rPr>
          <w:lang w:val="fr-FR"/>
        </w:rPr>
      </w:pPr>
      <w:r>
        <w:rPr>
          <w:i/>
          <w:lang w:val="fr-FR"/>
        </w:rPr>
        <w:tab/>
      </w:r>
      <w:r w:rsidRPr="00DE1BB0">
        <w:rPr>
          <w:lang w:val="fr-FR"/>
        </w:rPr>
        <w:t>INF.</w:t>
      </w:r>
      <w:r>
        <w:rPr>
          <w:lang w:val="fr-FR"/>
        </w:rPr>
        <w:t>13 (RECHARGE)</w:t>
      </w:r>
    </w:p>
    <w:p w:rsidR="005045C0" w:rsidRDefault="00D43327" w:rsidP="005045C0">
      <w:pPr>
        <w:pStyle w:val="SingleTxtG"/>
        <w:rPr>
          <w:lang w:val="fr-FR"/>
        </w:rPr>
      </w:pPr>
      <w:r>
        <w:rPr>
          <w:lang w:val="fr-FR"/>
        </w:rPr>
        <w:t>5</w:t>
      </w:r>
      <w:r w:rsidR="005045C0" w:rsidRPr="00DE1BB0">
        <w:rPr>
          <w:lang w:val="fr-FR"/>
        </w:rPr>
        <w:t>0</w:t>
      </w:r>
      <w:r w:rsidR="005045C0">
        <w:rPr>
          <w:i/>
          <w:lang w:val="fr-FR"/>
        </w:rPr>
        <w:t>.</w:t>
      </w:r>
      <w:r w:rsidR="005045C0">
        <w:rPr>
          <w:lang w:val="fr-FR"/>
        </w:rPr>
        <w:tab/>
        <w:t>La Réunion commune a adopté les propositions du groupe de travail informel présentées dans le document -/2016/19 telles que modifiées par le document informel INF.13, sous réserve de corrections éditoriales à la version anglaise qui devront être apportées par le secrétariat de la CEE-ONU. Les secrétariats de la CEE-ONU et de l’OTIF ont également été priés de vérifier soigneusement les traductions française et allemande, certains textes en vigueur ayant été modifiés en cours de traduction alors qu’ils n’étaient pas sujets à amendement.</w:t>
      </w:r>
    </w:p>
    <w:p w:rsidR="005045C0" w:rsidRDefault="00D43327" w:rsidP="00D43327">
      <w:pPr>
        <w:pStyle w:val="SingleTxtG"/>
      </w:pPr>
      <w:r>
        <w:t>51</w:t>
      </w:r>
      <w:r w:rsidR="005045C0">
        <w:t>.</w:t>
      </w:r>
      <w:r w:rsidR="005045C0">
        <w:tab/>
      </w:r>
      <w:r w:rsidR="00D525B8">
        <w:t>Le représentant de l’Allemagne a dit qu’il avait l’intention d’initier un accord multilatéral dès que les textes vérifiés par les secrétariats seront disponibles.</w:t>
      </w:r>
    </w:p>
    <w:p w:rsidR="00754E53" w:rsidRDefault="00754E53" w:rsidP="00754E53">
      <w:pPr>
        <w:pStyle w:val="H1G"/>
      </w:pPr>
      <w:r>
        <w:tab/>
        <w:t>C.</w:t>
      </w:r>
      <w:r>
        <w:tab/>
        <w:t>Septième atelier de l’Agence ferroviaire européenne de l’Union européenne (ERA) sur la feuille de route relative au management de risque dans le contexte du transport des marchandises dangereuses par route, chemin de fer et voies de navigation intérieures (Valenciennes, 14-16 juin 2016)</w:t>
      </w:r>
    </w:p>
    <w:p w:rsidR="00754E53" w:rsidRDefault="00754E53" w:rsidP="00754E53">
      <w:pPr>
        <w:pStyle w:val="SingleTxtG"/>
        <w:tabs>
          <w:tab w:val="left" w:pos="3100"/>
        </w:tabs>
        <w:rPr>
          <w:lang w:val="fr-FR"/>
        </w:rPr>
      </w:pPr>
      <w:r w:rsidRPr="00EA4A82">
        <w:rPr>
          <w:i/>
          <w:lang w:val="fr-FR"/>
        </w:rPr>
        <w:t>Document</w:t>
      </w:r>
      <w:r>
        <w:rPr>
          <w:i/>
          <w:lang w:val="fr-FR"/>
        </w:rPr>
        <w:t xml:space="preserve"> informel</w:t>
      </w:r>
      <w:r w:rsidRPr="00E30AEE">
        <w:rPr>
          <w:i/>
          <w:lang w:val="fr-FR"/>
        </w:rPr>
        <w:t>:</w:t>
      </w:r>
      <w:r>
        <w:rPr>
          <w:lang w:val="fr-FR"/>
        </w:rPr>
        <w:tab/>
        <w:t>INF.14 (ERA)</w:t>
      </w:r>
    </w:p>
    <w:p w:rsidR="005045C0" w:rsidRDefault="005045C0" w:rsidP="00D43327">
      <w:pPr>
        <w:pStyle w:val="SingleTxtG"/>
      </w:pPr>
      <w:r>
        <w:t>52.</w:t>
      </w:r>
      <w:r>
        <w:tab/>
      </w:r>
      <w:r w:rsidR="00D525B8">
        <w:t xml:space="preserve">La Réunion commune a pris note des résultats des travaux de l’atelier et s’en est félicitée. Le représentant de l’ERA a fourni des explications détaillées sur les activités et résultats de chacun des groupes A, B et C établis dans ce cadre (A : identification des paramètres utilisés dans les bases de données existantes, rédaction de paramètres d’accidents, et catégorisation des paramètres pertinents; B: approche harmonisée pour l’estimation des risques; C: approche harmonisée pour la prise de décision). </w:t>
      </w:r>
    </w:p>
    <w:p w:rsidR="00D525B8" w:rsidRDefault="00D525B8" w:rsidP="00D43327">
      <w:pPr>
        <w:pStyle w:val="SingleTxtG"/>
      </w:pPr>
      <w:r>
        <w:t>53.</w:t>
      </w:r>
      <w:r>
        <w:tab/>
        <w:t xml:space="preserve">En premier lieu, il a été relevé que la Réunion commune aurait à examiner les résultats de l’atelier en rapport avec les données. A titre de clarification, le représentant de l’ERA a expliqué que les résultats dans leur ensemble étaient destinés à être utilisés par </w:t>
      </w:r>
      <w:r>
        <w:lastRenderedPageBreak/>
        <w:t>toute partie intéressée par l’évaluation de risque et la prise de décision dans une large gamme de domaines d’application, y compris le chapitre 1.9 du RID/ADR/ADN. Cependant il a confirmé que l’intention n’était pas</w:t>
      </w:r>
      <w:r w:rsidR="00E57616">
        <w:t xml:space="preserve"> de demander à la Réuni</w:t>
      </w:r>
      <w:r>
        <w:t>on commune de mettre en œuvre cette approche de manière systématique.</w:t>
      </w:r>
    </w:p>
    <w:p w:rsidR="005045C0" w:rsidRDefault="00D43327" w:rsidP="005045C0">
      <w:pPr>
        <w:pStyle w:val="SingleTxtG"/>
      </w:pPr>
      <w:r>
        <w:t>5</w:t>
      </w:r>
      <w:r w:rsidR="00D525B8">
        <w:t>4</w:t>
      </w:r>
      <w:r w:rsidR="005045C0">
        <w:t>.</w:t>
      </w:r>
      <w:r w:rsidR="005045C0">
        <w:tab/>
        <w:t>La Réunion commune a noté que les délégués peuvent avoir accès à la documentation disponible sur l’extranet de l’ERA en demandant un mot de passe au représentant de l’ERA. Ils sont invités à participer à la huitième session qui se tiendra à Valenciennes du 11 au 13 octobre 2016. Ceux qui ne peuvent pas participer physiquement peuvent transmettre leurs commentaires sur la documentation disponible sur le site extranet de l’ERA ou soumettre leurs propres documents en contactant le représentant de l’ERA.</w:t>
      </w:r>
    </w:p>
    <w:p w:rsidR="005045C0" w:rsidRDefault="005045C0" w:rsidP="005045C0">
      <w:pPr>
        <w:pStyle w:val="HChG"/>
        <w:keepNext w:val="0"/>
        <w:keepLines w:val="0"/>
        <w:rPr>
          <w:lang w:val="fr-FR"/>
        </w:rPr>
      </w:pPr>
      <w:r>
        <w:rPr>
          <w:lang w:val="fr-FR"/>
        </w:rPr>
        <w:tab/>
        <w:t>VIII.</w:t>
      </w:r>
      <w:r>
        <w:rPr>
          <w:lang w:val="fr-FR"/>
        </w:rPr>
        <w:tab/>
        <w:t xml:space="preserve">Election du bureau pour 2017 (point 7 de l’ordre du jour) </w:t>
      </w:r>
    </w:p>
    <w:p w:rsidR="005045C0" w:rsidRPr="009C331C" w:rsidRDefault="005045C0" w:rsidP="005045C0">
      <w:pPr>
        <w:pStyle w:val="SingleTxtG"/>
        <w:rPr>
          <w:lang w:val="fr-FR"/>
        </w:rPr>
      </w:pPr>
      <w:r>
        <w:rPr>
          <w:lang w:val="fr-FR"/>
        </w:rPr>
        <w:t>5</w:t>
      </w:r>
      <w:r w:rsidR="00E57616">
        <w:rPr>
          <w:lang w:val="fr-FR"/>
        </w:rPr>
        <w:t>5</w:t>
      </w:r>
      <w:r>
        <w:rPr>
          <w:lang w:val="fr-FR"/>
        </w:rPr>
        <w:t>.</w:t>
      </w:r>
      <w:r>
        <w:rPr>
          <w:lang w:val="fr-FR"/>
        </w:rPr>
        <w:tab/>
        <w:t xml:space="preserve">Sur proposition du représentant de la Belgique, M. C. </w:t>
      </w:r>
      <w:proofErr w:type="spellStart"/>
      <w:r>
        <w:rPr>
          <w:lang w:val="fr-FR"/>
        </w:rPr>
        <w:t>Pfauvadel</w:t>
      </w:r>
      <w:proofErr w:type="spellEnd"/>
      <w:r>
        <w:rPr>
          <w:lang w:val="fr-FR"/>
        </w:rPr>
        <w:t xml:space="preserve"> (France) et M. H. Rein (Allemagne) ont été </w:t>
      </w:r>
      <w:proofErr w:type="spellStart"/>
      <w:r>
        <w:rPr>
          <w:lang w:val="fr-FR"/>
        </w:rPr>
        <w:t>ré-élus</w:t>
      </w:r>
      <w:proofErr w:type="spellEnd"/>
      <w:r>
        <w:rPr>
          <w:lang w:val="fr-FR"/>
        </w:rPr>
        <w:t xml:space="preserve"> respectivement président et vice-président de la Réunion commune pour 2017.</w:t>
      </w:r>
    </w:p>
    <w:p w:rsidR="005045C0" w:rsidRDefault="005045C0" w:rsidP="005045C0">
      <w:pPr>
        <w:pStyle w:val="HChG"/>
        <w:keepNext w:val="0"/>
        <w:keepLines w:val="0"/>
        <w:rPr>
          <w:lang w:val="fr-FR"/>
        </w:rPr>
      </w:pPr>
      <w:r>
        <w:rPr>
          <w:lang w:val="fr-FR"/>
        </w:rPr>
        <w:tab/>
        <w:t>IX.</w:t>
      </w:r>
      <w:r>
        <w:rPr>
          <w:lang w:val="fr-FR"/>
        </w:rPr>
        <w:tab/>
        <w:t>Travaux futurs (point 8 de l’ordre du jour)</w:t>
      </w:r>
    </w:p>
    <w:p w:rsidR="005045C0" w:rsidRDefault="00E57616" w:rsidP="005045C0">
      <w:pPr>
        <w:pStyle w:val="SingleTxtG"/>
        <w:rPr>
          <w:lang w:val="fr-FR"/>
        </w:rPr>
      </w:pPr>
      <w:r>
        <w:rPr>
          <w:lang w:val="fr-FR"/>
        </w:rPr>
        <w:t>56</w:t>
      </w:r>
      <w:r w:rsidR="005045C0">
        <w:rPr>
          <w:lang w:val="fr-FR"/>
        </w:rPr>
        <w:t>.</w:t>
      </w:r>
      <w:r w:rsidR="005045C0">
        <w:rPr>
          <w:lang w:val="fr-FR"/>
        </w:rPr>
        <w:tab/>
        <w:t>La prochaine session aura lieu à Berne du 13 au 17 mars 2017 et la date butoir pour la soumission des documents est le 16 décembre 2016.</w:t>
      </w:r>
    </w:p>
    <w:p w:rsidR="005045C0" w:rsidRPr="0080235F" w:rsidRDefault="005045C0" w:rsidP="005045C0">
      <w:pPr>
        <w:pStyle w:val="HChG"/>
        <w:rPr>
          <w:lang w:val="fr-FR"/>
        </w:rPr>
      </w:pPr>
      <w:r w:rsidRPr="0080235F">
        <w:rPr>
          <w:lang w:val="fr-FR"/>
        </w:rPr>
        <w:tab/>
      </w:r>
      <w:r>
        <w:rPr>
          <w:lang w:val="fr-FR"/>
        </w:rPr>
        <w:t>X</w:t>
      </w:r>
      <w:r w:rsidRPr="0080235F">
        <w:rPr>
          <w:lang w:val="fr-FR"/>
        </w:rPr>
        <w:t>.</w:t>
      </w:r>
      <w:r w:rsidRPr="0080235F">
        <w:rPr>
          <w:lang w:val="fr-FR"/>
        </w:rPr>
        <w:tab/>
      </w:r>
      <w:r>
        <w:rPr>
          <w:lang w:val="fr-FR"/>
        </w:rPr>
        <w:t>Questions diverses</w:t>
      </w:r>
      <w:r w:rsidRPr="0080235F">
        <w:rPr>
          <w:lang w:val="fr-FR"/>
        </w:rPr>
        <w:t xml:space="preserve"> (point </w:t>
      </w:r>
      <w:r>
        <w:rPr>
          <w:lang w:val="fr-FR"/>
        </w:rPr>
        <w:t>9</w:t>
      </w:r>
      <w:r w:rsidRPr="0080235F">
        <w:rPr>
          <w:lang w:val="fr-FR"/>
        </w:rPr>
        <w:t xml:space="preserve"> de l’ordre du jour)</w:t>
      </w:r>
    </w:p>
    <w:p w:rsidR="005045C0" w:rsidRPr="0080235F" w:rsidRDefault="005045C0" w:rsidP="005045C0">
      <w:pPr>
        <w:pStyle w:val="H1G"/>
      </w:pPr>
      <w:r w:rsidRPr="0080235F">
        <w:tab/>
        <w:t>A.</w:t>
      </w:r>
      <w:r w:rsidRPr="0080235F">
        <w:tab/>
      </w:r>
      <w:r>
        <w:t>Demande de statut consultatif</w:t>
      </w:r>
    </w:p>
    <w:p w:rsidR="005045C0" w:rsidRDefault="005045C0" w:rsidP="005045C0">
      <w:pPr>
        <w:pStyle w:val="SingleTxtG"/>
        <w:tabs>
          <w:tab w:val="left" w:pos="3100"/>
        </w:tabs>
        <w:rPr>
          <w:lang w:val="fr-FR"/>
        </w:rPr>
      </w:pPr>
      <w:r w:rsidRPr="00EA4A82">
        <w:rPr>
          <w:i/>
          <w:lang w:val="fr-FR"/>
        </w:rPr>
        <w:t>Document</w:t>
      </w:r>
      <w:r>
        <w:rPr>
          <w:i/>
          <w:lang w:val="fr-FR"/>
        </w:rPr>
        <w:t xml:space="preserve"> informel</w:t>
      </w:r>
      <w:r w:rsidRPr="00E30AEE">
        <w:rPr>
          <w:i/>
          <w:lang w:val="fr-FR"/>
        </w:rPr>
        <w:t>:</w:t>
      </w:r>
      <w:r>
        <w:rPr>
          <w:lang w:val="fr-FR"/>
        </w:rPr>
        <w:tab/>
        <w:t>INF.5 (Secrétariat)</w:t>
      </w:r>
    </w:p>
    <w:p w:rsidR="005045C0" w:rsidRDefault="00D43327" w:rsidP="005045C0">
      <w:pPr>
        <w:pStyle w:val="SingleTxtG"/>
      </w:pPr>
      <w:r>
        <w:t>5</w:t>
      </w:r>
      <w:r w:rsidR="00E57616">
        <w:t>7</w:t>
      </w:r>
      <w:r w:rsidR="005045C0">
        <w:t>.</w:t>
      </w:r>
      <w:r w:rsidR="005045C0">
        <w:tab/>
        <w:t xml:space="preserve">La Réunion commune a examiné avec intérêt la demande de statut consultatif de COSTHA. Plusieurs délégations ont demandé à la représentante de COSTHA de fournir des informations complémentaires notamment afin de justifier que l’organisation répond bien aux différents </w:t>
      </w:r>
      <w:r w:rsidR="005045C0">
        <w:rPr>
          <w:color w:val="000000"/>
          <w:szCs w:val="22"/>
          <w:lang w:val="fr-FR" w:eastAsia="fr-FR"/>
        </w:rPr>
        <w:t>principes énoncés dans les parties I et II de la résolution 1996/31 du Conseil économique et social, conformément à l’article 1, paragraphe d) du Règlement intérieur de la Réunion commune</w:t>
      </w:r>
      <w:r w:rsidR="005045C0">
        <w:t>. Elles estimaient notamment qu’en rapport avec le paragraphe 12 de ladite résolution, COSTHA devrait expliquer les mécanismes mis en place pour répondre de son action devant ses membres, et la façon dont les membres exercent leur autorité pour déterminer la position de l’organisation.</w:t>
      </w:r>
    </w:p>
    <w:p w:rsidR="005045C0" w:rsidRPr="00C14BD1" w:rsidRDefault="00D43327" w:rsidP="005045C0">
      <w:pPr>
        <w:pStyle w:val="SingleTxtG"/>
      </w:pPr>
      <w:r>
        <w:t>5</w:t>
      </w:r>
      <w:r w:rsidR="00E57616">
        <w:t>8</w:t>
      </w:r>
      <w:r w:rsidR="005045C0">
        <w:t>.</w:t>
      </w:r>
      <w:r w:rsidR="005045C0">
        <w:tab/>
        <w:t xml:space="preserve">Suite à ces discussions, où par ailleurs plusieurs délégations ont exprimé leur sympathie pour la candidature de COSTHA, la représentante de COSTHA a été priée de formuler une nouvelle demande avec les justifications appropriées. Le secrétariat a été prié de soumettre la demande sous forme de document officiel, et les informations annexes sous une forme appropriée. </w:t>
      </w:r>
    </w:p>
    <w:p w:rsidR="005045C0" w:rsidRDefault="005045C0" w:rsidP="005045C0">
      <w:pPr>
        <w:pStyle w:val="H1G"/>
      </w:pPr>
      <w:r>
        <w:tab/>
        <w:t>B.</w:t>
      </w:r>
      <w:r>
        <w:tab/>
        <w:t>Création d’un groupe de travail informel pour traiter des modifications éditoriales des règlements</w:t>
      </w:r>
    </w:p>
    <w:p w:rsidR="005045C0" w:rsidRDefault="005045C0" w:rsidP="005045C0">
      <w:pPr>
        <w:pStyle w:val="SingleTxtG"/>
        <w:tabs>
          <w:tab w:val="left" w:pos="3100"/>
        </w:tabs>
        <w:rPr>
          <w:lang w:val="fr-FR"/>
        </w:rPr>
      </w:pPr>
      <w:r w:rsidRPr="00EA4A82">
        <w:rPr>
          <w:i/>
          <w:lang w:val="fr-FR"/>
        </w:rPr>
        <w:t>Document</w:t>
      </w:r>
      <w:r w:rsidRPr="00E30AEE">
        <w:rPr>
          <w:i/>
          <w:lang w:val="fr-FR"/>
        </w:rPr>
        <w:t>:</w:t>
      </w:r>
      <w:r>
        <w:rPr>
          <w:lang w:val="fr-FR"/>
        </w:rPr>
        <w:tab/>
        <w:t>ECE/TRANS/WP.15/AC.1/2016/35 (Royaume-Uni)</w:t>
      </w:r>
    </w:p>
    <w:p w:rsidR="005045C0" w:rsidRDefault="00D43327" w:rsidP="005045C0">
      <w:pPr>
        <w:pStyle w:val="SingleTxtG"/>
        <w:rPr>
          <w:lang w:val="fr-FR"/>
        </w:rPr>
      </w:pPr>
      <w:r>
        <w:rPr>
          <w:lang w:val="fr-FR"/>
        </w:rPr>
        <w:t>5</w:t>
      </w:r>
      <w:r w:rsidR="00E57616">
        <w:rPr>
          <w:lang w:val="fr-FR"/>
        </w:rPr>
        <w:t>9</w:t>
      </w:r>
      <w:r w:rsidR="005045C0">
        <w:rPr>
          <w:lang w:val="fr-FR"/>
        </w:rPr>
        <w:t>.</w:t>
      </w:r>
      <w:r w:rsidR="005045C0">
        <w:rPr>
          <w:lang w:val="fr-FR"/>
        </w:rPr>
        <w:tab/>
        <w:t xml:space="preserve">La plupart des délégations étaient favorables à l’idée d’améliorer la qualité éditoriale de la réglementation mais estimaient que l’ampleur et la complexité de la tâche étaient </w:t>
      </w:r>
      <w:r w:rsidR="005045C0">
        <w:rPr>
          <w:lang w:val="fr-FR"/>
        </w:rPr>
        <w:lastRenderedPageBreak/>
        <w:t>sous-estimées dans cette proposition. L’expérience de la restructuration du RID/ADR, du groupe informel sur l’amélioration éditoriale des différentes versions linguistiques des définitions menées par la Roumanie, et tout simplement la discussion de certaines propositions à chaque session avaient démontré que les débats sur des questions apparemment éditoriales aboutissaient fréquemment à des débats sur le fond ou sur l’interprétation des textes en vigueur. Si ce groupe travaillait en anglais, il convenait de se rappeler que du point de vue juridique, pour l’ADR et l’ADN, uniquement la version française fait foi. Les propositions du groupe devraient donc faire l’objet de discussions durant les sessions régulières avec interprétation car elles auraient des répercussions sur les textes français, allemand et russe. Il ne paraissait donc pas évident que les travaux de ce groupe entraineraient des économies en termes de temps de réunion. Il a</w:t>
      </w:r>
      <w:r w:rsidR="00E57616">
        <w:rPr>
          <w:lang w:val="fr-FR"/>
        </w:rPr>
        <w:t xml:space="preserve"> été suggéré qu’au contraire </w:t>
      </w:r>
      <w:r w:rsidR="005045C0">
        <w:rPr>
          <w:lang w:val="fr-FR"/>
        </w:rPr>
        <w:t>ils seraient susceptibles d’augmenter la charge de travail. Par ailleurs un groupe informel ne bénéficierait pas des services du secrétariat, et une demande de création d’un nouveau groupe de travail officiel à des fins uniquement éditoriales avait peu de chances d’être acceptée. Une bonne partie des textes du RID/ADR/ADN provenait directement du Règlement type de l’ONU, et il n’était pas évident que des modifications éditoriales apportées par la Réunion commune dans le processus d’harmonisation et portées à l’attention du Sous-Comité d’experts de l’ONU soient acceptées pour le Règlement type, ce qui entrainerait un gros risque de divergences éditoriales entre règlements modaux, et même si elles étaient acceptées un travail supplémentaire considérable pour les autres organisations modales et tous les gouvernements qui s’inspirent directement du Règlement type.</w:t>
      </w:r>
    </w:p>
    <w:p w:rsidR="005045C0" w:rsidRDefault="00E57616" w:rsidP="005045C0">
      <w:pPr>
        <w:pStyle w:val="SingleTxtG"/>
        <w:rPr>
          <w:lang w:val="fr-FR"/>
        </w:rPr>
      </w:pPr>
      <w:r>
        <w:rPr>
          <w:lang w:val="fr-FR"/>
        </w:rPr>
        <w:t>60</w:t>
      </w:r>
      <w:r w:rsidR="005045C0">
        <w:rPr>
          <w:lang w:val="fr-FR"/>
        </w:rPr>
        <w:t>.</w:t>
      </w:r>
      <w:r w:rsidR="005045C0">
        <w:rPr>
          <w:lang w:val="fr-FR"/>
        </w:rPr>
        <w:tab/>
        <w:t xml:space="preserve">Enfin, plusieurs délégations ont indiqué que malgré leur intérêt pour la question, ils ne pourraient pas participer aux travaux de groupes </w:t>
      </w:r>
      <w:proofErr w:type="spellStart"/>
      <w:r w:rsidR="005045C0">
        <w:rPr>
          <w:lang w:val="fr-FR"/>
        </w:rPr>
        <w:t>intersessionnels</w:t>
      </w:r>
      <w:proofErr w:type="spellEnd"/>
      <w:r w:rsidR="005045C0">
        <w:rPr>
          <w:lang w:val="fr-FR"/>
        </w:rPr>
        <w:t>. Il a été suggéré que des travaux sur les questions éditoriales pourraient être envisagés aux pauses déjeuner, en soirée, ou en fin de sessions.</w:t>
      </w:r>
    </w:p>
    <w:p w:rsidR="005045C0" w:rsidRDefault="00D43327" w:rsidP="005045C0">
      <w:pPr>
        <w:pStyle w:val="SingleTxtG"/>
        <w:rPr>
          <w:lang w:val="fr-FR"/>
        </w:rPr>
      </w:pPr>
      <w:r>
        <w:rPr>
          <w:lang w:val="fr-FR"/>
        </w:rPr>
        <w:t>6</w:t>
      </w:r>
      <w:r w:rsidR="00E57616">
        <w:rPr>
          <w:lang w:val="fr-FR"/>
        </w:rPr>
        <w:t>1</w:t>
      </w:r>
      <w:r w:rsidR="005045C0">
        <w:rPr>
          <w:lang w:val="fr-FR"/>
        </w:rPr>
        <w:t>.</w:t>
      </w:r>
      <w:r w:rsidR="005045C0">
        <w:rPr>
          <w:lang w:val="fr-FR"/>
        </w:rPr>
        <w:tab/>
        <w:t>Le représentant du Royaume-Uni a conclu que la Réunion commune n’avait pas exprimé un grand intérêt pour l’établissement d’un tel groupe informel et qu’il réfléchirait à des solutions alternatives à la lumière des débats.</w:t>
      </w:r>
    </w:p>
    <w:p w:rsidR="00591E1F" w:rsidRPr="00086D20" w:rsidRDefault="00591E1F" w:rsidP="00591E1F">
      <w:pPr>
        <w:pStyle w:val="H1G"/>
      </w:pPr>
      <w:r>
        <w:tab/>
        <w:t>C.</w:t>
      </w:r>
      <w:r>
        <w:tab/>
        <w:t>Ho</w:t>
      </w:r>
      <w:r w:rsidR="00A76414">
        <w:t>mmage à M.</w:t>
      </w:r>
      <w:r>
        <w:t xml:space="preserve"> Thomsen</w:t>
      </w:r>
    </w:p>
    <w:p w:rsidR="00591E1F" w:rsidRDefault="00591E1F" w:rsidP="00591E1F">
      <w:pPr>
        <w:pStyle w:val="SingleTxtG"/>
      </w:pPr>
      <w:r>
        <w:t>6</w:t>
      </w:r>
      <w:r w:rsidR="00E57616">
        <w:t>2</w:t>
      </w:r>
      <w:r>
        <w:t>.</w:t>
      </w:r>
      <w:r>
        <w:tab/>
        <w:t>La Réunion commune a été informée que M. Thomsen (Danemark) participait pour la dernière fois à une de ses sessions car il allait prochainement partir à la retraite. La Réunion commune a remercié M. Thomsen pour avoir contribué de longues années durant à la sécurité du transport des marchandises dangereuses et lui a souhaité une longue et heureuse retraite.</w:t>
      </w:r>
    </w:p>
    <w:p w:rsidR="00591E1F" w:rsidRPr="00086D20" w:rsidRDefault="00591E1F" w:rsidP="00591E1F">
      <w:pPr>
        <w:pStyle w:val="H1G"/>
      </w:pPr>
      <w:r>
        <w:tab/>
        <w:t>D.</w:t>
      </w:r>
      <w:r>
        <w:tab/>
        <w:t>Impact global et régional des règlements de la CEE-ONU et des Recommandations de l’ONU relatifs au transport des marchandises dangereuses</w:t>
      </w:r>
    </w:p>
    <w:p w:rsidR="00591E1F" w:rsidRDefault="00591E1F" w:rsidP="00591E1F">
      <w:pPr>
        <w:pStyle w:val="SingleTxtG"/>
      </w:pPr>
      <w:r>
        <w:t>6</w:t>
      </w:r>
      <w:r w:rsidR="00E57616">
        <w:t>3</w:t>
      </w:r>
      <w:r>
        <w:t>.</w:t>
      </w:r>
      <w:r>
        <w:tab/>
        <w:t xml:space="preserve">La Réunion commune a été informée que l’analyse des résultats du questionnaire qui avait été transmis à toutes les délégations l’année précédente était désormais disponible sur le site de la CEE-ONU à l’adresse </w:t>
      </w:r>
      <w:hyperlink r:id="rId10" w:history="1">
        <w:r w:rsidRPr="00A51A0C">
          <w:rPr>
            <w:rStyle w:val="Hyperlink"/>
          </w:rPr>
          <w:t>www.unece.org/info/open-unece/evaluation.html</w:t>
        </w:r>
      </w:hyperlink>
      <w:r>
        <w:t>, avec le rapport d’évaluation préparé par un consultant et les commentaires du secrétariat sur ce rapport.</w:t>
      </w:r>
    </w:p>
    <w:p w:rsidR="00591E1F" w:rsidRPr="00086D20" w:rsidRDefault="00591E1F" w:rsidP="00591E1F">
      <w:pPr>
        <w:pStyle w:val="H1G"/>
      </w:pPr>
      <w:r>
        <w:lastRenderedPageBreak/>
        <w:tab/>
        <w:t>E.</w:t>
      </w:r>
      <w:r>
        <w:tab/>
        <w:t>Soixante-dixième anniversaire du Comité des transports intérieurs de la CEE-ONU</w:t>
      </w:r>
    </w:p>
    <w:p w:rsidR="00591E1F" w:rsidRDefault="00591E1F" w:rsidP="00591E1F">
      <w:pPr>
        <w:pStyle w:val="SingleTxtG"/>
        <w:rPr>
          <w:lang w:val="fr-FR"/>
        </w:rPr>
      </w:pPr>
      <w:r>
        <w:t>6</w:t>
      </w:r>
      <w:r w:rsidR="00E57616">
        <w:t>4</w:t>
      </w:r>
      <w:r>
        <w:t>.</w:t>
      </w:r>
      <w:r>
        <w:tab/>
        <w:t>La Réunion commune a été informée du fait que le Comité des transports intérieurs de la CEE-ONU fêtera son soixante-dixième anniversaire à l’occasion de sa soixante-dix-neuvième session prévue du 21 au 24 février 201</w:t>
      </w:r>
      <w:r w:rsidR="00C878EC">
        <w:t>7</w:t>
      </w:r>
      <w:r>
        <w:t xml:space="preserve"> à Genève avec un segment ministériel le 21 février et un projet de stratégie à l’horizon 2030. Pour préparer cette stratégie, un questionnaire avait été transmis à tous les délégués participant aux travaux du CTI et de ses organes subsidiaires, et tous les délégués de la Réunion commune ont été invités à </w:t>
      </w:r>
      <w:r>
        <w:rPr>
          <w:lang w:val="fr-FR"/>
        </w:rPr>
        <w:t>répondre à ce questionnaire étant donné que leur contribution sera prise en compte pour une définition de cette stratégie.</w:t>
      </w:r>
    </w:p>
    <w:p w:rsidR="00E57616" w:rsidRDefault="00E57616" w:rsidP="00E57616">
      <w:pPr>
        <w:pStyle w:val="H1G"/>
      </w:pPr>
      <w:r>
        <w:tab/>
        <w:t>F.</w:t>
      </w:r>
      <w:r>
        <w:tab/>
        <w:t>Terminologie relative aux termes «placardage» et «plaques-étiquettes» en russe</w:t>
      </w:r>
    </w:p>
    <w:p w:rsidR="00E57616" w:rsidRDefault="00E57616" w:rsidP="00E57616">
      <w:pPr>
        <w:pStyle w:val="SingleTxtG"/>
        <w:tabs>
          <w:tab w:val="left" w:pos="3100"/>
        </w:tabs>
        <w:rPr>
          <w:lang w:val="fr-FR"/>
        </w:rPr>
      </w:pPr>
      <w:r w:rsidRPr="00EA4A82">
        <w:rPr>
          <w:i/>
          <w:lang w:val="fr-FR"/>
        </w:rPr>
        <w:t>Document</w:t>
      </w:r>
      <w:r>
        <w:rPr>
          <w:i/>
          <w:lang w:val="fr-FR"/>
        </w:rPr>
        <w:t xml:space="preserve"> informel</w:t>
      </w:r>
      <w:r w:rsidRPr="00E30AEE">
        <w:rPr>
          <w:i/>
          <w:lang w:val="fr-FR"/>
        </w:rPr>
        <w:t>:</w:t>
      </w:r>
      <w:r>
        <w:rPr>
          <w:lang w:val="fr-FR"/>
        </w:rPr>
        <w:tab/>
        <w:t>INF.27 (Fédération de Russie)</w:t>
      </w:r>
    </w:p>
    <w:p w:rsidR="00E57616" w:rsidRPr="00E57616" w:rsidRDefault="00E57616" w:rsidP="00E57616">
      <w:pPr>
        <w:pStyle w:val="SingleTxtG"/>
      </w:pPr>
      <w:r>
        <w:t>65.</w:t>
      </w:r>
      <w:r>
        <w:tab/>
        <w:t>La Réunion commune a noté que les préoccupations de la Fédération de Russie relatives à la terminologie utilisée dans la version russe concernant les plaques-étiquettes seraient traitées par le secrétariat et les services de traduction russes de l’ONU et que les délégués russophones d’autres organes comme le groupe WP</w:t>
      </w:r>
      <w:proofErr w:type="gramStart"/>
      <w:r>
        <w:t>..</w:t>
      </w:r>
      <w:proofErr w:type="gramEnd"/>
      <w:r>
        <w:t>15 seraient également consultés.</w:t>
      </w:r>
    </w:p>
    <w:p w:rsidR="00591E1F" w:rsidRDefault="00591E1F" w:rsidP="00591E1F">
      <w:pPr>
        <w:pStyle w:val="HChG"/>
        <w:rPr>
          <w:lang w:val="fr-FR"/>
        </w:rPr>
      </w:pPr>
      <w:r>
        <w:rPr>
          <w:lang w:val="fr-FR"/>
        </w:rPr>
        <w:tab/>
        <w:t>XI.</w:t>
      </w:r>
      <w:r>
        <w:rPr>
          <w:lang w:val="fr-FR"/>
        </w:rPr>
        <w:tab/>
        <w:t xml:space="preserve">Adoption du rapport (point 10 de l’ordre du jour) </w:t>
      </w:r>
    </w:p>
    <w:p w:rsidR="00591E1F" w:rsidRDefault="00591E1F" w:rsidP="00591E1F">
      <w:pPr>
        <w:pStyle w:val="SingleTxtG"/>
        <w:rPr>
          <w:lang w:val="fr-FR"/>
        </w:rPr>
      </w:pPr>
      <w:r>
        <w:rPr>
          <w:lang w:val="fr-FR"/>
        </w:rPr>
        <w:t>6</w:t>
      </w:r>
      <w:r w:rsidR="00E57616">
        <w:rPr>
          <w:lang w:val="fr-FR"/>
        </w:rPr>
        <w:t>6</w:t>
      </w:r>
      <w:r>
        <w:rPr>
          <w:lang w:val="fr-FR"/>
        </w:rPr>
        <w:t>.</w:t>
      </w:r>
      <w:r>
        <w:rPr>
          <w:lang w:val="fr-FR"/>
        </w:rPr>
        <w:tab/>
        <w:t>La Réunion commune a adopté le rapport sur sa session d’automne 2016 et ses annexes sur la base d’un projet établi par le secrétariat.</w:t>
      </w:r>
    </w:p>
    <w:p w:rsidR="00A336BF" w:rsidRPr="00A336BF" w:rsidRDefault="006009A6" w:rsidP="00A336BF">
      <w:pPr>
        <w:pStyle w:val="HChG"/>
        <w:rPr>
          <w:lang w:val="en-GB"/>
        </w:rPr>
      </w:pPr>
      <w:r w:rsidRPr="006009A6">
        <w:rPr>
          <w:lang w:val="en-GB"/>
        </w:rPr>
        <w:br w:type="page"/>
      </w:r>
      <w:r w:rsidR="00A336BF">
        <w:lastRenderedPageBreak/>
        <w:t>Annexe I</w:t>
      </w:r>
    </w:p>
    <w:p w:rsidR="00A336BF" w:rsidRDefault="00A336BF" w:rsidP="00A336BF">
      <w:pPr>
        <w:pStyle w:val="HChG"/>
        <w:spacing w:after="0"/>
        <w:ind w:left="1135" w:hanging="284"/>
        <w:rPr>
          <w:lang w:val="en-GB"/>
        </w:rPr>
      </w:pPr>
      <w:r>
        <w:tab/>
      </w:r>
      <w:r>
        <w:rPr>
          <w:lang w:val="en-GB"/>
        </w:rPr>
        <w:t xml:space="preserve">Rapport </w:t>
      </w:r>
      <w:r w:rsidR="00C878EC">
        <w:rPr>
          <w:lang w:val="en-GB"/>
        </w:rPr>
        <w:t>du</w:t>
      </w:r>
      <w:r>
        <w:rPr>
          <w:lang w:val="en-GB"/>
        </w:rPr>
        <w:t xml:space="preserve"> </w:t>
      </w:r>
      <w:proofErr w:type="spellStart"/>
      <w:r>
        <w:rPr>
          <w:lang w:val="en-GB"/>
        </w:rPr>
        <w:t>Groupe</w:t>
      </w:r>
      <w:proofErr w:type="spellEnd"/>
      <w:r>
        <w:rPr>
          <w:lang w:val="en-GB"/>
        </w:rPr>
        <w:t xml:space="preserve"> de travail </w:t>
      </w:r>
      <w:proofErr w:type="spellStart"/>
      <w:r w:rsidR="00C878EC">
        <w:rPr>
          <w:lang w:val="en-GB"/>
        </w:rPr>
        <w:t>sur</w:t>
      </w:r>
      <w:proofErr w:type="spellEnd"/>
      <w:r w:rsidR="00C878EC">
        <w:rPr>
          <w:lang w:val="en-GB"/>
        </w:rPr>
        <w:t xml:space="preserve"> les</w:t>
      </w:r>
      <w:r>
        <w:rPr>
          <w:lang w:val="en-GB"/>
        </w:rPr>
        <w:t xml:space="preserve"> </w:t>
      </w:r>
      <w:proofErr w:type="spellStart"/>
      <w:r>
        <w:rPr>
          <w:lang w:val="en-GB"/>
        </w:rPr>
        <w:t>citernes</w:t>
      </w:r>
      <w:proofErr w:type="spellEnd"/>
    </w:p>
    <w:p w:rsidR="00A336BF" w:rsidRDefault="00A336BF" w:rsidP="00A336BF">
      <w:pPr>
        <w:pStyle w:val="H1G"/>
        <w:spacing w:before="0"/>
      </w:pPr>
      <w:r>
        <w:tab/>
      </w:r>
      <w:r>
        <w:tab/>
        <w:t>(</w:t>
      </w:r>
      <w:proofErr w:type="gramStart"/>
      <w:r>
        <w:t>voir</w:t>
      </w:r>
      <w:proofErr w:type="gramEnd"/>
      <w:r>
        <w:t xml:space="preserve"> ECE/TRANS/WP.15/AC.1/</w:t>
      </w:r>
      <w:r w:rsidR="00C878EC">
        <w:t>144/Add.1</w:t>
      </w:r>
      <w:r>
        <w:t>)</w:t>
      </w:r>
    </w:p>
    <w:p w:rsidR="00A336BF" w:rsidRDefault="00A336BF">
      <w:pPr>
        <w:suppressAutoHyphens w:val="0"/>
        <w:spacing w:line="240" w:lineRule="auto"/>
        <w:rPr>
          <w:highlight w:val="yellow"/>
          <w:lang w:val="fr-FR"/>
        </w:rPr>
      </w:pPr>
      <w:r>
        <w:rPr>
          <w:highlight w:val="yellow"/>
          <w:lang w:val="fr-FR"/>
        </w:rPr>
        <w:br w:type="page"/>
      </w:r>
    </w:p>
    <w:p w:rsidR="00A336BF" w:rsidRPr="001F0D5B" w:rsidRDefault="00A336BF" w:rsidP="00A336BF">
      <w:pPr>
        <w:pStyle w:val="HChG"/>
        <w:rPr>
          <w:lang w:val="fr-FR"/>
        </w:rPr>
      </w:pPr>
      <w:r w:rsidRPr="00C878EC">
        <w:rPr>
          <w:lang w:val="fr-FR"/>
        </w:rPr>
        <w:lastRenderedPageBreak/>
        <w:t>Annex</w:t>
      </w:r>
      <w:r w:rsidR="00C878EC">
        <w:rPr>
          <w:lang w:val="fr-FR"/>
        </w:rPr>
        <w:t>e</w:t>
      </w:r>
      <w:r w:rsidRPr="00C878EC">
        <w:rPr>
          <w:lang w:val="fr-FR"/>
        </w:rPr>
        <w:t xml:space="preserve"> II</w:t>
      </w:r>
      <w:r w:rsidRPr="001F0D5B">
        <w:rPr>
          <w:lang w:val="fr-FR"/>
        </w:rPr>
        <w:tab/>
      </w:r>
    </w:p>
    <w:p w:rsidR="00A336BF" w:rsidRPr="001F0D5B" w:rsidRDefault="00A336BF" w:rsidP="00A336BF">
      <w:pPr>
        <w:pStyle w:val="HChG"/>
        <w:rPr>
          <w:lang w:val="fr-FR"/>
        </w:rPr>
      </w:pPr>
      <w:r w:rsidRPr="001F0D5B">
        <w:rPr>
          <w:lang w:val="fr-FR"/>
        </w:rPr>
        <w:tab/>
      </w:r>
      <w:r w:rsidRPr="001F0D5B">
        <w:rPr>
          <w:lang w:val="fr-FR"/>
        </w:rPr>
        <w:tab/>
        <w:t>Propositions d’amendements au RID/à l’ADR/à l’ADN</w:t>
      </w:r>
    </w:p>
    <w:p w:rsidR="00A336BF" w:rsidRPr="001F0D5B" w:rsidRDefault="00A336BF" w:rsidP="00A336BF">
      <w:pPr>
        <w:pStyle w:val="H1G"/>
        <w:rPr>
          <w:lang w:val="fr-FR"/>
        </w:rPr>
      </w:pPr>
      <w:r w:rsidRPr="001F0D5B">
        <w:rPr>
          <w:lang w:val="fr-FR"/>
        </w:rPr>
        <w:tab/>
      </w:r>
      <w:r w:rsidRPr="001F0D5B">
        <w:rPr>
          <w:lang w:val="fr-FR"/>
        </w:rPr>
        <w:tab/>
        <w:t>Chapitre 1.2</w:t>
      </w:r>
      <w:r w:rsidRPr="001F0D5B">
        <w:rPr>
          <w:lang w:val="fr-FR"/>
        </w:rPr>
        <w:tab/>
      </w:r>
    </w:p>
    <w:p w:rsidR="00A336BF" w:rsidRPr="001F0D5B" w:rsidRDefault="00A336BF" w:rsidP="00A336BF">
      <w:pPr>
        <w:pStyle w:val="SingleTxtG"/>
        <w:rPr>
          <w:lang w:val="fr-FR"/>
        </w:rPr>
      </w:pPr>
      <w:r w:rsidRPr="001F0D5B">
        <w:rPr>
          <w:lang w:val="fr-FR"/>
        </w:rPr>
        <w:t>1.2.1</w:t>
      </w:r>
      <w:r w:rsidRPr="001F0D5B">
        <w:rPr>
          <w:lang w:val="fr-FR"/>
        </w:rPr>
        <w:tab/>
        <w:t>Ajouter la nouvelle définition suivante:</w:t>
      </w:r>
    </w:p>
    <w:p w:rsidR="00A336BF" w:rsidRPr="001F0D5B" w:rsidRDefault="00A336BF" w:rsidP="00A336BF">
      <w:pPr>
        <w:pStyle w:val="SingleTxtG"/>
        <w:rPr>
          <w:rFonts w:eastAsia="MS Mincho"/>
          <w:color w:val="000000"/>
          <w:lang w:val="fr-FR" w:eastAsia="en-GB"/>
        </w:rPr>
      </w:pPr>
      <w:r w:rsidRPr="001F0D5B">
        <w:rPr>
          <w:lang w:val="fr-FR"/>
        </w:rPr>
        <w:t>«</w:t>
      </w:r>
      <w:r w:rsidRPr="001F0D5B">
        <w:rPr>
          <w:i/>
          <w:lang w:val="fr-FR"/>
        </w:rPr>
        <w:t>“Revêtement protecteur”</w:t>
      </w:r>
      <w:r w:rsidRPr="001F0D5B">
        <w:rPr>
          <w:sz w:val="18"/>
          <w:szCs w:val="18"/>
          <w:lang w:val="fr-FR"/>
        </w:rPr>
        <w:t xml:space="preserve"> (</w:t>
      </w:r>
      <w:r w:rsidRPr="001F0D5B">
        <w:rPr>
          <w:rFonts w:eastAsia="MS Mincho"/>
          <w:color w:val="000000"/>
          <w:lang w:val="fr-FR" w:eastAsia="en-GB"/>
        </w:rPr>
        <w:t>pour les citernes), revêtement protégeant le matériau métallique de la citerne des matières à transporter;</w:t>
      </w:r>
    </w:p>
    <w:p w:rsidR="00A336BF" w:rsidRPr="001F0D5B" w:rsidRDefault="00A336BF" w:rsidP="00A336BF">
      <w:pPr>
        <w:pStyle w:val="SingleTxtG"/>
        <w:rPr>
          <w:lang w:val="fr-FR"/>
        </w:rPr>
      </w:pPr>
      <w:r w:rsidRPr="001F0D5B">
        <w:rPr>
          <w:b/>
          <w:i/>
          <w:lang w:val="fr-FR"/>
        </w:rPr>
        <w:t xml:space="preserve">NOTA: </w:t>
      </w:r>
      <w:r w:rsidRPr="001F0D5B">
        <w:rPr>
          <w:i/>
          <w:lang w:val="fr-FR"/>
        </w:rPr>
        <w:t>Cette définition ne s’applique pas au revêtement servant uniquement à protéger la matière à transporter.</w:t>
      </w:r>
      <w:r w:rsidRPr="001F0D5B">
        <w:rPr>
          <w:lang w:val="fr-FR"/>
        </w:rPr>
        <w:t>».</w:t>
      </w:r>
    </w:p>
    <w:p w:rsidR="00A336BF" w:rsidRPr="001F0D5B" w:rsidRDefault="00A336BF" w:rsidP="00A336BF">
      <w:pPr>
        <w:pStyle w:val="SingleTxtG"/>
        <w:rPr>
          <w:i/>
          <w:iCs/>
          <w:lang w:val="fr-FR"/>
        </w:rPr>
      </w:pPr>
      <w:r w:rsidRPr="001F0D5B">
        <w:rPr>
          <w:i/>
          <w:iCs/>
          <w:lang w:val="fr-FR"/>
        </w:rPr>
        <w:t>(Document de référence: document informel INF.38, proposition 6)</w:t>
      </w:r>
    </w:p>
    <w:p w:rsidR="00A336BF" w:rsidRPr="001F0D5B" w:rsidRDefault="00A336BF" w:rsidP="00A336BF">
      <w:pPr>
        <w:pStyle w:val="H1G"/>
        <w:rPr>
          <w:lang w:val="fr-FR"/>
        </w:rPr>
      </w:pPr>
      <w:r w:rsidRPr="001F0D5B">
        <w:rPr>
          <w:lang w:val="fr-FR"/>
        </w:rPr>
        <w:tab/>
      </w:r>
      <w:r w:rsidRPr="001F0D5B">
        <w:rPr>
          <w:lang w:val="fr-FR"/>
        </w:rPr>
        <w:tab/>
        <w:t>Chapitre 1.4</w:t>
      </w:r>
      <w:r w:rsidRPr="001F0D5B">
        <w:rPr>
          <w:lang w:val="fr-FR"/>
        </w:rPr>
        <w:tab/>
      </w:r>
    </w:p>
    <w:p w:rsidR="00A336BF" w:rsidRPr="001F0D5B" w:rsidRDefault="00A336BF" w:rsidP="00A336BF">
      <w:pPr>
        <w:pStyle w:val="SingleTxtG"/>
        <w:rPr>
          <w:lang w:val="fr-FR"/>
        </w:rPr>
      </w:pPr>
      <w:r w:rsidRPr="001F0D5B">
        <w:rPr>
          <w:lang w:val="fr-FR"/>
        </w:rPr>
        <w:t>1.4.2.2.2</w:t>
      </w:r>
      <w:r w:rsidRPr="001F0D5B">
        <w:rPr>
          <w:lang w:val="fr-FR"/>
        </w:rPr>
        <w:tab/>
        <w:t xml:space="preserve">Ajouter la nouvelle phrase suivante à la fin: «Dans le cas du 1.4.2.2.1 c), il peut se fier aux attestations du </w:t>
      </w:r>
      <w:r w:rsidR="007E7193">
        <w:rPr>
          <w:lang w:val="fr-FR"/>
        </w:rPr>
        <w:t>"</w:t>
      </w:r>
      <w:r w:rsidRPr="001F0D5B">
        <w:rPr>
          <w:lang w:val="fr-FR"/>
        </w:rPr>
        <w:t>certificat d’empotage du conteneur ou du véhicule</w:t>
      </w:r>
      <w:r w:rsidR="007E7193">
        <w:rPr>
          <w:lang w:val="fr-FR"/>
        </w:rPr>
        <w:t>"</w:t>
      </w:r>
      <w:r w:rsidRPr="001F0D5B">
        <w:rPr>
          <w:lang w:val="fr-FR"/>
        </w:rPr>
        <w:t xml:space="preserve"> fourni conformément au 5.4.2.».</w:t>
      </w:r>
    </w:p>
    <w:p w:rsidR="00A336BF" w:rsidRPr="001F0D5B" w:rsidRDefault="00A336BF" w:rsidP="00A336BF">
      <w:pPr>
        <w:pStyle w:val="SingleTxtG"/>
        <w:spacing w:before="120"/>
        <w:rPr>
          <w:i/>
          <w:iCs/>
          <w:lang w:val="fr-FR"/>
        </w:rPr>
      </w:pPr>
      <w:r w:rsidRPr="001F0D5B">
        <w:rPr>
          <w:i/>
          <w:iCs/>
          <w:lang w:val="fr-FR"/>
        </w:rPr>
        <w:t>(Document de référence: document informel INF.36 tel que modifié)</w:t>
      </w:r>
    </w:p>
    <w:p w:rsidR="00A336BF" w:rsidRPr="001F0D5B" w:rsidRDefault="00A336BF" w:rsidP="00A336BF">
      <w:pPr>
        <w:pStyle w:val="H1G"/>
        <w:rPr>
          <w:lang w:val="fr-FR"/>
        </w:rPr>
      </w:pPr>
      <w:r w:rsidRPr="001F0D5B">
        <w:rPr>
          <w:lang w:val="fr-FR"/>
        </w:rPr>
        <w:tab/>
      </w:r>
      <w:r w:rsidRPr="001F0D5B">
        <w:rPr>
          <w:lang w:val="fr-FR"/>
        </w:rPr>
        <w:tab/>
        <w:t>Chapitre 1.6</w:t>
      </w:r>
    </w:p>
    <w:p w:rsidR="00A336BF" w:rsidRPr="001F0D5B" w:rsidRDefault="00A336BF" w:rsidP="00A336BF">
      <w:pPr>
        <w:pStyle w:val="SingleTxtG"/>
        <w:rPr>
          <w:lang w:val="fr-FR"/>
        </w:rPr>
      </w:pPr>
      <w:r w:rsidRPr="001F0D5B">
        <w:rPr>
          <w:lang w:val="fr-FR"/>
        </w:rPr>
        <w:t>1.6.1</w:t>
      </w:r>
      <w:r w:rsidRPr="001F0D5B">
        <w:rPr>
          <w:lang w:val="fr-FR"/>
        </w:rPr>
        <w:tab/>
        <w:t>Ajouter les nouvelles mesures transitoires suivantes:</w:t>
      </w:r>
    </w:p>
    <w:p w:rsidR="009A43BA" w:rsidRDefault="00A336BF" w:rsidP="00A336BF">
      <w:pPr>
        <w:pStyle w:val="SingleTxtG"/>
        <w:rPr>
          <w:lang w:val="fr-FR"/>
        </w:rPr>
      </w:pPr>
      <w:r w:rsidRPr="001F0D5B">
        <w:rPr>
          <w:lang w:val="fr-FR"/>
        </w:rPr>
        <w:t>«1.6.1.44</w:t>
      </w:r>
      <w:r w:rsidRPr="001F0D5B">
        <w:rPr>
          <w:lang w:val="fr-FR"/>
        </w:rPr>
        <w:tab/>
        <w:t xml:space="preserve">Les entreprises qui participent au transport de marchandises dangereuses seulement en tant qu’expéditeurs et qui n’avaient pas l’obligation de désigner un </w:t>
      </w:r>
      <w:r w:rsidR="005155E2">
        <w:rPr>
          <w:lang w:val="fr-FR"/>
        </w:rPr>
        <w:t>conseiller</w:t>
      </w:r>
      <w:r w:rsidRPr="001F0D5B">
        <w:rPr>
          <w:lang w:val="fr-FR"/>
        </w:rPr>
        <w:t xml:space="preserve"> à la sécurité sur la base des dispositions </w:t>
      </w:r>
      <w:r w:rsidR="00B72DE2">
        <w:rPr>
          <w:lang w:val="fr-FR"/>
        </w:rPr>
        <w:t>applicables</w:t>
      </w:r>
      <w:r w:rsidRPr="001F0D5B">
        <w:rPr>
          <w:lang w:val="fr-FR"/>
        </w:rPr>
        <w:t xml:space="preserve"> jusqu'au 31 décembre 2018 </w:t>
      </w:r>
      <w:r w:rsidR="009B0C2D">
        <w:rPr>
          <w:lang w:val="fr-FR"/>
        </w:rPr>
        <w:t>devront</w:t>
      </w:r>
      <w:r w:rsidRPr="001F0D5B">
        <w:rPr>
          <w:lang w:val="fr-FR"/>
        </w:rPr>
        <w:t xml:space="preserve">, par dérogation aux dispositions du 1.8.3.1 </w:t>
      </w:r>
      <w:r w:rsidR="00B72DE2">
        <w:rPr>
          <w:lang w:val="fr-FR"/>
        </w:rPr>
        <w:t>applicables</w:t>
      </w:r>
      <w:r w:rsidRPr="001F0D5B">
        <w:rPr>
          <w:lang w:val="fr-FR"/>
        </w:rPr>
        <w:t xml:space="preserve"> à partir du 1er janvier 2019, nommer un conseiller à la sécurité au plus tard le </w:t>
      </w:r>
      <w:r w:rsidR="009B0C2D">
        <w:rPr>
          <w:lang w:val="fr-FR"/>
        </w:rPr>
        <w:t>31 décembre 2022</w:t>
      </w:r>
      <w:r w:rsidRPr="001F0D5B">
        <w:rPr>
          <w:lang w:val="fr-FR"/>
        </w:rPr>
        <w:t>.».</w:t>
      </w:r>
    </w:p>
    <w:p w:rsidR="00A336BF" w:rsidRPr="001F0D5B" w:rsidRDefault="00A336BF" w:rsidP="00A336BF">
      <w:pPr>
        <w:pStyle w:val="SingleTxtG"/>
        <w:rPr>
          <w:i/>
          <w:iCs/>
          <w:lang w:val="fr-FR"/>
        </w:rPr>
      </w:pPr>
      <w:r w:rsidRPr="001F0D5B">
        <w:rPr>
          <w:i/>
          <w:iCs/>
          <w:lang w:val="fr-FR"/>
        </w:rPr>
        <w:t>(Document de référence : ECE/TRANS/WP.15/AC.1/2016/24, tel que modifié dans le document informel INF.35)</w:t>
      </w:r>
    </w:p>
    <w:p w:rsidR="00A336BF" w:rsidRPr="001F0D5B" w:rsidRDefault="00A336BF" w:rsidP="00A336BF">
      <w:pPr>
        <w:pStyle w:val="SingleTxtG"/>
        <w:rPr>
          <w:iCs/>
          <w:lang w:val="fr-FR"/>
        </w:rPr>
      </w:pPr>
      <w:r w:rsidRPr="001F0D5B">
        <w:rPr>
          <w:iCs/>
          <w:lang w:val="fr-FR"/>
        </w:rPr>
        <w:t>«1.6.1.45</w:t>
      </w:r>
      <w:r w:rsidRPr="001F0D5B">
        <w:rPr>
          <w:iCs/>
          <w:lang w:val="fr-FR"/>
        </w:rPr>
        <w:tab/>
      </w:r>
      <w:r w:rsidRPr="001F0D5B">
        <w:rPr>
          <w:szCs w:val="24"/>
          <w:lang w:val="fr-FR"/>
        </w:rPr>
        <w:t>Les Parties contractantes/</w:t>
      </w:r>
      <w:r w:rsidR="00B72DE2">
        <w:rPr>
          <w:szCs w:val="24"/>
          <w:lang w:val="fr-FR"/>
        </w:rPr>
        <w:t>É</w:t>
      </w:r>
      <w:r w:rsidRPr="001F0D5B">
        <w:rPr>
          <w:szCs w:val="24"/>
          <w:lang w:val="fr-FR"/>
        </w:rPr>
        <w:t>tats partie au RID</w:t>
      </w:r>
      <w:r w:rsidR="00B72DE2" w:rsidRPr="00B72DE2">
        <w:rPr>
          <w:szCs w:val="24"/>
          <w:lang w:val="fr-FR"/>
        </w:rPr>
        <w:t xml:space="preserve"> </w:t>
      </w:r>
      <w:r w:rsidR="00B72DE2">
        <w:rPr>
          <w:szCs w:val="24"/>
          <w:lang w:val="fr-FR"/>
        </w:rPr>
        <w:t xml:space="preserve"> pourront</w:t>
      </w:r>
      <w:r w:rsidR="005155E2">
        <w:rPr>
          <w:szCs w:val="24"/>
          <w:lang w:val="fr-FR"/>
        </w:rPr>
        <w:t xml:space="preserve">, </w:t>
      </w:r>
      <w:r w:rsidR="00B72DE2">
        <w:rPr>
          <w:szCs w:val="24"/>
          <w:lang w:val="fr-FR"/>
        </w:rPr>
        <w:t xml:space="preserve"> </w:t>
      </w:r>
      <w:r w:rsidR="005155E2">
        <w:rPr>
          <w:szCs w:val="24"/>
          <w:lang w:val="fr-FR"/>
        </w:rPr>
        <w:t>jusqu’au 31 décembre 2020</w:t>
      </w:r>
      <w:r w:rsidR="00B72DE2">
        <w:rPr>
          <w:szCs w:val="24"/>
          <w:lang w:val="fr-FR"/>
        </w:rPr>
        <w:t>,</w:t>
      </w:r>
      <w:r w:rsidRPr="001F0D5B">
        <w:rPr>
          <w:szCs w:val="24"/>
          <w:lang w:val="fr-FR"/>
        </w:rPr>
        <w:t xml:space="preserve"> continuer à délivrer des certificats de formation pour les conseillers à la sécurité conformes au modèle </w:t>
      </w:r>
      <w:r w:rsidR="00B72DE2">
        <w:rPr>
          <w:szCs w:val="24"/>
          <w:lang w:val="fr-FR"/>
        </w:rPr>
        <w:t xml:space="preserve">applicable </w:t>
      </w:r>
      <w:r w:rsidRPr="001F0D5B">
        <w:rPr>
          <w:szCs w:val="24"/>
          <w:lang w:val="fr-FR"/>
        </w:rPr>
        <w:t>jusqu’au 31 décembre 2018, en lieu et place des certificats conformes aux prescriptions du paragraphe 1.8.3.18 applicabl</w:t>
      </w:r>
      <w:r w:rsidR="00B72DE2">
        <w:rPr>
          <w:szCs w:val="24"/>
          <w:lang w:val="fr-FR"/>
        </w:rPr>
        <w:t>es à partir du 1er janvier 2019</w:t>
      </w:r>
      <w:r w:rsidRPr="001F0D5B">
        <w:rPr>
          <w:szCs w:val="24"/>
          <w:lang w:val="fr-FR"/>
        </w:rPr>
        <w:t>. Ces certificats pourront continuer à être utilisés jusqu’au terme de leur validité de cinq ans.</w:t>
      </w:r>
      <w:r w:rsidRPr="001F0D5B">
        <w:rPr>
          <w:iCs/>
          <w:lang w:val="fr-FR"/>
        </w:rPr>
        <w:t>».</w:t>
      </w:r>
    </w:p>
    <w:p w:rsidR="00A336BF" w:rsidRPr="001F0D5B" w:rsidRDefault="00A336BF" w:rsidP="00A336BF">
      <w:pPr>
        <w:pStyle w:val="SingleTxtG"/>
        <w:rPr>
          <w:i/>
          <w:iCs/>
          <w:lang w:val="fr-FR"/>
        </w:rPr>
      </w:pPr>
      <w:r w:rsidRPr="001F0D5B">
        <w:rPr>
          <w:i/>
          <w:iCs/>
          <w:lang w:val="fr-FR"/>
        </w:rPr>
        <w:t>(Document de référence : ECE/TRANS/WP.15/AC.1/2016/24, tel que modifié)</w:t>
      </w:r>
    </w:p>
    <w:p w:rsidR="00A336BF" w:rsidRPr="001F0D5B" w:rsidRDefault="00A336BF" w:rsidP="00A336BF">
      <w:pPr>
        <w:pStyle w:val="SingleTxtG"/>
        <w:rPr>
          <w:lang w:val="fr-FR"/>
        </w:rPr>
      </w:pPr>
      <w:r w:rsidRPr="001F0D5B">
        <w:rPr>
          <w:lang w:val="fr-FR"/>
        </w:rPr>
        <w:t>[1.6.3</w:t>
      </w:r>
      <w:r w:rsidRPr="001F0D5B">
        <w:rPr>
          <w:lang w:val="fr-FR"/>
        </w:rPr>
        <w:tab/>
        <w:t>Ajouter la nouvelle mesure transitoire suivante:</w:t>
      </w:r>
    </w:p>
    <w:p w:rsidR="00A336BF" w:rsidRPr="001F0D5B" w:rsidRDefault="00A336BF" w:rsidP="00A336BF">
      <w:pPr>
        <w:pStyle w:val="SingleTxtG"/>
        <w:rPr>
          <w:lang w:val="fr-FR"/>
        </w:rPr>
      </w:pPr>
      <w:r w:rsidRPr="001F0D5B">
        <w:rPr>
          <w:lang w:val="fr-FR"/>
        </w:rPr>
        <w:t>«1.6.3.47</w:t>
      </w:r>
      <w:r w:rsidRPr="001F0D5B">
        <w:rPr>
          <w:lang w:val="fr-FR"/>
        </w:rPr>
        <w:tab/>
        <w:t>Les soupapes de sécurité répondant aux prescriptions applicables jusqu’au 31 décembre 2018, mais qui ne satisfont pas aux prescriptions du 6.8.3.2.9 concernant le capot de protection applicables à partir du 1er janvier 2019, pourront continuer à être utilisées [jusqu’au prochain contrôle intermédiaire ou périodique devant avoir lieu après le 1er juillet 2019].».]</w:t>
      </w:r>
    </w:p>
    <w:p w:rsidR="00A336BF" w:rsidRPr="001F0D5B" w:rsidRDefault="00A336BF" w:rsidP="00A336BF">
      <w:pPr>
        <w:pStyle w:val="SingleTxtG"/>
        <w:spacing w:before="120"/>
        <w:rPr>
          <w:i/>
          <w:iCs/>
          <w:lang w:val="fr-FR"/>
        </w:rPr>
      </w:pPr>
      <w:r w:rsidRPr="001F0D5B">
        <w:rPr>
          <w:i/>
          <w:iCs/>
          <w:lang w:val="fr-FR"/>
        </w:rPr>
        <w:t>(Document de référence: document informel INF.38, proposition 5)</w:t>
      </w:r>
    </w:p>
    <w:p w:rsidR="00A336BF" w:rsidRPr="001F0D5B" w:rsidRDefault="00A336BF" w:rsidP="00A336BF">
      <w:pPr>
        <w:pStyle w:val="SingleTxtG"/>
        <w:rPr>
          <w:lang w:val="fr-FR"/>
        </w:rPr>
      </w:pPr>
      <w:r w:rsidRPr="001F0D5B">
        <w:rPr>
          <w:lang w:val="fr-FR"/>
        </w:rPr>
        <w:lastRenderedPageBreak/>
        <w:t>1.6.3</w:t>
      </w:r>
      <w:r w:rsidRPr="001F0D5B">
        <w:rPr>
          <w:lang w:val="fr-FR"/>
        </w:rPr>
        <w:tab/>
        <w:t>Ajouter la nouvelle mesure transitoire suivante:</w:t>
      </w:r>
    </w:p>
    <w:p w:rsidR="00A336BF" w:rsidRPr="001F0D5B" w:rsidRDefault="00A336BF" w:rsidP="00A336BF">
      <w:pPr>
        <w:pStyle w:val="SingleTxtG"/>
        <w:rPr>
          <w:lang w:val="fr-FR"/>
        </w:rPr>
      </w:pPr>
      <w:r w:rsidRPr="001F0D5B">
        <w:rPr>
          <w:lang w:val="fr-FR"/>
        </w:rPr>
        <w:t>«1.6.3.48</w:t>
      </w:r>
      <w:r w:rsidRPr="001F0D5B">
        <w:rPr>
          <w:lang w:val="fr-FR"/>
        </w:rPr>
        <w:tab/>
        <w:t>Les wagons-citernes / Les citernes fixes (véhicules-citernes) et les citernes démontables dont le réservoir est construit en alliage d’aluminium, y compris ceux équipés/celles équipées d’un revêtement protecteur, construit(e)s avant le 1er juillet 2019, utilisé(e)s pour le transport de matières qui ne satisfont pas aux prescriptions de la disposition spéciale TU42 du 4.3.5 applicables à partir du 1er janvier 2019, pourront continuer à être utilisé(e)s pour le transport de ces matières jusqu’au 31 décembre 2022.».</w:t>
      </w:r>
      <w:r w:rsidRPr="001F0D5B">
        <w:rPr>
          <w:rStyle w:val="FootnoteReference"/>
          <w:lang w:val="fr-FR"/>
        </w:rPr>
        <w:footnoteReference w:id="3"/>
      </w:r>
    </w:p>
    <w:p w:rsidR="00A336BF" w:rsidRPr="001F0D5B" w:rsidRDefault="00A336BF" w:rsidP="00A336BF">
      <w:pPr>
        <w:pStyle w:val="SingleTxtG"/>
        <w:spacing w:before="120"/>
        <w:rPr>
          <w:i/>
          <w:iCs/>
          <w:lang w:val="fr-FR"/>
        </w:rPr>
      </w:pPr>
      <w:r w:rsidRPr="001F0D5B">
        <w:rPr>
          <w:i/>
          <w:iCs/>
          <w:lang w:val="fr-FR"/>
        </w:rPr>
        <w:t>(Document de référence: document informel INF.38, proposition 7)</w:t>
      </w:r>
    </w:p>
    <w:p w:rsidR="00A336BF" w:rsidRPr="001F0D5B" w:rsidRDefault="00A336BF" w:rsidP="00A336BF">
      <w:pPr>
        <w:pStyle w:val="SingleTxtG"/>
        <w:rPr>
          <w:lang w:val="fr-FR"/>
        </w:rPr>
      </w:pPr>
      <w:r w:rsidRPr="001F0D5B">
        <w:rPr>
          <w:lang w:val="fr-FR"/>
        </w:rPr>
        <w:t>[1.6.4</w:t>
      </w:r>
      <w:r w:rsidRPr="001F0D5B">
        <w:rPr>
          <w:lang w:val="fr-FR"/>
        </w:rPr>
        <w:tab/>
        <w:t>Ajouter la nouvelle mesure transitoire suivante:</w:t>
      </w:r>
    </w:p>
    <w:p w:rsidR="00A336BF" w:rsidRPr="001F0D5B" w:rsidRDefault="00A336BF" w:rsidP="00A336BF">
      <w:pPr>
        <w:pStyle w:val="SingleTxtG"/>
        <w:rPr>
          <w:lang w:val="fr-FR"/>
        </w:rPr>
      </w:pPr>
      <w:r w:rsidRPr="001F0D5B">
        <w:rPr>
          <w:lang w:val="fr-FR"/>
        </w:rPr>
        <w:t>«1.6.4.49</w:t>
      </w:r>
      <w:r w:rsidRPr="001F0D5B">
        <w:rPr>
          <w:lang w:val="fr-FR"/>
        </w:rPr>
        <w:tab/>
        <w:t>Les soupapes de sécurité répondant aux prescriptions applicables jusqu’au 31 décembre 2018, mais qui ne satisfont pas aux prescriptions du 6.8.3.2.9 concernant le capot de protection applicables à partir du 1er janvier 2019, pourront continuer à être utilisées [jusqu’au prochain contrôle intermédiaire ou périodique devant avoir lieu après le 1er juillet 2019].».]</w:t>
      </w:r>
    </w:p>
    <w:p w:rsidR="00A336BF" w:rsidRPr="001F0D5B" w:rsidRDefault="00A336BF" w:rsidP="00A336BF">
      <w:pPr>
        <w:pStyle w:val="SingleTxtG"/>
        <w:spacing w:before="120"/>
        <w:rPr>
          <w:i/>
          <w:iCs/>
          <w:lang w:val="fr-FR"/>
        </w:rPr>
      </w:pPr>
      <w:r w:rsidRPr="001F0D5B">
        <w:rPr>
          <w:i/>
          <w:iCs/>
          <w:lang w:val="fr-FR"/>
        </w:rPr>
        <w:t>(Document de référence: document informel INF.38, proposition 5)</w:t>
      </w:r>
    </w:p>
    <w:p w:rsidR="00A336BF" w:rsidRPr="001F0D5B" w:rsidRDefault="00A336BF" w:rsidP="00A336BF">
      <w:pPr>
        <w:pStyle w:val="SingleTxtG"/>
        <w:rPr>
          <w:lang w:val="fr-FR"/>
        </w:rPr>
      </w:pPr>
      <w:r w:rsidRPr="001F0D5B">
        <w:rPr>
          <w:lang w:val="fr-FR"/>
        </w:rPr>
        <w:t>1.6.4</w:t>
      </w:r>
      <w:r w:rsidRPr="001F0D5B">
        <w:rPr>
          <w:lang w:val="fr-FR"/>
        </w:rPr>
        <w:tab/>
        <w:t>Ajouter la nouvelle mesure transitoire suivante:</w:t>
      </w:r>
    </w:p>
    <w:p w:rsidR="00A336BF" w:rsidRPr="001F0D5B" w:rsidRDefault="00A336BF" w:rsidP="00A336BF">
      <w:pPr>
        <w:pStyle w:val="SingleTxtG"/>
        <w:rPr>
          <w:lang w:val="fr-FR"/>
        </w:rPr>
      </w:pPr>
      <w:r w:rsidRPr="001F0D5B">
        <w:rPr>
          <w:lang w:val="fr-FR"/>
        </w:rPr>
        <w:t>«1.6.4.50</w:t>
      </w:r>
      <w:r w:rsidRPr="001F0D5B">
        <w:rPr>
          <w:lang w:val="fr-FR"/>
        </w:rPr>
        <w:tab/>
        <w:t>Les conteneurs-citernes dont le réservoir est construit en alliage d’aluminium, y compris celles équipées d’un revêtement protecteur, construits avant le 1er juillet 2019, utilisés pour le transport de matières qui ne satisfont pas aux prescriptions de la disposition spéciale TU42 du 4.3.5 applicables à partir du 1er janvier 2019, pourront continuer à être utilisés pour le transport de ces matières jusqu’au 31 décembre 2022.».</w:t>
      </w:r>
      <w:r w:rsidRPr="001F0D5B">
        <w:rPr>
          <w:rStyle w:val="FootnoteReference"/>
          <w:lang w:val="fr-FR"/>
        </w:rPr>
        <w:footnoteReference w:id="4"/>
      </w:r>
    </w:p>
    <w:p w:rsidR="00A336BF" w:rsidRPr="001F0D5B" w:rsidRDefault="00A336BF" w:rsidP="00A336BF">
      <w:pPr>
        <w:pStyle w:val="SingleTxtG"/>
        <w:spacing w:before="120"/>
        <w:rPr>
          <w:i/>
          <w:iCs/>
          <w:lang w:val="fr-FR"/>
        </w:rPr>
      </w:pPr>
      <w:r w:rsidRPr="001F0D5B">
        <w:rPr>
          <w:i/>
          <w:iCs/>
          <w:lang w:val="fr-FR"/>
        </w:rPr>
        <w:t>(Document de référence: document informel INF.38, proposition 7)</w:t>
      </w:r>
    </w:p>
    <w:p w:rsidR="00A336BF" w:rsidRPr="001F0D5B" w:rsidRDefault="00A336BF" w:rsidP="00A336BF">
      <w:pPr>
        <w:pStyle w:val="H1G"/>
        <w:rPr>
          <w:lang w:val="fr-FR"/>
        </w:rPr>
      </w:pPr>
      <w:r w:rsidRPr="001F0D5B">
        <w:rPr>
          <w:lang w:val="fr-FR"/>
        </w:rPr>
        <w:tab/>
      </w:r>
      <w:r w:rsidRPr="001F0D5B">
        <w:rPr>
          <w:lang w:val="fr-FR"/>
        </w:rPr>
        <w:tab/>
        <w:t>Chapitre 3.2, Tableau A</w:t>
      </w:r>
    </w:p>
    <w:p w:rsidR="00A336BF" w:rsidRPr="001F0D5B" w:rsidRDefault="00A336BF" w:rsidP="00A336BF">
      <w:pPr>
        <w:pStyle w:val="SingleTxtG"/>
        <w:rPr>
          <w:lang w:val="fr-FR"/>
        </w:rPr>
      </w:pPr>
      <w:r w:rsidRPr="001F0D5B">
        <w:rPr>
          <w:lang w:val="fr-FR"/>
        </w:rPr>
        <w:t>Pour les Nos ONU 1755, groupes d’emballage II et III, 1778, groupe d’emballage II, 1779 groupe d’emballage II, 1788, groupes d’emballage II et III, 1789, groupes d’emballage II et III, 1791, groupes d’emballage II et III, 1803, groupe d’emballage II, 1805, groupe d’emballage III, 1814, groupes d’emballage II et III, 1819, groupes d’emballage II et III, 1824, groupes d’emballage II et III, 1830, groupe d’emballage II, 1832, groupe d’emballage II, 1840, groupe d’emballage III, 1906, groupe d’emballage II, 2031, groupe d’emballage II, 2581, groupe d’emballage III, 2582, groupe d’emballage III, 2586, groupe d’emballage III, 2693, groupe d’emballage III, 2796, groupe d’emballage II, 3264, groupes d’emballage II et III, ajouter «TU42» en colonne (13).</w:t>
      </w:r>
    </w:p>
    <w:p w:rsidR="00A336BF" w:rsidRPr="001F0D5B" w:rsidRDefault="00A336BF" w:rsidP="00A336BF">
      <w:pPr>
        <w:pStyle w:val="SingleTxtG"/>
        <w:spacing w:before="120"/>
        <w:rPr>
          <w:i/>
          <w:iCs/>
          <w:lang w:val="fr-FR"/>
        </w:rPr>
      </w:pPr>
      <w:r w:rsidRPr="001F0D5B">
        <w:rPr>
          <w:i/>
          <w:iCs/>
          <w:lang w:val="fr-FR"/>
        </w:rPr>
        <w:lastRenderedPageBreak/>
        <w:t>(Document de référence: document informel INF.38, proposition 9)</w:t>
      </w:r>
    </w:p>
    <w:p w:rsidR="00A336BF" w:rsidRPr="001F0D5B" w:rsidRDefault="00A336BF" w:rsidP="00A336BF">
      <w:pPr>
        <w:pStyle w:val="SingleTxtG"/>
        <w:rPr>
          <w:rFonts w:eastAsia="MS Mincho"/>
          <w:lang w:val="fr-FR" w:eastAsia="nl-NL"/>
        </w:rPr>
      </w:pPr>
      <w:r w:rsidRPr="001F0D5B">
        <w:rPr>
          <w:rFonts w:eastAsia="MS Mincho"/>
          <w:lang w:val="fr-FR" w:eastAsia="nl-NL"/>
        </w:rPr>
        <w:t>Pour les Nos ONU 3091 et 3481, remplacer «636» par «670» en colonne (6).</w:t>
      </w:r>
    </w:p>
    <w:p w:rsidR="00A336BF" w:rsidRPr="001F0D5B" w:rsidRDefault="00A336BF" w:rsidP="00A336BF">
      <w:pPr>
        <w:pStyle w:val="SingleTxtG"/>
        <w:rPr>
          <w:i/>
          <w:lang w:val="fr-FR"/>
        </w:rPr>
      </w:pPr>
      <w:r w:rsidRPr="001F0D5B">
        <w:rPr>
          <w:i/>
          <w:lang w:val="fr-FR"/>
        </w:rPr>
        <w:t>(Document de référence: ECE/TRANS/WP.15/AC.1/2016/19)</w:t>
      </w:r>
    </w:p>
    <w:p w:rsidR="00A336BF" w:rsidRPr="001F0D5B" w:rsidRDefault="00A336BF" w:rsidP="00A336BF">
      <w:pPr>
        <w:pStyle w:val="H1G"/>
        <w:rPr>
          <w:lang w:val="fr-FR"/>
        </w:rPr>
      </w:pPr>
      <w:r w:rsidRPr="001F0D5B">
        <w:rPr>
          <w:lang w:val="fr-FR"/>
        </w:rPr>
        <w:tab/>
      </w:r>
      <w:r w:rsidRPr="001F0D5B">
        <w:rPr>
          <w:lang w:val="fr-FR"/>
        </w:rPr>
        <w:tab/>
        <w:t>Chapitre 3.3</w:t>
      </w:r>
    </w:p>
    <w:p w:rsidR="00A336BF" w:rsidRPr="001F0D5B" w:rsidRDefault="00A336BF" w:rsidP="00A336BF">
      <w:pPr>
        <w:pStyle w:val="SingleTxtG"/>
        <w:rPr>
          <w:rFonts w:eastAsia="MS Mincho"/>
          <w:lang w:val="fr-FR" w:eastAsia="nl-NL"/>
        </w:rPr>
      </w:pPr>
      <w:r w:rsidRPr="001F0D5B">
        <w:rPr>
          <w:rFonts w:eastAsia="MS Mincho"/>
          <w:lang w:val="fr-FR" w:eastAsia="nl-NL"/>
        </w:rPr>
        <w:t>Modifier la disposition spéciale 636 pour lire comme suit:</w:t>
      </w:r>
    </w:p>
    <w:p w:rsidR="00A336BF" w:rsidRPr="001F0D5B" w:rsidRDefault="00A336BF" w:rsidP="00A336BF">
      <w:pPr>
        <w:pStyle w:val="SingleTxtG"/>
        <w:rPr>
          <w:rFonts w:eastAsia="MS Mincho"/>
          <w:lang w:val="fr-FR" w:eastAsia="nl-NL"/>
        </w:rPr>
      </w:pPr>
      <w:r w:rsidRPr="001F0D5B">
        <w:rPr>
          <w:rFonts w:eastAsia="MS Mincho"/>
          <w:lang w:val="fr-FR" w:eastAsia="nl-NL"/>
        </w:rPr>
        <w:t>«636</w:t>
      </w:r>
      <w:r w:rsidRPr="001F0D5B">
        <w:rPr>
          <w:rFonts w:eastAsia="MS Mincho"/>
          <w:lang w:val="fr-FR" w:eastAsia="nl-NL"/>
        </w:rPr>
        <w:tab/>
      </w:r>
      <w:r w:rsidRPr="001F0D5B">
        <w:rPr>
          <w:lang w:val="fr-FR"/>
        </w:rPr>
        <w:t>Lorsqu’elles sont transportées jusqu’aux lieux de traitement intermédiaire, les piles et batteries au lithium dont la masse brute ne dépasse pas 500 g par unité</w:t>
      </w:r>
      <w:r w:rsidR="005155E2">
        <w:rPr>
          <w:lang w:val="fr-FR"/>
        </w:rPr>
        <w:t>,</w:t>
      </w:r>
      <w:r w:rsidRPr="001F0D5B">
        <w:rPr>
          <w:lang w:val="fr-FR"/>
        </w:rPr>
        <w:t xml:space="preserve"> les piles au lithium ionique dont l’énergie nominale en wattheures ne dépasse pas 20 Wh, les batteries au lithium ionique dont l’énergie nominale en wattheures ne dépasse pas 100 Wh, les piles au lithium métal dont la quantité de lithium ne dépasse pas 1 g et les batteries au lithium métal dont la quantité totale de lithium ne dépasse pas 2 g, qui ne sont pas contenues dans un équipement, qui sont collectées et présentées au transport en vue de leur tri, élimination ou recyclage, </w:t>
      </w:r>
      <w:r w:rsidRPr="001F0D5B">
        <w:rPr>
          <w:bCs/>
          <w:lang w:val="fr-FR"/>
        </w:rPr>
        <w:t xml:space="preserve">en mélange ou non avec des piles ou batteries autres qu’au lithium, </w:t>
      </w:r>
      <w:r w:rsidRPr="001F0D5B">
        <w:rPr>
          <w:lang w:val="fr-FR"/>
        </w:rPr>
        <w:t>ne sont pas soumises aux autres dispositions de l’ADR, y compris la disposition spéciale 376 et le 2.2.9.1.7, s’il est satisfait aux conditions suivantes</w:t>
      </w:r>
      <w:r w:rsidRPr="001F0D5B">
        <w:rPr>
          <w:rFonts w:eastAsia="MS Mincho"/>
          <w:lang w:val="fr-FR" w:eastAsia="nl-NL"/>
        </w:rPr>
        <w:t>:</w:t>
      </w:r>
    </w:p>
    <w:p w:rsidR="00A336BF" w:rsidRPr="001F0D5B" w:rsidRDefault="00A336BF" w:rsidP="00A336BF">
      <w:pPr>
        <w:pStyle w:val="SingleTxtG"/>
        <w:rPr>
          <w:rFonts w:eastAsia="MS Mincho"/>
          <w:lang w:val="fr-FR" w:eastAsia="nl-NL"/>
        </w:rPr>
      </w:pPr>
      <w:r w:rsidRPr="001F0D5B">
        <w:rPr>
          <w:rFonts w:eastAsia="MS Mincho"/>
          <w:lang w:val="fr-FR" w:eastAsia="nl-NL"/>
        </w:rPr>
        <w:tab/>
        <w:t>(</w:t>
      </w:r>
      <w:proofErr w:type="gramStart"/>
      <w:r w:rsidRPr="001F0D5B">
        <w:rPr>
          <w:rFonts w:eastAsia="MS Mincho"/>
          <w:lang w:val="fr-FR" w:eastAsia="nl-NL"/>
        </w:rPr>
        <w:t>a</w:t>
      </w:r>
      <w:proofErr w:type="gramEnd"/>
      <w:r w:rsidRPr="001F0D5B">
        <w:rPr>
          <w:rFonts w:eastAsia="MS Mincho"/>
          <w:lang w:val="fr-FR" w:eastAsia="nl-NL"/>
        </w:rPr>
        <w:t>)</w:t>
      </w:r>
      <w:r w:rsidRPr="001F0D5B">
        <w:rPr>
          <w:rFonts w:eastAsia="MS Mincho"/>
          <w:lang w:val="fr-FR" w:eastAsia="nl-NL"/>
        </w:rPr>
        <w:tab/>
        <w:t xml:space="preserve">Les piles et batteries sont emballées selon les </w:t>
      </w:r>
      <w:r w:rsidRPr="001F0D5B">
        <w:rPr>
          <w:lang w:val="fr-FR"/>
        </w:rPr>
        <w:t>dispositions de l’instruction d’emballage P909 du 4.1.4.1, à l’exception des dispositions supplémentaires 1 et 2;</w:t>
      </w:r>
    </w:p>
    <w:p w:rsidR="00A336BF" w:rsidRPr="001F0D5B" w:rsidRDefault="00A336BF" w:rsidP="00A336BF">
      <w:pPr>
        <w:pStyle w:val="SingleTxtG"/>
        <w:rPr>
          <w:rFonts w:eastAsia="MS Mincho"/>
          <w:lang w:val="fr-FR" w:eastAsia="nl-NL"/>
        </w:rPr>
      </w:pPr>
      <w:r w:rsidRPr="001F0D5B">
        <w:rPr>
          <w:rFonts w:eastAsia="MS Mincho"/>
          <w:lang w:val="fr-FR" w:eastAsia="nl-NL"/>
        </w:rPr>
        <w:tab/>
        <w:t>(b)</w:t>
      </w:r>
      <w:r w:rsidRPr="001F0D5B">
        <w:rPr>
          <w:rFonts w:eastAsia="MS Mincho"/>
          <w:lang w:val="fr-FR" w:eastAsia="nl-NL"/>
        </w:rPr>
        <w:tab/>
      </w:r>
      <w:r w:rsidRPr="001F0D5B">
        <w:rPr>
          <w:lang w:val="fr-FR"/>
        </w:rPr>
        <w:t xml:space="preserve">Un système d’assurance de la qualité est mis en place garantissant que la quantité totale de piles et batteries au lithium dans chaque wagon ou grand conteneur/unité de transport/unité de transport, remorque si elle est détachée du véhicule tracteur, wagon ou conteneur ne dépasse pas 333 kg; </w:t>
      </w:r>
    </w:p>
    <w:p w:rsidR="00A336BF" w:rsidRPr="001F0D5B" w:rsidRDefault="00A336BF" w:rsidP="00A336BF">
      <w:pPr>
        <w:pStyle w:val="SingleTxtG"/>
        <w:ind w:left="2268"/>
        <w:rPr>
          <w:rFonts w:eastAsia="MS Mincho"/>
          <w:i/>
          <w:lang w:val="fr-FR" w:eastAsia="nl-NL"/>
        </w:rPr>
      </w:pPr>
      <w:r w:rsidRPr="001F0D5B">
        <w:rPr>
          <w:b/>
          <w:i/>
          <w:lang w:val="fr-FR"/>
        </w:rPr>
        <w:t>NOTA:</w:t>
      </w:r>
      <w:r w:rsidRPr="001F0D5B">
        <w:rPr>
          <w:i/>
          <w:lang w:val="fr-FR"/>
        </w:rPr>
        <w:tab/>
        <w:t>La quantité totale de piles et batteries au lithium dans le lot peut être déterminée par une méthode statistique comprise dans le système d’assurance de la qualité. Une copie des relevés effectués dans le cadre du système d’assurance de la qualité doit être mise à disposition de l’autorité compétente si elle en fait la demande.</w:t>
      </w:r>
    </w:p>
    <w:p w:rsidR="00A336BF" w:rsidRPr="001F0D5B" w:rsidRDefault="00A336BF" w:rsidP="00A336BF">
      <w:pPr>
        <w:pStyle w:val="SingleTxtG"/>
        <w:rPr>
          <w:rFonts w:eastAsia="MS Mincho"/>
          <w:lang w:val="fr-FR" w:eastAsia="nl-NL"/>
        </w:rPr>
      </w:pPr>
      <w:r w:rsidRPr="001F0D5B">
        <w:rPr>
          <w:rFonts w:eastAsia="MS Mincho"/>
          <w:lang w:val="fr-FR" w:eastAsia="nl-NL"/>
        </w:rPr>
        <w:tab/>
        <w:t>(</w:t>
      </w:r>
      <w:proofErr w:type="gramStart"/>
      <w:r w:rsidRPr="001F0D5B">
        <w:rPr>
          <w:rFonts w:eastAsia="MS Mincho"/>
          <w:lang w:val="fr-FR" w:eastAsia="nl-NL"/>
        </w:rPr>
        <w:t>c</w:t>
      </w:r>
      <w:proofErr w:type="gramEnd"/>
      <w:r w:rsidRPr="001F0D5B">
        <w:rPr>
          <w:rFonts w:eastAsia="MS Mincho"/>
          <w:lang w:val="fr-FR" w:eastAsia="nl-NL"/>
        </w:rPr>
        <w:t>)</w:t>
      </w:r>
      <w:r w:rsidRPr="001F0D5B">
        <w:rPr>
          <w:rFonts w:eastAsia="MS Mincho"/>
          <w:lang w:val="fr-FR" w:eastAsia="nl-NL"/>
        </w:rPr>
        <w:tab/>
      </w:r>
      <w:r w:rsidRPr="001F0D5B">
        <w:rPr>
          <w:lang w:val="fr-FR"/>
        </w:rPr>
        <w:t>Les colis portent la marque "PILES AU LITHIUM POUR ÉLIMINATION" ou "PILES AU LITHIUM POUR RECYCLAGE" comme approprié</w:t>
      </w:r>
      <w:r w:rsidR="005155E2">
        <w:rPr>
          <w:lang w:val="fr-FR"/>
        </w:rPr>
        <w:t>.».</w:t>
      </w:r>
    </w:p>
    <w:p w:rsidR="00A336BF" w:rsidRPr="001F0D5B" w:rsidRDefault="00A336BF" w:rsidP="00A336BF">
      <w:pPr>
        <w:pStyle w:val="SingleTxtG"/>
        <w:rPr>
          <w:i/>
          <w:lang w:val="fr-FR"/>
        </w:rPr>
      </w:pPr>
      <w:r w:rsidRPr="001F0D5B">
        <w:rPr>
          <w:i/>
          <w:lang w:val="fr-FR"/>
        </w:rPr>
        <w:t>(Document de référence: ECE/TRANS/WP.15/AC.1/2016/19, tel que modifié et document informel INF.13)</w:t>
      </w:r>
    </w:p>
    <w:p w:rsidR="00A336BF" w:rsidRPr="001F0D5B" w:rsidRDefault="00A336BF" w:rsidP="00A336BF">
      <w:pPr>
        <w:pStyle w:val="SingleTxtG"/>
        <w:rPr>
          <w:rFonts w:eastAsia="MS Mincho"/>
          <w:lang w:val="fr-FR" w:eastAsia="nl-NL"/>
        </w:rPr>
      </w:pPr>
      <w:r w:rsidRPr="001F0D5B">
        <w:rPr>
          <w:rFonts w:eastAsia="MS Mincho"/>
          <w:lang w:val="fr-FR" w:eastAsia="nl-NL"/>
        </w:rPr>
        <w:t>Ajouter la nouvelle disposition spéciale suivante:</w:t>
      </w:r>
    </w:p>
    <w:p w:rsidR="00A336BF" w:rsidRPr="001F0D5B" w:rsidRDefault="005155E2" w:rsidP="00A336BF">
      <w:pPr>
        <w:pStyle w:val="SingleTxtG"/>
        <w:rPr>
          <w:rFonts w:eastAsia="MS Mincho"/>
          <w:lang w:val="fr-FR" w:eastAsia="nl-NL"/>
        </w:rPr>
      </w:pPr>
      <w:r>
        <w:rPr>
          <w:rFonts w:eastAsia="MS Mincho"/>
          <w:lang w:val="fr-FR" w:eastAsia="nl-NL"/>
        </w:rPr>
        <w:t>«</w:t>
      </w:r>
      <w:r w:rsidR="00A336BF" w:rsidRPr="001F0D5B">
        <w:rPr>
          <w:rFonts w:eastAsia="MS Mincho"/>
          <w:lang w:val="fr-FR" w:eastAsia="nl-NL"/>
        </w:rPr>
        <w:t>670</w:t>
      </w:r>
      <w:r w:rsidR="00A336BF" w:rsidRPr="001F0D5B">
        <w:rPr>
          <w:rFonts w:eastAsia="MS Mincho"/>
          <w:lang w:val="fr-FR" w:eastAsia="nl-NL"/>
        </w:rPr>
        <w:tab/>
        <w:t>a)</w:t>
      </w:r>
      <w:r w:rsidR="00A336BF" w:rsidRPr="001F0D5B">
        <w:rPr>
          <w:rFonts w:eastAsia="MS Mincho"/>
          <w:lang w:val="fr-FR" w:eastAsia="nl-NL"/>
        </w:rPr>
        <w:tab/>
      </w:r>
      <w:r w:rsidR="00A336BF" w:rsidRPr="001F0D5B">
        <w:rPr>
          <w:lang w:val="fr-FR"/>
        </w:rPr>
        <w:t>Les piles et batteries au lithium contenues dans des équ</w:t>
      </w:r>
      <w:r>
        <w:rPr>
          <w:lang w:val="fr-FR"/>
        </w:rPr>
        <w:t xml:space="preserve">ipements provenant des ménages </w:t>
      </w:r>
      <w:r w:rsidR="00A336BF" w:rsidRPr="001F0D5B">
        <w:rPr>
          <w:lang w:val="fr-FR"/>
        </w:rPr>
        <w:t>collectés et présentés au transport en vue de leur dépollution, démantèlement, élimination ou recyclage</w:t>
      </w:r>
      <w:r w:rsidR="00A336BF" w:rsidRPr="001F0D5B">
        <w:rPr>
          <w:rFonts w:eastAsia="MS Mincho"/>
          <w:lang w:val="fr-FR" w:eastAsia="nl-NL"/>
        </w:rPr>
        <w:t xml:space="preserve"> </w:t>
      </w:r>
      <w:r w:rsidR="00A336BF" w:rsidRPr="001F0D5B">
        <w:rPr>
          <w:lang w:val="fr-FR"/>
        </w:rPr>
        <w:t>ne sont pas soumises aux autres dispositions du RID/de l’ADR/de l’ADN, y compris la disposition spéciale 376 et le 2.2.9.1.7, si</w:t>
      </w:r>
      <w:r w:rsidR="00A336BF" w:rsidRPr="001F0D5B">
        <w:rPr>
          <w:rFonts w:eastAsia="MS Mincho"/>
          <w:lang w:val="fr-FR" w:eastAsia="nl-NL"/>
        </w:rPr>
        <w:t>:</w:t>
      </w:r>
    </w:p>
    <w:p w:rsidR="00A336BF" w:rsidRPr="001F0D5B" w:rsidRDefault="00A336BF" w:rsidP="00A336BF">
      <w:pPr>
        <w:pStyle w:val="SingleTxtG"/>
        <w:rPr>
          <w:rFonts w:eastAsia="MS Mincho"/>
          <w:lang w:val="fr-FR" w:eastAsia="nl-NL"/>
        </w:rPr>
      </w:pPr>
      <w:r w:rsidRPr="001F0D5B">
        <w:rPr>
          <w:rFonts w:eastAsia="MS Mincho"/>
          <w:lang w:val="fr-FR" w:eastAsia="nl-NL"/>
        </w:rPr>
        <w:tab/>
        <w:t>i)</w:t>
      </w:r>
      <w:r w:rsidRPr="001F0D5B">
        <w:rPr>
          <w:rFonts w:eastAsia="MS Mincho"/>
          <w:lang w:val="fr-FR" w:eastAsia="nl-NL"/>
        </w:rPr>
        <w:tab/>
      </w:r>
      <w:r w:rsidRPr="001F0D5B">
        <w:rPr>
          <w:rFonts w:eastAsia="MS Mincho"/>
          <w:lang w:val="fr-FR"/>
        </w:rPr>
        <w:t>Elles ne sont pas la source d'alimentation principale pour le fonctionnement de l'appareil dans lequel elles sont contenues;</w:t>
      </w:r>
    </w:p>
    <w:p w:rsidR="00A336BF" w:rsidRPr="001F0D5B" w:rsidRDefault="00A336BF" w:rsidP="00A336BF">
      <w:pPr>
        <w:pStyle w:val="SingleTxtG"/>
        <w:rPr>
          <w:rFonts w:eastAsia="MS Mincho"/>
          <w:lang w:val="fr-FR" w:eastAsia="nl-NL"/>
        </w:rPr>
      </w:pPr>
      <w:r w:rsidRPr="001F0D5B">
        <w:rPr>
          <w:rFonts w:eastAsia="MS Mincho"/>
          <w:lang w:val="fr-FR" w:eastAsia="nl-NL"/>
        </w:rPr>
        <w:tab/>
        <w:t>ii)</w:t>
      </w:r>
      <w:r w:rsidRPr="001F0D5B">
        <w:rPr>
          <w:rFonts w:eastAsia="MS Mincho"/>
          <w:lang w:val="fr-FR" w:eastAsia="nl-NL"/>
        </w:rPr>
        <w:tab/>
        <w:t>L’équipement dans lequel elles sont contenues ne contient aucune autre pile ou batterie au lithium comme source d'énergie principale; et</w:t>
      </w:r>
    </w:p>
    <w:p w:rsidR="00A336BF" w:rsidRPr="001F0D5B" w:rsidRDefault="00A336BF" w:rsidP="00A336BF">
      <w:pPr>
        <w:pStyle w:val="SingleTxtG"/>
        <w:rPr>
          <w:lang w:val="fr-FR"/>
        </w:rPr>
      </w:pPr>
      <w:r w:rsidRPr="001F0D5B">
        <w:rPr>
          <w:rFonts w:eastAsia="MS Mincho"/>
          <w:lang w:val="fr-FR" w:eastAsia="nl-NL"/>
        </w:rPr>
        <w:tab/>
        <w:t>iii)</w:t>
      </w:r>
      <w:r w:rsidRPr="001F0D5B">
        <w:rPr>
          <w:rFonts w:eastAsia="MS Mincho"/>
          <w:lang w:val="fr-FR" w:eastAsia="nl-NL"/>
        </w:rPr>
        <w:tab/>
      </w:r>
      <w:r w:rsidRPr="001F0D5B">
        <w:rPr>
          <w:lang w:val="fr-FR"/>
        </w:rPr>
        <w:t>Les piles ou batteries sont protégées par l’équipement dans lequel elles sont contenues.</w:t>
      </w:r>
      <w:r w:rsidRPr="001F0D5B">
        <w:rPr>
          <w:rFonts w:eastAsia="MS Mincho"/>
          <w:lang w:val="fr-FR" w:eastAsia="nl-NL"/>
        </w:rPr>
        <w:t xml:space="preserve"> </w:t>
      </w:r>
    </w:p>
    <w:p w:rsidR="00A336BF" w:rsidRPr="001F0D5B" w:rsidRDefault="00A336BF" w:rsidP="00A336BF">
      <w:pPr>
        <w:pStyle w:val="SingleTxtG"/>
        <w:rPr>
          <w:rFonts w:eastAsia="MS Mincho"/>
          <w:lang w:val="fr-FR" w:eastAsia="nl-NL"/>
        </w:rPr>
      </w:pPr>
      <w:r w:rsidRPr="001F0D5B">
        <w:rPr>
          <w:rFonts w:eastAsia="MS Mincho"/>
          <w:lang w:val="fr-FR" w:eastAsia="nl-NL"/>
        </w:rPr>
        <w:t xml:space="preserve">Des exemples des piles et batteries visées par ce paragraphe sont les piles boutons utilisées pour l'intégrité des données dans les appareils ménagers (par exemple les réfrigérateurs, </w:t>
      </w:r>
      <w:r w:rsidRPr="001F0D5B">
        <w:rPr>
          <w:rFonts w:eastAsia="MS Mincho"/>
          <w:lang w:val="fr-FR" w:eastAsia="nl-NL"/>
        </w:rPr>
        <w:lastRenderedPageBreak/>
        <w:t>machines à laver, lave-vaisselles) ou dans d'autres équipements électriques ou électroniques ;</w:t>
      </w:r>
    </w:p>
    <w:p w:rsidR="00A336BF" w:rsidRPr="001F0D5B" w:rsidRDefault="00A336BF" w:rsidP="00A336BF">
      <w:pPr>
        <w:pStyle w:val="SingleTxtG"/>
        <w:rPr>
          <w:rFonts w:eastAsia="MS Mincho"/>
          <w:lang w:val="fr-FR" w:eastAsia="nl-NL"/>
        </w:rPr>
      </w:pPr>
      <w:r w:rsidRPr="001F0D5B">
        <w:rPr>
          <w:rFonts w:eastAsia="MS Mincho"/>
          <w:lang w:val="fr-FR" w:eastAsia="nl-NL"/>
        </w:rPr>
        <w:tab/>
        <w:t>b)</w:t>
      </w:r>
      <w:r w:rsidRPr="001F0D5B">
        <w:rPr>
          <w:rFonts w:eastAsia="MS Mincho"/>
          <w:lang w:val="fr-FR" w:eastAsia="nl-NL"/>
        </w:rPr>
        <w:tab/>
      </w:r>
      <w:r w:rsidRPr="001F0D5B">
        <w:rPr>
          <w:lang w:val="fr-FR"/>
        </w:rPr>
        <w:t xml:space="preserve">Lorsqu’elles sont transportées jusqu’aux lieux de traitement intermédiaire, les piles et batteries au lithium, qui ne répondent pas aux prescriptions du paragraphe  </w:t>
      </w:r>
      <w:r w:rsidRPr="001F0D5B">
        <w:rPr>
          <w:rFonts w:eastAsia="MS Mincho"/>
          <w:lang w:val="fr-FR" w:eastAsia="nl-NL"/>
        </w:rPr>
        <w:t xml:space="preserve">a), </w:t>
      </w:r>
      <w:r w:rsidRPr="001F0D5B">
        <w:rPr>
          <w:lang w:val="fr-FR"/>
        </w:rPr>
        <w:t>contenues dans des équipements provenant des ménages, collectés et présentés au transport en vue de leur dépollution, démantèlement, élimination ou recyclage,</w:t>
      </w:r>
      <w:r w:rsidRPr="001F0D5B">
        <w:rPr>
          <w:rFonts w:eastAsia="MS Mincho"/>
          <w:lang w:val="fr-FR" w:eastAsia="nl-NL"/>
        </w:rPr>
        <w:t xml:space="preserve"> </w:t>
      </w:r>
      <w:r w:rsidRPr="001F0D5B">
        <w:rPr>
          <w:lang w:val="fr-FR"/>
        </w:rPr>
        <w:t>ne sont pas soumises aux autres dispositions du RID/de l’ADR/de l’ADN, y compris la disposition spéciale 376 et le 2.2.9.1.7</w:t>
      </w:r>
      <w:r w:rsidRPr="001F0D5B">
        <w:rPr>
          <w:rFonts w:eastAsia="MS Mincho"/>
          <w:lang w:val="fr-FR" w:eastAsia="nl-NL"/>
        </w:rPr>
        <w:t>, s’il est satisfait aux conditions suivantes:</w:t>
      </w:r>
    </w:p>
    <w:p w:rsidR="00A336BF" w:rsidRPr="001F0D5B" w:rsidRDefault="00A336BF" w:rsidP="00A336BF">
      <w:pPr>
        <w:pStyle w:val="SingleTxtG"/>
        <w:ind w:left="2268"/>
        <w:rPr>
          <w:rFonts w:eastAsia="MS Mincho"/>
          <w:lang w:val="fr-FR" w:eastAsia="nl-NL"/>
        </w:rPr>
      </w:pPr>
      <w:r w:rsidRPr="001F0D5B">
        <w:rPr>
          <w:rFonts w:eastAsia="MS Mincho"/>
          <w:lang w:val="fr-FR" w:eastAsia="nl-NL"/>
        </w:rPr>
        <w:t>i)</w:t>
      </w:r>
      <w:r w:rsidRPr="001F0D5B">
        <w:rPr>
          <w:rFonts w:eastAsia="MS Mincho"/>
          <w:lang w:val="fr-FR" w:eastAsia="nl-NL"/>
        </w:rPr>
        <w:tab/>
        <w:t xml:space="preserve">Les équipements sont emballés selon les </w:t>
      </w:r>
      <w:r w:rsidRPr="001F0D5B">
        <w:rPr>
          <w:lang w:val="fr-FR"/>
        </w:rPr>
        <w:t>dispositions de l’instruction d’emballage P909 du 4.1.4.1, à l’exception des dispositions supplémentaires 1 et 2;</w:t>
      </w:r>
      <w:r w:rsidRPr="001F0D5B">
        <w:rPr>
          <w:rFonts w:eastAsia="MS Mincho"/>
          <w:lang w:val="fr-FR" w:eastAsia="nl-NL"/>
        </w:rPr>
        <w:t xml:space="preserve"> ou ils sont emballés dans des emballages extérieurs solides comme par exemple des récipients de collecte spécialement conçus qui répondent aux prescriptions suivantes: </w:t>
      </w:r>
    </w:p>
    <w:p w:rsidR="00A336BF" w:rsidRPr="001F0D5B" w:rsidRDefault="00A336BF" w:rsidP="00A336BF">
      <w:pPr>
        <w:pStyle w:val="SingleTxtG"/>
        <w:ind w:left="2835"/>
        <w:rPr>
          <w:rFonts w:eastAsia="MS Mincho"/>
          <w:lang w:val="fr-FR" w:eastAsia="nl-NL"/>
        </w:rPr>
      </w:pPr>
      <w:r w:rsidRPr="001F0D5B">
        <w:rPr>
          <w:rFonts w:eastAsia="MS Mincho"/>
          <w:lang w:val="fr-FR" w:eastAsia="nl-NL"/>
        </w:rPr>
        <w:tab/>
        <w:t>-</w:t>
      </w:r>
      <w:r w:rsidRPr="001F0D5B">
        <w:rPr>
          <w:rFonts w:eastAsia="MS Mincho"/>
          <w:lang w:val="fr-FR" w:eastAsia="nl-NL"/>
        </w:rPr>
        <w:tab/>
        <w:t>Les emballages doivent être fabriqués en matériaux appropriés et être de résistance suffisante et conçus en fonction de leur capacité et de leur utilisation prévue. Il n’est pas nécessaire que les emballages répondent aux prescriptions du 4.1.1.3;</w:t>
      </w:r>
    </w:p>
    <w:p w:rsidR="00A336BF" w:rsidRPr="001F0D5B" w:rsidRDefault="00A336BF" w:rsidP="00A336BF">
      <w:pPr>
        <w:pStyle w:val="SingleTxtG"/>
        <w:ind w:left="2835"/>
        <w:rPr>
          <w:rFonts w:eastAsia="MS Mincho"/>
          <w:lang w:val="fr-FR" w:eastAsia="nl-NL"/>
        </w:rPr>
      </w:pPr>
      <w:r w:rsidRPr="001F0D5B">
        <w:rPr>
          <w:rFonts w:eastAsia="MS Mincho"/>
          <w:lang w:val="fr-FR" w:eastAsia="nl-NL"/>
        </w:rPr>
        <w:tab/>
        <w:t>-</w:t>
      </w:r>
      <w:r w:rsidRPr="001F0D5B">
        <w:rPr>
          <w:rFonts w:eastAsia="MS Mincho"/>
          <w:lang w:val="fr-FR" w:eastAsia="nl-NL"/>
        </w:rPr>
        <w:tab/>
        <w:t>Des mesures appropriées doivent être prises pour minimiser les dommages aux équipements lors de leur mise en emballage et lors de la manipulation des emballages, par exemple l’utilisation de tapis de caoutchouc; et</w:t>
      </w:r>
    </w:p>
    <w:p w:rsidR="00A336BF" w:rsidRPr="001F0D5B" w:rsidRDefault="00A336BF" w:rsidP="00A336BF">
      <w:pPr>
        <w:pStyle w:val="SingleTxtG"/>
        <w:ind w:left="2835"/>
        <w:rPr>
          <w:rFonts w:eastAsia="MS Mincho"/>
          <w:lang w:val="fr-FR" w:eastAsia="nl-NL"/>
        </w:rPr>
      </w:pPr>
      <w:r w:rsidRPr="001F0D5B">
        <w:rPr>
          <w:rFonts w:eastAsia="MS Mincho"/>
          <w:lang w:val="fr-FR" w:eastAsia="nl-NL"/>
        </w:rPr>
        <w:tab/>
        <w:t>-</w:t>
      </w:r>
      <w:r w:rsidRPr="001F0D5B">
        <w:rPr>
          <w:rFonts w:eastAsia="MS Mincho"/>
          <w:lang w:val="fr-FR" w:eastAsia="nl-NL"/>
        </w:rPr>
        <w:tab/>
      </w:r>
      <w:r w:rsidRPr="001F0D5B">
        <w:rPr>
          <w:rFonts w:eastAsia="MS Mincho"/>
          <w:szCs w:val="24"/>
          <w:lang w:val="fr-FR" w:eastAsia="nl-NL"/>
        </w:rPr>
        <w:t>Les emballages sont fabriqués et fermés, lorsqu’ils sont préparés pour l’expédition, de façon à exclure toute perte du contenu durant le transport, par exemple à l’aide de couvercles, de doublures intérieures résistantes ou d’autres moyens de protection. Des ouvertures destinées au remplissage sont acceptables pour autant qu’elles soient conçues de manière à éviter les pertes de contenu;</w:t>
      </w:r>
    </w:p>
    <w:p w:rsidR="00A336BF" w:rsidRPr="001F0D5B" w:rsidRDefault="00A336BF" w:rsidP="00A336BF">
      <w:pPr>
        <w:pStyle w:val="SingleTxtG"/>
        <w:ind w:left="2268"/>
        <w:rPr>
          <w:rFonts w:eastAsia="MS Mincho"/>
          <w:lang w:val="fr-FR" w:eastAsia="nl-NL"/>
        </w:rPr>
      </w:pPr>
      <w:r w:rsidRPr="001F0D5B">
        <w:rPr>
          <w:rFonts w:eastAsia="MS Mincho"/>
          <w:lang w:val="fr-FR" w:eastAsia="nl-NL"/>
        </w:rPr>
        <w:tab/>
        <w:t>ii)</w:t>
      </w:r>
      <w:r w:rsidRPr="001F0D5B">
        <w:rPr>
          <w:rFonts w:eastAsia="MS Mincho"/>
          <w:lang w:val="fr-FR" w:eastAsia="nl-NL"/>
        </w:rPr>
        <w:tab/>
      </w:r>
      <w:r w:rsidRPr="001F0D5B">
        <w:rPr>
          <w:lang w:val="fr-FR"/>
        </w:rPr>
        <w:t>Un système d’assurance de la qualité est mis en place garantissant que la quantité totale de piles et batteries au lithium dans chaque wagon ou grand conteneur/unité de transport/unité de transport, remorque si elle est détachée du véhicule tracteur, wagon ou conteneur ne dépasse pas 333 kg;</w:t>
      </w:r>
    </w:p>
    <w:p w:rsidR="00A336BF" w:rsidRPr="001F0D5B" w:rsidRDefault="00A336BF" w:rsidP="00A336BF">
      <w:pPr>
        <w:pStyle w:val="SingleTxtG"/>
        <w:ind w:left="2835"/>
        <w:rPr>
          <w:rFonts w:eastAsia="MS Mincho"/>
          <w:i/>
          <w:lang w:val="fr-FR" w:eastAsia="nl-NL"/>
        </w:rPr>
      </w:pPr>
      <w:r w:rsidRPr="001F0D5B">
        <w:rPr>
          <w:rFonts w:eastAsia="MS Mincho"/>
          <w:b/>
          <w:i/>
          <w:iCs/>
          <w:lang w:val="fr-FR" w:eastAsia="nl-NL"/>
        </w:rPr>
        <w:t>NOTA:</w:t>
      </w:r>
      <w:r w:rsidRPr="001F0D5B">
        <w:rPr>
          <w:rFonts w:eastAsia="MS Mincho"/>
          <w:i/>
          <w:iCs/>
          <w:lang w:val="fr-FR" w:eastAsia="nl-NL"/>
        </w:rPr>
        <w:t xml:space="preserve"> </w:t>
      </w:r>
      <w:r w:rsidRPr="001F0D5B">
        <w:rPr>
          <w:rFonts w:eastAsia="MS Mincho"/>
          <w:i/>
          <w:iCs/>
          <w:lang w:val="fr-FR" w:eastAsia="nl-NL"/>
        </w:rPr>
        <w:tab/>
      </w:r>
      <w:r w:rsidRPr="001F0D5B">
        <w:rPr>
          <w:i/>
          <w:lang w:val="fr-FR"/>
        </w:rPr>
        <w:t>La quantité totale de piles et batteries au lithium dans les équipements provenant des ménages peut être déterminée par une méthode statistique comprise dans le système d’assurance de la qualité. Une copie des relevés effectués dans le cadre du système d’assurance de la qualité doit être mise à disposition de l’autorité compétente si elle en fait la demande.</w:t>
      </w:r>
    </w:p>
    <w:p w:rsidR="00A336BF" w:rsidRPr="001F0D5B" w:rsidRDefault="00A336BF" w:rsidP="00A336BF">
      <w:pPr>
        <w:pStyle w:val="SingleTxtG"/>
        <w:ind w:left="2268"/>
        <w:rPr>
          <w:rFonts w:eastAsia="MS Mincho"/>
          <w:lang w:val="fr-FR" w:eastAsia="nl-NL"/>
        </w:rPr>
      </w:pPr>
      <w:r w:rsidRPr="001F0D5B">
        <w:rPr>
          <w:rFonts w:eastAsia="MS Mincho"/>
          <w:lang w:val="fr-FR" w:eastAsia="nl-NL"/>
        </w:rPr>
        <w:t>iii)</w:t>
      </w:r>
      <w:r w:rsidRPr="001F0D5B">
        <w:rPr>
          <w:rFonts w:eastAsia="MS Mincho"/>
          <w:lang w:val="fr-FR" w:eastAsia="nl-NL"/>
        </w:rPr>
        <w:tab/>
        <w:t>Les colis portent la marque “PILES AU LITHIUM POUR ÉLIMINATION” ou “PILES AU LITHIUM POUR RECYCLAGE”, selon le cas. Si des équipements contenant des piles ou batteries au lithium sont transportés non emballés ou sur des palettes conformément à la prescription d’emballage P909 3) du paragraphe 4.1.4.1, cette marque peut alternativement être fixée sur la surface extérieure des wagons ou des grands conteneurs/véhicules ou des conteneurs/véhicules, wagons ou conteneurs.</w:t>
      </w:r>
    </w:p>
    <w:p w:rsidR="00A336BF" w:rsidRPr="001F0D5B" w:rsidRDefault="00A336BF" w:rsidP="00A336BF">
      <w:pPr>
        <w:pStyle w:val="SingleTxtG"/>
        <w:ind w:left="2268"/>
        <w:rPr>
          <w:rFonts w:eastAsia="MS Mincho"/>
          <w:i/>
          <w:lang w:val="fr-FR" w:eastAsia="nl-NL"/>
        </w:rPr>
      </w:pPr>
      <w:r w:rsidRPr="001F0D5B">
        <w:rPr>
          <w:rFonts w:eastAsia="MS Mincho"/>
          <w:b/>
          <w:i/>
          <w:lang w:val="fr-FR" w:eastAsia="nl-NL"/>
        </w:rPr>
        <w:t>NOTA:</w:t>
      </w:r>
      <w:r w:rsidRPr="001F0D5B">
        <w:rPr>
          <w:rFonts w:eastAsia="MS Mincho"/>
          <w:i/>
          <w:lang w:val="fr-FR" w:eastAsia="nl-NL"/>
        </w:rPr>
        <w:t xml:space="preserve"> Par “équipements provenant des ménages” on entend les équipements qui proviennent des ménages et les équipements d’origine commerciale, industrielle, institutionnelle et autre qui, en raison de leur nature et de leur quantité, sont similaires à ceux des ménages. Les équipements susceptibles d’être utilisés à la fois par les ménages et les </w:t>
      </w:r>
      <w:r w:rsidRPr="001F0D5B">
        <w:rPr>
          <w:rFonts w:eastAsia="MS Mincho"/>
          <w:i/>
          <w:lang w:val="fr-FR" w:eastAsia="nl-NL"/>
        </w:rPr>
        <w:lastRenderedPageBreak/>
        <w:t>utilisateurs autres que les ménages doivent en tout état de cause être considérés comme étant des équipements provenant des ménages.».</w:t>
      </w:r>
    </w:p>
    <w:p w:rsidR="00A336BF" w:rsidRPr="001F0D5B" w:rsidRDefault="00A336BF" w:rsidP="00A336BF">
      <w:pPr>
        <w:pStyle w:val="SingleTxtG"/>
        <w:rPr>
          <w:i/>
          <w:lang w:val="fr-FR"/>
        </w:rPr>
      </w:pPr>
      <w:r w:rsidRPr="001F0D5B">
        <w:rPr>
          <w:i/>
          <w:lang w:val="fr-FR"/>
        </w:rPr>
        <w:t>(Document de référence: ECE/TRANS/WP.15/AC.1/2016/19)</w:t>
      </w:r>
    </w:p>
    <w:p w:rsidR="00A336BF" w:rsidRPr="001F0D5B" w:rsidRDefault="00A336BF" w:rsidP="00A336BF">
      <w:pPr>
        <w:pStyle w:val="H1G"/>
        <w:rPr>
          <w:lang w:val="fr-FR"/>
        </w:rPr>
      </w:pPr>
      <w:r w:rsidRPr="001F0D5B">
        <w:rPr>
          <w:lang w:val="fr-FR"/>
        </w:rPr>
        <w:tab/>
      </w:r>
      <w:r w:rsidRPr="001F0D5B">
        <w:rPr>
          <w:lang w:val="fr-FR"/>
        </w:rPr>
        <w:tab/>
        <w:t>Chapitre 4.1</w:t>
      </w:r>
      <w:r w:rsidRPr="001F0D5B">
        <w:rPr>
          <w:lang w:val="fr-FR"/>
        </w:rPr>
        <w:tab/>
      </w:r>
    </w:p>
    <w:p w:rsidR="00A336BF" w:rsidRPr="001F0D5B" w:rsidRDefault="00A336BF" w:rsidP="00A336BF">
      <w:pPr>
        <w:pStyle w:val="SingleTxtG"/>
        <w:rPr>
          <w:lang w:val="fr-FR"/>
        </w:rPr>
      </w:pPr>
      <w:r w:rsidRPr="001F0D5B">
        <w:rPr>
          <w:lang w:val="fr-FR"/>
        </w:rPr>
        <w:t>4.1.4.1, instruction d’emballage P200 11):</w:t>
      </w:r>
      <w:r w:rsidRPr="001F0D5B">
        <w:rPr>
          <w:lang w:val="fr-FR"/>
        </w:rPr>
        <w:tab/>
      </w:r>
      <w:r w:rsidRPr="001F0D5B">
        <w:rPr>
          <w:lang w:val="fr-FR"/>
        </w:rPr>
        <w:tab/>
        <w:t>Dans le tableau, supprimer les deux premières lignes (pour EN 1919:2000 et EN 1920:2000) et ajouter la nouvelle ligne suivante:</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700"/>
        <w:gridCol w:w="6380"/>
      </w:tblGrid>
      <w:tr w:rsidR="00A336BF" w:rsidRPr="001F0D5B" w:rsidTr="007265A1">
        <w:trPr>
          <w:trHeight w:val="20"/>
        </w:trPr>
        <w:tc>
          <w:tcPr>
            <w:tcW w:w="1560" w:type="dxa"/>
          </w:tcPr>
          <w:p w:rsidR="00A336BF" w:rsidRPr="001F0D5B" w:rsidRDefault="00A336BF" w:rsidP="007265A1">
            <w:pPr>
              <w:keepNext/>
              <w:keepLines/>
              <w:spacing w:before="20" w:after="20"/>
              <w:jc w:val="center"/>
              <w:rPr>
                <w:b/>
                <w:bCs/>
                <w:sz w:val="19"/>
                <w:szCs w:val="19"/>
                <w:lang w:val="fr-FR"/>
              </w:rPr>
            </w:pPr>
            <w:r w:rsidRPr="001F0D5B">
              <w:rPr>
                <w:b/>
                <w:bCs/>
                <w:sz w:val="19"/>
                <w:szCs w:val="19"/>
                <w:lang w:val="fr-FR"/>
              </w:rPr>
              <w:t>Prescriptions applicables</w:t>
            </w:r>
          </w:p>
        </w:tc>
        <w:tc>
          <w:tcPr>
            <w:tcW w:w="1701" w:type="dxa"/>
          </w:tcPr>
          <w:p w:rsidR="00A336BF" w:rsidRPr="001F0D5B" w:rsidRDefault="00A336BF" w:rsidP="007265A1">
            <w:pPr>
              <w:keepNext/>
              <w:keepLines/>
              <w:spacing w:before="20" w:after="20"/>
              <w:jc w:val="center"/>
              <w:rPr>
                <w:b/>
                <w:bCs/>
                <w:sz w:val="19"/>
                <w:szCs w:val="19"/>
                <w:lang w:val="fr-FR"/>
              </w:rPr>
            </w:pPr>
            <w:r w:rsidRPr="001F0D5B">
              <w:rPr>
                <w:b/>
                <w:bCs/>
                <w:sz w:val="19"/>
                <w:szCs w:val="19"/>
                <w:lang w:val="fr-FR"/>
              </w:rPr>
              <w:t>Référence</w:t>
            </w:r>
          </w:p>
        </w:tc>
        <w:tc>
          <w:tcPr>
            <w:tcW w:w="6384" w:type="dxa"/>
          </w:tcPr>
          <w:p w:rsidR="00A336BF" w:rsidRPr="001F0D5B" w:rsidRDefault="00A336BF" w:rsidP="007265A1">
            <w:pPr>
              <w:keepNext/>
              <w:keepLines/>
              <w:spacing w:before="20" w:after="20"/>
              <w:jc w:val="center"/>
              <w:rPr>
                <w:b/>
                <w:bCs/>
                <w:sz w:val="19"/>
                <w:szCs w:val="19"/>
                <w:lang w:val="fr-FR"/>
              </w:rPr>
            </w:pPr>
            <w:r w:rsidRPr="001F0D5B">
              <w:rPr>
                <w:b/>
                <w:bCs/>
                <w:sz w:val="19"/>
                <w:szCs w:val="19"/>
                <w:lang w:val="fr-FR"/>
              </w:rPr>
              <w:t>Titre du document</w:t>
            </w:r>
          </w:p>
        </w:tc>
      </w:tr>
      <w:tr w:rsidR="00A336BF" w:rsidRPr="001F0D5B" w:rsidTr="007265A1">
        <w:trPr>
          <w:trHeight w:val="20"/>
        </w:trPr>
        <w:tc>
          <w:tcPr>
            <w:tcW w:w="1560" w:type="dxa"/>
          </w:tcPr>
          <w:p w:rsidR="00A336BF" w:rsidRPr="001F0D5B" w:rsidRDefault="00A336BF" w:rsidP="007265A1">
            <w:pPr>
              <w:keepNext/>
              <w:keepLines/>
              <w:spacing w:before="20" w:after="20"/>
              <w:jc w:val="center"/>
              <w:rPr>
                <w:sz w:val="19"/>
                <w:szCs w:val="19"/>
                <w:lang w:val="fr-FR"/>
              </w:rPr>
            </w:pPr>
            <w:r w:rsidRPr="001F0D5B">
              <w:rPr>
                <w:sz w:val="19"/>
                <w:szCs w:val="19"/>
                <w:lang w:val="fr-FR" w:bidi="ar-KW"/>
              </w:rPr>
              <w:t>7)</w:t>
            </w:r>
          </w:p>
        </w:tc>
        <w:tc>
          <w:tcPr>
            <w:tcW w:w="1701" w:type="dxa"/>
          </w:tcPr>
          <w:p w:rsidR="00A336BF" w:rsidRPr="001F0D5B" w:rsidRDefault="00A336BF" w:rsidP="007265A1">
            <w:pPr>
              <w:keepNext/>
              <w:keepLines/>
              <w:spacing w:before="20" w:after="20"/>
              <w:jc w:val="center"/>
              <w:rPr>
                <w:sz w:val="19"/>
                <w:szCs w:val="19"/>
                <w:lang w:val="fr-FR"/>
              </w:rPr>
            </w:pPr>
            <w:r w:rsidRPr="001F0D5B">
              <w:rPr>
                <w:sz w:val="19"/>
                <w:szCs w:val="19"/>
                <w:lang w:val="fr-FR" w:bidi="ar-KW"/>
              </w:rPr>
              <w:t>EN ISO 24431</w:t>
            </w:r>
            <w:proofErr w:type="gramStart"/>
            <w:r w:rsidRPr="001F0D5B">
              <w:rPr>
                <w:sz w:val="19"/>
                <w:szCs w:val="19"/>
                <w:lang w:val="fr-FR" w:bidi="ar-KW"/>
              </w:rPr>
              <w:t>:[</w:t>
            </w:r>
            <w:proofErr w:type="gramEnd"/>
            <w:r w:rsidRPr="001F0D5B">
              <w:rPr>
                <w:sz w:val="19"/>
                <w:szCs w:val="19"/>
                <w:lang w:val="fr-FR" w:bidi="ar-KW"/>
              </w:rPr>
              <w:t>2016]</w:t>
            </w:r>
          </w:p>
        </w:tc>
        <w:tc>
          <w:tcPr>
            <w:tcW w:w="6384" w:type="dxa"/>
          </w:tcPr>
          <w:p w:rsidR="00A336BF" w:rsidRPr="001F0D5B" w:rsidRDefault="00A336BF" w:rsidP="007265A1">
            <w:pPr>
              <w:keepNext/>
              <w:keepLines/>
              <w:spacing w:before="20" w:after="20"/>
              <w:ind w:right="77"/>
              <w:rPr>
                <w:sz w:val="19"/>
                <w:szCs w:val="19"/>
                <w:lang w:val="fr-FR"/>
              </w:rPr>
            </w:pPr>
            <w:r w:rsidRPr="001F0D5B">
              <w:rPr>
                <w:lang w:val="fr-FR"/>
              </w:rPr>
              <w:t>Bouteilles à gaz - Bouteilles à gaz comprimés et liquéfiés, sans soudure, soudées et composites (à l'exception de l'acétylène) - Contrôle au moment du remplissage</w:t>
            </w:r>
          </w:p>
        </w:tc>
      </w:tr>
    </w:tbl>
    <w:p w:rsidR="00A336BF" w:rsidRPr="001F0D5B" w:rsidRDefault="00A336BF" w:rsidP="00A336BF">
      <w:pPr>
        <w:pStyle w:val="SingleTxtG"/>
        <w:spacing w:before="120"/>
        <w:rPr>
          <w:i/>
          <w:iCs/>
          <w:lang w:val="fr-FR"/>
        </w:rPr>
      </w:pPr>
      <w:r w:rsidRPr="001F0D5B">
        <w:rPr>
          <w:i/>
          <w:iCs/>
          <w:lang w:val="fr-FR"/>
        </w:rPr>
        <w:t>(Document de référence : document informel INF.34, proposition 1)</w:t>
      </w:r>
    </w:p>
    <w:p w:rsidR="00A336BF" w:rsidRPr="001F0D5B" w:rsidRDefault="00A336BF" w:rsidP="00A336BF">
      <w:pPr>
        <w:pStyle w:val="SingleTxtG"/>
        <w:rPr>
          <w:lang w:val="fr-FR"/>
        </w:rPr>
      </w:pPr>
      <w:r w:rsidRPr="001F0D5B">
        <w:rPr>
          <w:lang w:val="fr-FR"/>
        </w:rPr>
        <w:t>4.1.4.1, instruction d’emballage P200 13):</w:t>
      </w:r>
      <w:r w:rsidRPr="001F0D5B">
        <w:rPr>
          <w:lang w:val="fr-FR"/>
        </w:rPr>
        <w:tab/>
      </w:r>
      <w:r w:rsidRPr="001F0D5B">
        <w:rPr>
          <w:lang w:val="fr-FR"/>
        </w:rPr>
        <w:tab/>
        <w:t>Dans le paragraphe 2.1, remplacer «</w:t>
      </w:r>
      <w:r w:rsidRPr="001F0D5B">
        <w:rPr>
          <w:rFonts w:ascii="TimesNewRomanPSMT" w:hAnsi="TimesNewRomanPSMT" w:cs="TimesNewRomanPSMT"/>
          <w:lang w:val="fr-FR" w:eastAsia="en-GB"/>
        </w:rPr>
        <w:t>EN 1919:2000, EN 1920:2000</w:t>
      </w:r>
      <w:r w:rsidRPr="001F0D5B">
        <w:rPr>
          <w:lang w:val="fr-FR"/>
        </w:rPr>
        <w:t>» par «</w:t>
      </w:r>
      <w:r w:rsidRPr="001F0D5B">
        <w:rPr>
          <w:sz w:val="19"/>
          <w:szCs w:val="19"/>
          <w:lang w:val="fr-FR" w:bidi="ar-KW"/>
        </w:rPr>
        <w:t>EN ISO 24431</w:t>
      </w:r>
      <w:proofErr w:type="gramStart"/>
      <w:r w:rsidRPr="001F0D5B">
        <w:rPr>
          <w:sz w:val="19"/>
          <w:szCs w:val="19"/>
          <w:lang w:val="fr-FR" w:bidi="ar-KW"/>
        </w:rPr>
        <w:t>:[</w:t>
      </w:r>
      <w:proofErr w:type="gramEnd"/>
      <w:r w:rsidRPr="001F0D5B">
        <w:rPr>
          <w:sz w:val="19"/>
          <w:szCs w:val="19"/>
          <w:lang w:val="fr-FR" w:bidi="ar-KW"/>
        </w:rPr>
        <w:t>2016]</w:t>
      </w:r>
      <w:r w:rsidRPr="001F0D5B">
        <w:rPr>
          <w:lang w:val="fr-FR"/>
        </w:rPr>
        <w:t>».</w:t>
      </w:r>
    </w:p>
    <w:p w:rsidR="00A336BF" w:rsidRPr="001F0D5B" w:rsidRDefault="00A336BF" w:rsidP="00A336BF">
      <w:pPr>
        <w:pStyle w:val="SingleTxtG"/>
        <w:spacing w:before="120"/>
        <w:rPr>
          <w:i/>
          <w:iCs/>
          <w:lang w:val="fr-FR"/>
        </w:rPr>
      </w:pPr>
      <w:r w:rsidRPr="001F0D5B">
        <w:rPr>
          <w:i/>
          <w:iCs/>
          <w:lang w:val="fr-FR"/>
        </w:rPr>
        <w:t>(Document de référence : document informel INF.34, proposition 1)</w:t>
      </w:r>
    </w:p>
    <w:p w:rsidR="00A336BF" w:rsidRPr="001F0D5B" w:rsidRDefault="00A336BF" w:rsidP="00A336BF">
      <w:pPr>
        <w:pStyle w:val="H1G"/>
        <w:rPr>
          <w:lang w:val="fr-FR"/>
        </w:rPr>
      </w:pPr>
      <w:r w:rsidRPr="001F0D5B">
        <w:rPr>
          <w:lang w:val="fr-FR"/>
        </w:rPr>
        <w:tab/>
      </w:r>
      <w:r w:rsidRPr="001F0D5B">
        <w:rPr>
          <w:lang w:val="fr-FR"/>
        </w:rPr>
        <w:tab/>
        <w:t>Chapitre 4.3</w:t>
      </w:r>
      <w:r w:rsidRPr="001F0D5B">
        <w:rPr>
          <w:lang w:val="fr-FR"/>
        </w:rPr>
        <w:tab/>
      </w:r>
    </w:p>
    <w:p w:rsidR="00A336BF" w:rsidRPr="001F0D5B" w:rsidRDefault="00A336BF" w:rsidP="00A336BF">
      <w:pPr>
        <w:pStyle w:val="SingleTxtG"/>
        <w:rPr>
          <w:rFonts w:ascii="Times" w:eastAsia="MS Mincho" w:hAnsi="Times" w:cs="Times"/>
          <w:sz w:val="24"/>
          <w:szCs w:val="24"/>
          <w:lang w:val="fr-FR" w:eastAsia="fr-FR"/>
        </w:rPr>
      </w:pPr>
      <w:r w:rsidRPr="001F0D5B">
        <w:rPr>
          <w:lang w:val="fr-FR"/>
        </w:rPr>
        <w:t>4.3.4.1.3</w:t>
      </w:r>
      <w:r w:rsidRPr="001F0D5B">
        <w:rPr>
          <w:lang w:val="fr-FR"/>
        </w:rPr>
        <w:tab/>
        <w:t xml:space="preserve">À la fin du premier paragraphe du 4.3.4.1.3, ajouter la phrase suivante: </w:t>
      </w:r>
      <w:r w:rsidR="00702808">
        <w:rPr>
          <w:lang w:val="fr-FR"/>
        </w:rPr>
        <w:br/>
      </w:r>
      <w:r w:rsidRPr="001F0D5B">
        <w:rPr>
          <w:lang w:val="fr-FR"/>
        </w:rPr>
        <w:t>«Les prescriptions pour ces citernes sont données par les codes-citerne suivants, complétés par des dispositions spéciales pertinentes indiquées dans la colonne (13) du tableau A du chapitre 3.2.».</w:t>
      </w:r>
    </w:p>
    <w:p w:rsidR="00A336BF" w:rsidRPr="001F0D5B" w:rsidRDefault="00A336BF" w:rsidP="00A336BF">
      <w:pPr>
        <w:pStyle w:val="SingleTxtG"/>
        <w:rPr>
          <w:lang w:val="fr-FR"/>
        </w:rPr>
      </w:pPr>
      <w:r w:rsidRPr="001F0D5B">
        <w:rPr>
          <w:lang w:val="fr-FR"/>
        </w:rPr>
        <w:t>Remplacer les paragraphes a) à i) par le tableau suivant:</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976"/>
        <w:gridCol w:w="5943"/>
        <w:gridCol w:w="1617"/>
      </w:tblGrid>
      <w:tr w:rsidR="00A336BF" w:rsidRPr="00E31A9B" w:rsidTr="007265A1">
        <w:trPr>
          <w:cantSplit/>
          <w:trHeight w:val="20"/>
          <w:tblHeader/>
          <w:jc w:val="center"/>
        </w:trPr>
        <w:tc>
          <w:tcPr>
            <w:tcW w:w="0" w:type="auto"/>
            <w:tcBorders>
              <w:bottom w:val="single" w:sz="4" w:space="0" w:color="auto"/>
            </w:tcBorders>
          </w:tcPr>
          <w:p w:rsidR="00A336BF" w:rsidRPr="00E31A9B" w:rsidRDefault="00A336BF" w:rsidP="007265A1">
            <w:pPr>
              <w:pageBreakBefore/>
              <w:spacing w:line="240" w:lineRule="auto"/>
              <w:jc w:val="center"/>
            </w:pPr>
            <w:r w:rsidRPr="00E31A9B">
              <w:lastRenderedPageBreak/>
              <w:t>Classe</w:t>
            </w:r>
          </w:p>
        </w:tc>
        <w:tc>
          <w:tcPr>
            <w:tcW w:w="976" w:type="dxa"/>
            <w:tcBorders>
              <w:bottom w:val="single" w:sz="4" w:space="0" w:color="auto"/>
            </w:tcBorders>
          </w:tcPr>
          <w:p w:rsidR="00A336BF" w:rsidRPr="00E31A9B" w:rsidRDefault="00A336BF" w:rsidP="007265A1">
            <w:pPr>
              <w:spacing w:line="240" w:lineRule="auto"/>
              <w:jc w:val="center"/>
            </w:pPr>
            <w:r w:rsidRPr="00E31A9B">
              <w:t>No. ONU</w:t>
            </w:r>
          </w:p>
        </w:tc>
        <w:tc>
          <w:tcPr>
            <w:tcW w:w="5943" w:type="dxa"/>
            <w:tcBorders>
              <w:bottom w:val="single" w:sz="4" w:space="0" w:color="auto"/>
            </w:tcBorders>
          </w:tcPr>
          <w:p w:rsidR="00A336BF" w:rsidRPr="00E31A9B" w:rsidRDefault="00A336BF" w:rsidP="007265A1">
            <w:pPr>
              <w:spacing w:line="240" w:lineRule="auto"/>
              <w:jc w:val="center"/>
            </w:pPr>
            <w:r w:rsidRPr="00E31A9B">
              <w:t>Nom et description</w:t>
            </w:r>
          </w:p>
        </w:tc>
        <w:tc>
          <w:tcPr>
            <w:tcW w:w="1617" w:type="dxa"/>
            <w:tcBorders>
              <w:bottom w:val="single" w:sz="4" w:space="0" w:color="auto"/>
            </w:tcBorders>
          </w:tcPr>
          <w:p w:rsidR="00A336BF" w:rsidRPr="00E31A9B" w:rsidRDefault="00A336BF" w:rsidP="007265A1">
            <w:pPr>
              <w:spacing w:line="240" w:lineRule="auto"/>
              <w:jc w:val="center"/>
            </w:pPr>
            <w:r w:rsidRPr="00E31A9B">
              <w:t>Code-citerne</w:t>
            </w:r>
          </w:p>
        </w:tc>
      </w:tr>
      <w:tr w:rsidR="00A336BF" w:rsidRPr="00E31A9B" w:rsidTr="007265A1">
        <w:trPr>
          <w:cantSplit/>
          <w:trHeight w:val="20"/>
          <w:jc w:val="center"/>
        </w:trPr>
        <w:tc>
          <w:tcPr>
            <w:tcW w:w="9277" w:type="dxa"/>
            <w:gridSpan w:val="4"/>
            <w:tcBorders>
              <w:bottom w:val="nil"/>
            </w:tcBorders>
            <w:vAlign w:val="center"/>
          </w:tcPr>
          <w:p w:rsidR="00A336BF" w:rsidRPr="00E31A9B" w:rsidRDefault="00A336BF" w:rsidP="007265A1">
            <w:pPr>
              <w:spacing w:line="240" w:lineRule="auto"/>
            </w:pPr>
            <w:r w:rsidRPr="00E31A9B">
              <w:t>[ADR uniquement:]</w:t>
            </w:r>
          </w:p>
        </w:tc>
      </w:tr>
      <w:tr w:rsidR="00A336BF" w:rsidRPr="00E31A9B" w:rsidTr="007265A1">
        <w:trPr>
          <w:cantSplit/>
          <w:trHeight w:val="20"/>
          <w:jc w:val="center"/>
        </w:trPr>
        <w:tc>
          <w:tcPr>
            <w:tcW w:w="0" w:type="auto"/>
            <w:tcBorders>
              <w:top w:val="nil"/>
            </w:tcBorders>
          </w:tcPr>
          <w:p w:rsidR="00A336BF" w:rsidRPr="00E31A9B" w:rsidRDefault="00A336BF" w:rsidP="007265A1">
            <w:pPr>
              <w:spacing w:line="240" w:lineRule="auto"/>
              <w:jc w:val="center"/>
            </w:pPr>
            <w:r w:rsidRPr="00E31A9B">
              <w:t>1</w:t>
            </w:r>
          </w:p>
        </w:tc>
        <w:tc>
          <w:tcPr>
            <w:tcW w:w="976" w:type="dxa"/>
            <w:tcBorders>
              <w:top w:val="nil"/>
            </w:tcBorders>
          </w:tcPr>
          <w:p w:rsidR="00A336BF" w:rsidRPr="00E31A9B" w:rsidRDefault="00A336BF" w:rsidP="007265A1">
            <w:pPr>
              <w:spacing w:line="240" w:lineRule="auto"/>
              <w:jc w:val="center"/>
            </w:pPr>
            <w:r w:rsidRPr="00E31A9B">
              <w:t>0331</w:t>
            </w:r>
          </w:p>
        </w:tc>
        <w:tc>
          <w:tcPr>
            <w:tcW w:w="5943" w:type="dxa"/>
            <w:tcBorders>
              <w:top w:val="nil"/>
            </w:tcBorders>
          </w:tcPr>
          <w:p w:rsidR="00A336BF" w:rsidRPr="00E31A9B" w:rsidRDefault="00A336BF" w:rsidP="007265A1">
            <w:pPr>
              <w:spacing w:line="240" w:lineRule="auto"/>
            </w:pPr>
            <w:r w:rsidRPr="00E31A9B">
              <w:t>Explosif de mine (de sautage) du type B</w:t>
            </w:r>
          </w:p>
        </w:tc>
        <w:tc>
          <w:tcPr>
            <w:tcW w:w="1617" w:type="dxa"/>
            <w:tcBorders>
              <w:top w:val="nil"/>
            </w:tcBorders>
            <w:vAlign w:val="center"/>
          </w:tcPr>
          <w:p w:rsidR="00A336BF" w:rsidRPr="00E31A9B" w:rsidRDefault="00A336BF" w:rsidP="007265A1">
            <w:pPr>
              <w:spacing w:line="240" w:lineRule="auto"/>
              <w:jc w:val="center"/>
            </w:pPr>
            <w:r w:rsidRPr="00E31A9B">
              <w:t>S2.65AN</w:t>
            </w:r>
          </w:p>
        </w:tc>
      </w:tr>
      <w:tr w:rsidR="00A336BF" w:rsidRPr="00E31A9B" w:rsidTr="007265A1">
        <w:trPr>
          <w:cantSplit/>
          <w:trHeight w:val="20"/>
          <w:jc w:val="center"/>
        </w:trPr>
        <w:tc>
          <w:tcPr>
            <w:tcW w:w="0" w:type="auto"/>
            <w:vMerge w:val="restart"/>
          </w:tcPr>
          <w:p w:rsidR="00A336BF" w:rsidRPr="00E31A9B" w:rsidRDefault="00A336BF" w:rsidP="007265A1">
            <w:pPr>
              <w:spacing w:line="240" w:lineRule="auto"/>
              <w:jc w:val="center"/>
            </w:pPr>
            <w:r w:rsidRPr="00E31A9B">
              <w:t>4.1</w:t>
            </w:r>
          </w:p>
        </w:tc>
        <w:tc>
          <w:tcPr>
            <w:tcW w:w="976" w:type="dxa"/>
            <w:tcBorders>
              <w:bottom w:val="single" w:sz="4" w:space="0" w:color="auto"/>
            </w:tcBorders>
          </w:tcPr>
          <w:p w:rsidR="00A336BF" w:rsidRPr="00E31A9B" w:rsidRDefault="00A336BF" w:rsidP="007265A1">
            <w:pPr>
              <w:spacing w:line="240" w:lineRule="auto"/>
              <w:jc w:val="center"/>
            </w:pPr>
            <w:r w:rsidRPr="00E31A9B">
              <w:t>3531</w:t>
            </w:r>
          </w:p>
        </w:tc>
        <w:tc>
          <w:tcPr>
            <w:tcW w:w="5943" w:type="dxa"/>
            <w:tcBorders>
              <w:bottom w:val="single" w:sz="4" w:space="0" w:color="auto"/>
            </w:tcBorders>
          </w:tcPr>
          <w:p w:rsidR="00A336BF" w:rsidRPr="00E31A9B" w:rsidRDefault="00A336BF" w:rsidP="007265A1">
            <w:pPr>
              <w:spacing w:line="240" w:lineRule="auto"/>
            </w:pPr>
            <w:r w:rsidRPr="00E31A9B">
              <w:t xml:space="preserve">Matière solide qui polymérise, stabilisée, </w:t>
            </w:r>
            <w:proofErr w:type="spellStart"/>
            <w:r w:rsidRPr="00E31A9B">
              <w:t>n.s.a</w:t>
            </w:r>
            <w:proofErr w:type="spellEnd"/>
            <w:r w:rsidRPr="00E31A9B">
              <w:t>.</w:t>
            </w:r>
          </w:p>
        </w:tc>
        <w:tc>
          <w:tcPr>
            <w:tcW w:w="1617" w:type="dxa"/>
            <w:vMerge w:val="restart"/>
            <w:vAlign w:val="center"/>
          </w:tcPr>
          <w:p w:rsidR="00A336BF" w:rsidRPr="00E31A9B" w:rsidRDefault="00A336BF" w:rsidP="007265A1">
            <w:pPr>
              <w:spacing w:line="240" w:lineRule="auto"/>
              <w:jc w:val="center"/>
            </w:pPr>
            <w:r w:rsidRPr="00E31A9B">
              <w:t>SGAN</w:t>
            </w: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6919" w:type="dxa"/>
            <w:gridSpan w:val="2"/>
            <w:tcBorders>
              <w:bottom w:val="nil"/>
            </w:tcBorders>
          </w:tcPr>
          <w:p w:rsidR="00A336BF" w:rsidRPr="00E31A9B" w:rsidRDefault="00A336BF" w:rsidP="007265A1">
            <w:pPr>
              <w:spacing w:line="240" w:lineRule="auto"/>
            </w:pPr>
            <w:r w:rsidRPr="00E31A9B">
              <w:t>[ADR uniquement]</w:t>
            </w:r>
          </w:p>
        </w:tc>
        <w:tc>
          <w:tcPr>
            <w:tcW w:w="1617" w:type="dxa"/>
            <w:vMerge/>
            <w:vAlign w:val="center"/>
          </w:tcPr>
          <w:p w:rsidR="00A336BF" w:rsidRPr="00E31A9B" w:rsidRDefault="00A336BF" w:rsidP="007265A1">
            <w:pPr>
              <w:spacing w:line="240" w:lineRule="auto"/>
              <w:jc w:val="center"/>
            </w:pP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tcBorders>
              <w:top w:val="nil"/>
            </w:tcBorders>
          </w:tcPr>
          <w:p w:rsidR="00A336BF" w:rsidRPr="00E31A9B" w:rsidRDefault="00A336BF" w:rsidP="007265A1">
            <w:pPr>
              <w:spacing w:line="240" w:lineRule="auto"/>
              <w:jc w:val="center"/>
            </w:pPr>
            <w:r w:rsidRPr="00E31A9B">
              <w:t>3533</w:t>
            </w:r>
          </w:p>
        </w:tc>
        <w:tc>
          <w:tcPr>
            <w:tcW w:w="5943" w:type="dxa"/>
            <w:tcBorders>
              <w:top w:val="nil"/>
            </w:tcBorders>
          </w:tcPr>
          <w:p w:rsidR="00A336BF" w:rsidRPr="00E31A9B" w:rsidRDefault="00A336BF" w:rsidP="007265A1">
            <w:pPr>
              <w:spacing w:line="240" w:lineRule="auto"/>
            </w:pPr>
            <w:r w:rsidRPr="00E31A9B">
              <w:t xml:space="preserve">Matière solide qui polymérise, avec régulation de température, </w:t>
            </w:r>
            <w:proofErr w:type="spellStart"/>
            <w:r w:rsidRPr="00E31A9B">
              <w:t>n.s.a</w:t>
            </w:r>
            <w:proofErr w:type="spellEnd"/>
            <w:r w:rsidRPr="00E31A9B">
              <w:t>.</w:t>
            </w:r>
          </w:p>
        </w:tc>
        <w:tc>
          <w:tcPr>
            <w:tcW w:w="1617" w:type="dxa"/>
            <w:vMerge/>
            <w:vAlign w:val="center"/>
          </w:tcPr>
          <w:p w:rsidR="00A336BF" w:rsidRPr="00E31A9B" w:rsidRDefault="00A336BF" w:rsidP="007265A1">
            <w:pPr>
              <w:spacing w:line="240" w:lineRule="auto"/>
              <w:jc w:val="center"/>
            </w:pP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tcPr>
          <w:p w:rsidR="00A336BF" w:rsidRPr="00E31A9B" w:rsidRDefault="00A336BF" w:rsidP="007265A1">
            <w:pPr>
              <w:spacing w:line="240" w:lineRule="auto"/>
              <w:jc w:val="center"/>
            </w:pPr>
            <w:r w:rsidRPr="00E31A9B">
              <w:t>2448</w:t>
            </w:r>
          </w:p>
        </w:tc>
        <w:tc>
          <w:tcPr>
            <w:tcW w:w="5943" w:type="dxa"/>
          </w:tcPr>
          <w:p w:rsidR="00A336BF" w:rsidRPr="00E31A9B" w:rsidRDefault="00A336BF" w:rsidP="007265A1">
            <w:pPr>
              <w:spacing w:line="240" w:lineRule="auto"/>
            </w:pPr>
            <w:r w:rsidRPr="00E31A9B">
              <w:t>Soufre, fondu</w:t>
            </w:r>
          </w:p>
        </w:tc>
        <w:tc>
          <w:tcPr>
            <w:tcW w:w="1617" w:type="dxa"/>
            <w:vAlign w:val="center"/>
          </w:tcPr>
          <w:p w:rsidR="00A336BF" w:rsidRPr="00E31A9B" w:rsidRDefault="00A336BF" w:rsidP="007265A1">
            <w:pPr>
              <w:spacing w:line="240" w:lineRule="auto"/>
              <w:jc w:val="center"/>
            </w:pPr>
            <w:r w:rsidRPr="00E31A9B">
              <w:t>LGBV</w:t>
            </w: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tcBorders>
              <w:bottom w:val="single" w:sz="4" w:space="0" w:color="auto"/>
            </w:tcBorders>
          </w:tcPr>
          <w:p w:rsidR="00A336BF" w:rsidRPr="00E31A9B" w:rsidRDefault="00A336BF" w:rsidP="007265A1">
            <w:pPr>
              <w:spacing w:line="240" w:lineRule="auto"/>
              <w:jc w:val="center"/>
            </w:pPr>
            <w:r w:rsidRPr="00E31A9B">
              <w:t>3532</w:t>
            </w:r>
          </w:p>
        </w:tc>
        <w:tc>
          <w:tcPr>
            <w:tcW w:w="5943" w:type="dxa"/>
            <w:tcBorders>
              <w:bottom w:val="single" w:sz="4" w:space="0" w:color="auto"/>
            </w:tcBorders>
          </w:tcPr>
          <w:p w:rsidR="00A336BF" w:rsidRPr="00E31A9B" w:rsidRDefault="00A336BF" w:rsidP="007265A1">
            <w:pPr>
              <w:spacing w:line="240" w:lineRule="auto"/>
            </w:pPr>
            <w:r w:rsidRPr="00E31A9B">
              <w:t xml:space="preserve">Matière liquide qui polymérise, stabilisée, </w:t>
            </w:r>
            <w:proofErr w:type="spellStart"/>
            <w:r w:rsidRPr="00E31A9B">
              <w:t>n.s.a</w:t>
            </w:r>
            <w:proofErr w:type="spellEnd"/>
            <w:r w:rsidRPr="00E31A9B">
              <w:t xml:space="preserve">. </w:t>
            </w:r>
          </w:p>
        </w:tc>
        <w:tc>
          <w:tcPr>
            <w:tcW w:w="1617" w:type="dxa"/>
            <w:vMerge w:val="restart"/>
            <w:vAlign w:val="center"/>
          </w:tcPr>
          <w:p w:rsidR="00A336BF" w:rsidRPr="00E31A9B" w:rsidRDefault="00A336BF" w:rsidP="007265A1">
            <w:pPr>
              <w:spacing w:line="240" w:lineRule="auto"/>
              <w:jc w:val="center"/>
            </w:pPr>
            <w:r w:rsidRPr="00E31A9B">
              <w:t>L4BN</w:t>
            </w: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6919" w:type="dxa"/>
            <w:gridSpan w:val="2"/>
            <w:tcBorders>
              <w:bottom w:val="nil"/>
            </w:tcBorders>
          </w:tcPr>
          <w:p w:rsidR="00A336BF" w:rsidRPr="00E31A9B" w:rsidRDefault="00A336BF" w:rsidP="007265A1">
            <w:pPr>
              <w:spacing w:line="240" w:lineRule="auto"/>
            </w:pPr>
            <w:r w:rsidRPr="00E31A9B">
              <w:t>[ADR uniquement]</w:t>
            </w:r>
          </w:p>
        </w:tc>
        <w:tc>
          <w:tcPr>
            <w:tcW w:w="1617" w:type="dxa"/>
            <w:vMerge/>
            <w:vAlign w:val="center"/>
          </w:tcPr>
          <w:p w:rsidR="00A336BF" w:rsidRPr="00E31A9B" w:rsidRDefault="00A336BF" w:rsidP="007265A1">
            <w:pPr>
              <w:spacing w:line="240" w:lineRule="auto"/>
              <w:jc w:val="center"/>
            </w:pP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tcBorders>
              <w:top w:val="nil"/>
            </w:tcBorders>
          </w:tcPr>
          <w:p w:rsidR="00A336BF" w:rsidRPr="00E31A9B" w:rsidRDefault="00A336BF" w:rsidP="007265A1">
            <w:pPr>
              <w:spacing w:line="240" w:lineRule="auto"/>
              <w:jc w:val="center"/>
            </w:pPr>
            <w:r w:rsidRPr="00E31A9B">
              <w:t>3534</w:t>
            </w:r>
          </w:p>
        </w:tc>
        <w:tc>
          <w:tcPr>
            <w:tcW w:w="5943" w:type="dxa"/>
            <w:tcBorders>
              <w:top w:val="nil"/>
            </w:tcBorders>
          </w:tcPr>
          <w:p w:rsidR="00A336BF" w:rsidRPr="00E31A9B" w:rsidRDefault="00A336BF" w:rsidP="007265A1">
            <w:pPr>
              <w:spacing w:line="240" w:lineRule="auto"/>
            </w:pPr>
            <w:r w:rsidRPr="00E31A9B">
              <w:t xml:space="preserve"> Matière liquide qui polymérise, avec régulation de température, </w:t>
            </w:r>
            <w:proofErr w:type="spellStart"/>
            <w:r w:rsidRPr="00E31A9B">
              <w:t>n.s.a</w:t>
            </w:r>
            <w:proofErr w:type="spellEnd"/>
            <w:r w:rsidRPr="00E31A9B">
              <w:t>.</w:t>
            </w:r>
          </w:p>
        </w:tc>
        <w:tc>
          <w:tcPr>
            <w:tcW w:w="1617" w:type="dxa"/>
            <w:vMerge/>
            <w:vAlign w:val="center"/>
          </w:tcPr>
          <w:p w:rsidR="00A336BF" w:rsidRPr="00E31A9B" w:rsidRDefault="00A336BF" w:rsidP="007265A1">
            <w:pPr>
              <w:spacing w:line="240" w:lineRule="auto"/>
              <w:jc w:val="center"/>
            </w:pPr>
          </w:p>
        </w:tc>
      </w:tr>
      <w:tr w:rsidR="00A336BF" w:rsidRPr="00E31A9B" w:rsidTr="007265A1">
        <w:trPr>
          <w:cantSplit/>
          <w:trHeight w:val="20"/>
          <w:jc w:val="center"/>
        </w:trPr>
        <w:tc>
          <w:tcPr>
            <w:tcW w:w="0" w:type="auto"/>
            <w:vMerge w:val="restart"/>
          </w:tcPr>
          <w:p w:rsidR="00A336BF" w:rsidRPr="00E31A9B" w:rsidRDefault="00A336BF" w:rsidP="007265A1">
            <w:pPr>
              <w:spacing w:line="240" w:lineRule="auto"/>
              <w:jc w:val="center"/>
            </w:pPr>
            <w:r w:rsidRPr="00E31A9B">
              <w:t>4.2</w:t>
            </w:r>
          </w:p>
        </w:tc>
        <w:tc>
          <w:tcPr>
            <w:tcW w:w="976" w:type="dxa"/>
          </w:tcPr>
          <w:p w:rsidR="00A336BF" w:rsidRPr="00E31A9B" w:rsidRDefault="00A336BF" w:rsidP="007265A1">
            <w:pPr>
              <w:spacing w:line="240" w:lineRule="auto"/>
              <w:jc w:val="center"/>
            </w:pPr>
            <w:r w:rsidRPr="00E31A9B">
              <w:t>1381</w:t>
            </w:r>
          </w:p>
        </w:tc>
        <w:tc>
          <w:tcPr>
            <w:tcW w:w="5943" w:type="dxa"/>
          </w:tcPr>
          <w:p w:rsidR="00A336BF" w:rsidRPr="00E31A9B" w:rsidRDefault="00A336BF" w:rsidP="007265A1">
            <w:pPr>
              <w:spacing w:line="240" w:lineRule="auto"/>
            </w:pPr>
            <w:r w:rsidRPr="00E31A9B">
              <w:t>Phosphore blanc ou jaune, sec, ou recouvert d'eau ou en solution</w:t>
            </w:r>
          </w:p>
        </w:tc>
        <w:tc>
          <w:tcPr>
            <w:tcW w:w="1617" w:type="dxa"/>
            <w:vMerge w:val="restart"/>
            <w:vAlign w:val="center"/>
          </w:tcPr>
          <w:p w:rsidR="00A336BF" w:rsidRPr="00E31A9B" w:rsidRDefault="00A336BF" w:rsidP="007265A1">
            <w:pPr>
              <w:spacing w:line="240" w:lineRule="auto"/>
              <w:jc w:val="center"/>
            </w:pPr>
            <w:r w:rsidRPr="00E31A9B">
              <w:t>L10DH</w:t>
            </w: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tcPr>
          <w:p w:rsidR="00A336BF" w:rsidRPr="00E31A9B" w:rsidRDefault="00A336BF" w:rsidP="007265A1">
            <w:pPr>
              <w:spacing w:line="240" w:lineRule="auto"/>
              <w:jc w:val="center"/>
            </w:pPr>
            <w:r w:rsidRPr="00E31A9B">
              <w:t>2447</w:t>
            </w:r>
          </w:p>
        </w:tc>
        <w:tc>
          <w:tcPr>
            <w:tcW w:w="5943" w:type="dxa"/>
          </w:tcPr>
          <w:p w:rsidR="00A336BF" w:rsidRPr="00E31A9B" w:rsidRDefault="00A336BF" w:rsidP="007265A1">
            <w:pPr>
              <w:spacing w:line="240" w:lineRule="auto"/>
            </w:pPr>
            <w:r w:rsidRPr="00E31A9B">
              <w:t>Phosphore blanc fondu</w:t>
            </w:r>
          </w:p>
        </w:tc>
        <w:tc>
          <w:tcPr>
            <w:tcW w:w="1617" w:type="dxa"/>
            <w:vMerge/>
            <w:vAlign w:val="center"/>
          </w:tcPr>
          <w:p w:rsidR="00A336BF" w:rsidRPr="00E31A9B" w:rsidRDefault="00A336BF" w:rsidP="007265A1">
            <w:pPr>
              <w:spacing w:line="240" w:lineRule="auto"/>
              <w:jc w:val="center"/>
            </w:pPr>
          </w:p>
        </w:tc>
      </w:tr>
      <w:tr w:rsidR="00A336BF" w:rsidRPr="00E31A9B" w:rsidTr="007265A1">
        <w:trPr>
          <w:cantSplit/>
          <w:trHeight w:val="20"/>
          <w:jc w:val="center"/>
        </w:trPr>
        <w:tc>
          <w:tcPr>
            <w:tcW w:w="0" w:type="auto"/>
            <w:vMerge w:val="restart"/>
          </w:tcPr>
          <w:p w:rsidR="00A336BF" w:rsidRPr="00E31A9B" w:rsidRDefault="00A336BF" w:rsidP="007265A1">
            <w:pPr>
              <w:spacing w:line="240" w:lineRule="auto"/>
              <w:jc w:val="center"/>
            </w:pPr>
            <w:r w:rsidRPr="00E31A9B">
              <w:t>4.3</w:t>
            </w:r>
          </w:p>
        </w:tc>
        <w:tc>
          <w:tcPr>
            <w:tcW w:w="976" w:type="dxa"/>
          </w:tcPr>
          <w:p w:rsidR="00A336BF" w:rsidRPr="00E31A9B" w:rsidRDefault="00A336BF" w:rsidP="007265A1">
            <w:pPr>
              <w:spacing w:line="240" w:lineRule="auto"/>
              <w:jc w:val="center"/>
            </w:pPr>
            <w:r w:rsidRPr="00E31A9B">
              <w:t>1389</w:t>
            </w:r>
          </w:p>
        </w:tc>
        <w:tc>
          <w:tcPr>
            <w:tcW w:w="5943" w:type="dxa"/>
          </w:tcPr>
          <w:p w:rsidR="00A336BF" w:rsidRPr="00E31A9B" w:rsidRDefault="00A336BF" w:rsidP="007265A1">
            <w:pPr>
              <w:spacing w:line="240" w:lineRule="auto"/>
            </w:pPr>
            <w:r w:rsidRPr="00E31A9B">
              <w:t>Amalgame de métaux alcalins, liquide</w:t>
            </w:r>
          </w:p>
        </w:tc>
        <w:tc>
          <w:tcPr>
            <w:tcW w:w="1617" w:type="dxa"/>
            <w:vMerge w:val="restart"/>
            <w:vAlign w:val="center"/>
          </w:tcPr>
          <w:p w:rsidR="00A336BF" w:rsidRPr="00E31A9B" w:rsidRDefault="00A336BF" w:rsidP="007265A1">
            <w:pPr>
              <w:spacing w:line="240" w:lineRule="auto"/>
              <w:jc w:val="center"/>
            </w:pPr>
            <w:r w:rsidRPr="00E31A9B">
              <w:t>L10BN</w:t>
            </w: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tcPr>
          <w:p w:rsidR="00A336BF" w:rsidRPr="00E31A9B" w:rsidRDefault="00A336BF" w:rsidP="007265A1">
            <w:pPr>
              <w:spacing w:line="240" w:lineRule="auto"/>
              <w:jc w:val="center"/>
            </w:pPr>
            <w:r w:rsidRPr="00E31A9B">
              <w:t>1391</w:t>
            </w:r>
          </w:p>
        </w:tc>
        <w:tc>
          <w:tcPr>
            <w:tcW w:w="5943" w:type="dxa"/>
          </w:tcPr>
          <w:p w:rsidR="00A336BF" w:rsidRPr="00E31A9B" w:rsidRDefault="00A336BF" w:rsidP="007265A1">
            <w:pPr>
              <w:spacing w:line="240" w:lineRule="auto"/>
            </w:pPr>
            <w:r w:rsidRPr="00E31A9B">
              <w:t>Dispersion de métaux alcalins ou dispersion de métaux alcalino-terreux</w:t>
            </w:r>
          </w:p>
        </w:tc>
        <w:tc>
          <w:tcPr>
            <w:tcW w:w="1617" w:type="dxa"/>
            <w:vMerge/>
            <w:vAlign w:val="center"/>
          </w:tcPr>
          <w:p w:rsidR="00A336BF" w:rsidRPr="00E31A9B" w:rsidRDefault="00A336BF" w:rsidP="007265A1">
            <w:pPr>
              <w:spacing w:line="240" w:lineRule="auto"/>
              <w:jc w:val="center"/>
            </w:pP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tcPr>
          <w:p w:rsidR="00A336BF" w:rsidRPr="00E31A9B" w:rsidRDefault="00A336BF" w:rsidP="007265A1">
            <w:pPr>
              <w:spacing w:line="240" w:lineRule="auto"/>
              <w:jc w:val="center"/>
            </w:pPr>
            <w:r w:rsidRPr="00E31A9B">
              <w:t>1392</w:t>
            </w:r>
          </w:p>
        </w:tc>
        <w:tc>
          <w:tcPr>
            <w:tcW w:w="5943" w:type="dxa"/>
          </w:tcPr>
          <w:p w:rsidR="00A336BF" w:rsidRPr="00E31A9B" w:rsidRDefault="00A336BF" w:rsidP="007265A1">
            <w:pPr>
              <w:spacing w:line="240" w:lineRule="auto"/>
            </w:pPr>
            <w:r w:rsidRPr="00E31A9B">
              <w:t xml:space="preserve">Amalgame de métaux alcalino-terreux, liquide </w:t>
            </w:r>
          </w:p>
        </w:tc>
        <w:tc>
          <w:tcPr>
            <w:tcW w:w="1617" w:type="dxa"/>
            <w:vMerge/>
            <w:vAlign w:val="center"/>
          </w:tcPr>
          <w:p w:rsidR="00A336BF" w:rsidRPr="00E31A9B" w:rsidRDefault="00A336BF" w:rsidP="007265A1">
            <w:pPr>
              <w:spacing w:line="240" w:lineRule="auto"/>
              <w:jc w:val="center"/>
            </w:pP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tcPr>
          <w:p w:rsidR="00A336BF" w:rsidRPr="00E31A9B" w:rsidRDefault="00A336BF" w:rsidP="007265A1">
            <w:pPr>
              <w:spacing w:line="240" w:lineRule="auto"/>
              <w:jc w:val="center"/>
            </w:pPr>
            <w:r w:rsidRPr="00E31A9B">
              <w:t>1415</w:t>
            </w:r>
          </w:p>
        </w:tc>
        <w:tc>
          <w:tcPr>
            <w:tcW w:w="5943" w:type="dxa"/>
          </w:tcPr>
          <w:p w:rsidR="00A336BF" w:rsidRPr="00E31A9B" w:rsidRDefault="00A336BF" w:rsidP="007265A1">
            <w:pPr>
              <w:spacing w:line="240" w:lineRule="auto"/>
            </w:pPr>
            <w:r w:rsidRPr="00E31A9B">
              <w:t>Lithium</w:t>
            </w:r>
          </w:p>
        </w:tc>
        <w:tc>
          <w:tcPr>
            <w:tcW w:w="1617" w:type="dxa"/>
            <w:vMerge/>
            <w:vAlign w:val="center"/>
          </w:tcPr>
          <w:p w:rsidR="00A336BF" w:rsidRPr="00E31A9B" w:rsidRDefault="00A336BF" w:rsidP="007265A1">
            <w:pPr>
              <w:spacing w:line="240" w:lineRule="auto"/>
              <w:jc w:val="center"/>
            </w:pP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tcPr>
          <w:p w:rsidR="00A336BF" w:rsidRPr="00E31A9B" w:rsidRDefault="00A336BF" w:rsidP="007265A1">
            <w:pPr>
              <w:spacing w:line="240" w:lineRule="auto"/>
              <w:jc w:val="center"/>
            </w:pPr>
            <w:r w:rsidRPr="00E31A9B">
              <w:t>1420</w:t>
            </w:r>
          </w:p>
        </w:tc>
        <w:tc>
          <w:tcPr>
            <w:tcW w:w="5943" w:type="dxa"/>
          </w:tcPr>
          <w:p w:rsidR="00A336BF" w:rsidRPr="00E31A9B" w:rsidRDefault="00A336BF" w:rsidP="007265A1">
            <w:pPr>
              <w:spacing w:line="240" w:lineRule="auto"/>
            </w:pPr>
            <w:r w:rsidRPr="00E31A9B">
              <w:t>Alliages métalliques de potassium, liquides</w:t>
            </w:r>
          </w:p>
        </w:tc>
        <w:tc>
          <w:tcPr>
            <w:tcW w:w="1617" w:type="dxa"/>
            <w:vMerge/>
            <w:vAlign w:val="center"/>
          </w:tcPr>
          <w:p w:rsidR="00A336BF" w:rsidRPr="00E31A9B" w:rsidRDefault="00A336BF" w:rsidP="007265A1">
            <w:pPr>
              <w:spacing w:line="240" w:lineRule="auto"/>
              <w:jc w:val="center"/>
            </w:pP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tcPr>
          <w:p w:rsidR="00A336BF" w:rsidRPr="00E31A9B" w:rsidRDefault="00A336BF" w:rsidP="007265A1">
            <w:pPr>
              <w:spacing w:line="240" w:lineRule="auto"/>
              <w:jc w:val="center"/>
            </w:pPr>
            <w:r w:rsidRPr="00E31A9B">
              <w:t>1421</w:t>
            </w:r>
          </w:p>
        </w:tc>
        <w:tc>
          <w:tcPr>
            <w:tcW w:w="5943" w:type="dxa"/>
          </w:tcPr>
          <w:p w:rsidR="00A336BF" w:rsidRPr="00E31A9B" w:rsidRDefault="00A336BF" w:rsidP="007265A1">
            <w:pPr>
              <w:spacing w:line="240" w:lineRule="auto"/>
            </w:pPr>
            <w:r w:rsidRPr="00E31A9B">
              <w:t xml:space="preserve">Alliage liquide de métaux alcalins, </w:t>
            </w:r>
            <w:proofErr w:type="spellStart"/>
            <w:r w:rsidRPr="00E31A9B">
              <w:t>n.s.a</w:t>
            </w:r>
            <w:proofErr w:type="spellEnd"/>
            <w:r w:rsidRPr="00E31A9B">
              <w:t>.</w:t>
            </w:r>
          </w:p>
        </w:tc>
        <w:tc>
          <w:tcPr>
            <w:tcW w:w="1617" w:type="dxa"/>
            <w:vMerge/>
            <w:vAlign w:val="center"/>
          </w:tcPr>
          <w:p w:rsidR="00A336BF" w:rsidRPr="00E31A9B" w:rsidRDefault="00A336BF" w:rsidP="007265A1">
            <w:pPr>
              <w:spacing w:line="240" w:lineRule="auto"/>
              <w:jc w:val="center"/>
            </w:pP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tcPr>
          <w:p w:rsidR="00A336BF" w:rsidRPr="00E31A9B" w:rsidRDefault="00A336BF" w:rsidP="007265A1">
            <w:pPr>
              <w:spacing w:line="240" w:lineRule="auto"/>
              <w:jc w:val="center"/>
            </w:pPr>
            <w:r w:rsidRPr="00E31A9B">
              <w:t>1422</w:t>
            </w:r>
          </w:p>
        </w:tc>
        <w:tc>
          <w:tcPr>
            <w:tcW w:w="5943" w:type="dxa"/>
          </w:tcPr>
          <w:p w:rsidR="00A336BF" w:rsidRPr="00E31A9B" w:rsidRDefault="00A336BF" w:rsidP="007265A1">
            <w:pPr>
              <w:spacing w:line="240" w:lineRule="auto"/>
            </w:pPr>
            <w:r w:rsidRPr="00E31A9B">
              <w:t>Alliages de potassium et sodium, liquides</w:t>
            </w:r>
          </w:p>
        </w:tc>
        <w:tc>
          <w:tcPr>
            <w:tcW w:w="1617" w:type="dxa"/>
            <w:vMerge/>
            <w:vAlign w:val="center"/>
          </w:tcPr>
          <w:p w:rsidR="00A336BF" w:rsidRPr="00E31A9B" w:rsidRDefault="00A336BF" w:rsidP="007265A1">
            <w:pPr>
              <w:spacing w:line="240" w:lineRule="auto"/>
              <w:jc w:val="center"/>
            </w:pP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tcPr>
          <w:p w:rsidR="00A336BF" w:rsidRPr="00E31A9B" w:rsidRDefault="00A336BF" w:rsidP="007265A1">
            <w:pPr>
              <w:spacing w:line="240" w:lineRule="auto"/>
              <w:jc w:val="center"/>
            </w:pPr>
            <w:r w:rsidRPr="00E31A9B">
              <w:t>1428</w:t>
            </w:r>
          </w:p>
        </w:tc>
        <w:tc>
          <w:tcPr>
            <w:tcW w:w="5943" w:type="dxa"/>
          </w:tcPr>
          <w:p w:rsidR="00A336BF" w:rsidRPr="00E31A9B" w:rsidRDefault="00A336BF" w:rsidP="007265A1">
            <w:pPr>
              <w:spacing w:line="240" w:lineRule="auto"/>
            </w:pPr>
            <w:r w:rsidRPr="00E31A9B">
              <w:t>Sodium</w:t>
            </w:r>
          </w:p>
        </w:tc>
        <w:tc>
          <w:tcPr>
            <w:tcW w:w="1617" w:type="dxa"/>
            <w:vMerge/>
            <w:vAlign w:val="center"/>
          </w:tcPr>
          <w:p w:rsidR="00A336BF" w:rsidRPr="00E31A9B" w:rsidRDefault="00A336BF" w:rsidP="007265A1">
            <w:pPr>
              <w:spacing w:line="240" w:lineRule="auto"/>
              <w:jc w:val="center"/>
            </w:pP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tcPr>
          <w:p w:rsidR="00A336BF" w:rsidRPr="00E31A9B" w:rsidRDefault="00A336BF" w:rsidP="007265A1">
            <w:pPr>
              <w:spacing w:line="240" w:lineRule="auto"/>
              <w:jc w:val="center"/>
            </w:pPr>
            <w:r w:rsidRPr="00E31A9B">
              <w:t>2257</w:t>
            </w:r>
          </w:p>
        </w:tc>
        <w:tc>
          <w:tcPr>
            <w:tcW w:w="5943" w:type="dxa"/>
          </w:tcPr>
          <w:p w:rsidR="00A336BF" w:rsidRPr="00E31A9B" w:rsidRDefault="00A336BF" w:rsidP="007265A1">
            <w:pPr>
              <w:spacing w:line="240" w:lineRule="auto"/>
            </w:pPr>
            <w:r w:rsidRPr="00E31A9B">
              <w:t>Potassium</w:t>
            </w:r>
          </w:p>
        </w:tc>
        <w:tc>
          <w:tcPr>
            <w:tcW w:w="1617" w:type="dxa"/>
            <w:vMerge/>
            <w:vAlign w:val="center"/>
          </w:tcPr>
          <w:p w:rsidR="00A336BF" w:rsidRPr="00E31A9B" w:rsidRDefault="00A336BF" w:rsidP="007265A1">
            <w:pPr>
              <w:spacing w:line="240" w:lineRule="auto"/>
              <w:jc w:val="center"/>
            </w:pP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tcPr>
          <w:p w:rsidR="00A336BF" w:rsidRPr="00E31A9B" w:rsidRDefault="00A336BF" w:rsidP="007265A1">
            <w:pPr>
              <w:spacing w:line="240" w:lineRule="auto"/>
              <w:jc w:val="center"/>
            </w:pPr>
            <w:r w:rsidRPr="00E31A9B">
              <w:t>3401</w:t>
            </w:r>
          </w:p>
        </w:tc>
        <w:tc>
          <w:tcPr>
            <w:tcW w:w="5943" w:type="dxa"/>
          </w:tcPr>
          <w:p w:rsidR="00A336BF" w:rsidRPr="00E31A9B" w:rsidRDefault="00A336BF" w:rsidP="007265A1">
            <w:pPr>
              <w:spacing w:line="240" w:lineRule="auto"/>
            </w:pPr>
            <w:r w:rsidRPr="00E31A9B">
              <w:t>Amalgame de métaux alcalins, solide</w:t>
            </w:r>
          </w:p>
        </w:tc>
        <w:tc>
          <w:tcPr>
            <w:tcW w:w="1617" w:type="dxa"/>
            <w:vMerge/>
            <w:vAlign w:val="center"/>
          </w:tcPr>
          <w:p w:rsidR="00A336BF" w:rsidRPr="00E31A9B" w:rsidRDefault="00A336BF" w:rsidP="007265A1">
            <w:pPr>
              <w:spacing w:line="240" w:lineRule="auto"/>
              <w:jc w:val="center"/>
            </w:pP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tcPr>
          <w:p w:rsidR="00A336BF" w:rsidRPr="00E31A9B" w:rsidRDefault="00A336BF" w:rsidP="007265A1">
            <w:pPr>
              <w:spacing w:line="240" w:lineRule="auto"/>
              <w:jc w:val="center"/>
            </w:pPr>
            <w:r w:rsidRPr="00E31A9B">
              <w:t>3402</w:t>
            </w:r>
          </w:p>
        </w:tc>
        <w:tc>
          <w:tcPr>
            <w:tcW w:w="5943" w:type="dxa"/>
          </w:tcPr>
          <w:p w:rsidR="00A336BF" w:rsidRPr="00E31A9B" w:rsidRDefault="00A336BF" w:rsidP="007265A1">
            <w:pPr>
              <w:spacing w:line="240" w:lineRule="auto"/>
            </w:pPr>
            <w:r w:rsidRPr="00E31A9B">
              <w:t>Amalgame de métaux alcalino-terreux, solide</w:t>
            </w:r>
          </w:p>
        </w:tc>
        <w:tc>
          <w:tcPr>
            <w:tcW w:w="1617" w:type="dxa"/>
            <w:vMerge/>
            <w:vAlign w:val="center"/>
          </w:tcPr>
          <w:p w:rsidR="00A336BF" w:rsidRPr="00E31A9B" w:rsidRDefault="00A336BF" w:rsidP="007265A1">
            <w:pPr>
              <w:spacing w:line="240" w:lineRule="auto"/>
              <w:jc w:val="center"/>
            </w:pP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tcPr>
          <w:p w:rsidR="00A336BF" w:rsidRPr="00E31A9B" w:rsidRDefault="00A336BF" w:rsidP="007265A1">
            <w:pPr>
              <w:spacing w:line="240" w:lineRule="auto"/>
              <w:jc w:val="center"/>
            </w:pPr>
            <w:r w:rsidRPr="00E31A9B">
              <w:t>3403</w:t>
            </w:r>
          </w:p>
        </w:tc>
        <w:tc>
          <w:tcPr>
            <w:tcW w:w="5943" w:type="dxa"/>
          </w:tcPr>
          <w:p w:rsidR="00A336BF" w:rsidRPr="00E31A9B" w:rsidRDefault="00A336BF" w:rsidP="007265A1">
            <w:pPr>
              <w:spacing w:line="240" w:lineRule="auto"/>
            </w:pPr>
            <w:r w:rsidRPr="00E31A9B">
              <w:t>Alliages métalliques de potassium, solides</w:t>
            </w:r>
          </w:p>
        </w:tc>
        <w:tc>
          <w:tcPr>
            <w:tcW w:w="1617" w:type="dxa"/>
            <w:vMerge/>
            <w:vAlign w:val="center"/>
          </w:tcPr>
          <w:p w:rsidR="00A336BF" w:rsidRPr="00E31A9B" w:rsidRDefault="00A336BF" w:rsidP="007265A1">
            <w:pPr>
              <w:spacing w:line="240" w:lineRule="auto"/>
              <w:jc w:val="center"/>
            </w:pP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tcPr>
          <w:p w:rsidR="00A336BF" w:rsidRPr="00E31A9B" w:rsidRDefault="00A336BF" w:rsidP="007265A1">
            <w:pPr>
              <w:spacing w:line="240" w:lineRule="auto"/>
              <w:jc w:val="center"/>
            </w:pPr>
            <w:r w:rsidRPr="00E31A9B">
              <w:t>3404</w:t>
            </w:r>
          </w:p>
        </w:tc>
        <w:tc>
          <w:tcPr>
            <w:tcW w:w="5943" w:type="dxa"/>
          </w:tcPr>
          <w:p w:rsidR="00A336BF" w:rsidRPr="00E31A9B" w:rsidRDefault="00A336BF" w:rsidP="007265A1">
            <w:pPr>
              <w:spacing w:line="240" w:lineRule="auto"/>
            </w:pPr>
            <w:r w:rsidRPr="00E31A9B">
              <w:t>Alliages de potassium et sodium, solides</w:t>
            </w:r>
          </w:p>
        </w:tc>
        <w:tc>
          <w:tcPr>
            <w:tcW w:w="1617" w:type="dxa"/>
            <w:vMerge/>
            <w:vAlign w:val="center"/>
          </w:tcPr>
          <w:p w:rsidR="00A336BF" w:rsidRPr="00E31A9B" w:rsidRDefault="00A336BF" w:rsidP="007265A1">
            <w:pPr>
              <w:spacing w:line="240" w:lineRule="auto"/>
              <w:jc w:val="center"/>
            </w:pP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tcPr>
          <w:p w:rsidR="00A336BF" w:rsidRPr="00E31A9B" w:rsidRDefault="00A336BF" w:rsidP="007265A1">
            <w:pPr>
              <w:spacing w:line="240" w:lineRule="auto"/>
              <w:jc w:val="center"/>
            </w:pPr>
            <w:r w:rsidRPr="00E31A9B">
              <w:t>3482</w:t>
            </w:r>
          </w:p>
        </w:tc>
        <w:tc>
          <w:tcPr>
            <w:tcW w:w="5943" w:type="dxa"/>
          </w:tcPr>
          <w:p w:rsidR="00A336BF" w:rsidRPr="00E31A9B" w:rsidRDefault="00A336BF" w:rsidP="007265A1">
            <w:pPr>
              <w:spacing w:line="240" w:lineRule="auto"/>
            </w:pPr>
            <w:r w:rsidRPr="00E31A9B">
              <w:t>Dispersion de métaux alcalins, inflammable</w:t>
            </w:r>
          </w:p>
        </w:tc>
        <w:tc>
          <w:tcPr>
            <w:tcW w:w="1617" w:type="dxa"/>
            <w:vMerge/>
            <w:vAlign w:val="center"/>
          </w:tcPr>
          <w:p w:rsidR="00A336BF" w:rsidRPr="00E31A9B" w:rsidRDefault="00A336BF" w:rsidP="007265A1">
            <w:pPr>
              <w:spacing w:line="240" w:lineRule="auto"/>
              <w:jc w:val="center"/>
            </w:pP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tcPr>
          <w:p w:rsidR="00A336BF" w:rsidRPr="00E31A9B" w:rsidRDefault="00A336BF" w:rsidP="007265A1">
            <w:pPr>
              <w:spacing w:line="240" w:lineRule="auto"/>
              <w:jc w:val="center"/>
            </w:pPr>
            <w:r w:rsidRPr="00E31A9B">
              <w:t>3482</w:t>
            </w:r>
          </w:p>
        </w:tc>
        <w:tc>
          <w:tcPr>
            <w:tcW w:w="5943" w:type="dxa"/>
          </w:tcPr>
          <w:p w:rsidR="00A336BF" w:rsidRPr="00E31A9B" w:rsidRDefault="00A336BF" w:rsidP="007265A1">
            <w:pPr>
              <w:spacing w:line="240" w:lineRule="auto"/>
            </w:pPr>
            <w:r w:rsidRPr="00E31A9B">
              <w:t>Dispersion de métaux alcalino-terreux, inflammable</w:t>
            </w:r>
          </w:p>
        </w:tc>
        <w:tc>
          <w:tcPr>
            <w:tcW w:w="1617" w:type="dxa"/>
            <w:vMerge/>
            <w:vAlign w:val="center"/>
          </w:tcPr>
          <w:p w:rsidR="00A336BF" w:rsidRPr="00E31A9B" w:rsidRDefault="00A336BF" w:rsidP="007265A1">
            <w:pPr>
              <w:spacing w:line="240" w:lineRule="auto"/>
              <w:jc w:val="center"/>
            </w:pP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tcPr>
          <w:p w:rsidR="00A336BF" w:rsidRPr="00E31A9B" w:rsidRDefault="00A336BF" w:rsidP="007265A1">
            <w:pPr>
              <w:spacing w:line="240" w:lineRule="auto"/>
              <w:jc w:val="center"/>
            </w:pPr>
            <w:r w:rsidRPr="00E31A9B">
              <w:t>1407</w:t>
            </w:r>
          </w:p>
        </w:tc>
        <w:tc>
          <w:tcPr>
            <w:tcW w:w="5943" w:type="dxa"/>
          </w:tcPr>
          <w:p w:rsidR="00A336BF" w:rsidRPr="00E31A9B" w:rsidRDefault="00A336BF" w:rsidP="007265A1">
            <w:pPr>
              <w:spacing w:line="240" w:lineRule="auto"/>
            </w:pPr>
            <w:r w:rsidRPr="00E31A9B">
              <w:t>Césium</w:t>
            </w:r>
          </w:p>
        </w:tc>
        <w:tc>
          <w:tcPr>
            <w:tcW w:w="1617" w:type="dxa"/>
            <w:vMerge w:val="restart"/>
            <w:vAlign w:val="center"/>
          </w:tcPr>
          <w:p w:rsidR="00A336BF" w:rsidRPr="00E31A9B" w:rsidRDefault="00A336BF" w:rsidP="007265A1">
            <w:pPr>
              <w:spacing w:line="240" w:lineRule="auto"/>
              <w:jc w:val="center"/>
            </w:pPr>
            <w:r w:rsidRPr="00E31A9B">
              <w:t>L10CH</w:t>
            </w: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tcPr>
          <w:p w:rsidR="00A336BF" w:rsidRPr="00E31A9B" w:rsidRDefault="00A336BF" w:rsidP="007265A1">
            <w:pPr>
              <w:spacing w:line="240" w:lineRule="auto"/>
              <w:jc w:val="center"/>
            </w:pPr>
            <w:r w:rsidRPr="00E31A9B">
              <w:t>1423</w:t>
            </w:r>
          </w:p>
        </w:tc>
        <w:tc>
          <w:tcPr>
            <w:tcW w:w="5943" w:type="dxa"/>
          </w:tcPr>
          <w:p w:rsidR="00A336BF" w:rsidRPr="00E31A9B" w:rsidRDefault="00A336BF" w:rsidP="007265A1">
            <w:pPr>
              <w:spacing w:line="240" w:lineRule="auto"/>
            </w:pPr>
            <w:r w:rsidRPr="00E31A9B">
              <w:t>Rubidium</w:t>
            </w:r>
          </w:p>
        </w:tc>
        <w:tc>
          <w:tcPr>
            <w:tcW w:w="1617" w:type="dxa"/>
            <w:vMerge/>
            <w:vAlign w:val="center"/>
          </w:tcPr>
          <w:p w:rsidR="00A336BF" w:rsidRPr="00E31A9B" w:rsidRDefault="00A336BF" w:rsidP="007265A1">
            <w:pPr>
              <w:spacing w:line="240" w:lineRule="auto"/>
              <w:jc w:val="center"/>
            </w:pP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tcPr>
          <w:p w:rsidR="00A336BF" w:rsidRPr="00E31A9B" w:rsidRDefault="00A336BF" w:rsidP="007265A1">
            <w:pPr>
              <w:spacing w:line="240" w:lineRule="auto"/>
              <w:jc w:val="center"/>
            </w:pPr>
            <w:r w:rsidRPr="00E31A9B">
              <w:t>1402</w:t>
            </w:r>
          </w:p>
        </w:tc>
        <w:tc>
          <w:tcPr>
            <w:tcW w:w="5943" w:type="dxa"/>
          </w:tcPr>
          <w:p w:rsidR="00A336BF" w:rsidRPr="00E31A9B" w:rsidRDefault="00A336BF" w:rsidP="007265A1">
            <w:pPr>
              <w:spacing w:line="240" w:lineRule="auto"/>
            </w:pPr>
            <w:r w:rsidRPr="00E31A9B">
              <w:t>Carbure de calcium, groupe d'emballage I</w:t>
            </w:r>
          </w:p>
        </w:tc>
        <w:tc>
          <w:tcPr>
            <w:tcW w:w="1617" w:type="dxa"/>
            <w:vAlign w:val="center"/>
          </w:tcPr>
          <w:p w:rsidR="00A336BF" w:rsidRPr="00E31A9B" w:rsidRDefault="00A336BF" w:rsidP="007265A1">
            <w:pPr>
              <w:spacing w:line="240" w:lineRule="auto"/>
              <w:jc w:val="center"/>
            </w:pPr>
            <w:r w:rsidRPr="00E31A9B">
              <w:t>S2.65AN</w:t>
            </w:r>
          </w:p>
        </w:tc>
      </w:tr>
      <w:tr w:rsidR="00A336BF" w:rsidRPr="00E31A9B" w:rsidTr="007265A1">
        <w:trPr>
          <w:cantSplit/>
          <w:trHeight w:val="20"/>
          <w:jc w:val="center"/>
        </w:trPr>
        <w:tc>
          <w:tcPr>
            <w:tcW w:w="0" w:type="auto"/>
            <w:vMerge w:val="restart"/>
          </w:tcPr>
          <w:p w:rsidR="00A336BF" w:rsidRPr="00E31A9B" w:rsidRDefault="00A336BF" w:rsidP="007265A1">
            <w:pPr>
              <w:spacing w:line="240" w:lineRule="auto"/>
              <w:jc w:val="center"/>
            </w:pPr>
            <w:r w:rsidRPr="00E31A9B">
              <w:t>5.1</w:t>
            </w:r>
          </w:p>
        </w:tc>
        <w:tc>
          <w:tcPr>
            <w:tcW w:w="976" w:type="dxa"/>
          </w:tcPr>
          <w:p w:rsidR="00A336BF" w:rsidRPr="00E31A9B" w:rsidRDefault="00A336BF" w:rsidP="007265A1">
            <w:pPr>
              <w:spacing w:line="240" w:lineRule="auto"/>
              <w:jc w:val="center"/>
            </w:pPr>
            <w:r w:rsidRPr="00E31A9B">
              <w:t>1873</w:t>
            </w:r>
          </w:p>
        </w:tc>
        <w:tc>
          <w:tcPr>
            <w:tcW w:w="5943" w:type="dxa"/>
          </w:tcPr>
          <w:p w:rsidR="00A336BF" w:rsidRPr="00E31A9B" w:rsidRDefault="00A336BF" w:rsidP="007265A1">
            <w:pPr>
              <w:spacing w:line="240" w:lineRule="auto"/>
            </w:pPr>
            <w:r w:rsidRPr="00E31A9B">
              <w:t xml:space="preserve">Acide perchlorique </w:t>
            </w:r>
            <w:r w:rsidR="00FE3DF3" w:rsidRPr="00FE3DF3">
              <w:t>contenant plus de 50% (masse) mais au maximum 72% (masse) d'acide</w:t>
            </w:r>
          </w:p>
        </w:tc>
        <w:tc>
          <w:tcPr>
            <w:tcW w:w="1617" w:type="dxa"/>
            <w:vAlign w:val="center"/>
          </w:tcPr>
          <w:p w:rsidR="00A336BF" w:rsidRPr="00E31A9B" w:rsidRDefault="00A336BF" w:rsidP="007265A1">
            <w:pPr>
              <w:spacing w:line="240" w:lineRule="auto"/>
              <w:jc w:val="center"/>
            </w:pPr>
            <w:r w:rsidRPr="00E31A9B">
              <w:t>L4DN</w:t>
            </w: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tcPr>
          <w:p w:rsidR="00A336BF" w:rsidRPr="00E31A9B" w:rsidRDefault="00A336BF" w:rsidP="007265A1">
            <w:pPr>
              <w:spacing w:line="240" w:lineRule="auto"/>
              <w:jc w:val="center"/>
            </w:pPr>
            <w:r w:rsidRPr="00E31A9B">
              <w:t>2015</w:t>
            </w:r>
          </w:p>
        </w:tc>
        <w:tc>
          <w:tcPr>
            <w:tcW w:w="5943" w:type="dxa"/>
          </w:tcPr>
          <w:p w:rsidR="00A336BF" w:rsidRPr="00E31A9B" w:rsidRDefault="00A336BF" w:rsidP="007265A1">
            <w:pPr>
              <w:spacing w:line="240" w:lineRule="auto"/>
            </w:pPr>
            <w:r w:rsidRPr="00E31A9B">
              <w:t>Peroxyde d'hydrogène en solution aqueuse stabilisée contenant plus de 70% de peroxyde d'hydrogène</w:t>
            </w:r>
          </w:p>
        </w:tc>
        <w:tc>
          <w:tcPr>
            <w:tcW w:w="1617" w:type="dxa"/>
            <w:vAlign w:val="center"/>
          </w:tcPr>
          <w:p w:rsidR="00A336BF" w:rsidRPr="00E31A9B" w:rsidRDefault="00A336BF" w:rsidP="007265A1">
            <w:pPr>
              <w:spacing w:line="240" w:lineRule="auto"/>
              <w:jc w:val="center"/>
            </w:pPr>
            <w:r w:rsidRPr="00E31A9B">
              <w:t>L4DV</w:t>
            </w: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tcPr>
          <w:p w:rsidR="00A336BF" w:rsidRPr="00E31A9B" w:rsidRDefault="00A336BF" w:rsidP="007265A1">
            <w:pPr>
              <w:spacing w:line="240" w:lineRule="auto"/>
              <w:jc w:val="center"/>
            </w:pPr>
            <w:r w:rsidRPr="00E31A9B">
              <w:t>2014</w:t>
            </w:r>
          </w:p>
        </w:tc>
        <w:tc>
          <w:tcPr>
            <w:tcW w:w="5943" w:type="dxa"/>
          </w:tcPr>
          <w:p w:rsidR="00A336BF" w:rsidRPr="00E31A9B" w:rsidRDefault="00A336BF" w:rsidP="007265A1">
            <w:pPr>
              <w:spacing w:line="240" w:lineRule="auto"/>
            </w:pPr>
            <w:r w:rsidRPr="00E31A9B">
              <w:t xml:space="preserve">Peroxyde d'hydrogène en solution aqueuse </w:t>
            </w:r>
            <w:r w:rsidR="00FE3DF3" w:rsidRPr="00FE3DF3">
              <w:t>contenant au moins 20% mais au maximum 60% de peroxyde d'hydrogène</w:t>
            </w:r>
          </w:p>
        </w:tc>
        <w:tc>
          <w:tcPr>
            <w:tcW w:w="1617" w:type="dxa"/>
            <w:vMerge w:val="restart"/>
            <w:vAlign w:val="center"/>
          </w:tcPr>
          <w:p w:rsidR="00A336BF" w:rsidRPr="00E31A9B" w:rsidRDefault="00A336BF" w:rsidP="007265A1">
            <w:pPr>
              <w:spacing w:line="240" w:lineRule="auto"/>
              <w:jc w:val="center"/>
              <w:rPr>
                <w:highlight w:val="green"/>
              </w:rPr>
            </w:pPr>
            <w:r w:rsidRPr="00E31A9B">
              <w:t>L4BV</w:t>
            </w: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tcPr>
          <w:p w:rsidR="00A336BF" w:rsidRPr="00E31A9B" w:rsidRDefault="00A336BF" w:rsidP="007265A1">
            <w:pPr>
              <w:spacing w:line="240" w:lineRule="auto"/>
              <w:jc w:val="center"/>
            </w:pPr>
            <w:r w:rsidRPr="00E31A9B">
              <w:t>2015</w:t>
            </w:r>
          </w:p>
        </w:tc>
        <w:tc>
          <w:tcPr>
            <w:tcW w:w="5943" w:type="dxa"/>
          </w:tcPr>
          <w:p w:rsidR="00A336BF" w:rsidRPr="00E31A9B" w:rsidRDefault="00A336BF" w:rsidP="007265A1">
            <w:pPr>
              <w:spacing w:line="240" w:lineRule="auto"/>
            </w:pPr>
            <w:r w:rsidRPr="00E31A9B">
              <w:t xml:space="preserve">Peroxyde d'hydrogène en solution aqueuse stabilisée </w:t>
            </w:r>
            <w:r w:rsidR="00FE3DF3" w:rsidRPr="00FE3DF3">
              <w:t>contenant plus de 60% de peroxyde d'hydrogène mais au maximum 70% de peroxyde d'hydrogène</w:t>
            </w:r>
          </w:p>
        </w:tc>
        <w:tc>
          <w:tcPr>
            <w:tcW w:w="1617" w:type="dxa"/>
            <w:vMerge/>
            <w:vAlign w:val="center"/>
          </w:tcPr>
          <w:p w:rsidR="00A336BF" w:rsidRPr="00E31A9B" w:rsidRDefault="00A336BF" w:rsidP="007265A1">
            <w:pPr>
              <w:spacing w:line="240" w:lineRule="auto"/>
              <w:jc w:val="center"/>
            </w:pPr>
          </w:p>
        </w:tc>
      </w:tr>
      <w:tr w:rsidR="00A336BF" w:rsidRPr="00E31A9B" w:rsidTr="007265A1">
        <w:trPr>
          <w:cantSplit/>
          <w:trHeight w:val="20"/>
          <w:jc w:val="center"/>
        </w:trPr>
        <w:tc>
          <w:tcPr>
            <w:tcW w:w="0" w:type="auto"/>
            <w:vMerge/>
          </w:tcPr>
          <w:p w:rsidR="00A336BF" w:rsidRPr="00D11B85" w:rsidRDefault="00A336BF" w:rsidP="007265A1">
            <w:pPr>
              <w:spacing w:line="240" w:lineRule="auto"/>
              <w:jc w:val="center"/>
            </w:pPr>
          </w:p>
        </w:tc>
        <w:tc>
          <w:tcPr>
            <w:tcW w:w="976" w:type="dxa"/>
          </w:tcPr>
          <w:p w:rsidR="00A336BF" w:rsidRPr="00E31A9B" w:rsidRDefault="00A336BF" w:rsidP="007265A1">
            <w:pPr>
              <w:spacing w:line="240" w:lineRule="auto"/>
              <w:jc w:val="center"/>
            </w:pPr>
            <w:r w:rsidRPr="00E31A9B">
              <w:t>2426</w:t>
            </w:r>
          </w:p>
        </w:tc>
        <w:tc>
          <w:tcPr>
            <w:tcW w:w="5943" w:type="dxa"/>
          </w:tcPr>
          <w:p w:rsidR="00A336BF" w:rsidRPr="00E31A9B" w:rsidRDefault="005155E2" w:rsidP="007265A1">
            <w:pPr>
              <w:spacing w:line="240" w:lineRule="auto"/>
            </w:pPr>
            <w:r>
              <w:t>Nitrate d'ammonium</w:t>
            </w:r>
            <w:r w:rsidR="00340BE7">
              <w:t xml:space="preserve"> liquide</w:t>
            </w:r>
            <w:r w:rsidR="00A336BF" w:rsidRPr="00E31A9B">
              <w:t xml:space="preserve"> solution chaude concentrée à plus de 80%, mais à 93% au maximum</w:t>
            </w:r>
          </w:p>
        </w:tc>
        <w:tc>
          <w:tcPr>
            <w:tcW w:w="1617" w:type="dxa"/>
            <w:vMerge/>
            <w:vAlign w:val="center"/>
          </w:tcPr>
          <w:p w:rsidR="00A336BF" w:rsidRPr="00E31A9B" w:rsidRDefault="00A336BF" w:rsidP="007265A1">
            <w:pPr>
              <w:spacing w:line="240" w:lineRule="auto"/>
              <w:jc w:val="center"/>
            </w:pP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tcPr>
          <w:p w:rsidR="00A336BF" w:rsidRPr="00E31A9B" w:rsidRDefault="00A336BF" w:rsidP="007265A1">
            <w:pPr>
              <w:spacing w:line="240" w:lineRule="auto"/>
              <w:jc w:val="center"/>
            </w:pPr>
            <w:r w:rsidRPr="00E31A9B">
              <w:t>3149</w:t>
            </w:r>
          </w:p>
        </w:tc>
        <w:tc>
          <w:tcPr>
            <w:tcW w:w="5943" w:type="dxa"/>
          </w:tcPr>
          <w:p w:rsidR="00A336BF" w:rsidRPr="00E31A9B" w:rsidRDefault="00A336BF" w:rsidP="007265A1">
            <w:pPr>
              <w:spacing w:line="240" w:lineRule="auto"/>
            </w:pPr>
            <w:r w:rsidRPr="00E31A9B">
              <w:t xml:space="preserve">Peroxyde d'hydrogène et acide </w:t>
            </w:r>
            <w:proofErr w:type="spellStart"/>
            <w:r w:rsidRPr="00E31A9B">
              <w:t>peroxyacétique</w:t>
            </w:r>
            <w:proofErr w:type="spellEnd"/>
            <w:r w:rsidRPr="00E31A9B">
              <w:t xml:space="preserve"> en mélange, stabilisé</w:t>
            </w:r>
          </w:p>
        </w:tc>
        <w:tc>
          <w:tcPr>
            <w:tcW w:w="1617" w:type="dxa"/>
            <w:vMerge/>
            <w:vAlign w:val="center"/>
          </w:tcPr>
          <w:p w:rsidR="00A336BF" w:rsidRPr="00E31A9B" w:rsidRDefault="00A336BF" w:rsidP="007265A1">
            <w:pPr>
              <w:spacing w:line="240" w:lineRule="auto"/>
              <w:jc w:val="center"/>
            </w:pP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tcPr>
          <w:p w:rsidR="00A336BF" w:rsidRPr="00E31A9B" w:rsidRDefault="00A336BF" w:rsidP="007265A1">
            <w:pPr>
              <w:spacing w:line="240" w:lineRule="auto"/>
              <w:jc w:val="center"/>
            </w:pPr>
            <w:r w:rsidRPr="00E31A9B">
              <w:t>3375</w:t>
            </w:r>
          </w:p>
        </w:tc>
        <w:tc>
          <w:tcPr>
            <w:tcW w:w="5943" w:type="dxa"/>
          </w:tcPr>
          <w:p w:rsidR="00A336BF" w:rsidRPr="00E31A9B" w:rsidRDefault="00A336BF" w:rsidP="007265A1">
            <w:pPr>
              <w:spacing w:line="240" w:lineRule="auto"/>
            </w:pPr>
            <w:r w:rsidRPr="00E31A9B">
              <w:t>Nitrate d'ammonium en émulsion, suspension ou gel, liquide</w:t>
            </w:r>
          </w:p>
        </w:tc>
        <w:tc>
          <w:tcPr>
            <w:tcW w:w="1617" w:type="dxa"/>
            <w:vAlign w:val="center"/>
          </w:tcPr>
          <w:p w:rsidR="00A336BF" w:rsidRPr="00E31A9B" w:rsidRDefault="00A336BF" w:rsidP="007265A1">
            <w:pPr>
              <w:spacing w:line="240" w:lineRule="auto"/>
              <w:jc w:val="center"/>
            </w:pPr>
            <w:r w:rsidRPr="00E31A9B">
              <w:t>LGAV</w:t>
            </w: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tcPr>
          <w:p w:rsidR="00A336BF" w:rsidRPr="00E31A9B" w:rsidRDefault="00A336BF" w:rsidP="007265A1">
            <w:pPr>
              <w:spacing w:line="240" w:lineRule="auto"/>
              <w:jc w:val="center"/>
            </w:pPr>
            <w:r w:rsidRPr="00E31A9B">
              <w:t>3375</w:t>
            </w:r>
          </w:p>
        </w:tc>
        <w:tc>
          <w:tcPr>
            <w:tcW w:w="5943" w:type="dxa"/>
          </w:tcPr>
          <w:p w:rsidR="00A336BF" w:rsidRPr="00E31A9B" w:rsidRDefault="00A336BF" w:rsidP="007265A1">
            <w:pPr>
              <w:spacing w:line="240" w:lineRule="auto"/>
            </w:pPr>
            <w:r w:rsidRPr="00E31A9B">
              <w:t>Nitrate d'ammonium en émulsion, suspension ou gel, solide</w:t>
            </w:r>
          </w:p>
        </w:tc>
        <w:tc>
          <w:tcPr>
            <w:tcW w:w="1617" w:type="dxa"/>
            <w:vAlign w:val="center"/>
          </w:tcPr>
          <w:p w:rsidR="00A336BF" w:rsidRPr="00E31A9B" w:rsidRDefault="00A336BF" w:rsidP="007265A1">
            <w:pPr>
              <w:spacing w:line="240" w:lineRule="auto"/>
              <w:jc w:val="center"/>
            </w:pPr>
            <w:r w:rsidRPr="00E31A9B">
              <w:t>SGAV</w:t>
            </w:r>
          </w:p>
        </w:tc>
      </w:tr>
      <w:tr w:rsidR="00A336BF" w:rsidRPr="00E31A9B" w:rsidTr="007265A1">
        <w:trPr>
          <w:cantSplit/>
          <w:trHeight w:val="20"/>
          <w:jc w:val="center"/>
        </w:trPr>
        <w:tc>
          <w:tcPr>
            <w:tcW w:w="0" w:type="auto"/>
            <w:vMerge w:val="restart"/>
          </w:tcPr>
          <w:p w:rsidR="00A336BF" w:rsidRPr="00E31A9B" w:rsidRDefault="00A336BF" w:rsidP="007265A1">
            <w:pPr>
              <w:spacing w:line="240" w:lineRule="auto"/>
              <w:jc w:val="center"/>
            </w:pPr>
            <w:r w:rsidRPr="00E31A9B">
              <w:t>5.2</w:t>
            </w:r>
          </w:p>
        </w:tc>
        <w:tc>
          <w:tcPr>
            <w:tcW w:w="976" w:type="dxa"/>
            <w:tcBorders>
              <w:bottom w:val="single" w:sz="4" w:space="0" w:color="auto"/>
            </w:tcBorders>
          </w:tcPr>
          <w:p w:rsidR="00A336BF" w:rsidRPr="00E31A9B" w:rsidRDefault="00A336BF" w:rsidP="007265A1">
            <w:pPr>
              <w:spacing w:line="240" w:lineRule="auto"/>
              <w:jc w:val="center"/>
            </w:pPr>
            <w:r w:rsidRPr="00E31A9B">
              <w:t>3109</w:t>
            </w:r>
          </w:p>
        </w:tc>
        <w:tc>
          <w:tcPr>
            <w:tcW w:w="5943" w:type="dxa"/>
            <w:tcBorders>
              <w:bottom w:val="single" w:sz="4" w:space="0" w:color="auto"/>
            </w:tcBorders>
          </w:tcPr>
          <w:p w:rsidR="00A336BF" w:rsidRPr="00E31A9B" w:rsidRDefault="00A336BF" w:rsidP="007265A1">
            <w:pPr>
              <w:spacing w:line="240" w:lineRule="auto"/>
            </w:pPr>
            <w:r w:rsidRPr="00E31A9B">
              <w:t>Peroxyde organique de type F, liquide </w:t>
            </w:r>
          </w:p>
        </w:tc>
        <w:tc>
          <w:tcPr>
            <w:tcW w:w="1617" w:type="dxa"/>
            <w:vMerge w:val="restart"/>
            <w:vAlign w:val="center"/>
          </w:tcPr>
          <w:p w:rsidR="00A336BF" w:rsidRPr="00E31A9B" w:rsidRDefault="00A336BF" w:rsidP="007265A1">
            <w:pPr>
              <w:spacing w:line="240" w:lineRule="auto"/>
              <w:jc w:val="center"/>
            </w:pPr>
            <w:r w:rsidRPr="00E31A9B">
              <w:t>L4BN</w:t>
            </w: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6919" w:type="dxa"/>
            <w:gridSpan w:val="2"/>
            <w:tcBorders>
              <w:bottom w:val="nil"/>
            </w:tcBorders>
          </w:tcPr>
          <w:p w:rsidR="00A336BF" w:rsidRPr="00E31A9B" w:rsidRDefault="00A336BF" w:rsidP="007265A1">
            <w:pPr>
              <w:spacing w:line="240" w:lineRule="auto"/>
            </w:pPr>
            <w:r>
              <w:t>[ADR uniquement:]</w:t>
            </w:r>
          </w:p>
        </w:tc>
        <w:tc>
          <w:tcPr>
            <w:tcW w:w="1617" w:type="dxa"/>
            <w:vMerge/>
            <w:vAlign w:val="center"/>
          </w:tcPr>
          <w:p w:rsidR="00A336BF" w:rsidRPr="00E31A9B" w:rsidRDefault="00A336BF" w:rsidP="007265A1">
            <w:pPr>
              <w:spacing w:line="240" w:lineRule="auto"/>
              <w:jc w:val="center"/>
            </w:pP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tcBorders>
              <w:top w:val="nil"/>
            </w:tcBorders>
          </w:tcPr>
          <w:p w:rsidR="00A336BF" w:rsidRPr="00E31A9B" w:rsidRDefault="00A336BF" w:rsidP="007265A1">
            <w:pPr>
              <w:spacing w:line="240" w:lineRule="auto"/>
              <w:jc w:val="center"/>
            </w:pPr>
            <w:r w:rsidRPr="00E31A9B">
              <w:t>3119</w:t>
            </w:r>
          </w:p>
        </w:tc>
        <w:tc>
          <w:tcPr>
            <w:tcW w:w="5943" w:type="dxa"/>
            <w:tcBorders>
              <w:top w:val="nil"/>
            </w:tcBorders>
          </w:tcPr>
          <w:p w:rsidR="00A336BF" w:rsidRPr="00E31A9B" w:rsidRDefault="00A336BF" w:rsidP="007265A1">
            <w:pPr>
              <w:spacing w:line="240" w:lineRule="auto"/>
            </w:pPr>
            <w:r w:rsidRPr="00E31A9B">
              <w:t>Peroxyde organique de type F, liquide, avec régulation de température</w:t>
            </w:r>
          </w:p>
        </w:tc>
        <w:tc>
          <w:tcPr>
            <w:tcW w:w="1617" w:type="dxa"/>
            <w:vMerge/>
            <w:vAlign w:val="center"/>
          </w:tcPr>
          <w:p w:rsidR="00A336BF" w:rsidRPr="00E31A9B" w:rsidRDefault="00A336BF" w:rsidP="007265A1">
            <w:pPr>
              <w:spacing w:line="240" w:lineRule="auto"/>
              <w:jc w:val="center"/>
            </w:pP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tcBorders>
              <w:bottom w:val="single" w:sz="4" w:space="0" w:color="auto"/>
            </w:tcBorders>
          </w:tcPr>
          <w:p w:rsidR="00A336BF" w:rsidRPr="00E31A9B" w:rsidRDefault="00A336BF" w:rsidP="007265A1">
            <w:pPr>
              <w:spacing w:line="240" w:lineRule="auto"/>
              <w:jc w:val="center"/>
            </w:pPr>
            <w:r w:rsidRPr="00E31A9B">
              <w:t>3110</w:t>
            </w:r>
          </w:p>
        </w:tc>
        <w:tc>
          <w:tcPr>
            <w:tcW w:w="5943" w:type="dxa"/>
            <w:tcBorders>
              <w:bottom w:val="single" w:sz="4" w:space="0" w:color="auto"/>
            </w:tcBorders>
          </w:tcPr>
          <w:p w:rsidR="00A336BF" w:rsidRPr="00E31A9B" w:rsidRDefault="00A336BF" w:rsidP="007265A1">
            <w:pPr>
              <w:spacing w:line="240" w:lineRule="auto"/>
            </w:pPr>
            <w:r w:rsidRPr="00E31A9B">
              <w:t>Peroxyde organique de type F, solide </w:t>
            </w:r>
          </w:p>
        </w:tc>
        <w:tc>
          <w:tcPr>
            <w:tcW w:w="1617" w:type="dxa"/>
            <w:vMerge w:val="restart"/>
            <w:vAlign w:val="center"/>
          </w:tcPr>
          <w:p w:rsidR="00A336BF" w:rsidRPr="00E31A9B" w:rsidRDefault="00A336BF" w:rsidP="007265A1">
            <w:pPr>
              <w:spacing w:line="240" w:lineRule="auto"/>
              <w:jc w:val="center"/>
            </w:pPr>
            <w:r w:rsidRPr="00E31A9B">
              <w:t>S4AN</w:t>
            </w: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6919" w:type="dxa"/>
            <w:gridSpan w:val="2"/>
            <w:tcBorders>
              <w:bottom w:val="nil"/>
            </w:tcBorders>
          </w:tcPr>
          <w:p w:rsidR="00A336BF" w:rsidRPr="00E31A9B" w:rsidRDefault="00A336BF" w:rsidP="007265A1">
            <w:pPr>
              <w:spacing w:line="240" w:lineRule="auto"/>
            </w:pPr>
            <w:r>
              <w:t>[ADR uniquement:]</w:t>
            </w:r>
          </w:p>
        </w:tc>
        <w:tc>
          <w:tcPr>
            <w:tcW w:w="1617" w:type="dxa"/>
            <w:vMerge/>
            <w:vAlign w:val="center"/>
          </w:tcPr>
          <w:p w:rsidR="00A336BF" w:rsidRPr="00E31A9B" w:rsidRDefault="00A336BF" w:rsidP="007265A1">
            <w:pPr>
              <w:spacing w:line="240" w:lineRule="auto"/>
              <w:jc w:val="center"/>
            </w:pP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tcBorders>
              <w:top w:val="nil"/>
            </w:tcBorders>
          </w:tcPr>
          <w:p w:rsidR="00A336BF" w:rsidRPr="00E31A9B" w:rsidRDefault="00A336BF" w:rsidP="007265A1">
            <w:pPr>
              <w:spacing w:line="240" w:lineRule="auto"/>
              <w:jc w:val="center"/>
            </w:pPr>
            <w:r w:rsidRPr="00E31A9B">
              <w:t>3120</w:t>
            </w:r>
          </w:p>
        </w:tc>
        <w:tc>
          <w:tcPr>
            <w:tcW w:w="5943" w:type="dxa"/>
            <w:tcBorders>
              <w:top w:val="nil"/>
            </w:tcBorders>
          </w:tcPr>
          <w:p w:rsidR="00A336BF" w:rsidRPr="00E31A9B" w:rsidRDefault="00A336BF" w:rsidP="007265A1">
            <w:pPr>
              <w:spacing w:line="240" w:lineRule="auto"/>
            </w:pPr>
            <w:r w:rsidRPr="00E31A9B">
              <w:t>Peroxyde organique de type F, solide, avec régulation de température</w:t>
            </w:r>
          </w:p>
        </w:tc>
        <w:tc>
          <w:tcPr>
            <w:tcW w:w="1617" w:type="dxa"/>
            <w:vMerge/>
            <w:vAlign w:val="center"/>
          </w:tcPr>
          <w:p w:rsidR="00A336BF" w:rsidRPr="00E31A9B" w:rsidRDefault="00A336BF" w:rsidP="007265A1">
            <w:pPr>
              <w:spacing w:line="240" w:lineRule="auto"/>
              <w:jc w:val="center"/>
            </w:pPr>
          </w:p>
        </w:tc>
      </w:tr>
      <w:tr w:rsidR="00A336BF" w:rsidRPr="00E31A9B" w:rsidTr="007265A1">
        <w:trPr>
          <w:cantSplit/>
          <w:trHeight w:val="20"/>
          <w:jc w:val="center"/>
        </w:trPr>
        <w:tc>
          <w:tcPr>
            <w:tcW w:w="0" w:type="auto"/>
            <w:vMerge w:val="restart"/>
          </w:tcPr>
          <w:p w:rsidR="00A336BF" w:rsidRPr="00E31A9B" w:rsidRDefault="00A336BF" w:rsidP="007265A1">
            <w:pPr>
              <w:spacing w:line="240" w:lineRule="auto"/>
              <w:jc w:val="center"/>
            </w:pPr>
            <w:r w:rsidRPr="00E31A9B">
              <w:t>6.1</w:t>
            </w:r>
          </w:p>
        </w:tc>
        <w:tc>
          <w:tcPr>
            <w:tcW w:w="976" w:type="dxa"/>
          </w:tcPr>
          <w:p w:rsidR="00A336BF" w:rsidRPr="00E31A9B" w:rsidRDefault="00A336BF" w:rsidP="007265A1">
            <w:pPr>
              <w:spacing w:line="240" w:lineRule="auto"/>
              <w:jc w:val="center"/>
            </w:pPr>
            <w:r w:rsidRPr="00E31A9B">
              <w:t>1613</w:t>
            </w:r>
          </w:p>
        </w:tc>
        <w:tc>
          <w:tcPr>
            <w:tcW w:w="5943" w:type="dxa"/>
          </w:tcPr>
          <w:p w:rsidR="00A336BF" w:rsidRPr="00E31A9B" w:rsidRDefault="00A336BF" w:rsidP="007265A1">
            <w:pPr>
              <w:spacing w:line="240" w:lineRule="auto"/>
            </w:pPr>
            <w:r w:rsidRPr="00E31A9B">
              <w:t>Cyanure d'hydrogène en solution aqueuse</w:t>
            </w:r>
          </w:p>
        </w:tc>
        <w:tc>
          <w:tcPr>
            <w:tcW w:w="1617" w:type="dxa"/>
            <w:vMerge w:val="restart"/>
            <w:vAlign w:val="center"/>
          </w:tcPr>
          <w:p w:rsidR="00A336BF" w:rsidRPr="00E31A9B" w:rsidRDefault="00A336BF" w:rsidP="007265A1">
            <w:pPr>
              <w:spacing w:line="240" w:lineRule="auto"/>
              <w:jc w:val="center"/>
            </w:pPr>
            <w:r w:rsidRPr="00E31A9B">
              <w:t>L15DH</w:t>
            </w:r>
          </w:p>
        </w:tc>
      </w:tr>
      <w:tr w:rsidR="00A336BF" w:rsidRPr="00E31A9B" w:rsidTr="007265A1">
        <w:trPr>
          <w:cantSplit/>
          <w:trHeight w:val="20"/>
          <w:jc w:val="center"/>
        </w:trPr>
        <w:tc>
          <w:tcPr>
            <w:tcW w:w="0" w:type="auto"/>
            <w:vMerge/>
          </w:tcPr>
          <w:p w:rsidR="00A336BF" w:rsidRPr="00E31A9B" w:rsidRDefault="00A336BF" w:rsidP="007265A1">
            <w:pPr>
              <w:spacing w:line="240" w:lineRule="auto"/>
            </w:pPr>
          </w:p>
        </w:tc>
        <w:tc>
          <w:tcPr>
            <w:tcW w:w="976" w:type="dxa"/>
          </w:tcPr>
          <w:p w:rsidR="00A336BF" w:rsidRPr="00E31A9B" w:rsidRDefault="00A336BF" w:rsidP="007265A1">
            <w:pPr>
              <w:spacing w:line="240" w:lineRule="auto"/>
              <w:jc w:val="center"/>
            </w:pPr>
            <w:r w:rsidRPr="00E31A9B">
              <w:t>3294</w:t>
            </w:r>
          </w:p>
        </w:tc>
        <w:tc>
          <w:tcPr>
            <w:tcW w:w="5943" w:type="dxa"/>
          </w:tcPr>
          <w:p w:rsidR="00A336BF" w:rsidRPr="00E31A9B" w:rsidRDefault="00A336BF" w:rsidP="007265A1">
            <w:pPr>
              <w:spacing w:line="240" w:lineRule="auto"/>
            </w:pPr>
            <w:r w:rsidRPr="00E31A9B">
              <w:t>Cyanure d'hydrogène en solution alcoolique</w:t>
            </w:r>
          </w:p>
        </w:tc>
        <w:tc>
          <w:tcPr>
            <w:tcW w:w="1617" w:type="dxa"/>
            <w:vMerge/>
            <w:vAlign w:val="center"/>
          </w:tcPr>
          <w:p w:rsidR="00A336BF" w:rsidRPr="00E31A9B" w:rsidRDefault="00A336BF" w:rsidP="007265A1">
            <w:pPr>
              <w:spacing w:line="240" w:lineRule="auto"/>
              <w:jc w:val="center"/>
            </w:pPr>
          </w:p>
        </w:tc>
      </w:tr>
      <w:tr w:rsidR="00A336BF" w:rsidRPr="00E31A9B" w:rsidTr="007265A1">
        <w:trPr>
          <w:cantSplit/>
          <w:trHeight w:val="20"/>
          <w:jc w:val="center"/>
        </w:trPr>
        <w:tc>
          <w:tcPr>
            <w:tcW w:w="0" w:type="auto"/>
            <w:vMerge w:val="restart"/>
          </w:tcPr>
          <w:p w:rsidR="00A336BF" w:rsidRPr="00E31A9B" w:rsidRDefault="00A336BF" w:rsidP="007265A1">
            <w:pPr>
              <w:pageBreakBefore/>
              <w:spacing w:line="240" w:lineRule="auto"/>
              <w:jc w:val="center"/>
            </w:pPr>
            <w:r w:rsidRPr="00E31A9B">
              <w:lastRenderedPageBreak/>
              <w:t>7*</w:t>
            </w:r>
          </w:p>
        </w:tc>
        <w:tc>
          <w:tcPr>
            <w:tcW w:w="976" w:type="dxa"/>
            <w:vMerge w:val="restart"/>
          </w:tcPr>
          <w:p w:rsidR="00A336BF" w:rsidRPr="00E31A9B" w:rsidRDefault="00A336BF" w:rsidP="007265A1">
            <w:pPr>
              <w:spacing w:line="240" w:lineRule="auto"/>
            </w:pPr>
          </w:p>
        </w:tc>
        <w:tc>
          <w:tcPr>
            <w:tcW w:w="5943" w:type="dxa"/>
          </w:tcPr>
          <w:p w:rsidR="00A336BF" w:rsidRPr="00E31A9B" w:rsidRDefault="00A336BF" w:rsidP="007265A1">
            <w:pPr>
              <w:spacing w:line="240" w:lineRule="auto"/>
            </w:pPr>
            <w:r w:rsidRPr="00E31A9B">
              <w:t>Toutes les matières</w:t>
            </w:r>
          </w:p>
        </w:tc>
        <w:tc>
          <w:tcPr>
            <w:tcW w:w="1617" w:type="dxa"/>
            <w:vAlign w:val="center"/>
          </w:tcPr>
          <w:p w:rsidR="00A336BF" w:rsidRPr="00E31A9B" w:rsidRDefault="00A336BF" w:rsidP="007265A1">
            <w:pPr>
              <w:spacing w:line="240" w:lineRule="auto"/>
              <w:jc w:val="center"/>
            </w:pPr>
            <w:r w:rsidRPr="00E31A9B">
              <w:t>Citerne spéciale</w:t>
            </w: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vMerge/>
          </w:tcPr>
          <w:p w:rsidR="00A336BF" w:rsidRPr="00E31A9B" w:rsidRDefault="00A336BF" w:rsidP="007265A1">
            <w:pPr>
              <w:spacing w:line="240" w:lineRule="auto"/>
            </w:pPr>
          </w:p>
        </w:tc>
        <w:tc>
          <w:tcPr>
            <w:tcW w:w="5943" w:type="dxa"/>
          </w:tcPr>
          <w:p w:rsidR="00A336BF" w:rsidRPr="00E31A9B" w:rsidRDefault="00D11B85" w:rsidP="007265A1">
            <w:pPr>
              <w:spacing w:line="240" w:lineRule="auto"/>
            </w:pPr>
            <w:r>
              <w:t>Exigence minimale</w:t>
            </w:r>
            <w:r w:rsidR="00A336BF" w:rsidRPr="00E31A9B">
              <w:t xml:space="preserve"> pour les liquides</w:t>
            </w:r>
          </w:p>
        </w:tc>
        <w:tc>
          <w:tcPr>
            <w:tcW w:w="1617" w:type="dxa"/>
            <w:vAlign w:val="center"/>
          </w:tcPr>
          <w:p w:rsidR="00A336BF" w:rsidRPr="00E31A9B" w:rsidRDefault="00A336BF" w:rsidP="007265A1">
            <w:pPr>
              <w:spacing w:line="240" w:lineRule="auto"/>
              <w:jc w:val="center"/>
            </w:pPr>
            <w:r w:rsidRPr="00E31A9B">
              <w:t>L2.65CN</w:t>
            </w:r>
          </w:p>
        </w:tc>
      </w:tr>
      <w:tr w:rsidR="00A336BF" w:rsidRPr="00E31A9B" w:rsidTr="007265A1">
        <w:trPr>
          <w:cantSplit/>
          <w:trHeight w:val="20"/>
          <w:jc w:val="center"/>
        </w:trPr>
        <w:tc>
          <w:tcPr>
            <w:tcW w:w="0" w:type="auto"/>
            <w:vMerge/>
          </w:tcPr>
          <w:p w:rsidR="00A336BF" w:rsidRPr="00E31A9B" w:rsidRDefault="00A336BF" w:rsidP="007265A1">
            <w:pPr>
              <w:spacing w:line="240" w:lineRule="auto"/>
              <w:jc w:val="center"/>
            </w:pPr>
          </w:p>
        </w:tc>
        <w:tc>
          <w:tcPr>
            <w:tcW w:w="976" w:type="dxa"/>
            <w:vMerge/>
          </w:tcPr>
          <w:p w:rsidR="00A336BF" w:rsidRPr="00E31A9B" w:rsidRDefault="00A336BF" w:rsidP="007265A1">
            <w:pPr>
              <w:spacing w:line="240" w:lineRule="auto"/>
            </w:pPr>
          </w:p>
        </w:tc>
        <w:tc>
          <w:tcPr>
            <w:tcW w:w="5943" w:type="dxa"/>
          </w:tcPr>
          <w:p w:rsidR="00A336BF" w:rsidRPr="00E31A9B" w:rsidRDefault="00D11B85" w:rsidP="007265A1">
            <w:pPr>
              <w:spacing w:line="240" w:lineRule="auto"/>
            </w:pPr>
            <w:r>
              <w:t>Exigence minimale</w:t>
            </w:r>
            <w:r w:rsidR="00A336BF" w:rsidRPr="00E31A9B">
              <w:t xml:space="preserve"> pour les solides</w:t>
            </w:r>
          </w:p>
        </w:tc>
        <w:tc>
          <w:tcPr>
            <w:tcW w:w="1617" w:type="dxa"/>
            <w:vAlign w:val="center"/>
          </w:tcPr>
          <w:p w:rsidR="00A336BF" w:rsidRPr="00E31A9B" w:rsidRDefault="00A336BF" w:rsidP="007265A1">
            <w:pPr>
              <w:spacing w:line="240" w:lineRule="auto"/>
              <w:jc w:val="center"/>
            </w:pPr>
            <w:r w:rsidRPr="00E31A9B">
              <w:t>S2.65AN</w:t>
            </w:r>
          </w:p>
        </w:tc>
      </w:tr>
      <w:tr w:rsidR="00A336BF" w:rsidRPr="00E31A9B" w:rsidTr="007265A1">
        <w:trPr>
          <w:cantSplit/>
          <w:trHeight w:val="20"/>
          <w:jc w:val="center"/>
        </w:trPr>
        <w:tc>
          <w:tcPr>
            <w:tcW w:w="0" w:type="auto"/>
            <w:vMerge w:val="restart"/>
          </w:tcPr>
          <w:p w:rsidR="00A336BF" w:rsidRPr="00E31A9B" w:rsidRDefault="00A336BF" w:rsidP="007265A1">
            <w:pPr>
              <w:spacing w:line="240" w:lineRule="auto"/>
              <w:jc w:val="center"/>
            </w:pPr>
            <w:r w:rsidRPr="00E31A9B">
              <w:t>8</w:t>
            </w:r>
          </w:p>
        </w:tc>
        <w:tc>
          <w:tcPr>
            <w:tcW w:w="976" w:type="dxa"/>
          </w:tcPr>
          <w:p w:rsidR="00A336BF" w:rsidRPr="00E31A9B" w:rsidRDefault="00A336BF" w:rsidP="007265A1">
            <w:pPr>
              <w:spacing w:line="240" w:lineRule="auto"/>
              <w:jc w:val="center"/>
            </w:pPr>
            <w:r w:rsidRPr="00E31A9B">
              <w:t>1052</w:t>
            </w:r>
          </w:p>
        </w:tc>
        <w:tc>
          <w:tcPr>
            <w:tcW w:w="5943" w:type="dxa"/>
          </w:tcPr>
          <w:p w:rsidR="00A336BF" w:rsidRPr="00E31A9B" w:rsidRDefault="00A336BF" w:rsidP="007265A1">
            <w:pPr>
              <w:spacing w:line="240" w:lineRule="auto"/>
            </w:pPr>
            <w:r w:rsidRPr="00E31A9B">
              <w:t>Fluorure d'hydrogène anhydre</w:t>
            </w:r>
          </w:p>
        </w:tc>
        <w:tc>
          <w:tcPr>
            <w:tcW w:w="1617" w:type="dxa"/>
            <w:vMerge w:val="restart"/>
            <w:vAlign w:val="center"/>
          </w:tcPr>
          <w:p w:rsidR="00A336BF" w:rsidRPr="00E31A9B" w:rsidRDefault="00A336BF" w:rsidP="007265A1">
            <w:pPr>
              <w:spacing w:line="240" w:lineRule="auto"/>
              <w:jc w:val="center"/>
            </w:pPr>
            <w:r w:rsidRPr="00E31A9B">
              <w:t>L21DH</w:t>
            </w:r>
          </w:p>
        </w:tc>
      </w:tr>
      <w:tr w:rsidR="00A336BF" w:rsidRPr="00E31A9B" w:rsidTr="007265A1">
        <w:trPr>
          <w:cantSplit/>
          <w:trHeight w:val="20"/>
          <w:jc w:val="center"/>
        </w:trPr>
        <w:tc>
          <w:tcPr>
            <w:tcW w:w="0" w:type="auto"/>
            <w:vMerge/>
          </w:tcPr>
          <w:p w:rsidR="00A336BF" w:rsidRPr="00E31A9B" w:rsidRDefault="00A336BF" w:rsidP="007265A1">
            <w:pPr>
              <w:spacing w:line="240" w:lineRule="auto"/>
            </w:pPr>
          </w:p>
        </w:tc>
        <w:tc>
          <w:tcPr>
            <w:tcW w:w="976" w:type="dxa"/>
          </w:tcPr>
          <w:p w:rsidR="00A336BF" w:rsidRPr="00E31A9B" w:rsidRDefault="00A336BF" w:rsidP="007265A1">
            <w:pPr>
              <w:spacing w:line="240" w:lineRule="auto"/>
              <w:jc w:val="center"/>
            </w:pPr>
            <w:r w:rsidRPr="00E31A9B">
              <w:t>1744</w:t>
            </w:r>
          </w:p>
        </w:tc>
        <w:tc>
          <w:tcPr>
            <w:tcW w:w="5943" w:type="dxa"/>
          </w:tcPr>
          <w:p w:rsidR="00A336BF" w:rsidRPr="00E31A9B" w:rsidRDefault="00A336BF" w:rsidP="007265A1">
            <w:pPr>
              <w:spacing w:line="240" w:lineRule="auto"/>
            </w:pPr>
            <w:r w:rsidRPr="00E31A9B">
              <w:t xml:space="preserve">Brome ou brome en solution </w:t>
            </w:r>
          </w:p>
        </w:tc>
        <w:tc>
          <w:tcPr>
            <w:tcW w:w="1617" w:type="dxa"/>
            <w:vMerge/>
          </w:tcPr>
          <w:p w:rsidR="00A336BF" w:rsidRPr="00E31A9B" w:rsidRDefault="00A336BF" w:rsidP="007265A1">
            <w:pPr>
              <w:spacing w:line="240" w:lineRule="auto"/>
              <w:jc w:val="center"/>
            </w:pPr>
          </w:p>
        </w:tc>
      </w:tr>
      <w:tr w:rsidR="00A336BF" w:rsidRPr="00E31A9B" w:rsidTr="007265A1">
        <w:trPr>
          <w:cantSplit/>
          <w:trHeight w:val="20"/>
          <w:jc w:val="center"/>
        </w:trPr>
        <w:tc>
          <w:tcPr>
            <w:tcW w:w="0" w:type="auto"/>
            <w:vMerge/>
          </w:tcPr>
          <w:p w:rsidR="00A336BF" w:rsidRPr="00E31A9B" w:rsidRDefault="00A336BF" w:rsidP="007265A1">
            <w:pPr>
              <w:spacing w:line="240" w:lineRule="auto"/>
            </w:pPr>
          </w:p>
        </w:tc>
        <w:tc>
          <w:tcPr>
            <w:tcW w:w="976" w:type="dxa"/>
          </w:tcPr>
          <w:p w:rsidR="00A336BF" w:rsidRPr="00E31A9B" w:rsidRDefault="00A336BF" w:rsidP="007265A1">
            <w:pPr>
              <w:spacing w:line="240" w:lineRule="auto"/>
              <w:jc w:val="center"/>
            </w:pPr>
            <w:r w:rsidRPr="00E31A9B">
              <w:t>1790</w:t>
            </w:r>
          </w:p>
        </w:tc>
        <w:tc>
          <w:tcPr>
            <w:tcW w:w="5943" w:type="dxa"/>
          </w:tcPr>
          <w:p w:rsidR="00A336BF" w:rsidRPr="00E31A9B" w:rsidRDefault="00A336BF" w:rsidP="007265A1">
            <w:pPr>
              <w:spacing w:line="240" w:lineRule="auto"/>
            </w:pPr>
            <w:r w:rsidRPr="00E31A9B">
              <w:t>Acide fluorhydrique contenant plus de 85% de fluorure d'hydrogène</w:t>
            </w:r>
          </w:p>
        </w:tc>
        <w:tc>
          <w:tcPr>
            <w:tcW w:w="1617" w:type="dxa"/>
            <w:vMerge/>
          </w:tcPr>
          <w:p w:rsidR="00A336BF" w:rsidRPr="00E31A9B" w:rsidRDefault="00A336BF" w:rsidP="007265A1">
            <w:pPr>
              <w:spacing w:line="240" w:lineRule="auto"/>
              <w:jc w:val="center"/>
            </w:pPr>
          </w:p>
        </w:tc>
      </w:tr>
      <w:tr w:rsidR="00A336BF" w:rsidRPr="00E31A9B" w:rsidTr="007265A1">
        <w:trPr>
          <w:cantSplit/>
          <w:trHeight w:val="20"/>
          <w:jc w:val="center"/>
        </w:trPr>
        <w:tc>
          <w:tcPr>
            <w:tcW w:w="0" w:type="auto"/>
            <w:vMerge/>
          </w:tcPr>
          <w:p w:rsidR="00A336BF" w:rsidRPr="00E31A9B" w:rsidRDefault="00A336BF" w:rsidP="007265A1">
            <w:pPr>
              <w:spacing w:line="240" w:lineRule="auto"/>
            </w:pPr>
          </w:p>
        </w:tc>
        <w:tc>
          <w:tcPr>
            <w:tcW w:w="976" w:type="dxa"/>
          </w:tcPr>
          <w:p w:rsidR="00A336BF" w:rsidRPr="00E31A9B" w:rsidRDefault="00A336BF" w:rsidP="007265A1">
            <w:pPr>
              <w:spacing w:line="240" w:lineRule="auto"/>
              <w:jc w:val="center"/>
            </w:pPr>
            <w:r w:rsidRPr="00E31A9B">
              <w:t>1791</w:t>
            </w:r>
          </w:p>
        </w:tc>
        <w:tc>
          <w:tcPr>
            <w:tcW w:w="5943" w:type="dxa"/>
          </w:tcPr>
          <w:p w:rsidR="00A336BF" w:rsidRPr="00E31A9B" w:rsidRDefault="00A336BF" w:rsidP="007265A1">
            <w:pPr>
              <w:spacing w:line="240" w:lineRule="auto"/>
            </w:pPr>
            <w:r w:rsidRPr="00E31A9B">
              <w:t>Hypochlorite en solution</w:t>
            </w:r>
          </w:p>
        </w:tc>
        <w:tc>
          <w:tcPr>
            <w:tcW w:w="1617" w:type="dxa"/>
            <w:vMerge w:val="restart"/>
            <w:vAlign w:val="center"/>
          </w:tcPr>
          <w:p w:rsidR="00A336BF" w:rsidRPr="00E31A9B" w:rsidRDefault="00A336BF" w:rsidP="007265A1">
            <w:pPr>
              <w:spacing w:line="240" w:lineRule="auto"/>
              <w:jc w:val="center"/>
            </w:pPr>
            <w:r w:rsidRPr="00E31A9B">
              <w:t>L4BV</w:t>
            </w:r>
          </w:p>
        </w:tc>
      </w:tr>
      <w:tr w:rsidR="00A336BF" w:rsidRPr="00E31A9B" w:rsidTr="007265A1">
        <w:trPr>
          <w:cantSplit/>
          <w:trHeight w:val="20"/>
          <w:jc w:val="center"/>
        </w:trPr>
        <w:tc>
          <w:tcPr>
            <w:tcW w:w="0" w:type="auto"/>
            <w:vMerge/>
          </w:tcPr>
          <w:p w:rsidR="00A336BF" w:rsidRPr="00E31A9B" w:rsidRDefault="00A336BF" w:rsidP="007265A1">
            <w:pPr>
              <w:spacing w:line="240" w:lineRule="auto"/>
            </w:pPr>
          </w:p>
        </w:tc>
        <w:tc>
          <w:tcPr>
            <w:tcW w:w="976" w:type="dxa"/>
          </w:tcPr>
          <w:p w:rsidR="00A336BF" w:rsidRPr="00E31A9B" w:rsidRDefault="00A336BF" w:rsidP="007265A1">
            <w:pPr>
              <w:spacing w:line="240" w:lineRule="auto"/>
              <w:jc w:val="center"/>
            </w:pPr>
            <w:r w:rsidRPr="00E31A9B">
              <w:t>1908</w:t>
            </w:r>
          </w:p>
        </w:tc>
        <w:tc>
          <w:tcPr>
            <w:tcW w:w="5943" w:type="dxa"/>
          </w:tcPr>
          <w:p w:rsidR="00A336BF" w:rsidRPr="00E31A9B" w:rsidRDefault="00A336BF" w:rsidP="007265A1">
            <w:pPr>
              <w:spacing w:line="240" w:lineRule="auto"/>
            </w:pPr>
            <w:r w:rsidRPr="00E31A9B">
              <w:t>Chlorite en solution</w:t>
            </w:r>
          </w:p>
        </w:tc>
        <w:tc>
          <w:tcPr>
            <w:tcW w:w="1617" w:type="dxa"/>
            <w:vMerge/>
          </w:tcPr>
          <w:p w:rsidR="00A336BF" w:rsidRPr="00E31A9B" w:rsidRDefault="00A336BF" w:rsidP="007265A1">
            <w:pPr>
              <w:spacing w:line="240" w:lineRule="auto"/>
            </w:pPr>
          </w:p>
        </w:tc>
      </w:tr>
    </w:tbl>
    <w:p w:rsidR="00A336BF" w:rsidRPr="001F0D5B" w:rsidRDefault="00A336BF" w:rsidP="00A336BF">
      <w:pPr>
        <w:pStyle w:val="SingleTxtG"/>
        <w:spacing w:before="120"/>
        <w:rPr>
          <w:i/>
          <w:lang w:val="fr-FR"/>
        </w:rPr>
      </w:pPr>
      <w:r w:rsidRPr="001F0D5B">
        <w:rPr>
          <w:lang w:val="fr-FR"/>
        </w:rPr>
        <w:t>*</w:t>
      </w:r>
      <w:r w:rsidRPr="001F0D5B">
        <w:rPr>
          <w:lang w:val="fr-FR"/>
        </w:rPr>
        <w:tab/>
      </w:r>
      <w:r w:rsidRPr="001F0D5B">
        <w:rPr>
          <w:i/>
          <w:lang w:val="fr-FR"/>
        </w:rPr>
        <w:t>Par dérogation aux prescriptions générales du présent paragraphe, les citernes utilisées pour les matières radioactives, peuvent également être utilisées pour le transport d'autres matières lorsque les prescriptions du 5.1.3.2 sont respectées.</w:t>
      </w:r>
    </w:p>
    <w:p w:rsidR="00A336BF" w:rsidRPr="001F0D5B" w:rsidRDefault="00A336BF" w:rsidP="00A336BF">
      <w:pPr>
        <w:pStyle w:val="SingleTxtG"/>
        <w:spacing w:before="120"/>
        <w:rPr>
          <w:i/>
          <w:iCs/>
          <w:lang w:val="fr-FR"/>
        </w:rPr>
      </w:pPr>
      <w:r w:rsidRPr="00BB5B19">
        <w:rPr>
          <w:i/>
          <w:iCs/>
          <w:lang w:val="fr-FR"/>
        </w:rPr>
        <w:t xml:space="preserve">(Document de référence: documents informels INF.6 et </w:t>
      </w:r>
      <w:proofErr w:type="gramStart"/>
      <w:r w:rsidRPr="00BB5B19">
        <w:rPr>
          <w:i/>
          <w:iCs/>
          <w:lang w:val="fr-FR"/>
        </w:rPr>
        <w:t>INF.19 )</w:t>
      </w:r>
      <w:proofErr w:type="gramEnd"/>
    </w:p>
    <w:p w:rsidR="00A336BF" w:rsidRPr="001F0D5B" w:rsidRDefault="00A336BF" w:rsidP="00A336BF">
      <w:pPr>
        <w:pStyle w:val="SingleTxtG"/>
        <w:rPr>
          <w:lang w:val="fr-FR"/>
        </w:rPr>
      </w:pPr>
      <w:r w:rsidRPr="001F0D5B">
        <w:rPr>
          <w:lang w:val="fr-FR"/>
        </w:rPr>
        <w:t>4.3.5</w:t>
      </w:r>
      <w:r w:rsidRPr="001F0D5B">
        <w:rPr>
          <w:lang w:val="fr-FR"/>
        </w:rPr>
        <w:tab/>
        <w:t>Ajouter la nouvelle disposition spéciale suivante:</w:t>
      </w:r>
    </w:p>
    <w:p w:rsidR="00A336BF" w:rsidRPr="001F0D5B" w:rsidRDefault="00A336BF" w:rsidP="00A336BF">
      <w:pPr>
        <w:pStyle w:val="SingleTxtG"/>
        <w:rPr>
          <w:lang w:val="fr-FR"/>
        </w:rPr>
      </w:pPr>
      <w:r w:rsidRPr="001F0D5B">
        <w:rPr>
          <w:lang w:val="fr-FR"/>
        </w:rPr>
        <w:t>«TU42</w:t>
      </w:r>
      <w:r w:rsidRPr="001F0D5B">
        <w:rPr>
          <w:lang w:val="fr-FR"/>
        </w:rPr>
        <w:tab/>
      </w:r>
      <w:r w:rsidRPr="001F0D5B">
        <w:rPr>
          <w:lang w:val="fr-FR"/>
        </w:rPr>
        <w:tab/>
        <w:t>Les citernes dont le réservoir est construit en alliage d’aluminium, y compris celles équipées d’un revêtement protecteur, ne peuvent être utilisées que si le pH de la matière n’est pas inférieur à 5 et n’est pas supérieur à 8.».</w:t>
      </w:r>
    </w:p>
    <w:p w:rsidR="00A336BF" w:rsidRPr="001F0D5B" w:rsidRDefault="00A336BF" w:rsidP="00A336BF">
      <w:pPr>
        <w:pStyle w:val="SingleTxtG"/>
        <w:spacing w:before="120"/>
        <w:rPr>
          <w:i/>
          <w:iCs/>
          <w:lang w:val="fr-FR"/>
        </w:rPr>
      </w:pPr>
      <w:r w:rsidRPr="001F0D5B">
        <w:rPr>
          <w:i/>
          <w:iCs/>
          <w:lang w:val="fr-FR"/>
        </w:rPr>
        <w:t>(Document de référence: document informel INF.38, proposition 8)</w:t>
      </w:r>
    </w:p>
    <w:p w:rsidR="00A336BF" w:rsidRPr="001F0D5B" w:rsidRDefault="00A336BF" w:rsidP="00A336BF">
      <w:pPr>
        <w:pStyle w:val="H1G"/>
        <w:rPr>
          <w:lang w:val="fr-FR"/>
        </w:rPr>
      </w:pPr>
      <w:r w:rsidRPr="001F0D5B">
        <w:rPr>
          <w:lang w:val="fr-FR"/>
        </w:rPr>
        <w:tab/>
      </w:r>
      <w:r w:rsidRPr="001F0D5B">
        <w:rPr>
          <w:lang w:val="fr-FR"/>
        </w:rPr>
        <w:tab/>
        <w:t>Chapitre 6.2</w:t>
      </w:r>
    </w:p>
    <w:p w:rsidR="00A336BF" w:rsidRPr="001F0D5B" w:rsidRDefault="00A336BF" w:rsidP="00A336BF">
      <w:pPr>
        <w:pStyle w:val="SingleTxtG"/>
        <w:rPr>
          <w:lang w:val="fr-FR"/>
        </w:rPr>
      </w:pPr>
      <w:r w:rsidRPr="001F0D5B">
        <w:rPr>
          <w:lang w:val="fr-FR"/>
        </w:rPr>
        <w:t>6.2.3.9.6</w:t>
      </w:r>
      <w:r w:rsidRPr="001F0D5B">
        <w:rPr>
          <w:lang w:val="fr-FR"/>
        </w:rPr>
        <w:tab/>
        <w:t>Après «sur la bouteille», ajouter «ou le fût à pression».</w:t>
      </w:r>
    </w:p>
    <w:p w:rsidR="00A336BF" w:rsidRPr="001F0D5B" w:rsidRDefault="00A336BF" w:rsidP="00A336BF">
      <w:pPr>
        <w:pStyle w:val="SingleTxtG"/>
        <w:rPr>
          <w:i/>
          <w:iCs/>
          <w:lang w:val="fr-FR"/>
        </w:rPr>
      </w:pPr>
      <w:r w:rsidRPr="001F0D5B">
        <w:rPr>
          <w:i/>
          <w:iCs/>
          <w:lang w:val="fr-FR"/>
        </w:rPr>
        <w:t>(Document de référence : ECE/TRANS/WP.15/AC.1/2016/32)</w:t>
      </w:r>
    </w:p>
    <w:p w:rsidR="00A336BF" w:rsidRPr="001F0D5B" w:rsidRDefault="00A336BF" w:rsidP="00A336BF">
      <w:pPr>
        <w:pStyle w:val="SingleTxtG"/>
        <w:rPr>
          <w:lang w:val="fr-FR"/>
        </w:rPr>
      </w:pPr>
      <w:r w:rsidRPr="001F0D5B">
        <w:rPr>
          <w:lang w:val="fr-FR"/>
        </w:rPr>
        <w:t>6.2.4.1</w:t>
      </w:r>
      <w:r w:rsidRPr="001F0D5B">
        <w:rPr>
          <w:lang w:val="fr-FR"/>
        </w:rPr>
        <w:tab/>
      </w:r>
      <w:r w:rsidRPr="001F0D5B">
        <w:rPr>
          <w:lang w:val="fr-FR"/>
        </w:rPr>
        <w:tab/>
        <w:t>Dans le tableau, sous «Pour la conception et la fabrication», pour «EN ISO 11120:1999 + A1:2013», dans la colonne (4), remplacer «Jusqu’à nouvel ordre» par «Entre le 1er janvier 2015 et le 31 décembre 2020». Après la ligne pour «EN ISO 11120:1999 + A1:2013», ajouter la nouvelle ligne suivante:</w:t>
      </w:r>
    </w:p>
    <w:tbl>
      <w:tblPr>
        <w:tblW w:w="9185" w:type="dxa"/>
        <w:tblInd w:w="483"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417"/>
        <w:gridCol w:w="3459"/>
        <w:gridCol w:w="1502"/>
        <w:gridCol w:w="1371"/>
        <w:gridCol w:w="1436"/>
      </w:tblGrid>
      <w:tr w:rsidR="00A336BF" w:rsidRPr="001F0D5B" w:rsidTr="007265A1">
        <w:tc>
          <w:tcPr>
            <w:tcW w:w="1417" w:type="dxa"/>
            <w:shd w:val="clear" w:color="auto" w:fill="auto"/>
          </w:tcPr>
          <w:p w:rsidR="00A336BF" w:rsidRPr="001F0D5B" w:rsidRDefault="00A336BF" w:rsidP="007265A1">
            <w:pPr>
              <w:keepNext/>
              <w:spacing w:before="60" w:after="60"/>
              <w:ind w:hanging="22"/>
              <w:rPr>
                <w:bCs/>
                <w:lang w:val="fr-FR"/>
              </w:rPr>
            </w:pPr>
            <w:r w:rsidRPr="001F0D5B">
              <w:rPr>
                <w:bCs/>
                <w:lang w:val="fr-FR"/>
              </w:rPr>
              <w:t>EN ISO 11120:2015</w:t>
            </w:r>
          </w:p>
        </w:tc>
        <w:tc>
          <w:tcPr>
            <w:tcW w:w="3459" w:type="dxa"/>
            <w:shd w:val="clear" w:color="auto" w:fill="auto"/>
          </w:tcPr>
          <w:p w:rsidR="00A336BF" w:rsidRPr="001F0D5B" w:rsidRDefault="00A336BF" w:rsidP="007265A1">
            <w:pPr>
              <w:keepNext/>
              <w:spacing w:before="60" w:after="60"/>
              <w:ind w:hanging="22"/>
              <w:rPr>
                <w:bCs/>
                <w:lang w:val="fr-FR"/>
              </w:rPr>
            </w:pPr>
            <w:r w:rsidRPr="001F0D5B">
              <w:rPr>
                <w:bCs/>
                <w:lang w:val="fr-FR"/>
              </w:rPr>
              <w:t>Bouteilles à gaz - Tubes en acier sans soudures rechargeables d'une contenance en eau de 150 litres à 3 000 litres - Conception, construction et essais</w:t>
            </w:r>
          </w:p>
        </w:tc>
        <w:tc>
          <w:tcPr>
            <w:tcW w:w="1502" w:type="dxa"/>
            <w:shd w:val="clear" w:color="auto" w:fill="auto"/>
          </w:tcPr>
          <w:p w:rsidR="00A336BF" w:rsidRPr="001F0D5B" w:rsidRDefault="00A336BF" w:rsidP="007265A1">
            <w:pPr>
              <w:spacing w:before="60" w:after="60" w:line="240" w:lineRule="auto"/>
              <w:jc w:val="center"/>
              <w:rPr>
                <w:bCs/>
                <w:lang w:val="fr-FR"/>
              </w:rPr>
            </w:pPr>
            <w:r w:rsidRPr="001F0D5B">
              <w:rPr>
                <w:bCs/>
                <w:lang w:val="fr-FR"/>
              </w:rPr>
              <w:t>6.2.3.1 et 6.2.3.4</w:t>
            </w:r>
          </w:p>
        </w:tc>
        <w:tc>
          <w:tcPr>
            <w:tcW w:w="1371" w:type="dxa"/>
            <w:shd w:val="clear" w:color="auto" w:fill="auto"/>
          </w:tcPr>
          <w:p w:rsidR="00A336BF" w:rsidRPr="001F0D5B" w:rsidRDefault="00A336BF" w:rsidP="007265A1">
            <w:pPr>
              <w:spacing w:before="60" w:after="60" w:line="240" w:lineRule="auto"/>
              <w:jc w:val="center"/>
              <w:rPr>
                <w:lang w:val="fr-FR"/>
              </w:rPr>
            </w:pPr>
            <w:r w:rsidRPr="001F0D5B">
              <w:rPr>
                <w:lang w:val="fr-FR"/>
              </w:rPr>
              <w:t>Jusqu’à nouvel ordre</w:t>
            </w:r>
          </w:p>
        </w:tc>
        <w:tc>
          <w:tcPr>
            <w:tcW w:w="1436" w:type="dxa"/>
            <w:shd w:val="clear" w:color="auto" w:fill="auto"/>
          </w:tcPr>
          <w:p w:rsidR="00A336BF" w:rsidRPr="001F0D5B" w:rsidRDefault="00A336BF" w:rsidP="007265A1">
            <w:pPr>
              <w:autoSpaceDE w:val="0"/>
              <w:autoSpaceDN w:val="0"/>
              <w:adjustRightInd w:val="0"/>
              <w:spacing w:before="60" w:after="60" w:line="240" w:lineRule="auto"/>
              <w:jc w:val="center"/>
              <w:rPr>
                <w:bCs/>
                <w:strike/>
                <w:lang w:val="fr-FR"/>
              </w:rPr>
            </w:pPr>
          </w:p>
        </w:tc>
      </w:tr>
    </w:tbl>
    <w:p w:rsidR="00A336BF" w:rsidRPr="001F0D5B" w:rsidRDefault="00A336BF" w:rsidP="00A336BF">
      <w:pPr>
        <w:pStyle w:val="SingleTxtG"/>
        <w:spacing w:before="120"/>
        <w:rPr>
          <w:i/>
          <w:iCs/>
          <w:lang w:val="fr-FR"/>
        </w:rPr>
      </w:pPr>
      <w:r w:rsidRPr="001F0D5B">
        <w:rPr>
          <w:i/>
          <w:iCs/>
          <w:lang w:val="fr-FR"/>
        </w:rPr>
        <w:t>(Document de référence : document informel INF.34, proposition 3)</w:t>
      </w:r>
    </w:p>
    <w:p w:rsidR="00A336BF" w:rsidRPr="001F0D5B" w:rsidRDefault="00A336BF" w:rsidP="00A336BF">
      <w:pPr>
        <w:pStyle w:val="SingleTxtG"/>
        <w:spacing w:before="120"/>
        <w:rPr>
          <w:iCs/>
          <w:lang w:val="fr-FR"/>
        </w:rPr>
      </w:pPr>
      <w:r w:rsidRPr="001F0D5B">
        <w:rPr>
          <w:iCs/>
          <w:lang w:val="fr-FR"/>
        </w:rPr>
        <w:t>6.2.6.4</w:t>
      </w:r>
      <w:r w:rsidRPr="001F0D5B">
        <w:rPr>
          <w:iCs/>
          <w:lang w:val="fr-FR"/>
        </w:rPr>
        <w:tab/>
      </w:r>
      <w:r w:rsidRPr="001F0D5B">
        <w:rPr>
          <w:iCs/>
          <w:lang w:val="fr-FR"/>
        </w:rPr>
        <w:tab/>
        <w:t xml:space="preserve">Au troisième tiret, à la fin, supprimer </w:t>
      </w:r>
      <w:proofErr w:type="gramStart"/>
      <w:r w:rsidRPr="001F0D5B">
        <w:rPr>
          <w:iCs/>
          <w:lang w:val="fr-FR"/>
        </w:rPr>
        <w:t>«(</w:t>
      </w:r>
      <w:proofErr w:type="gramEnd"/>
      <w:r w:rsidRPr="001F0D5B">
        <w:rPr>
          <w:iCs/>
          <w:lang w:val="fr-FR"/>
        </w:rPr>
        <w:t>sauf article 9)» et ajouter la nouvelle phrase suivante «Outre les marques prescrites par cette norme, la cartouche à gaz porte la marque "UN 2037/EN 16509".»</w:t>
      </w:r>
    </w:p>
    <w:p w:rsidR="00A336BF" w:rsidRPr="001F0D5B" w:rsidRDefault="00A336BF" w:rsidP="00A336BF">
      <w:pPr>
        <w:pStyle w:val="SingleTxtG"/>
        <w:spacing w:before="120"/>
        <w:rPr>
          <w:i/>
          <w:iCs/>
          <w:lang w:val="fr-FR"/>
        </w:rPr>
      </w:pPr>
      <w:r w:rsidRPr="001F0D5B">
        <w:rPr>
          <w:i/>
          <w:iCs/>
          <w:lang w:val="fr-FR"/>
        </w:rPr>
        <w:t>(Documents de référence: ECE/TRANS/WP.15/AC.1/2016/38 et documents informels INF.11 et INF.34, proposition 4, tels que modifiés)</w:t>
      </w:r>
    </w:p>
    <w:p w:rsidR="00A336BF" w:rsidRPr="001F0D5B" w:rsidRDefault="00A336BF" w:rsidP="00A336BF">
      <w:pPr>
        <w:pStyle w:val="H1G"/>
        <w:rPr>
          <w:lang w:val="fr-FR"/>
        </w:rPr>
      </w:pPr>
      <w:r w:rsidRPr="001F0D5B">
        <w:rPr>
          <w:lang w:val="fr-FR"/>
        </w:rPr>
        <w:tab/>
      </w:r>
      <w:r w:rsidRPr="001F0D5B">
        <w:rPr>
          <w:lang w:val="fr-FR"/>
        </w:rPr>
        <w:tab/>
        <w:t>Chapitre 6.8</w:t>
      </w:r>
    </w:p>
    <w:p w:rsidR="00A336BF" w:rsidRPr="001F0D5B" w:rsidRDefault="00A336BF" w:rsidP="00A336BF">
      <w:pPr>
        <w:pStyle w:val="SingleTxtG"/>
        <w:rPr>
          <w:lang w:val="fr-FR"/>
        </w:rPr>
      </w:pPr>
      <w:r w:rsidRPr="001F0D5B">
        <w:rPr>
          <w:lang w:val="fr-FR"/>
        </w:rPr>
        <w:t>[6.8.2.1.9</w:t>
      </w:r>
      <w:r w:rsidRPr="001F0D5B">
        <w:rPr>
          <w:lang w:val="fr-FR"/>
        </w:rPr>
        <w:tab/>
        <w:t>La modification ne s’applique pas au texte français.]</w:t>
      </w:r>
    </w:p>
    <w:p w:rsidR="00A336BF" w:rsidRPr="001F0D5B" w:rsidRDefault="00A336BF" w:rsidP="00A336BF">
      <w:pPr>
        <w:pStyle w:val="SingleTxtG"/>
        <w:spacing w:before="120"/>
        <w:rPr>
          <w:i/>
          <w:iCs/>
          <w:lang w:val="fr-FR"/>
        </w:rPr>
      </w:pPr>
      <w:r w:rsidRPr="001F0D5B">
        <w:rPr>
          <w:i/>
          <w:iCs/>
          <w:lang w:val="fr-FR"/>
        </w:rPr>
        <w:t>(Document de référence: document informel INF.38, proposition 10)</w:t>
      </w:r>
    </w:p>
    <w:p w:rsidR="00A336BF" w:rsidRPr="001F0D5B" w:rsidRDefault="00A336BF" w:rsidP="00A336BF">
      <w:pPr>
        <w:pStyle w:val="SingleTxtG"/>
        <w:rPr>
          <w:lang w:val="fr-FR"/>
        </w:rPr>
      </w:pPr>
      <w:r w:rsidRPr="001F0D5B">
        <w:rPr>
          <w:lang w:val="fr-FR"/>
        </w:rPr>
        <w:t>[6.8.2.2</w:t>
      </w:r>
      <w:r w:rsidRPr="001F0D5B">
        <w:rPr>
          <w:lang w:val="fr-FR"/>
        </w:rPr>
        <w:tab/>
        <w:t>Ajouter le nouveau paragraphe suivant à la fin:</w:t>
      </w:r>
    </w:p>
    <w:p w:rsidR="00A336BF" w:rsidRPr="001F0D5B" w:rsidRDefault="00A336BF" w:rsidP="00A336BF">
      <w:pPr>
        <w:pStyle w:val="SingleTxtG"/>
        <w:rPr>
          <w:lang w:val="fr-FR"/>
        </w:rPr>
      </w:pPr>
      <w:r w:rsidRPr="001F0D5B">
        <w:rPr>
          <w:lang w:val="fr-FR"/>
        </w:rPr>
        <w:lastRenderedPageBreak/>
        <w:t>«Les jauges de niveau en verre ou en autres matériaux fragiles, qui sont en contact direct avec le contenu du réservoir, ne doivent pas être utilisées.».]</w:t>
      </w:r>
    </w:p>
    <w:p w:rsidR="00A336BF" w:rsidRPr="001F0D5B" w:rsidRDefault="00A336BF" w:rsidP="00A336BF">
      <w:pPr>
        <w:pStyle w:val="SingleTxtG"/>
        <w:spacing w:before="120"/>
        <w:rPr>
          <w:i/>
          <w:iCs/>
          <w:lang w:val="fr-FR"/>
        </w:rPr>
      </w:pPr>
      <w:r w:rsidRPr="001F0D5B">
        <w:rPr>
          <w:i/>
          <w:iCs/>
          <w:lang w:val="fr-FR"/>
        </w:rPr>
        <w:t>(Document de référence: document informel INF.38, proposition 1)</w:t>
      </w:r>
    </w:p>
    <w:p w:rsidR="00A336BF" w:rsidRPr="001F0D5B" w:rsidRDefault="00A336BF" w:rsidP="00A336BF">
      <w:pPr>
        <w:pStyle w:val="SingleTxtG"/>
        <w:spacing w:before="120"/>
        <w:rPr>
          <w:iCs/>
          <w:lang w:val="fr-FR"/>
        </w:rPr>
      </w:pPr>
      <w:r w:rsidRPr="001F0D5B">
        <w:rPr>
          <w:iCs/>
          <w:lang w:val="fr-FR"/>
        </w:rPr>
        <w:t>6.8.2.2.2</w:t>
      </w:r>
      <w:r w:rsidRPr="001F0D5B">
        <w:rPr>
          <w:iCs/>
          <w:lang w:val="fr-FR"/>
        </w:rPr>
        <w:tab/>
        <w:t>Remplacer «d'un revêtement en ébonite ou en thermoplastique» par «d’un revêtement protecteur».</w:t>
      </w:r>
    </w:p>
    <w:p w:rsidR="00A336BF" w:rsidRPr="001F0D5B" w:rsidRDefault="00A336BF" w:rsidP="00A336BF">
      <w:pPr>
        <w:pStyle w:val="SingleTxtG"/>
        <w:spacing w:before="120"/>
        <w:rPr>
          <w:i/>
          <w:iCs/>
          <w:lang w:val="fr-FR"/>
        </w:rPr>
      </w:pPr>
      <w:r w:rsidRPr="001F0D5B">
        <w:rPr>
          <w:i/>
          <w:iCs/>
          <w:lang w:val="fr-FR"/>
        </w:rPr>
        <w:t>(Document de référence: document informel INF.38, proposition 11)</w:t>
      </w:r>
    </w:p>
    <w:p w:rsidR="00A336BF" w:rsidRPr="001F0D5B" w:rsidRDefault="00A336BF" w:rsidP="00A336BF">
      <w:pPr>
        <w:pStyle w:val="SingleTxtG"/>
        <w:rPr>
          <w:lang w:val="fr-FR"/>
        </w:rPr>
      </w:pPr>
      <w:r w:rsidRPr="001F0D5B">
        <w:rPr>
          <w:lang w:val="fr-FR"/>
        </w:rPr>
        <w:t>[6.8.2.3.6</w:t>
      </w:r>
      <w:r w:rsidRPr="001F0D5B">
        <w:rPr>
          <w:lang w:val="fr-FR"/>
        </w:rPr>
        <w:tab/>
        <w:t>Supprimer la première phrase.]</w:t>
      </w:r>
    </w:p>
    <w:p w:rsidR="00A336BF" w:rsidRPr="001F0D5B" w:rsidRDefault="00A336BF" w:rsidP="00A336BF">
      <w:pPr>
        <w:pStyle w:val="SingleTxtG"/>
        <w:spacing w:before="120"/>
        <w:rPr>
          <w:i/>
          <w:iCs/>
          <w:lang w:val="fr-FR"/>
        </w:rPr>
      </w:pPr>
      <w:r w:rsidRPr="001F0D5B">
        <w:rPr>
          <w:i/>
          <w:iCs/>
          <w:lang w:val="fr-FR"/>
        </w:rPr>
        <w:t>(Document de référence: document informel INF.38, proposition 2)</w:t>
      </w:r>
    </w:p>
    <w:p w:rsidR="00A336BF" w:rsidRPr="001F0D5B" w:rsidRDefault="00A336BF" w:rsidP="00A336BF">
      <w:pPr>
        <w:pStyle w:val="SingleTxtG"/>
        <w:spacing w:before="120"/>
        <w:rPr>
          <w:lang w:val="fr-FR"/>
        </w:rPr>
      </w:pPr>
      <w:r w:rsidRPr="001F0D5B">
        <w:rPr>
          <w:iCs/>
          <w:lang w:val="fr-FR"/>
        </w:rPr>
        <w:t xml:space="preserve">6.8.2.4.2 </w:t>
      </w:r>
      <w:proofErr w:type="gramStart"/>
      <w:r w:rsidRPr="001F0D5B">
        <w:rPr>
          <w:iCs/>
          <w:lang w:val="fr-FR"/>
        </w:rPr>
        <w:t>et</w:t>
      </w:r>
      <w:proofErr w:type="gramEnd"/>
      <w:r w:rsidRPr="001F0D5B">
        <w:rPr>
          <w:iCs/>
          <w:lang w:val="fr-FR"/>
        </w:rPr>
        <w:t xml:space="preserve"> 6.8.2.4.3</w:t>
      </w:r>
      <w:r w:rsidRPr="001F0D5B">
        <w:rPr>
          <w:iCs/>
          <w:lang w:val="fr-FR"/>
        </w:rPr>
        <w:tab/>
        <w:t xml:space="preserve">Ajouter le </w:t>
      </w:r>
      <w:r w:rsidRPr="001F0D5B">
        <w:rPr>
          <w:lang w:val="fr-FR"/>
        </w:rPr>
        <w:t>nouveau paragraphe suivant à la fin:</w:t>
      </w:r>
    </w:p>
    <w:p w:rsidR="00A336BF" w:rsidRPr="001F0D5B" w:rsidRDefault="00A336BF" w:rsidP="00A336BF">
      <w:pPr>
        <w:pStyle w:val="SingleTxtG"/>
        <w:spacing w:before="120"/>
        <w:rPr>
          <w:iCs/>
          <w:lang w:val="fr-FR"/>
        </w:rPr>
      </w:pPr>
      <w:r w:rsidRPr="001F0D5B">
        <w:rPr>
          <w:lang w:val="fr-FR"/>
        </w:rPr>
        <w:t>«Les revêtements protecteurs doivent faire l’objet d’un examen visuel visant à détecter d’éventuels défauts. En cas d’anomalie, l’état du revêtement doit être évalué par un ou des essais appropriés.».</w:t>
      </w:r>
    </w:p>
    <w:p w:rsidR="00A336BF" w:rsidRPr="001F0D5B" w:rsidRDefault="00A336BF" w:rsidP="00A336BF">
      <w:pPr>
        <w:pStyle w:val="SingleTxtG"/>
        <w:spacing w:before="120"/>
        <w:rPr>
          <w:i/>
          <w:iCs/>
          <w:lang w:val="fr-FR"/>
        </w:rPr>
      </w:pPr>
      <w:r w:rsidRPr="001F0D5B">
        <w:rPr>
          <w:i/>
          <w:iCs/>
          <w:lang w:val="fr-FR"/>
        </w:rPr>
        <w:t>(Document de référence: document informel INF.38, proposition 12)</w:t>
      </w:r>
    </w:p>
    <w:p w:rsidR="00A336BF" w:rsidRPr="001F0D5B" w:rsidRDefault="00A336BF" w:rsidP="00A336BF">
      <w:pPr>
        <w:pStyle w:val="SingleTxtG"/>
        <w:spacing w:before="120"/>
        <w:rPr>
          <w:lang w:val="fr-FR"/>
        </w:rPr>
      </w:pPr>
      <w:r w:rsidRPr="001F0D5B">
        <w:rPr>
          <w:iCs/>
          <w:lang w:val="fr-FR"/>
        </w:rPr>
        <w:t>[6.8.3.2.9</w:t>
      </w:r>
      <w:r w:rsidRPr="001F0D5B">
        <w:rPr>
          <w:iCs/>
          <w:lang w:val="fr-FR"/>
        </w:rPr>
        <w:tab/>
        <w:t xml:space="preserve">Ajouter le </w:t>
      </w:r>
      <w:r w:rsidRPr="001F0D5B">
        <w:rPr>
          <w:lang w:val="fr-FR"/>
        </w:rPr>
        <w:t>nouveau paragraphe suivant à la fin:</w:t>
      </w:r>
    </w:p>
    <w:p w:rsidR="00A336BF" w:rsidRPr="001F0D5B" w:rsidRDefault="00A336BF" w:rsidP="00A336BF">
      <w:pPr>
        <w:pStyle w:val="SingleTxtG"/>
        <w:spacing w:before="120"/>
        <w:rPr>
          <w:lang w:val="fr-FR"/>
        </w:rPr>
      </w:pPr>
      <w:r w:rsidRPr="001F0D5B">
        <w:rPr>
          <w:lang w:val="fr-FR"/>
        </w:rPr>
        <w:t>«Les soupapes de sécurité où, à la suite par exemple d’une pluie ou d’une projection, peut s’accumuler de l’eau faisant obstacle à leur fonctionnement correct, par exemple lorsque l’eau gèle, doivent être munies d’un capot de protection. Celui-ci ne doit pas affecter les performances de la soupape.».]</w:t>
      </w:r>
    </w:p>
    <w:p w:rsidR="00A336BF" w:rsidRPr="001F0D5B" w:rsidRDefault="00A336BF" w:rsidP="00A336BF">
      <w:pPr>
        <w:pStyle w:val="SingleTxtG"/>
        <w:spacing w:before="120"/>
        <w:rPr>
          <w:i/>
          <w:iCs/>
          <w:lang w:val="fr-FR"/>
        </w:rPr>
      </w:pPr>
      <w:r w:rsidRPr="001F0D5B">
        <w:rPr>
          <w:i/>
          <w:iCs/>
          <w:lang w:val="fr-FR"/>
        </w:rPr>
        <w:t>(Document de référence: document informel INF.38, proposition 4)</w:t>
      </w:r>
    </w:p>
    <w:p w:rsidR="00A336BF" w:rsidRPr="001F0D5B" w:rsidRDefault="00A336BF" w:rsidP="00A336BF">
      <w:pPr>
        <w:pStyle w:val="SingleTxtG"/>
        <w:rPr>
          <w:lang w:val="fr-FR" w:eastAsia="en-GB"/>
        </w:rPr>
      </w:pPr>
      <w:r w:rsidRPr="001F0D5B">
        <w:rPr>
          <w:lang w:val="fr-FR" w:eastAsia="en-GB"/>
        </w:rPr>
        <w:t>6.8.5.4</w:t>
      </w:r>
      <w:r w:rsidRPr="001F0D5B">
        <w:rPr>
          <w:lang w:val="fr-FR" w:eastAsia="en-GB"/>
        </w:rPr>
        <w:tab/>
      </w:r>
      <w:r w:rsidRPr="001F0D5B">
        <w:rPr>
          <w:lang w:val="fr-FR" w:eastAsia="en-GB"/>
        </w:rPr>
        <w:tab/>
        <w:t>Remplacer «EN 1252-1:1998 Récipients cryogéniques- Matériaux - Partie 1: Exigences de ténacité pour les températures inférieures à -80 °C» par «EN ISO 21028-1</w:t>
      </w:r>
      <w:proofErr w:type="gramStart"/>
      <w:r w:rsidRPr="001F0D5B">
        <w:rPr>
          <w:lang w:val="fr-FR" w:eastAsia="en-GB"/>
        </w:rPr>
        <w:t>:[</w:t>
      </w:r>
      <w:proofErr w:type="gramEnd"/>
      <w:r w:rsidRPr="001F0D5B">
        <w:rPr>
          <w:lang w:val="fr-FR" w:eastAsia="en-GB"/>
        </w:rPr>
        <w:t xml:space="preserve">2016] Récipients cryogéniques – </w:t>
      </w:r>
      <w:r w:rsidRPr="005155E2">
        <w:rPr>
          <w:lang w:eastAsia="en-GB"/>
        </w:rPr>
        <w:t>Exigences</w:t>
      </w:r>
      <w:r w:rsidRPr="001F0D5B">
        <w:rPr>
          <w:lang w:val="fr-FR" w:eastAsia="en-GB"/>
        </w:rPr>
        <w:t xml:space="preserve"> de ténacité pour les matériaux à des températures cryogéniques - Partie 1: températures inférieures à -80 °C».</w:t>
      </w:r>
    </w:p>
    <w:p w:rsidR="00A336BF" w:rsidRPr="001F0D5B" w:rsidRDefault="00A336BF" w:rsidP="00A336BF">
      <w:pPr>
        <w:pStyle w:val="SingleTxtG"/>
        <w:spacing w:before="120"/>
        <w:rPr>
          <w:i/>
          <w:iCs/>
          <w:lang w:val="fr-FR"/>
        </w:rPr>
      </w:pPr>
      <w:r w:rsidRPr="001F0D5B">
        <w:rPr>
          <w:i/>
          <w:iCs/>
          <w:lang w:val="fr-FR"/>
        </w:rPr>
        <w:t>(Document de référence : document informel INF.34, proposition 2)</w:t>
      </w:r>
    </w:p>
    <w:p w:rsidR="00A336BF" w:rsidRPr="001F0D5B" w:rsidRDefault="00A336BF" w:rsidP="00A336BF">
      <w:pPr>
        <w:pStyle w:val="H1G"/>
        <w:rPr>
          <w:lang w:val="fr-FR"/>
        </w:rPr>
      </w:pPr>
      <w:r w:rsidRPr="001F0D5B">
        <w:rPr>
          <w:lang w:val="fr-FR"/>
        </w:rPr>
        <w:t xml:space="preserve">  </w:t>
      </w:r>
      <w:r w:rsidRPr="001F0D5B">
        <w:rPr>
          <w:lang w:val="fr-FR"/>
        </w:rPr>
        <w:tab/>
      </w:r>
      <w:r w:rsidRPr="001F0D5B">
        <w:rPr>
          <w:lang w:val="fr-FR"/>
        </w:rPr>
        <w:tab/>
        <w:t>Chapitre 6.10</w:t>
      </w:r>
      <w:r w:rsidRPr="001F0D5B">
        <w:rPr>
          <w:lang w:val="fr-FR"/>
        </w:rPr>
        <w:tab/>
      </w:r>
    </w:p>
    <w:p w:rsidR="00A336BF" w:rsidRPr="001F0D5B" w:rsidRDefault="00A336BF" w:rsidP="00A336BF">
      <w:pPr>
        <w:pStyle w:val="SingleTxtG"/>
        <w:rPr>
          <w:lang w:val="fr-FR"/>
        </w:rPr>
      </w:pPr>
      <w:r w:rsidRPr="001F0D5B">
        <w:rPr>
          <w:lang w:val="fr-FR"/>
        </w:rPr>
        <w:t>[6.10.3.8 f)</w:t>
      </w:r>
      <w:r w:rsidRPr="001F0D5B">
        <w:rPr>
          <w:lang w:val="fr-FR"/>
        </w:rPr>
        <w:tab/>
      </w:r>
      <w:r w:rsidRPr="001F0D5B">
        <w:rPr>
          <w:lang w:val="fr-FR"/>
        </w:rPr>
        <w:tab/>
        <w:t>Remplacer «Des repères transparents» par «Des jauges de niveau en verre ou en autres matériaux transparents appropriés».]</w:t>
      </w:r>
    </w:p>
    <w:p w:rsidR="00A336BF" w:rsidRDefault="00A336BF" w:rsidP="00A336BF">
      <w:pPr>
        <w:pStyle w:val="SingleTxtG"/>
        <w:spacing w:before="120"/>
        <w:rPr>
          <w:i/>
          <w:iCs/>
          <w:lang w:val="fr-FR"/>
        </w:rPr>
      </w:pPr>
      <w:r w:rsidRPr="001F0D5B">
        <w:rPr>
          <w:i/>
          <w:iCs/>
          <w:lang w:val="fr-FR"/>
        </w:rPr>
        <w:t>(Document de référence: document informel INF.38, proposition 3)</w:t>
      </w:r>
    </w:p>
    <w:p w:rsidR="00A336BF" w:rsidRDefault="00A336BF">
      <w:pPr>
        <w:suppressAutoHyphens w:val="0"/>
        <w:spacing w:line="240" w:lineRule="auto"/>
        <w:rPr>
          <w:i/>
          <w:iCs/>
          <w:lang w:val="fr-FR"/>
        </w:rPr>
      </w:pPr>
      <w:r>
        <w:rPr>
          <w:i/>
          <w:iCs/>
          <w:lang w:val="fr-FR"/>
        </w:rPr>
        <w:br w:type="page"/>
      </w:r>
    </w:p>
    <w:p w:rsidR="00A336BF" w:rsidRDefault="00A336BF" w:rsidP="00A336BF">
      <w:pPr>
        <w:pStyle w:val="HChG"/>
        <w:rPr>
          <w:lang w:val="fr-FR"/>
        </w:rPr>
      </w:pPr>
      <w:r>
        <w:rPr>
          <w:lang w:val="fr-FR"/>
        </w:rPr>
        <w:lastRenderedPageBreak/>
        <w:t>Annexe III</w:t>
      </w:r>
    </w:p>
    <w:p w:rsidR="00A336BF" w:rsidRPr="001F0D5B" w:rsidRDefault="00A336BF" w:rsidP="00A336BF">
      <w:pPr>
        <w:pStyle w:val="HChG"/>
        <w:rPr>
          <w:lang w:val="fr-FR"/>
        </w:rPr>
      </w:pPr>
      <w:r w:rsidRPr="001F0D5B">
        <w:rPr>
          <w:lang w:val="fr-FR"/>
        </w:rPr>
        <w:tab/>
      </w:r>
      <w:r>
        <w:rPr>
          <w:lang w:val="fr-FR"/>
        </w:rPr>
        <w:tab/>
      </w:r>
      <w:r w:rsidR="005155E2">
        <w:rPr>
          <w:lang w:val="fr-FR"/>
        </w:rPr>
        <w:t>Propositions de c</w:t>
      </w:r>
      <w:r w:rsidRPr="001E5187">
        <w:rPr>
          <w:lang w:val="fr-FR"/>
        </w:rPr>
        <w:t>orrections au RID/à l’ADR/à</w:t>
      </w:r>
      <w:r w:rsidRPr="001F0D5B">
        <w:rPr>
          <w:lang w:val="fr-FR"/>
        </w:rPr>
        <w:t xml:space="preserve"> l’ADN </w:t>
      </w:r>
      <w:r w:rsidR="005155E2">
        <w:rPr>
          <w:lang w:val="fr-FR"/>
        </w:rPr>
        <w:t xml:space="preserve">tels que modifiés par les amendements </w:t>
      </w:r>
      <w:r>
        <w:rPr>
          <w:lang w:val="fr-FR"/>
        </w:rPr>
        <w:t>entrant</w:t>
      </w:r>
      <w:r w:rsidRPr="001F0D5B">
        <w:rPr>
          <w:lang w:val="fr-FR"/>
        </w:rPr>
        <w:t xml:space="preserve"> en vigueur au 1er janvier 2017</w:t>
      </w:r>
    </w:p>
    <w:p w:rsidR="00A336BF" w:rsidRPr="001F0D5B" w:rsidRDefault="00A336BF" w:rsidP="00A336BF">
      <w:pPr>
        <w:pStyle w:val="H1G"/>
        <w:rPr>
          <w:lang w:val="fr-FR"/>
        </w:rPr>
      </w:pPr>
      <w:r w:rsidRPr="001F0D5B">
        <w:rPr>
          <w:lang w:val="fr-FR"/>
        </w:rPr>
        <w:tab/>
      </w:r>
      <w:r w:rsidRPr="001F0D5B">
        <w:rPr>
          <w:lang w:val="fr-FR"/>
        </w:rPr>
        <w:tab/>
        <w:t>Chapitre 3.3</w:t>
      </w:r>
    </w:p>
    <w:p w:rsidR="00A336BF" w:rsidRPr="001F0D5B" w:rsidRDefault="00A336BF" w:rsidP="00A336BF">
      <w:pPr>
        <w:pStyle w:val="SingleTxtG"/>
        <w:rPr>
          <w:iCs/>
          <w:lang w:val="fr-FR"/>
        </w:rPr>
      </w:pPr>
      <w:r w:rsidRPr="001F0D5B">
        <w:rPr>
          <w:iCs/>
          <w:lang w:val="fr-FR"/>
        </w:rPr>
        <w:t>Dans la disposition spéciale 363 a), supprimer «</w:t>
      </w:r>
      <w:r w:rsidRPr="001F0D5B">
        <w:rPr>
          <w:lang w:val="fr-FR"/>
        </w:rPr>
        <w:t>en quantités supérieures à celles indiquées dans la colonne (7a) du tableau A du chapitre 3.2,</w:t>
      </w:r>
      <w:r w:rsidRPr="001F0D5B">
        <w:rPr>
          <w:iCs/>
          <w:lang w:val="fr-FR"/>
        </w:rPr>
        <w:t>»</w:t>
      </w:r>
    </w:p>
    <w:p w:rsidR="00A336BF" w:rsidRPr="001F0D5B" w:rsidRDefault="00A336BF" w:rsidP="00A336BF">
      <w:pPr>
        <w:pStyle w:val="SingleTxtG"/>
        <w:rPr>
          <w:i/>
          <w:iCs/>
          <w:lang w:val="fr-FR"/>
        </w:rPr>
      </w:pPr>
      <w:r w:rsidRPr="001F0D5B">
        <w:rPr>
          <w:i/>
          <w:iCs/>
          <w:lang w:val="fr-FR"/>
        </w:rPr>
        <w:t>(Document de référence : ECE/TRANS/WP.15/AC.1/2016/27)</w:t>
      </w:r>
    </w:p>
    <w:p w:rsidR="00A336BF" w:rsidRPr="001F0D5B" w:rsidRDefault="00A336BF" w:rsidP="00A336BF">
      <w:pPr>
        <w:pStyle w:val="H1G"/>
        <w:rPr>
          <w:lang w:val="fr-FR"/>
        </w:rPr>
      </w:pPr>
      <w:r w:rsidRPr="001F0D5B">
        <w:rPr>
          <w:lang w:val="fr-FR"/>
        </w:rPr>
        <w:tab/>
      </w:r>
      <w:r w:rsidRPr="001F0D5B">
        <w:rPr>
          <w:lang w:val="fr-FR"/>
        </w:rPr>
        <w:tab/>
        <w:t>Chapitre 6.2</w:t>
      </w:r>
    </w:p>
    <w:p w:rsidR="00A336BF" w:rsidRPr="001F0D5B" w:rsidRDefault="00A336BF" w:rsidP="00A336BF">
      <w:pPr>
        <w:pStyle w:val="SingleTxtG"/>
        <w:rPr>
          <w:lang w:val="fr-FR"/>
        </w:rPr>
      </w:pPr>
      <w:r w:rsidRPr="001F0D5B">
        <w:rPr>
          <w:lang w:val="fr-FR"/>
        </w:rPr>
        <w:t>6.2.4.1</w:t>
      </w:r>
      <w:r w:rsidRPr="001F0D5B">
        <w:rPr>
          <w:lang w:val="fr-FR"/>
        </w:rPr>
        <w:tab/>
      </w:r>
      <w:r w:rsidRPr="001F0D5B">
        <w:rPr>
          <w:lang w:val="fr-FR"/>
        </w:rPr>
        <w:tab/>
      </w:r>
      <w:r w:rsidRPr="001F0D5B">
        <w:rPr>
          <w:rFonts w:eastAsia="Calibri"/>
          <w:spacing w:val="4"/>
          <w:w w:val="103"/>
          <w:kern w:val="14"/>
          <w:szCs w:val="22"/>
          <w:lang w:val="fr-FR"/>
        </w:rPr>
        <w:t xml:space="preserve">Dans le tableau, pour EN 1251-2:2000, dans le nouveau Nota dans la deuxième colonne, </w:t>
      </w:r>
      <w:r w:rsidRPr="001F0D5B">
        <w:rPr>
          <w:lang w:val="fr-FR"/>
        </w:rPr>
        <w:t>remplacer «1251» par «1252».</w:t>
      </w:r>
    </w:p>
    <w:p w:rsidR="00340BE7" w:rsidRPr="001F0D5B" w:rsidRDefault="00340BE7" w:rsidP="00340BE7">
      <w:pPr>
        <w:pStyle w:val="SingleTxtG"/>
        <w:rPr>
          <w:i/>
          <w:iCs/>
          <w:lang w:val="fr-FR"/>
        </w:rPr>
      </w:pPr>
      <w:r w:rsidRPr="001F0D5B">
        <w:rPr>
          <w:i/>
          <w:iCs/>
          <w:lang w:val="fr-FR"/>
        </w:rPr>
        <w:t xml:space="preserve">(Document de référence : </w:t>
      </w:r>
      <w:r>
        <w:rPr>
          <w:i/>
          <w:iCs/>
          <w:lang w:val="fr-FR"/>
        </w:rPr>
        <w:t>document informel INF.50 de la session d’automne 2015</w:t>
      </w:r>
      <w:r w:rsidRPr="001F0D5B">
        <w:rPr>
          <w:i/>
          <w:iCs/>
          <w:lang w:val="fr-FR"/>
        </w:rPr>
        <w:t>)</w:t>
      </w:r>
    </w:p>
    <w:p w:rsidR="00A336BF" w:rsidRPr="001F0D5B" w:rsidRDefault="00A336BF" w:rsidP="00A336BF">
      <w:pPr>
        <w:pStyle w:val="H1G"/>
        <w:rPr>
          <w:lang w:val="fr-FR"/>
        </w:rPr>
      </w:pPr>
      <w:r w:rsidRPr="001F0D5B">
        <w:rPr>
          <w:lang w:val="fr-FR"/>
        </w:rPr>
        <w:tab/>
      </w:r>
      <w:r w:rsidRPr="001F0D5B">
        <w:rPr>
          <w:lang w:val="fr-FR"/>
        </w:rPr>
        <w:tab/>
        <w:t>Chapitre 6.8</w:t>
      </w:r>
    </w:p>
    <w:p w:rsidR="00A336BF" w:rsidRPr="001F0D5B" w:rsidRDefault="00A336BF" w:rsidP="00A336BF">
      <w:pPr>
        <w:pStyle w:val="SingleTxtG"/>
        <w:spacing w:before="120"/>
        <w:rPr>
          <w:i/>
          <w:iCs/>
          <w:lang w:val="fr-FR"/>
        </w:rPr>
      </w:pPr>
      <w:r w:rsidRPr="001F0D5B">
        <w:rPr>
          <w:rFonts w:eastAsia="Calibri"/>
          <w:spacing w:val="4"/>
          <w:w w:val="103"/>
          <w:kern w:val="14"/>
          <w:szCs w:val="22"/>
          <w:lang w:val="fr-FR"/>
        </w:rPr>
        <w:t>6.8.2.6.1 (ADR)</w:t>
      </w:r>
      <w:r w:rsidRPr="001F0D5B">
        <w:rPr>
          <w:rFonts w:eastAsia="Calibri"/>
          <w:spacing w:val="4"/>
          <w:w w:val="103"/>
          <w:kern w:val="14"/>
          <w:szCs w:val="22"/>
          <w:lang w:val="fr-FR"/>
        </w:rPr>
        <w:tab/>
        <w:t xml:space="preserve">Dans le tableau, pour EN 13530-2:2002 + A1:2004, dans le nouveau Nota dans la deuxième colonne, </w:t>
      </w:r>
      <w:r w:rsidRPr="001F0D5B">
        <w:rPr>
          <w:lang w:val="fr-FR"/>
        </w:rPr>
        <w:t>remplacer «1251» par «1252».</w:t>
      </w:r>
    </w:p>
    <w:p w:rsidR="00340BE7" w:rsidRPr="001F0D5B" w:rsidRDefault="00340BE7" w:rsidP="00340BE7">
      <w:pPr>
        <w:pStyle w:val="SingleTxtG"/>
        <w:rPr>
          <w:i/>
          <w:iCs/>
          <w:lang w:val="fr-FR"/>
        </w:rPr>
      </w:pPr>
      <w:r w:rsidRPr="001F0D5B">
        <w:rPr>
          <w:i/>
          <w:iCs/>
          <w:lang w:val="fr-FR"/>
        </w:rPr>
        <w:t xml:space="preserve">(Document de référence : </w:t>
      </w:r>
      <w:r>
        <w:rPr>
          <w:i/>
          <w:iCs/>
          <w:lang w:val="fr-FR"/>
        </w:rPr>
        <w:t>document informel INF.50 de la session d’automne 2015</w:t>
      </w:r>
      <w:r w:rsidRPr="001F0D5B">
        <w:rPr>
          <w:i/>
          <w:iCs/>
          <w:lang w:val="fr-FR"/>
        </w:rPr>
        <w:t>)</w:t>
      </w:r>
    </w:p>
    <w:p w:rsidR="00A336BF" w:rsidRPr="001F0D5B" w:rsidRDefault="00A336BF" w:rsidP="00A336BF">
      <w:pPr>
        <w:pStyle w:val="H1G"/>
        <w:rPr>
          <w:lang w:val="fr-FR"/>
        </w:rPr>
      </w:pPr>
      <w:r w:rsidRPr="001F0D5B">
        <w:rPr>
          <w:lang w:val="fr-FR"/>
        </w:rPr>
        <w:tab/>
      </w:r>
      <w:r w:rsidRPr="001F0D5B">
        <w:rPr>
          <w:lang w:val="fr-FR"/>
        </w:rPr>
        <w:tab/>
        <w:t>Chapitre 7.5</w:t>
      </w:r>
    </w:p>
    <w:p w:rsidR="00A336BF" w:rsidRPr="001F0D5B" w:rsidRDefault="00A336BF" w:rsidP="00A336BF">
      <w:pPr>
        <w:pStyle w:val="SingleTxtG"/>
        <w:rPr>
          <w:iCs/>
          <w:lang w:val="fr-FR"/>
        </w:rPr>
      </w:pPr>
      <w:r w:rsidRPr="001F0D5B">
        <w:rPr>
          <w:iCs/>
          <w:lang w:val="fr-FR"/>
        </w:rPr>
        <w:t>7.5.2.1</w:t>
      </w:r>
      <w:r w:rsidRPr="001F0D5B">
        <w:rPr>
          <w:iCs/>
          <w:lang w:val="fr-FR"/>
        </w:rPr>
        <w:tab/>
      </w:r>
      <w:r w:rsidRPr="001F0D5B">
        <w:rPr>
          <w:iCs/>
          <w:lang w:val="fr-FR"/>
        </w:rPr>
        <w:tab/>
        <w:t xml:space="preserve">Dans le tableau, dans l’intitulé de la dernière ligne et de la dernière colonne, remplacer «9» par «9, 9A». </w:t>
      </w:r>
    </w:p>
    <w:p w:rsidR="00A336BF" w:rsidRPr="001F0D5B" w:rsidRDefault="00A336BF" w:rsidP="00A336BF">
      <w:pPr>
        <w:pStyle w:val="SingleTxtG"/>
        <w:rPr>
          <w:i/>
          <w:lang w:val="fr-FR"/>
        </w:rPr>
      </w:pPr>
      <w:r w:rsidRPr="001F0D5B">
        <w:rPr>
          <w:i/>
          <w:lang w:val="fr-FR"/>
        </w:rPr>
        <w:t>(Document de référence : document informel INF.10)</w:t>
      </w:r>
    </w:p>
    <w:p w:rsidR="00A336BF" w:rsidRPr="001F0D5B" w:rsidRDefault="00A336BF" w:rsidP="00A336BF">
      <w:pPr>
        <w:spacing w:before="240"/>
        <w:ind w:left="1134" w:right="1134"/>
        <w:jc w:val="center"/>
        <w:rPr>
          <w:i/>
          <w:iCs/>
          <w:u w:val="single"/>
          <w:lang w:val="fr-FR"/>
        </w:rPr>
      </w:pPr>
      <w:r w:rsidRPr="001F0D5B">
        <w:rPr>
          <w:i/>
          <w:iCs/>
          <w:u w:val="single"/>
          <w:lang w:val="fr-FR"/>
        </w:rPr>
        <w:tab/>
      </w:r>
      <w:r w:rsidRPr="001F0D5B">
        <w:rPr>
          <w:i/>
          <w:iCs/>
          <w:u w:val="single"/>
          <w:lang w:val="fr-FR"/>
        </w:rPr>
        <w:tab/>
      </w:r>
      <w:r w:rsidRPr="001F0D5B">
        <w:rPr>
          <w:i/>
          <w:iCs/>
          <w:u w:val="single"/>
          <w:lang w:val="fr-FR"/>
        </w:rPr>
        <w:tab/>
      </w:r>
    </w:p>
    <w:sectPr w:rsidR="00A336BF" w:rsidRPr="001F0D5B" w:rsidSect="00CE7502">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A1" w:rsidRDefault="007265A1"/>
  </w:endnote>
  <w:endnote w:type="continuationSeparator" w:id="0">
    <w:p w:rsidR="007265A1" w:rsidRDefault="007265A1"/>
  </w:endnote>
  <w:endnote w:type="continuationNotice" w:id="1">
    <w:p w:rsidR="007265A1" w:rsidRDefault="00726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A1" w:rsidRPr="00CB7DF9" w:rsidRDefault="007265A1" w:rsidP="00CB7DF9">
    <w:pPr>
      <w:pStyle w:val="Footer"/>
      <w:tabs>
        <w:tab w:val="right" w:pos="9638"/>
      </w:tabs>
    </w:pPr>
    <w:r w:rsidRPr="00CB7DF9">
      <w:rPr>
        <w:b/>
        <w:sz w:val="18"/>
      </w:rPr>
      <w:fldChar w:fldCharType="begin"/>
    </w:r>
    <w:r w:rsidRPr="00CB7DF9">
      <w:rPr>
        <w:b/>
        <w:sz w:val="18"/>
      </w:rPr>
      <w:instrText xml:space="preserve"> PAGE  \* MERGEFORMAT </w:instrText>
    </w:r>
    <w:r w:rsidRPr="00CB7DF9">
      <w:rPr>
        <w:b/>
        <w:sz w:val="18"/>
      </w:rPr>
      <w:fldChar w:fldCharType="separate"/>
    </w:r>
    <w:r w:rsidR="00C15722">
      <w:rPr>
        <w:b/>
        <w:noProof/>
        <w:sz w:val="18"/>
      </w:rPr>
      <w:t>2</w:t>
    </w:r>
    <w:r w:rsidRPr="00CB7DF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A1" w:rsidRPr="00CB7DF9" w:rsidRDefault="007265A1" w:rsidP="00CB7DF9">
    <w:pPr>
      <w:pStyle w:val="Footer"/>
      <w:tabs>
        <w:tab w:val="right" w:pos="9638"/>
      </w:tabs>
      <w:rPr>
        <w:b/>
        <w:sz w:val="18"/>
      </w:rPr>
    </w:pPr>
    <w:r>
      <w:tab/>
    </w:r>
    <w:r w:rsidRPr="00CB7DF9">
      <w:rPr>
        <w:b/>
        <w:sz w:val="18"/>
      </w:rPr>
      <w:fldChar w:fldCharType="begin"/>
    </w:r>
    <w:r w:rsidRPr="00CB7DF9">
      <w:rPr>
        <w:b/>
        <w:sz w:val="18"/>
      </w:rPr>
      <w:instrText xml:space="preserve"> PAGE  \* MERGEFORMAT </w:instrText>
    </w:r>
    <w:r w:rsidRPr="00CB7DF9">
      <w:rPr>
        <w:b/>
        <w:sz w:val="18"/>
      </w:rPr>
      <w:fldChar w:fldCharType="separate"/>
    </w:r>
    <w:r w:rsidR="00C15722">
      <w:rPr>
        <w:b/>
        <w:noProof/>
        <w:sz w:val="18"/>
      </w:rPr>
      <w:t>25</w:t>
    </w:r>
    <w:r w:rsidRPr="00CB7DF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A1" w:rsidRPr="00D27D5E" w:rsidRDefault="007265A1" w:rsidP="00D27D5E">
      <w:pPr>
        <w:tabs>
          <w:tab w:val="right" w:pos="2155"/>
        </w:tabs>
        <w:spacing w:after="80"/>
        <w:ind w:left="680"/>
        <w:rPr>
          <w:u w:val="single"/>
        </w:rPr>
      </w:pPr>
      <w:r>
        <w:rPr>
          <w:u w:val="single"/>
        </w:rPr>
        <w:tab/>
      </w:r>
    </w:p>
  </w:footnote>
  <w:footnote w:type="continuationSeparator" w:id="0">
    <w:p w:rsidR="007265A1" w:rsidRPr="00A80554" w:rsidRDefault="007265A1" w:rsidP="00A80554">
      <w:pPr>
        <w:tabs>
          <w:tab w:val="left" w:pos="2155"/>
        </w:tabs>
        <w:spacing w:after="80"/>
        <w:ind w:left="680"/>
        <w:rPr>
          <w:u w:val="single"/>
        </w:rPr>
      </w:pPr>
      <w:r w:rsidRPr="00A80554">
        <w:rPr>
          <w:u w:val="single"/>
        </w:rPr>
        <w:tab/>
      </w:r>
    </w:p>
  </w:footnote>
  <w:footnote w:type="continuationNotice" w:id="1">
    <w:p w:rsidR="007265A1" w:rsidRDefault="007265A1"/>
  </w:footnote>
  <w:footnote w:id="2">
    <w:p w:rsidR="007265A1" w:rsidRDefault="007265A1" w:rsidP="007324E8">
      <w:pPr>
        <w:pStyle w:val="FootnoteText"/>
        <w:widowControl w:val="0"/>
        <w:tabs>
          <w:tab w:val="clear" w:pos="1021"/>
          <w:tab w:val="right" w:pos="1020"/>
        </w:tabs>
      </w:pPr>
      <w:r>
        <w:tab/>
      </w:r>
      <w:r>
        <w:rPr>
          <w:rStyle w:val="FootnoteReference"/>
        </w:rPr>
        <w:footnoteRef/>
      </w:r>
      <w:r>
        <w:t xml:space="preserve"> </w:t>
      </w:r>
      <w:r>
        <w:tab/>
      </w:r>
      <w:r>
        <w:rPr>
          <w:lang w:val="fr-FR"/>
        </w:rPr>
        <w:t>Diffusé par l'Organisation intergouvernementale pour les transports internationaux ferroviaires (OTIF) sous la cote OTIF/RID/RC/</w:t>
      </w:r>
      <w:r>
        <w:rPr>
          <w:color w:val="000000"/>
          <w:lang w:val="fr-FR"/>
        </w:rPr>
        <w:t xml:space="preserve">2016-B. </w:t>
      </w:r>
      <w:r>
        <w:rPr>
          <w:lang w:val="fr-FR"/>
        </w:rPr>
        <w:t>Sauf indication contraire, les autres documents auxquels il est fait référence dans le présent rapport et qui portent une cote ECE/TRANS/WP.15/AC.1/ suivie de l’année et d’un numéro de série ont été diffusés par l’OTIF sous la cote OTIF/RID/RC/ suivie de l’année et du même numéro de série</w:t>
      </w:r>
      <w:r>
        <w:t>.</w:t>
      </w:r>
    </w:p>
  </w:footnote>
  <w:footnote w:id="3">
    <w:p w:rsidR="007265A1" w:rsidRPr="00BC2241" w:rsidRDefault="007265A1" w:rsidP="00A336BF">
      <w:pPr>
        <w:pStyle w:val="FootnoteText"/>
        <w:widowControl w:val="0"/>
        <w:rPr>
          <w:lang w:val="fr-FR"/>
        </w:rPr>
      </w:pPr>
      <w:r w:rsidRPr="00BC2241">
        <w:rPr>
          <w:lang w:val="fr-FR"/>
        </w:rPr>
        <w:tab/>
      </w:r>
      <w:r w:rsidRPr="00BC2241">
        <w:rPr>
          <w:rStyle w:val="FootnoteReference"/>
          <w:lang w:val="fr-FR"/>
        </w:rPr>
        <w:footnoteRef/>
      </w:r>
      <w:r w:rsidRPr="00BC2241">
        <w:rPr>
          <w:i/>
          <w:lang w:val="fr-FR"/>
        </w:rPr>
        <w:tab/>
        <w:t>Not</w:t>
      </w:r>
      <w:r>
        <w:rPr>
          <w:i/>
          <w:lang w:val="fr-FR"/>
        </w:rPr>
        <w:t>e</w:t>
      </w:r>
      <w:r w:rsidRPr="00BC2241">
        <w:rPr>
          <w:i/>
          <w:lang w:val="fr-FR"/>
        </w:rPr>
        <w:t xml:space="preserve"> du secrétariat:</w:t>
      </w:r>
      <w:r w:rsidRPr="00BC2241">
        <w:rPr>
          <w:lang w:val="fr-FR"/>
        </w:rPr>
        <w:t xml:space="preserve"> La rédaction suivante est suggérée: «Nonobstant les prescriptions de la disposition spéciale TU42 du 4.3.5 applicables à partir du 1er janvier 2019, les wagons-citernes / les citernes fixes (véhicules-citernes) et les citernes démontables dont le réservoir est construit en alliage d’aluminium, y compris ceux équipés/celles équipées d’un revêtement protecteur, qui étaient utilisé(e)s avant le 1er janvier 2019 pour le transport de  matières avec un pH  inférieur à 5 ou supérieur à 8, pourront continuer à être utilisé(e)s pour le transport de ces matières jusqu’au 31 décembre 2022.».</w:t>
      </w:r>
    </w:p>
  </w:footnote>
  <w:footnote w:id="4">
    <w:p w:rsidR="007265A1" w:rsidRPr="00BC2241" w:rsidRDefault="007265A1" w:rsidP="00A336BF">
      <w:pPr>
        <w:pStyle w:val="FootnoteText"/>
        <w:widowControl w:val="0"/>
        <w:tabs>
          <w:tab w:val="clear" w:pos="1021"/>
          <w:tab w:val="right" w:pos="1020"/>
        </w:tabs>
        <w:rPr>
          <w:lang w:val="fr-FR"/>
        </w:rPr>
      </w:pPr>
      <w:r w:rsidRPr="00BC2241">
        <w:rPr>
          <w:lang w:val="fr-FR"/>
        </w:rPr>
        <w:tab/>
      </w:r>
      <w:r w:rsidRPr="00BC2241">
        <w:rPr>
          <w:rStyle w:val="FootnoteReference"/>
          <w:lang w:val="fr-FR"/>
        </w:rPr>
        <w:footnoteRef/>
      </w:r>
      <w:r w:rsidRPr="00BC2241">
        <w:rPr>
          <w:lang w:val="fr-FR"/>
        </w:rPr>
        <w:tab/>
        <w:t xml:space="preserve"> </w:t>
      </w:r>
      <w:r w:rsidRPr="00BC2241">
        <w:rPr>
          <w:i/>
          <w:lang w:val="fr-FR"/>
        </w:rPr>
        <w:t>Not</w:t>
      </w:r>
      <w:r>
        <w:rPr>
          <w:i/>
          <w:lang w:val="fr-FR"/>
        </w:rPr>
        <w:t>e</w:t>
      </w:r>
      <w:r w:rsidRPr="00BC2241">
        <w:rPr>
          <w:i/>
          <w:lang w:val="fr-FR"/>
        </w:rPr>
        <w:t xml:space="preserve"> du secrétariat: </w:t>
      </w:r>
      <w:r w:rsidRPr="00BC2241">
        <w:rPr>
          <w:lang w:val="fr-FR"/>
        </w:rPr>
        <w:t>La rédaction suivante est suggérée: «Nonobstant les prescriptions de la disposition spéciale TU42 du 4.3.5 applicables à partir du 1er janvier 2019, les conteneurs-citernes dont le réservoir est construit en alliage d’aluminium, y compris ceux équipés d’un revêtement protecteur, qui étaient utilisés avant le 1er janvier 2019 pour le transport de  matières avec un pH  inférieur à 5 ou supérieur à 8, pourront continuer à être utilisés pour le transport de ces matières jusqu’au 31 décembre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A1" w:rsidRPr="00CB7DF9" w:rsidRDefault="007265A1" w:rsidP="00CB7DF9">
    <w:pPr>
      <w:pStyle w:val="Header"/>
    </w:pPr>
    <w:r>
      <w:t>ECE/TRANS/WP.15/AC.1/144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A1" w:rsidRDefault="007265A1" w:rsidP="00747D0E">
    <w:pPr>
      <w:pStyle w:val="Header"/>
      <w:jc w:val="right"/>
    </w:pPr>
    <w:r>
      <w:t>ECE/TRANS/WP.15/AC.1/144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507AD2"/>
    <w:lvl w:ilvl="0">
      <w:start w:val="1"/>
      <w:numFmt w:val="decimal"/>
      <w:lvlText w:val="%1."/>
      <w:lvlJc w:val="left"/>
      <w:pPr>
        <w:tabs>
          <w:tab w:val="num" w:pos="1209"/>
        </w:tabs>
        <w:ind w:left="1209" w:hanging="360"/>
      </w:pPr>
    </w:lvl>
  </w:abstractNum>
  <w:abstractNum w:abstractNumId="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2EB7456"/>
    <w:multiLevelType w:val="hybridMultilevel"/>
    <w:tmpl w:val="E300F6AC"/>
    <w:lvl w:ilvl="0" w:tplc="EB94253C">
      <w:start w:val="1"/>
      <w:numFmt w:val="upperRoman"/>
      <w:lvlText w:val="%1."/>
      <w:lvlJc w:val="left"/>
      <w:pPr>
        <w:ind w:left="1980" w:hanging="72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
    <w:nsid w:val="1D370230"/>
    <w:multiLevelType w:val="hybridMultilevel"/>
    <w:tmpl w:val="8B584230"/>
    <w:lvl w:ilvl="0" w:tplc="3682773A">
      <w:start w:val="4"/>
      <w:numFmt w:val="upp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6">
    <w:nsid w:val="39F64775"/>
    <w:multiLevelType w:val="hybridMultilevel"/>
    <w:tmpl w:val="3E34B2A2"/>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nsid w:val="4C826B0A"/>
    <w:multiLevelType w:val="hybridMultilevel"/>
    <w:tmpl w:val="3D622C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4DB2646E"/>
    <w:multiLevelType w:val="hybridMultilevel"/>
    <w:tmpl w:val="37C4CA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583B1861"/>
    <w:multiLevelType w:val="hybridMultilevel"/>
    <w:tmpl w:val="A6CA15DC"/>
    <w:lvl w:ilvl="0" w:tplc="76923506">
      <w:start w:val="3"/>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1">
    <w:nsid w:val="5AB407E9"/>
    <w:multiLevelType w:val="hybridMultilevel"/>
    <w:tmpl w:val="FC421048"/>
    <w:lvl w:ilvl="0" w:tplc="F93E6986">
      <w:start w:val="1"/>
      <w:numFmt w:val="upperRoman"/>
      <w:lvlText w:val="%1."/>
      <w:lvlJc w:val="left"/>
      <w:pPr>
        <w:ind w:left="1980" w:hanging="720"/>
      </w:pPr>
      <w:rPr>
        <w:rFonts w:ascii="Times New Roman" w:eastAsia="Times New Roman" w:hAnsi="Times New Roman" w:cs="Times New Roman"/>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2">
    <w:nsid w:val="5C7833A4"/>
    <w:multiLevelType w:val="multilevel"/>
    <w:tmpl w:val="FC421048"/>
    <w:lvl w:ilvl="0">
      <w:start w:val="1"/>
      <w:numFmt w:val="upperRoman"/>
      <w:lvlText w:val="%1."/>
      <w:lvlJc w:val="left"/>
      <w:pPr>
        <w:ind w:left="1980" w:hanging="720"/>
      </w:pPr>
      <w:rPr>
        <w:rFonts w:ascii="Times New Roman" w:eastAsia="Times New Roman" w:hAnsi="Times New Roman" w:cs="Times New Roman"/>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3">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nsid w:val="74FA64BE"/>
    <w:multiLevelType w:val="multilevel"/>
    <w:tmpl w:val="FC421048"/>
    <w:lvl w:ilvl="0">
      <w:start w:val="1"/>
      <w:numFmt w:val="upperRoman"/>
      <w:lvlText w:val="%1."/>
      <w:lvlJc w:val="left"/>
      <w:pPr>
        <w:ind w:left="1980" w:hanging="720"/>
      </w:pPr>
      <w:rPr>
        <w:rFonts w:ascii="Times New Roman" w:eastAsia="Times New Roman" w:hAnsi="Times New Roman" w:cs="Times New Roman"/>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7">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19">
    <w:nsid w:val="7E3B7B88"/>
    <w:multiLevelType w:val="hybridMultilevel"/>
    <w:tmpl w:val="B5C0FFA6"/>
    <w:lvl w:ilvl="0" w:tplc="040C0017">
      <w:start w:val="1"/>
      <w:numFmt w:val="lowerLetter"/>
      <w:lvlText w:val="%1)"/>
      <w:lvlJc w:val="left"/>
      <w:pPr>
        <w:ind w:left="2628" w:hanging="360"/>
      </w:p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5"/>
  </w:num>
  <w:num w:numId="2">
    <w:abstractNumId w:val="7"/>
  </w:num>
  <w:num w:numId="3">
    <w:abstractNumId w:val="19"/>
  </w:num>
  <w:num w:numId="4">
    <w:abstractNumId w:val="4"/>
  </w:num>
  <w:num w:numId="5">
    <w:abstractNumId w:val="10"/>
  </w:num>
  <w:num w:numId="6">
    <w:abstractNumId w:val="11"/>
  </w:num>
  <w:num w:numId="7">
    <w:abstractNumId w:val="12"/>
  </w:num>
  <w:num w:numId="8">
    <w:abstractNumId w:val="16"/>
  </w:num>
  <w:num w:numId="9">
    <w:abstractNumId w:val="3"/>
  </w:num>
  <w:num w:numId="10">
    <w:abstractNumId w:val="13"/>
  </w:num>
  <w:num w:numId="11">
    <w:abstractNumId w:val="17"/>
  </w:num>
  <w:num w:numId="12">
    <w:abstractNumId w:val="2"/>
  </w:num>
  <w:num w:numId="13">
    <w:abstractNumId w:val="5"/>
  </w:num>
  <w:num w:numId="14">
    <w:abstractNumId w:val="0"/>
  </w:num>
  <w:num w:numId="15">
    <w:abstractNumId w:val="1"/>
  </w:num>
  <w:num w:numId="16">
    <w:abstractNumId w:val="14"/>
  </w:num>
  <w:num w:numId="17">
    <w:abstractNumId w:val="8"/>
  </w:num>
  <w:num w:numId="18">
    <w:abstractNumId w:val="9"/>
  </w:num>
  <w:num w:numId="19">
    <w:abstractNumId w:val="6"/>
  </w:num>
  <w:num w:numId="20">
    <w:abstractNumId w:val="18"/>
  </w:num>
  <w:num w:numId="21">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F3"/>
    <w:rsid w:val="000009CF"/>
    <w:rsid w:val="00001984"/>
    <w:rsid w:val="00001E09"/>
    <w:rsid w:val="00001E2E"/>
    <w:rsid w:val="00006955"/>
    <w:rsid w:val="000102EE"/>
    <w:rsid w:val="000136D0"/>
    <w:rsid w:val="00013FBE"/>
    <w:rsid w:val="0001428E"/>
    <w:rsid w:val="0001469C"/>
    <w:rsid w:val="00016AC5"/>
    <w:rsid w:val="00017277"/>
    <w:rsid w:val="00017F0B"/>
    <w:rsid w:val="00021231"/>
    <w:rsid w:val="00022215"/>
    <w:rsid w:val="00022939"/>
    <w:rsid w:val="00025295"/>
    <w:rsid w:val="0002682F"/>
    <w:rsid w:val="0002700B"/>
    <w:rsid w:val="00030ADE"/>
    <w:rsid w:val="000312C0"/>
    <w:rsid w:val="00032C9B"/>
    <w:rsid w:val="0004063A"/>
    <w:rsid w:val="00043FAF"/>
    <w:rsid w:val="0004449E"/>
    <w:rsid w:val="0004492D"/>
    <w:rsid w:val="00044BDD"/>
    <w:rsid w:val="00045740"/>
    <w:rsid w:val="00050859"/>
    <w:rsid w:val="000530CA"/>
    <w:rsid w:val="00056B67"/>
    <w:rsid w:val="00057CC7"/>
    <w:rsid w:val="0006050F"/>
    <w:rsid w:val="000619DB"/>
    <w:rsid w:val="00063A8E"/>
    <w:rsid w:val="00071B70"/>
    <w:rsid w:val="000743A7"/>
    <w:rsid w:val="000758CE"/>
    <w:rsid w:val="00077174"/>
    <w:rsid w:val="00080948"/>
    <w:rsid w:val="00082793"/>
    <w:rsid w:val="000837D7"/>
    <w:rsid w:val="000846A0"/>
    <w:rsid w:val="00094DEC"/>
    <w:rsid w:val="000964C7"/>
    <w:rsid w:val="000964F4"/>
    <w:rsid w:val="000968B0"/>
    <w:rsid w:val="000A3FB1"/>
    <w:rsid w:val="000A414C"/>
    <w:rsid w:val="000A6105"/>
    <w:rsid w:val="000B0769"/>
    <w:rsid w:val="000C150C"/>
    <w:rsid w:val="000C19CE"/>
    <w:rsid w:val="000C7556"/>
    <w:rsid w:val="000C7C80"/>
    <w:rsid w:val="000C7F4B"/>
    <w:rsid w:val="000D1B15"/>
    <w:rsid w:val="000D5F19"/>
    <w:rsid w:val="000E0A08"/>
    <w:rsid w:val="000E2B6E"/>
    <w:rsid w:val="000E2E5C"/>
    <w:rsid w:val="000E30F1"/>
    <w:rsid w:val="000E4B77"/>
    <w:rsid w:val="000E5B97"/>
    <w:rsid w:val="000E5F93"/>
    <w:rsid w:val="000E74FD"/>
    <w:rsid w:val="000F13A1"/>
    <w:rsid w:val="000F3037"/>
    <w:rsid w:val="000F41F2"/>
    <w:rsid w:val="000F73CE"/>
    <w:rsid w:val="00100866"/>
    <w:rsid w:val="00103797"/>
    <w:rsid w:val="00104EE4"/>
    <w:rsid w:val="00105050"/>
    <w:rsid w:val="00110259"/>
    <w:rsid w:val="001103AD"/>
    <w:rsid w:val="00110D39"/>
    <w:rsid w:val="00112161"/>
    <w:rsid w:val="00112A85"/>
    <w:rsid w:val="00112E4E"/>
    <w:rsid w:val="001216FB"/>
    <w:rsid w:val="001217C7"/>
    <w:rsid w:val="001251F6"/>
    <w:rsid w:val="00127843"/>
    <w:rsid w:val="001300BA"/>
    <w:rsid w:val="00131282"/>
    <w:rsid w:val="00134AFC"/>
    <w:rsid w:val="0013552B"/>
    <w:rsid w:val="00135C0D"/>
    <w:rsid w:val="001363D9"/>
    <w:rsid w:val="00136874"/>
    <w:rsid w:val="00142D8B"/>
    <w:rsid w:val="00144F2B"/>
    <w:rsid w:val="00145A7C"/>
    <w:rsid w:val="00146DA7"/>
    <w:rsid w:val="00147716"/>
    <w:rsid w:val="0015053C"/>
    <w:rsid w:val="00151DFF"/>
    <w:rsid w:val="00154636"/>
    <w:rsid w:val="00155707"/>
    <w:rsid w:val="00160540"/>
    <w:rsid w:val="00165A86"/>
    <w:rsid w:val="001663F1"/>
    <w:rsid w:val="00167D80"/>
    <w:rsid w:val="0017182C"/>
    <w:rsid w:val="00173D12"/>
    <w:rsid w:val="00176738"/>
    <w:rsid w:val="00176CDE"/>
    <w:rsid w:val="00177007"/>
    <w:rsid w:val="0017754A"/>
    <w:rsid w:val="00180300"/>
    <w:rsid w:val="00181F41"/>
    <w:rsid w:val="00186EE9"/>
    <w:rsid w:val="00192EEB"/>
    <w:rsid w:val="001A1EBB"/>
    <w:rsid w:val="001A20FB"/>
    <w:rsid w:val="001A3756"/>
    <w:rsid w:val="001B6F40"/>
    <w:rsid w:val="001B7B7D"/>
    <w:rsid w:val="001C60EB"/>
    <w:rsid w:val="001D43F5"/>
    <w:rsid w:val="001D7F8A"/>
    <w:rsid w:val="001E107D"/>
    <w:rsid w:val="001E195A"/>
    <w:rsid w:val="001E3FEB"/>
    <w:rsid w:val="001E4A02"/>
    <w:rsid w:val="001E4C75"/>
    <w:rsid w:val="001E6E41"/>
    <w:rsid w:val="001F056F"/>
    <w:rsid w:val="001F2CCB"/>
    <w:rsid w:val="001F3EE1"/>
    <w:rsid w:val="001F4F7D"/>
    <w:rsid w:val="00201EA1"/>
    <w:rsid w:val="00202477"/>
    <w:rsid w:val="00204151"/>
    <w:rsid w:val="002079A6"/>
    <w:rsid w:val="00210A2E"/>
    <w:rsid w:val="00211333"/>
    <w:rsid w:val="00216CD6"/>
    <w:rsid w:val="00222090"/>
    <w:rsid w:val="00223B89"/>
    <w:rsid w:val="00225A8C"/>
    <w:rsid w:val="002362D0"/>
    <w:rsid w:val="002402B6"/>
    <w:rsid w:val="00243608"/>
    <w:rsid w:val="00247AE6"/>
    <w:rsid w:val="00250A07"/>
    <w:rsid w:val="00254B7C"/>
    <w:rsid w:val="00256288"/>
    <w:rsid w:val="0025639D"/>
    <w:rsid w:val="00261B75"/>
    <w:rsid w:val="00261BAD"/>
    <w:rsid w:val="002621A2"/>
    <w:rsid w:val="00262892"/>
    <w:rsid w:val="0026333F"/>
    <w:rsid w:val="002659F1"/>
    <w:rsid w:val="00267BA8"/>
    <w:rsid w:val="00267E8A"/>
    <w:rsid w:val="00271C7C"/>
    <w:rsid w:val="00272A61"/>
    <w:rsid w:val="0028162F"/>
    <w:rsid w:val="00287E79"/>
    <w:rsid w:val="0029101D"/>
    <w:rsid w:val="00291AF9"/>
    <w:rsid w:val="002928F9"/>
    <w:rsid w:val="002974F1"/>
    <w:rsid w:val="002A2257"/>
    <w:rsid w:val="002A3A90"/>
    <w:rsid w:val="002A5D07"/>
    <w:rsid w:val="002A5FF7"/>
    <w:rsid w:val="002C4B91"/>
    <w:rsid w:val="002C6121"/>
    <w:rsid w:val="002C794C"/>
    <w:rsid w:val="002D051D"/>
    <w:rsid w:val="002D3100"/>
    <w:rsid w:val="002D57BC"/>
    <w:rsid w:val="002D796A"/>
    <w:rsid w:val="002E114E"/>
    <w:rsid w:val="002E1CBB"/>
    <w:rsid w:val="002E2E4E"/>
    <w:rsid w:val="002E4133"/>
    <w:rsid w:val="002E7601"/>
    <w:rsid w:val="002F20E8"/>
    <w:rsid w:val="002F4E38"/>
    <w:rsid w:val="002F7A7A"/>
    <w:rsid w:val="003016B7"/>
    <w:rsid w:val="00302BAA"/>
    <w:rsid w:val="003101C2"/>
    <w:rsid w:val="00314623"/>
    <w:rsid w:val="00316892"/>
    <w:rsid w:val="00316DD8"/>
    <w:rsid w:val="00317692"/>
    <w:rsid w:val="00330307"/>
    <w:rsid w:val="00330F9C"/>
    <w:rsid w:val="00333D5A"/>
    <w:rsid w:val="00336102"/>
    <w:rsid w:val="00340BE7"/>
    <w:rsid w:val="00340C35"/>
    <w:rsid w:val="00343DCC"/>
    <w:rsid w:val="00344EEC"/>
    <w:rsid w:val="0034536B"/>
    <w:rsid w:val="0034704F"/>
    <w:rsid w:val="003515AA"/>
    <w:rsid w:val="00354BA7"/>
    <w:rsid w:val="00357FA8"/>
    <w:rsid w:val="003605FC"/>
    <w:rsid w:val="00360CDA"/>
    <w:rsid w:val="00364771"/>
    <w:rsid w:val="00364BF7"/>
    <w:rsid w:val="003661DF"/>
    <w:rsid w:val="0037082F"/>
    <w:rsid w:val="00370E0F"/>
    <w:rsid w:val="00374106"/>
    <w:rsid w:val="003764C2"/>
    <w:rsid w:val="003811EE"/>
    <w:rsid w:val="003824B5"/>
    <w:rsid w:val="00382FB8"/>
    <w:rsid w:val="00383178"/>
    <w:rsid w:val="00384827"/>
    <w:rsid w:val="003855E9"/>
    <w:rsid w:val="00385FB4"/>
    <w:rsid w:val="003876E5"/>
    <w:rsid w:val="003936BA"/>
    <w:rsid w:val="003954AE"/>
    <w:rsid w:val="003976D5"/>
    <w:rsid w:val="003B27B1"/>
    <w:rsid w:val="003B53E7"/>
    <w:rsid w:val="003B556A"/>
    <w:rsid w:val="003C0830"/>
    <w:rsid w:val="003C2526"/>
    <w:rsid w:val="003D099C"/>
    <w:rsid w:val="003D1639"/>
    <w:rsid w:val="003D1DF3"/>
    <w:rsid w:val="003D46A7"/>
    <w:rsid w:val="003D569C"/>
    <w:rsid w:val="003D6C68"/>
    <w:rsid w:val="003D76E4"/>
    <w:rsid w:val="003E019B"/>
    <w:rsid w:val="003E0D3F"/>
    <w:rsid w:val="003E5E8D"/>
    <w:rsid w:val="003E639C"/>
    <w:rsid w:val="003E64B1"/>
    <w:rsid w:val="003F0919"/>
    <w:rsid w:val="003F59A3"/>
    <w:rsid w:val="003F5D7B"/>
    <w:rsid w:val="003F6746"/>
    <w:rsid w:val="00401BB3"/>
    <w:rsid w:val="00407209"/>
    <w:rsid w:val="00410571"/>
    <w:rsid w:val="00410A01"/>
    <w:rsid w:val="00413958"/>
    <w:rsid w:val="00414425"/>
    <w:rsid w:val="004159D0"/>
    <w:rsid w:val="004169C3"/>
    <w:rsid w:val="00417545"/>
    <w:rsid w:val="00420651"/>
    <w:rsid w:val="00420AEC"/>
    <w:rsid w:val="004213E2"/>
    <w:rsid w:val="00424362"/>
    <w:rsid w:val="004249E7"/>
    <w:rsid w:val="00426DA1"/>
    <w:rsid w:val="00431095"/>
    <w:rsid w:val="00432EBB"/>
    <w:rsid w:val="004336B4"/>
    <w:rsid w:val="00433A7C"/>
    <w:rsid w:val="00434115"/>
    <w:rsid w:val="00434168"/>
    <w:rsid w:val="0043500F"/>
    <w:rsid w:val="004353D7"/>
    <w:rsid w:val="00440A62"/>
    <w:rsid w:val="00442F2F"/>
    <w:rsid w:val="0044573B"/>
    <w:rsid w:val="004576D0"/>
    <w:rsid w:val="004577E8"/>
    <w:rsid w:val="00460C30"/>
    <w:rsid w:val="0047501F"/>
    <w:rsid w:val="0047747B"/>
    <w:rsid w:val="00480543"/>
    <w:rsid w:val="004876AA"/>
    <w:rsid w:val="00487FF0"/>
    <w:rsid w:val="00490A27"/>
    <w:rsid w:val="00491B1B"/>
    <w:rsid w:val="004931E9"/>
    <w:rsid w:val="00493C7B"/>
    <w:rsid w:val="00495718"/>
    <w:rsid w:val="00497A70"/>
    <w:rsid w:val="004A1574"/>
    <w:rsid w:val="004B1539"/>
    <w:rsid w:val="004B54CD"/>
    <w:rsid w:val="004B6AAD"/>
    <w:rsid w:val="004B7467"/>
    <w:rsid w:val="004C09F5"/>
    <w:rsid w:val="004C0B13"/>
    <w:rsid w:val="004C16E3"/>
    <w:rsid w:val="004C598F"/>
    <w:rsid w:val="004C7050"/>
    <w:rsid w:val="004C71AC"/>
    <w:rsid w:val="004C7360"/>
    <w:rsid w:val="004D578F"/>
    <w:rsid w:val="004E302B"/>
    <w:rsid w:val="004F009E"/>
    <w:rsid w:val="004F220C"/>
    <w:rsid w:val="004F44BD"/>
    <w:rsid w:val="004F4A7E"/>
    <w:rsid w:val="004F5090"/>
    <w:rsid w:val="004F70C7"/>
    <w:rsid w:val="004F712A"/>
    <w:rsid w:val="00501512"/>
    <w:rsid w:val="00503307"/>
    <w:rsid w:val="005045C0"/>
    <w:rsid w:val="00506787"/>
    <w:rsid w:val="00511B70"/>
    <w:rsid w:val="00515498"/>
    <w:rsid w:val="005155E2"/>
    <w:rsid w:val="005169A5"/>
    <w:rsid w:val="00516CB6"/>
    <w:rsid w:val="005219E3"/>
    <w:rsid w:val="00526839"/>
    <w:rsid w:val="0053260D"/>
    <w:rsid w:val="00532E1B"/>
    <w:rsid w:val="00533BCF"/>
    <w:rsid w:val="00534BB7"/>
    <w:rsid w:val="00540E4E"/>
    <w:rsid w:val="00541847"/>
    <w:rsid w:val="00541D25"/>
    <w:rsid w:val="00542A8E"/>
    <w:rsid w:val="00542DD3"/>
    <w:rsid w:val="00543D5E"/>
    <w:rsid w:val="0054433C"/>
    <w:rsid w:val="005446B4"/>
    <w:rsid w:val="00546A45"/>
    <w:rsid w:val="00547343"/>
    <w:rsid w:val="00550A95"/>
    <w:rsid w:val="00552F78"/>
    <w:rsid w:val="00561260"/>
    <w:rsid w:val="005614AA"/>
    <w:rsid w:val="00562680"/>
    <w:rsid w:val="00562CCC"/>
    <w:rsid w:val="00571F41"/>
    <w:rsid w:val="005804E9"/>
    <w:rsid w:val="00581C22"/>
    <w:rsid w:val="00583485"/>
    <w:rsid w:val="00584421"/>
    <w:rsid w:val="00591193"/>
    <w:rsid w:val="00591E1F"/>
    <w:rsid w:val="00592B08"/>
    <w:rsid w:val="0059410B"/>
    <w:rsid w:val="00594A27"/>
    <w:rsid w:val="00595BE4"/>
    <w:rsid w:val="005A0B92"/>
    <w:rsid w:val="005A49A1"/>
    <w:rsid w:val="005A5EE3"/>
    <w:rsid w:val="005B0309"/>
    <w:rsid w:val="005B3DCA"/>
    <w:rsid w:val="005B5DAB"/>
    <w:rsid w:val="005B738F"/>
    <w:rsid w:val="005B76A3"/>
    <w:rsid w:val="005C76D1"/>
    <w:rsid w:val="005C7788"/>
    <w:rsid w:val="005D0615"/>
    <w:rsid w:val="005D0C47"/>
    <w:rsid w:val="005D4783"/>
    <w:rsid w:val="005D5937"/>
    <w:rsid w:val="005D6472"/>
    <w:rsid w:val="005D7608"/>
    <w:rsid w:val="005E118E"/>
    <w:rsid w:val="005E2360"/>
    <w:rsid w:val="005E33AB"/>
    <w:rsid w:val="005E391E"/>
    <w:rsid w:val="005E4D0C"/>
    <w:rsid w:val="005E5D1F"/>
    <w:rsid w:val="005E6306"/>
    <w:rsid w:val="005F0CAC"/>
    <w:rsid w:val="005F110B"/>
    <w:rsid w:val="005F1B63"/>
    <w:rsid w:val="005F1DDE"/>
    <w:rsid w:val="005F43A3"/>
    <w:rsid w:val="005F4E33"/>
    <w:rsid w:val="006009A6"/>
    <w:rsid w:val="00603391"/>
    <w:rsid w:val="006049FD"/>
    <w:rsid w:val="006056B0"/>
    <w:rsid w:val="00611D43"/>
    <w:rsid w:val="00612D48"/>
    <w:rsid w:val="00616B45"/>
    <w:rsid w:val="00617641"/>
    <w:rsid w:val="006206F2"/>
    <w:rsid w:val="00623FEA"/>
    <w:rsid w:val="00630C84"/>
    <w:rsid w:val="00630D9B"/>
    <w:rsid w:val="00631719"/>
    <w:rsid w:val="00631953"/>
    <w:rsid w:val="00631E59"/>
    <w:rsid w:val="00632633"/>
    <w:rsid w:val="006366AA"/>
    <w:rsid w:val="006407A1"/>
    <w:rsid w:val="006439EC"/>
    <w:rsid w:val="00643F25"/>
    <w:rsid w:val="0064473D"/>
    <w:rsid w:val="00644CA0"/>
    <w:rsid w:val="006515A0"/>
    <w:rsid w:val="00655F15"/>
    <w:rsid w:val="006562D8"/>
    <w:rsid w:val="00657EB3"/>
    <w:rsid w:val="00660FE1"/>
    <w:rsid w:val="006630C8"/>
    <w:rsid w:val="006669BF"/>
    <w:rsid w:val="00667726"/>
    <w:rsid w:val="00672562"/>
    <w:rsid w:val="00672EF7"/>
    <w:rsid w:val="00673D3D"/>
    <w:rsid w:val="00677436"/>
    <w:rsid w:val="00682043"/>
    <w:rsid w:val="00685928"/>
    <w:rsid w:val="00691131"/>
    <w:rsid w:val="00693369"/>
    <w:rsid w:val="006A047B"/>
    <w:rsid w:val="006A312E"/>
    <w:rsid w:val="006A346A"/>
    <w:rsid w:val="006A42D8"/>
    <w:rsid w:val="006A618F"/>
    <w:rsid w:val="006B360C"/>
    <w:rsid w:val="006B4590"/>
    <w:rsid w:val="006C340C"/>
    <w:rsid w:val="006C3452"/>
    <w:rsid w:val="006C41FE"/>
    <w:rsid w:val="006C6B06"/>
    <w:rsid w:val="006D7929"/>
    <w:rsid w:val="006E0D4D"/>
    <w:rsid w:val="006E58A5"/>
    <w:rsid w:val="006E5FC7"/>
    <w:rsid w:val="006F39D8"/>
    <w:rsid w:val="006F48C2"/>
    <w:rsid w:val="0070057F"/>
    <w:rsid w:val="0070168D"/>
    <w:rsid w:val="00702808"/>
    <w:rsid w:val="0070347C"/>
    <w:rsid w:val="007070A5"/>
    <w:rsid w:val="0071015B"/>
    <w:rsid w:val="00711DA7"/>
    <w:rsid w:val="007138AC"/>
    <w:rsid w:val="007176C1"/>
    <w:rsid w:val="0072494C"/>
    <w:rsid w:val="00725D4B"/>
    <w:rsid w:val="007265A1"/>
    <w:rsid w:val="007324E8"/>
    <w:rsid w:val="00732BE8"/>
    <w:rsid w:val="007344DD"/>
    <w:rsid w:val="00735980"/>
    <w:rsid w:val="00741976"/>
    <w:rsid w:val="00743A7F"/>
    <w:rsid w:val="00745171"/>
    <w:rsid w:val="007471FF"/>
    <w:rsid w:val="00747D0E"/>
    <w:rsid w:val="00754E53"/>
    <w:rsid w:val="00755058"/>
    <w:rsid w:val="00755914"/>
    <w:rsid w:val="007563D5"/>
    <w:rsid w:val="007609A5"/>
    <w:rsid w:val="0076362A"/>
    <w:rsid w:val="00763940"/>
    <w:rsid w:val="007728F2"/>
    <w:rsid w:val="00773402"/>
    <w:rsid w:val="00774706"/>
    <w:rsid w:val="00776DDC"/>
    <w:rsid w:val="0078147B"/>
    <w:rsid w:val="00783F37"/>
    <w:rsid w:val="0078568D"/>
    <w:rsid w:val="0078797A"/>
    <w:rsid w:val="00787B09"/>
    <w:rsid w:val="00790F2F"/>
    <w:rsid w:val="00791B7D"/>
    <w:rsid w:val="00793A84"/>
    <w:rsid w:val="0079472F"/>
    <w:rsid w:val="00795F83"/>
    <w:rsid w:val="00797823"/>
    <w:rsid w:val="007A2EBD"/>
    <w:rsid w:val="007A3B77"/>
    <w:rsid w:val="007A6076"/>
    <w:rsid w:val="007A7FCD"/>
    <w:rsid w:val="007B1128"/>
    <w:rsid w:val="007B29F3"/>
    <w:rsid w:val="007B473A"/>
    <w:rsid w:val="007C0074"/>
    <w:rsid w:val="007C01D4"/>
    <w:rsid w:val="007C2849"/>
    <w:rsid w:val="007C496D"/>
    <w:rsid w:val="007C4CD0"/>
    <w:rsid w:val="007C5609"/>
    <w:rsid w:val="007D078A"/>
    <w:rsid w:val="007D3511"/>
    <w:rsid w:val="007D3598"/>
    <w:rsid w:val="007D411A"/>
    <w:rsid w:val="007D5F4C"/>
    <w:rsid w:val="007E6E7A"/>
    <w:rsid w:val="007E7193"/>
    <w:rsid w:val="007F55CB"/>
    <w:rsid w:val="00800A21"/>
    <w:rsid w:val="00802CA1"/>
    <w:rsid w:val="00804DB4"/>
    <w:rsid w:val="00805075"/>
    <w:rsid w:val="00810453"/>
    <w:rsid w:val="00812542"/>
    <w:rsid w:val="00812C1A"/>
    <w:rsid w:val="0081618C"/>
    <w:rsid w:val="008215D9"/>
    <w:rsid w:val="00825D88"/>
    <w:rsid w:val="008265AD"/>
    <w:rsid w:val="00826D1B"/>
    <w:rsid w:val="008317F6"/>
    <w:rsid w:val="008368A9"/>
    <w:rsid w:val="00836BF5"/>
    <w:rsid w:val="00836D17"/>
    <w:rsid w:val="00837027"/>
    <w:rsid w:val="008441DB"/>
    <w:rsid w:val="008444FE"/>
    <w:rsid w:val="008445AC"/>
    <w:rsid w:val="00844750"/>
    <w:rsid w:val="00852601"/>
    <w:rsid w:val="00853379"/>
    <w:rsid w:val="00855332"/>
    <w:rsid w:val="00855BE3"/>
    <w:rsid w:val="00870570"/>
    <w:rsid w:val="00874034"/>
    <w:rsid w:val="00874AF0"/>
    <w:rsid w:val="00874CC2"/>
    <w:rsid w:val="008755FC"/>
    <w:rsid w:val="00893C3F"/>
    <w:rsid w:val="008A1CE5"/>
    <w:rsid w:val="008A3AFE"/>
    <w:rsid w:val="008B44C4"/>
    <w:rsid w:val="008B7879"/>
    <w:rsid w:val="008C2211"/>
    <w:rsid w:val="008C2C01"/>
    <w:rsid w:val="008C6644"/>
    <w:rsid w:val="008C7C1E"/>
    <w:rsid w:val="008D3919"/>
    <w:rsid w:val="008D599F"/>
    <w:rsid w:val="008D71E2"/>
    <w:rsid w:val="008E3A0C"/>
    <w:rsid w:val="008E79CD"/>
    <w:rsid w:val="008E7F56"/>
    <w:rsid w:val="008E7FAE"/>
    <w:rsid w:val="008F1CF1"/>
    <w:rsid w:val="00900538"/>
    <w:rsid w:val="009029B2"/>
    <w:rsid w:val="00902BF9"/>
    <w:rsid w:val="00902DE5"/>
    <w:rsid w:val="009032EE"/>
    <w:rsid w:val="009062B7"/>
    <w:rsid w:val="00911BF7"/>
    <w:rsid w:val="00913FF6"/>
    <w:rsid w:val="009145A4"/>
    <w:rsid w:val="00914A09"/>
    <w:rsid w:val="00915226"/>
    <w:rsid w:val="00916FB3"/>
    <w:rsid w:val="00926E87"/>
    <w:rsid w:val="009350B5"/>
    <w:rsid w:val="0093544B"/>
    <w:rsid w:val="0093753B"/>
    <w:rsid w:val="00941DC4"/>
    <w:rsid w:val="00945841"/>
    <w:rsid w:val="0094673F"/>
    <w:rsid w:val="0095194B"/>
    <w:rsid w:val="00952FDB"/>
    <w:rsid w:val="00955653"/>
    <w:rsid w:val="0096338E"/>
    <w:rsid w:val="009654BC"/>
    <w:rsid w:val="00966FF7"/>
    <w:rsid w:val="00971272"/>
    <w:rsid w:val="00972C56"/>
    <w:rsid w:val="00977EC8"/>
    <w:rsid w:val="009814C5"/>
    <w:rsid w:val="00981DA6"/>
    <w:rsid w:val="0098238A"/>
    <w:rsid w:val="00985183"/>
    <w:rsid w:val="00987CA1"/>
    <w:rsid w:val="0099032C"/>
    <w:rsid w:val="0099772F"/>
    <w:rsid w:val="009A43BA"/>
    <w:rsid w:val="009B00D3"/>
    <w:rsid w:val="009B0C2D"/>
    <w:rsid w:val="009B1525"/>
    <w:rsid w:val="009B18A3"/>
    <w:rsid w:val="009B2F52"/>
    <w:rsid w:val="009B6BAA"/>
    <w:rsid w:val="009C4B70"/>
    <w:rsid w:val="009C65BF"/>
    <w:rsid w:val="009D2AC8"/>
    <w:rsid w:val="009D3A8C"/>
    <w:rsid w:val="009D5E80"/>
    <w:rsid w:val="009E01B8"/>
    <w:rsid w:val="009E2601"/>
    <w:rsid w:val="009E4925"/>
    <w:rsid w:val="009E56BF"/>
    <w:rsid w:val="009E7956"/>
    <w:rsid w:val="009F1890"/>
    <w:rsid w:val="009F1A25"/>
    <w:rsid w:val="009F2B3E"/>
    <w:rsid w:val="00A1118F"/>
    <w:rsid w:val="00A137B2"/>
    <w:rsid w:val="00A14E6D"/>
    <w:rsid w:val="00A1547F"/>
    <w:rsid w:val="00A160B8"/>
    <w:rsid w:val="00A23209"/>
    <w:rsid w:val="00A2492E"/>
    <w:rsid w:val="00A30D2F"/>
    <w:rsid w:val="00A30F5B"/>
    <w:rsid w:val="00A31F07"/>
    <w:rsid w:val="00A31FAB"/>
    <w:rsid w:val="00A31FE9"/>
    <w:rsid w:val="00A336BF"/>
    <w:rsid w:val="00A34C8A"/>
    <w:rsid w:val="00A369BE"/>
    <w:rsid w:val="00A41235"/>
    <w:rsid w:val="00A416C2"/>
    <w:rsid w:val="00A432EC"/>
    <w:rsid w:val="00A4362B"/>
    <w:rsid w:val="00A44811"/>
    <w:rsid w:val="00A44940"/>
    <w:rsid w:val="00A461C3"/>
    <w:rsid w:val="00A46B0E"/>
    <w:rsid w:val="00A47EEF"/>
    <w:rsid w:val="00A54FB6"/>
    <w:rsid w:val="00A577E7"/>
    <w:rsid w:val="00A604BA"/>
    <w:rsid w:val="00A70163"/>
    <w:rsid w:val="00A72FB1"/>
    <w:rsid w:val="00A76414"/>
    <w:rsid w:val="00A80554"/>
    <w:rsid w:val="00A84C3D"/>
    <w:rsid w:val="00A84EC8"/>
    <w:rsid w:val="00A86826"/>
    <w:rsid w:val="00A8739F"/>
    <w:rsid w:val="00A900A6"/>
    <w:rsid w:val="00A90442"/>
    <w:rsid w:val="00AB44AE"/>
    <w:rsid w:val="00AB554E"/>
    <w:rsid w:val="00AB61CA"/>
    <w:rsid w:val="00AC0092"/>
    <w:rsid w:val="00AC085A"/>
    <w:rsid w:val="00AC22D0"/>
    <w:rsid w:val="00AC350B"/>
    <w:rsid w:val="00AC67A1"/>
    <w:rsid w:val="00AC7977"/>
    <w:rsid w:val="00AD06A2"/>
    <w:rsid w:val="00AD3745"/>
    <w:rsid w:val="00AD5814"/>
    <w:rsid w:val="00AD623D"/>
    <w:rsid w:val="00AD7D22"/>
    <w:rsid w:val="00AE100C"/>
    <w:rsid w:val="00AE352C"/>
    <w:rsid w:val="00AE50E5"/>
    <w:rsid w:val="00AE5C23"/>
    <w:rsid w:val="00AE7DA5"/>
    <w:rsid w:val="00AF175D"/>
    <w:rsid w:val="00AF358E"/>
    <w:rsid w:val="00AF7DA3"/>
    <w:rsid w:val="00B00D2C"/>
    <w:rsid w:val="00B02946"/>
    <w:rsid w:val="00B07DC1"/>
    <w:rsid w:val="00B10E1A"/>
    <w:rsid w:val="00B13468"/>
    <w:rsid w:val="00B143A9"/>
    <w:rsid w:val="00B14820"/>
    <w:rsid w:val="00B16346"/>
    <w:rsid w:val="00B16E40"/>
    <w:rsid w:val="00B20630"/>
    <w:rsid w:val="00B27BD2"/>
    <w:rsid w:val="00B27FE4"/>
    <w:rsid w:val="00B32DBF"/>
    <w:rsid w:val="00B32E2D"/>
    <w:rsid w:val="00B4090B"/>
    <w:rsid w:val="00B42889"/>
    <w:rsid w:val="00B44068"/>
    <w:rsid w:val="00B4466B"/>
    <w:rsid w:val="00B460A2"/>
    <w:rsid w:val="00B51147"/>
    <w:rsid w:val="00B52E44"/>
    <w:rsid w:val="00B54E27"/>
    <w:rsid w:val="00B56BE7"/>
    <w:rsid w:val="00B57F69"/>
    <w:rsid w:val="00B61990"/>
    <w:rsid w:val="00B6602A"/>
    <w:rsid w:val="00B678FD"/>
    <w:rsid w:val="00B70AA8"/>
    <w:rsid w:val="00B72DE2"/>
    <w:rsid w:val="00B73437"/>
    <w:rsid w:val="00B73D28"/>
    <w:rsid w:val="00B76184"/>
    <w:rsid w:val="00B811BE"/>
    <w:rsid w:val="00B85D99"/>
    <w:rsid w:val="00B8662C"/>
    <w:rsid w:val="00B92CD5"/>
    <w:rsid w:val="00B93E72"/>
    <w:rsid w:val="00B94939"/>
    <w:rsid w:val="00B97F4F"/>
    <w:rsid w:val="00BA03A2"/>
    <w:rsid w:val="00BA1315"/>
    <w:rsid w:val="00BA3217"/>
    <w:rsid w:val="00BA603B"/>
    <w:rsid w:val="00BB10FD"/>
    <w:rsid w:val="00BB4A08"/>
    <w:rsid w:val="00BB7DC7"/>
    <w:rsid w:val="00BC0E59"/>
    <w:rsid w:val="00BC0FE4"/>
    <w:rsid w:val="00BC22ED"/>
    <w:rsid w:val="00BC436A"/>
    <w:rsid w:val="00BC55CA"/>
    <w:rsid w:val="00BC5A6C"/>
    <w:rsid w:val="00BC63C8"/>
    <w:rsid w:val="00BC69B8"/>
    <w:rsid w:val="00BC7EDA"/>
    <w:rsid w:val="00BD275C"/>
    <w:rsid w:val="00BD2ED1"/>
    <w:rsid w:val="00BD6AF9"/>
    <w:rsid w:val="00BD7456"/>
    <w:rsid w:val="00BE093D"/>
    <w:rsid w:val="00BE3349"/>
    <w:rsid w:val="00BF0556"/>
    <w:rsid w:val="00BF06B0"/>
    <w:rsid w:val="00BF3CD1"/>
    <w:rsid w:val="00BF6552"/>
    <w:rsid w:val="00BF70B0"/>
    <w:rsid w:val="00C03C6D"/>
    <w:rsid w:val="00C057A8"/>
    <w:rsid w:val="00C05A63"/>
    <w:rsid w:val="00C06A71"/>
    <w:rsid w:val="00C10E3D"/>
    <w:rsid w:val="00C11E79"/>
    <w:rsid w:val="00C13D46"/>
    <w:rsid w:val="00C14674"/>
    <w:rsid w:val="00C15722"/>
    <w:rsid w:val="00C179DE"/>
    <w:rsid w:val="00C22AA3"/>
    <w:rsid w:val="00C23E6F"/>
    <w:rsid w:val="00C24480"/>
    <w:rsid w:val="00C24B53"/>
    <w:rsid w:val="00C25923"/>
    <w:rsid w:val="00C261F8"/>
    <w:rsid w:val="00C26536"/>
    <w:rsid w:val="00C27AAC"/>
    <w:rsid w:val="00C311D8"/>
    <w:rsid w:val="00C32F07"/>
    <w:rsid w:val="00C33100"/>
    <w:rsid w:val="00C33207"/>
    <w:rsid w:val="00C337D2"/>
    <w:rsid w:val="00C349E5"/>
    <w:rsid w:val="00C36321"/>
    <w:rsid w:val="00C368EB"/>
    <w:rsid w:val="00C41744"/>
    <w:rsid w:val="00C434BB"/>
    <w:rsid w:val="00C43627"/>
    <w:rsid w:val="00C43B1B"/>
    <w:rsid w:val="00C4442E"/>
    <w:rsid w:val="00C47482"/>
    <w:rsid w:val="00C4781B"/>
    <w:rsid w:val="00C546D9"/>
    <w:rsid w:val="00C56EE9"/>
    <w:rsid w:val="00C64C13"/>
    <w:rsid w:val="00C65842"/>
    <w:rsid w:val="00C72098"/>
    <w:rsid w:val="00C72705"/>
    <w:rsid w:val="00C72EB0"/>
    <w:rsid w:val="00C7492C"/>
    <w:rsid w:val="00C80AF6"/>
    <w:rsid w:val="00C81F51"/>
    <w:rsid w:val="00C82437"/>
    <w:rsid w:val="00C878EC"/>
    <w:rsid w:val="00C90098"/>
    <w:rsid w:val="00C91A63"/>
    <w:rsid w:val="00C940E9"/>
    <w:rsid w:val="00CA14FB"/>
    <w:rsid w:val="00CA34B9"/>
    <w:rsid w:val="00CA5CF1"/>
    <w:rsid w:val="00CB0C06"/>
    <w:rsid w:val="00CB6267"/>
    <w:rsid w:val="00CB7DF9"/>
    <w:rsid w:val="00CC349D"/>
    <w:rsid w:val="00CC3D5B"/>
    <w:rsid w:val="00CC735F"/>
    <w:rsid w:val="00CD1A71"/>
    <w:rsid w:val="00CD1FBB"/>
    <w:rsid w:val="00CD2AE6"/>
    <w:rsid w:val="00CD2D84"/>
    <w:rsid w:val="00CD311F"/>
    <w:rsid w:val="00CD5DE3"/>
    <w:rsid w:val="00CE02AF"/>
    <w:rsid w:val="00CE4594"/>
    <w:rsid w:val="00CE5ACA"/>
    <w:rsid w:val="00CE7502"/>
    <w:rsid w:val="00CF21E7"/>
    <w:rsid w:val="00CF2628"/>
    <w:rsid w:val="00CF4EF6"/>
    <w:rsid w:val="00CF5B71"/>
    <w:rsid w:val="00CF6FA9"/>
    <w:rsid w:val="00D016B5"/>
    <w:rsid w:val="00D034F1"/>
    <w:rsid w:val="00D060AC"/>
    <w:rsid w:val="00D1111F"/>
    <w:rsid w:val="00D11B17"/>
    <w:rsid w:val="00D11B85"/>
    <w:rsid w:val="00D127BA"/>
    <w:rsid w:val="00D13598"/>
    <w:rsid w:val="00D1550F"/>
    <w:rsid w:val="00D15CEE"/>
    <w:rsid w:val="00D1673B"/>
    <w:rsid w:val="00D1778C"/>
    <w:rsid w:val="00D21059"/>
    <w:rsid w:val="00D219EA"/>
    <w:rsid w:val="00D21DEF"/>
    <w:rsid w:val="00D224EB"/>
    <w:rsid w:val="00D22523"/>
    <w:rsid w:val="00D22AE6"/>
    <w:rsid w:val="00D23A3D"/>
    <w:rsid w:val="00D27D5E"/>
    <w:rsid w:val="00D30AC8"/>
    <w:rsid w:val="00D35467"/>
    <w:rsid w:val="00D43327"/>
    <w:rsid w:val="00D513FC"/>
    <w:rsid w:val="00D525B8"/>
    <w:rsid w:val="00D548F6"/>
    <w:rsid w:val="00D5583C"/>
    <w:rsid w:val="00D55CFC"/>
    <w:rsid w:val="00D56BB9"/>
    <w:rsid w:val="00D57048"/>
    <w:rsid w:val="00D572BB"/>
    <w:rsid w:val="00D60301"/>
    <w:rsid w:val="00D60AF9"/>
    <w:rsid w:val="00D64435"/>
    <w:rsid w:val="00D70A77"/>
    <w:rsid w:val="00D74743"/>
    <w:rsid w:val="00D812F1"/>
    <w:rsid w:val="00D84D00"/>
    <w:rsid w:val="00D87B9E"/>
    <w:rsid w:val="00D9257C"/>
    <w:rsid w:val="00D9717E"/>
    <w:rsid w:val="00D972A1"/>
    <w:rsid w:val="00DA05C5"/>
    <w:rsid w:val="00DA57D4"/>
    <w:rsid w:val="00DA7538"/>
    <w:rsid w:val="00DB4793"/>
    <w:rsid w:val="00DB481E"/>
    <w:rsid w:val="00DB5B5C"/>
    <w:rsid w:val="00DC1221"/>
    <w:rsid w:val="00DC21FF"/>
    <w:rsid w:val="00DC284D"/>
    <w:rsid w:val="00DC2BC5"/>
    <w:rsid w:val="00DC3AEA"/>
    <w:rsid w:val="00DC3D94"/>
    <w:rsid w:val="00DC4CB2"/>
    <w:rsid w:val="00DC74EC"/>
    <w:rsid w:val="00DD06B4"/>
    <w:rsid w:val="00DD1138"/>
    <w:rsid w:val="00DD2276"/>
    <w:rsid w:val="00DD3803"/>
    <w:rsid w:val="00DD42B0"/>
    <w:rsid w:val="00DD44A8"/>
    <w:rsid w:val="00DE01E3"/>
    <w:rsid w:val="00DE3652"/>
    <w:rsid w:val="00DE39A2"/>
    <w:rsid w:val="00DE473E"/>
    <w:rsid w:val="00DE48AD"/>
    <w:rsid w:val="00DE5530"/>
    <w:rsid w:val="00DE6D90"/>
    <w:rsid w:val="00DE7ADB"/>
    <w:rsid w:val="00DF002F"/>
    <w:rsid w:val="00DF1D1D"/>
    <w:rsid w:val="00DF324B"/>
    <w:rsid w:val="00DF4B4F"/>
    <w:rsid w:val="00DF4E3E"/>
    <w:rsid w:val="00E02065"/>
    <w:rsid w:val="00E0244D"/>
    <w:rsid w:val="00E052CC"/>
    <w:rsid w:val="00E11F8F"/>
    <w:rsid w:val="00E13702"/>
    <w:rsid w:val="00E146DA"/>
    <w:rsid w:val="00E16BAC"/>
    <w:rsid w:val="00E2008C"/>
    <w:rsid w:val="00E24B41"/>
    <w:rsid w:val="00E27D69"/>
    <w:rsid w:val="00E27F1F"/>
    <w:rsid w:val="00E34CA9"/>
    <w:rsid w:val="00E44A3C"/>
    <w:rsid w:val="00E474C8"/>
    <w:rsid w:val="00E55D71"/>
    <w:rsid w:val="00E57616"/>
    <w:rsid w:val="00E578C8"/>
    <w:rsid w:val="00E57EC4"/>
    <w:rsid w:val="00E62A8D"/>
    <w:rsid w:val="00E62C97"/>
    <w:rsid w:val="00E73DA0"/>
    <w:rsid w:val="00E75D23"/>
    <w:rsid w:val="00E772A3"/>
    <w:rsid w:val="00E77B98"/>
    <w:rsid w:val="00E80068"/>
    <w:rsid w:val="00E808CD"/>
    <w:rsid w:val="00E81E94"/>
    <w:rsid w:val="00E82127"/>
    <w:rsid w:val="00E82607"/>
    <w:rsid w:val="00E82BE2"/>
    <w:rsid w:val="00E92358"/>
    <w:rsid w:val="00E9286E"/>
    <w:rsid w:val="00E92D38"/>
    <w:rsid w:val="00E934CE"/>
    <w:rsid w:val="00E93E32"/>
    <w:rsid w:val="00E947B1"/>
    <w:rsid w:val="00E95344"/>
    <w:rsid w:val="00EA1CFA"/>
    <w:rsid w:val="00EA2D36"/>
    <w:rsid w:val="00EA31C2"/>
    <w:rsid w:val="00EA49C8"/>
    <w:rsid w:val="00EB0E9E"/>
    <w:rsid w:val="00EB2C84"/>
    <w:rsid w:val="00EB38A4"/>
    <w:rsid w:val="00EC0CF4"/>
    <w:rsid w:val="00EC11BC"/>
    <w:rsid w:val="00EC2ACE"/>
    <w:rsid w:val="00EC3BF8"/>
    <w:rsid w:val="00ED4445"/>
    <w:rsid w:val="00ED4E72"/>
    <w:rsid w:val="00ED577E"/>
    <w:rsid w:val="00ED75A2"/>
    <w:rsid w:val="00EE06A1"/>
    <w:rsid w:val="00EE2EA3"/>
    <w:rsid w:val="00EF71D5"/>
    <w:rsid w:val="00F01516"/>
    <w:rsid w:val="00F016B0"/>
    <w:rsid w:val="00F034AB"/>
    <w:rsid w:val="00F04E1C"/>
    <w:rsid w:val="00F15363"/>
    <w:rsid w:val="00F17AAD"/>
    <w:rsid w:val="00F20BBF"/>
    <w:rsid w:val="00F25BEB"/>
    <w:rsid w:val="00F30CAB"/>
    <w:rsid w:val="00F32DC1"/>
    <w:rsid w:val="00F33767"/>
    <w:rsid w:val="00F35248"/>
    <w:rsid w:val="00F35B19"/>
    <w:rsid w:val="00F41FF4"/>
    <w:rsid w:val="00F42CE3"/>
    <w:rsid w:val="00F43323"/>
    <w:rsid w:val="00F52516"/>
    <w:rsid w:val="00F53D24"/>
    <w:rsid w:val="00F54A9E"/>
    <w:rsid w:val="00F54D7B"/>
    <w:rsid w:val="00F55AFB"/>
    <w:rsid w:val="00F56876"/>
    <w:rsid w:val="00F57129"/>
    <w:rsid w:val="00F576A6"/>
    <w:rsid w:val="00F611E2"/>
    <w:rsid w:val="00F62B5F"/>
    <w:rsid w:val="00F7327F"/>
    <w:rsid w:val="00F75CE2"/>
    <w:rsid w:val="00F80723"/>
    <w:rsid w:val="00F8201E"/>
    <w:rsid w:val="00F87171"/>
    <w:rsid w:val="00F92085"/>
    <w:rsid w:val="00F93877"/>
    <w:rsid w:val="00FA085C"/>
    <w:rsid w:val="00FA36B7"/>
    <w:rsid w:val="00FA5A79"/>
    <w:rsid w:val="00FA5E9B"/>
    <w:rsid w:val="00FB00CB"/>
    <w:rsid w:val="00FB0BFE"/>
    <w:rsid w:val="00FB14AF"/>
    <w:rsid w:val="00FB2DA9"/>
    <w:rsid w:val="00FB3A24"/>
    <w:rsid w:val="00FB4C51"/>
    <w:rsid w:val="00FB578D"/>
    <w:rsid w:val="00FB64E2"/>
    <w:rsid w:val="00FC3E7E"/>
    <w:rsid w:val="00FC457C"/>
    <w:rsid w:val="00FC5C06"/>
    <w:rsid w:val="00FD1A2A"/>
    <w:rsid w:val="00FD5214"/>
    <w:rsid w:val="00FD638C"/>
    <w:rsid w:val="00FD740A"/>
    <w:rsid w:val="00FE017C"/>
    <w:rsid w:val="00FE0E63"/>
    <w:rsid w:val="00FE2838"/>
    <w:rsid w:val="00FE33F3"/>
    <w:rsid w:val="00FE3DF3"/>
    <w:rsid w:val="00FF1DBD"/>
    <w:rsid w:val="00FF2374"/>
    <w:rsid w:val="00FF44BB"/>
    <w:rsid w:val="00FF5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783"/>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link w:val="Heading2Char"/>
    <w:qFormat/>
    <w:rsid w:val="000964C7"/>
    <w:pPr>
      <w:outlineLvl w:val="1"/>
    </w:pPr>
  </w:style>
  <w:style w:type="paragraph" w:styleId="Heading3">
    <w:name w:val="heading 3"/>
    <w:basedOn w:val="Normal"/>
    <w:next w:val="Normal"/>
    <w:link w:val="Heading3Char"/>
    <w:qFormat/>
    <w:rsid w:val="000964C7"/>
    <w:pPr>
      <w:outlineLvl w:val="2"/>
    </w:pPr>
  </w:style>
  <w:style w:type="paragraph" w:styleId="Heading4">
    <w:name w:val="heading 4"/>
    <w:basedOn w:val="Normal"/>
    <w:next w:val="Normal"/>
    <w:link w:val="Heading4Char"/>
    <w:qFormat/>
    <w:rsid w:val="000964C7"/>
    <w:pPr>
      <w:outlineLvl w:val="3"/>
    </w:pPr>
  </w:style>
  <w:style w:type="paragraph" w:styleId="Heading5">
    <w:name w:val="heading 5"/>
    <w:basedOn w:val="Normal"/>
    <w:next w:val="Normal"/>
    <w:link w:val="Heading5Char"/>
    <w:qFormat/>
    <w:rsid w:val="000964C7"/>
    <w:pPr>
      <w:outlineLvl w:val="4"/>
    </w:pPr>
  </w:style>
  <w:style w:type="paragraph" w:styleId="Heading6">
    <w:name w:val="heading 6"/>
    <w:basedOn w:val="Normal"/>
    <w:next w:val="Normal"/>
    <w:link w:val="Heading6Char"/>
    <w:qFormat/>
    <w:rsid w:val="000964C7"/>
    <w:pPr>
      <w:outlineLvl w:val="5"/>
    </w:pPr>
  </w:style>
  <w:style w:type="paragraph" w:styleId="Heading7">
    <w:name w:val="heading 7"/>
    <w:basedOn w:val="Normal"/>
    <w:next w:val="Normal"/>
    <w:link w:val="Heading7Char"/>
    <w:qFormat/>
    <w:rsid w:val="000964C7"/>
    <w:pPr>
      <w:outlineLvl w:val="6"/>
    </w:pPr>
  </w:style>
  <w:style w:type="paragraph" w:styleId="Heading8">
    <w:name w:val="heading 8"/>
    <w:basedOn w:val="Normal"/>
    <w:next w:val="Normal"/>
    <w:link w:val="Heading8Char"/>
    <w:qFormat/>
    <w:rsid w:val="000964C7"/>
    <w:pPr>
      <w:outlineLvl w:val="7"/>
    </w:pPr>
  </w:style>
  <w:style w:type="paragraph" w:styleId="Heading9">
    <w:name w:val="heading 9"/>
    <w:basedOn w:val="Normal"/>
    <w:next w:val="Normal"/>
    <w:link w:val="Heading9Char"/>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basedOn w:val="FootnoteReference"/>
    <w:rsid w:val="000964C7"/>
    <w:rPr>
      <w:rFonts w:ascii="Times New Roman" w:hAnsi="Times New Roman"/>
      <w:sz w:val="18"/>
      <w:vertAlign w:val="superscript"/>
      <w:lang w:val="fr-CH"/>
    </w:rPr>
  </w:style>
  <w:style w:type="paragraph" w:styleId="Header">
    <w:name w:val="header"/>
    <w:aliases w:val="6_G"/>
    <w:basedOn w:val="Normal"/>
    <w:next w:val="Normal"/>
    <w:link w:val="HeaderChar"/>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link w:val="FooterChar"/>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0964C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01428E"/>
    <w:rPr>
      <w:b/>
      <w:sz w:val="24"/>
      <w:lang w:val="fr-CH" w:eastAsia="en-US" w:bidi="ar-SA"/>
    </w:rPr>
  </w:style>
  <w:style w:type="character" w:customStyle="1" w:styleId="SingleTxtGCar">
    <w:name w:val="_ Single Txt_G Car"/>
    <w:link w:val="SingleTxtG"/>
    <w:rsid w:val="00F54A9E"/>
    <w:rPr>
      <w:lang w:val="fr-CH" w:eastAsia="en-US" w:bidi="ar-SA"/>
    </w:rPr>
  </w:style>
  <w:style w:type="paragraph" w:styleId="BalloonText">
    <w:name w:val="Balloon Text"/>
    <w:basedOn w:val="Normal"/>
    <w:link w:val="BalloonTextChar"/>
    <w:rsid w:val="000C150C"/>
    <w:rPr>
      <w:rFonts w:ascii="Tahoma" w:hAnsi="Tahoma" w:cs="Tahoma"/>
      <w:sz w:val="16"/>
      <w:szCs w:val="16"/>
    </w:rPr>
  </w:style>
  <w:style w:type="character" w:customStyle="1" w:styleId="SingleTxtGChar">
    <w:name w:val="_ Single Txt_G Char"/>
    <w:qFormat/>
    <w:rsid w:val="009062B7"/>
    <w:rPr>
      <w:lang w:val="en-GB" w:eastAsia="en-US" w:bidi="ar-SA"/>
    </w:rPr>
  </w:style>
  <w:style w:type="character" w:customStyle="1" w:styleId="HChGChar">
    <w:name w:val="_ H _Ch_G Char"/>
    <w:link w:val="HChG"/>
    <w:rsid w:val="00F80723"/>
    <w:rPr>
      <w:b/>
      <w:sz w:val="28"/>
      <w:lang w:val="fr-CH" w:eastAsia="en-US" w:bidi="ar-SA"/>
    </w:rPr>
  </w:style>
  <w:style w:type="paragraph" w:customStyle="1" w:styleId="NormalTabelle">
    <w:name w:val="Normal Tabelle"/>
    <w:basedOn w:val="Normal"/>
    <w:rsid w:val="00364771"/>
    <w:pPr>
      <w:suppressAutoHyphens w:val="0"/>
      <w:spacing w:before="180" w:line="240" w:lineRule="auto"/>
    </w:pPr>
    <w:rPr>
      <w:rFonts w:ascii="Arial" w:hAnsi="Arial"/>
      <w:color w:val="000000"/>
      <w:sz w:val="18"/>
      <w:lang w:val="fr-FR" w:eastAsia="fr-FR"/>
    </w:rPr>
  </w:style>
  <w:style w:type="character" w:customStyle="1" w:styleId="FootnoteTextChar">
    <w:name w:val="Footnote Text Char"/>
    <w:aliases w:val="5_G Char"/>
    <w:link w:val="FootnoteText"/>
    <w:rsid w:val="004F44BD"/>
    <w:rPr>
      <w:sz w:val="18"/>
      <w:lang w:val="fr-CH" w:eastAsia="en-US"/>
    </w:rPr>
  </w:style>
  <w:style w:type="paragraph" w:customStyle="1" w:styleId="ParNoG">
    <w:name w:val="_ParNo_G"/>
    <w:basedOn w:val="SingleTxtG"/>
    <w:rsid w:val="00BC69B8"/>
    <w:pPr>
      <w:numPr>
        <w:numId w:val="12"/>
      </w:numPr>
      <w:tabs>
        <w:tab w:val="clear" w:pos="1701"/>
        <w:tab w:val="num" w:pos="360"/>
      </w:tabs>
    </w:pPr>
  </w:style>
  <w:style w:type="character" w:customStyle="1" w:styleId="Heading1Char">
    <w:name w:val="Heading 1 Char"/>
    <w:aliases w:val="Table_G Char"/>
    <w:link w:val="Heading1"/>
    <w:rsid w:val="00916FB3"/>
    <w:rPr>
      <w:lang w:val="fr-CH" w:eastAsia="en-US"/>
    </w:rPr>
  </w:style>
  <w:style w:type="character" w:customStyle="1" w:styleId="Heading2Char">
    <w:name w:val="Heading 2 Char"/>
    <w:link w:val="Heading2"/>
    <w:rsid w:val="00916FB3"/>
    <w:rPr>
      <w:lang w:val="fr-CH" w:eastAsia="en-US"/>
    </w:rPr>
  </w:style>
  <w:style w:type="character" w:customStyle="1" w:styleId="Heading3Char">
    <w:name w:val="Heading 3 Char"/>
    <w:link w:val="Heading3"/>
    <w:rsid w:val="00916FB3"/>
    <w:rPr>
      <w:lang w:val="fr-CH" w:eastAsia="en-US"/>
    </w:rPr>
  </w:style>
  <w:style w:type="character" w:customStyle="1" w:styleId="Heading4Char">
    <w:name w:val="Heading 4 Char"/>
    <w:link w:val="Heading4"/>
    <w:rsid w:val="00916FB3"/>
    <w:rPr>
      <w:lang w:val="fr-CH" w:eastAsia="en-US"/>
    </w:rPr>
  </w:style>
  <w:style w:type="character" w:customStyle="1" w:styleId="Heading5Char">
    <w:name w:val="Heading 5 Char"/>
    <w:link w:val="Heading5"/>
    <w:rsid w:val="00916FB3"/>
    <w:rPr>
      <w:lang w:val="fr-CH" w:eastAsia="en-US"/>
    </w:rPr>
  </w:style>
  <w:style w:type="character" w:customStyle="1" w:styleId="Heading6Char">
    <w:name w:val="Heading 6 Char"/>
    <w:link w:val="Heading6"/>
    <w:rsid w:val="00916FB3"/>
    <w:rPr>
      <w:lang w:val="fr-CH" w:eastAsia="en-US"/>
    </w:rPr>
  </w:style>
  <w:style w:type="character" w:customStyle="1" w:styleId="Heading7Char">
    <w:name w:val="Heading 7 Char"/>
    <w:link w:val="Heading7"/>
    <w:rsid w:val="00916FB3"/>
    <w:rPr>
      <w:lang w:val="fr-CH" w:eastAsia="en-US"/>
    </w:rPr>
  </w:style>
  <w:style w:type="character" w:customStyle="1" w:styleId="Heading8Char">
    <w:name w:val="Heading 8 Char"/>
    <w:link w:val="Heading8"/>
    <w:rsid w:val="00916FB3"/>
    <w:rPr>
      <w:lang w:val="fr-CH" w:eastAsia="en-US"/>
    </w:rPr>
  </w:style>
  <w:style w:type="character" w:customStyle="1" w:styleId="Heading9Char">
    <w:name w:val="Heading 9 Char"/>
    <w:link w:val="Heading9"/>
    <w:rsid w:val="00916FB3"/>
    <w:rPr>
      <w:lang w:val="fr-CH" w:eastAsia="en-US"/>
    </w:rPr>
  </w:style>
  <w:style w:type="character" w:customStyle="1" w:styleId="HeaderChar">
    <w:name w:val="Header Char"/>
    <w:aliases w:val="6_G Char"/>
    <w:link w:val="Header"/>
    <w:rsid w:val="00916FB3"/>
    <w:rPr>
      <w:b/>
      <w:sz w:val="18"/>
      <w:lang w:val="fr-CH" w:eastAsia="en-US"/>
    </w:rPr>
  </w:style>
  <w:style w:type="character" w:customStyle="1" w:styleId="EndnoteTextChar">
    <w:name w:val="Endnote Text Char"/>
    <w:aliases w:val="2_G Char"/>
    <w:link w:val="EndnoteText"/>
    <w:rsid w:val="00916FB3"/>
    <w:rPr>
      <w:sz w:val="18"/>
      <w:lang w:val="fr-CH" w:eastAsia="en-US"/>
    </w:rPr>
  </w:style>
  <w:style w:type="character" w:customStyle="1" w:styleId="FooterChar">
    <w:name w:val="Footer Char"/>
    <w:aliases w:val="3_G Char"/>
    <w:link w:val="Footer"/>
    <w:rsid w:val="00916FB3"/>
    <w:rPr>
      <w:sz w:val="16"/>
      <w:lang w:val="fr-CH" w:eastAsia="en-US"/>
    </w:rPr>
  </w:style>
  <w:style w:type="paragraph" w:customStyle="1" w:styleId="Style1">
    <w:name w:val="Style1"/>
    <w:basedOn w:val="Normal"/>
    <w:rsid w:val="00916FB3"/>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fr-FR"/>
    </w:rPr>
  </w:style>
  <w:style w:type="character" w:customStyle="1" w:styleId="H23GChar">
    <w:name w:val="_ H_2/3_G Char"/>
    <w:link w:val="H23G"/>
    <w:rsid w:val="00916FB3"/>
    <w:rPr>
      <w:b/>
      <w:lang w:val="fr-CH" w:eastAsia="en-US"/>
    </w:rPr>
  </w:style>
  <w:style w:type="character" w:customStyle="1" w:styleId="BalloonTextChar">
    <w:name w:val="Balloon Text Char"/>
    <w:link w:val="BalloonText"/>
    <w:rsid w:val="00916FB3"/>
    <w:rPr>
      <w:rFonts w:ascii="Tahoma" w:hAnsi="Tahoma" w:cs="Tahoma"/>
      <w:sz w:val="16"/>
      <w:szCs w:val="16"/>
      <w:lang w:val="fr-CH" w:eastAsia="en-US"/>
    </w:rPr>
  </w:style>
  <w:style w:type="character" w:styleId="CommentReference">
    <w:name w:val="annotation reference"/>
    <w:rsid w:val="00916FB3"/>
    <w:rPr>
      <w:sz w:val="16"/>
      <w:szCs w:val="16"/>
    </w:rPr>
  </w:style>
  <w:style w:type="paragraph" w:styleId="CommentText">
    <w:name w:val="annotation text"/>
    <w:basedOn w:val="Normal"/>
    <w:link w:val="CommentTextChar"/>
    <w:rsid w:val="00916FB3"/>
    <w:rPr>
      <w:lang w:val="x-none"/>
    </w:rPr>
  </w:style>
  <w:style w:type="character" w:customStyle="1" w:styleId="CommentTextChar">
    <w:name w:val="Comment Text Char"/>
    <w:link w:val="CommentText"/>
    <w:rsid w:val="00916FB3"/>
    <w:rPr>
      <w:lang w:val="x-none" w:eastAsia="en-US"/>
    </w:rPr>
  </w:style>
  <w:style w:type="paragraph" w:styleId="CommentSubject">
    <w:name w:val="annotation subject"/>
    <w:basedOn w:val="CommentText"/>
    <w:next w:val="CommentText"/>
    <w:link w:val="CommentSubjectChar"/>
    <w:rsid w:val="00916FB3"/>
    <w:rPr>
      <w:b/>
      <w:bCs/>
      <w:lang w:val="en-GB"/>
    </w:rPr>
  </w:style>
  <w:style w:type="character" w:customStyle="1" w:styleId="CommentSubjectChar">
    <w:name w:val="Comment Subject Char"/>
    <w:link w:val="CommentSubject"/>
    <w:rsid w:val="00916FB3"/>
    <w:rPr>
      <w:b/>
      <w:bCs/>
      <w:lang w:val="x-none" w:eastAsia="en-US"/>
    </w:rPr>
  </w:style>
  <w:style w:type="paragraph" w:customStyle="1" w:styleId="Rom1">
    <w:name w:val="Rom1"/>
    <w:basedOn w:val="SingleTxtG"/>
    <w:semiHidden/>
    <w:rsid w:val="00916FB3"/>
    <w:pPr>
      <w:numPr>
        <w:numId w:val="20"/>
      </w:numPr>
      <w:tabs>
        <w:tab w:val="clear" w:pos="1440"/>
      </w:tabs>
      <w:ind w:left="2268" w:hanging="397"/>
    </w:pPr>
  </w:style>
  <w:style w:type="paragraph" w:customStyle="1" w:styleId="HCh">
    <w:name w:val="_ H _Ch"/>
    <w:basedOn w:val="Normal"/>
    <w:next w:val="Normal"/>
    <w:rsid w:val="000C19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pPr>
    <w:rPr>
      <w:b/>
      <w:spacing w:val="-2"/>
      <w:w w:val="103"/>
      <w:kern w:val="14"/>
      <w:sz w:val="28"/>
      <w:lang w:val="en-GB" w:eastAsia="zh-CN"/>
    </w:rPr>
  </w:style>
  <w:style w:type="character" w:styleId="HTMLKeyboard">
    <w:name w:val="HTML Keyboard"/>
    <w:basedOn w:val="DefaultParagraphFont"/>
    <w:rsid w:val="00A336BF"/>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783"/>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link w:val="Heading2Char"/>
    <w:qFormat/>
    <w:rsid w:val="000964C7"/>
    <w:pPr>
      <w:outlineLvl w:val="1"/>
    </w:pPr>
  </w:style>
  <w:style w:type="paragraph" w:styleId="Heading3">
    <w:name w:val="heading 3"/>
    <w:basedOn w:val="Normal"/>
    <w:next w:val="Normal"/>
    <w:link w:val="Heading3Char"/>
    <w:qFormat/>
    <w:rsid w:val="000964C7"/>
    <w:pPr>
      <w:outlineLvl w:val="2"/>
    </w:pPr>
  </w:style>
  <w:style w:type="paragraph" w:styleId="Heading4">
    <w:name w:val="heading 4"/>
    <w:basedOn w:val="Normal"/>
    <w:next w:val="Normal"/>
    <w:link w:val="Heading4Char"/>
    <w:qFormat/>
    <w:rsid w:val="000964C7"/>
    <w:pPr>
      <w:outlineLvl w:val="3"/>
    </w:pPr>
  </w:style>
  <w:style w:type="paragraph" w:styleId="Heading5">
    <w:name w:val="heading 5"/>
    <w:basedOn w:val="Normal"/>
    <w:next w:val="Normal"/>
    <w:link w:val="Heading5Char"/>
    <w:qFormat/>
    <w:rsid w:val="000964C7"/>
    <w:pPr>
      <w:outlineLvl w:val="4"/>
    </w:pPr>
  </w:style>
  <w:style w:type="paragraph" w:styleId="Heading6">
    <w:name w:val="heading 6"/>
    <w:basedOn w:val="Normal"/>
    <w:next w:val="Normal"/>
    <w:link w:val="Heading6Char"/>
    <w:qFormat/>
    <w:rsid w:val="000964C7"/>
    <w:pPr>
      <w:outlineLvl w:val="5"/>
    </w:pPr>
  </w:style>
  <w:style w:type="paragraph" w:styleId="Heading7">
    <w:name w:val="heading 7"/>
    <w:basedOn w:val="Normal"/>
    <w:next w:val="Normal"/>
    <w:link w:val="Heading7Char"/>
    <w:qFormat/>
    <w:rsid w:val="000964C7"/>
    <w:pPr>
      <w:outlineLvl w:val="6"/>
    </w:pPr>
  </w:style>
  <w:style w:type="paragraph" w:styleId="Heading8">
    <w:name w:val="heading 8"/>
    <w:basedOn w:val="Normal"/>
    <w:next w:val="Normal"/>
    <w:link w:val="Heading8Char"/>
    <w:qFormat/>
    <w:rsid w:val="000964C7"/>
    <w:pPr>
      <w:outlineLvl w:val="7"/>
    </w:pPr>
  </w:style>
  <w:style w:type="paragraph" w:styleId="Heading9">
    <w:name w:val="heading 9"/>
    <w:basedOn w:val="Normal"/>
    <w:next w:val="Normal"/>
    <w:link w:val="Heading9Char"/>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basedOn w:val="FootnoteReference"/>
    <w:rsid w:val="000964C7"/>
    <w:rPr>
      <w:rFonts w:ascii="Times New Roman" w:hAnsi="Times New Roman"/>
      <w:sz w:val="18"/>
      <w:vertAlign w:val="superscript"/>
      <w:lang w:val="fr-CH"/>
    </w:rPr>
  </w:style>
  <w:style w:type="paragraph" w:styleId="Header">
    <w:name w:val="header"/>
    <w:aliases w:val="6_G"/>
    <w:basedOn w:val="Normal"/>
    <w:next w:val="Normal"/>
    <w:link w:val="HeaderChar"/>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link w:val="FooterChar"/>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0964C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01428E"/>
    <w:rPr>
      <w:b/>
      <w:sz w:val="24"/>
      <w:lang w:val="fr-CH" w:eastAsia="en-US" w:bidi="ar-SA"/>
    </w:rPr>
  </w:style>
  <w:style w:type="character" w:customStyle="1" w:styleId="SingleTxtGCar">
    <w:name w:val="_ Single Txt_G Car"/>
    <w:link w:val="SingleTxtG"/>
    <w:rsid w:val="00F54A9E"/>
    <w:rPr>
      <w:lang w:val="fr-CH" w:eastAsia="en-US" w:bidi="ar-SA"/>
    </w:rPr>
  </w:style>
  <w:style w:type="paragraph" w:styleId="BalloonText">
    <w:name w:val="Balloon Text"/>
    <w:basedOn w:val="Normal"/>
    <w:link w:val="BalloonTextChar"/>
    <w:rsid w:val="000C150C"/>
    <w:rPr>
      <w:rFonts w:ascii="Tahoma" w:hAnsi="Tahoma" w:cs="Tahoma"/>
      <w:sz w:val="16"/>
      <w:szCs w:val="16"/>
    </w:rPr>
  </w:style>
  <w:style w:type="character" w:customStyle="1" w:styleId="SingleTxtGChar">
    <w:name w:val="_ Single Txt_G Char"/>
    <w:qFormat/>
    <w:rsid w:val="009062B7"/>
    <w:rPr>
      <w:lang w:val="en-GB" w:eastAsia="en-US" w:bidi="ar-SA"/>
    </w:rPr>
  </w:style>
  <w:style w:type="character" w:customStyle="1" w:styleId="HChGChar">
    <w:name w:val="_ H _Ch_G Char"/>
    <w:link w:val="HChG"/>
    <w:rsid w:val="00F80723"/>
    <w:rPr>
      <w:b/>
      <w:sz w:val="28"/>
      <w:lang w:val="fr-CH" w:eastAsia="en-US" w:bidi="ar-SA"/>
    </w:rPr>
  </w:style>
  <w:style w:type="paragraph" w:customStyle="1" w:styleId="NormalTabelle">
    <w:name w:val="Normal Tabelle"/>
    <w:basedOn w:val="Normal"/>
    <w:rsid w:val="00364771"/>
    <w:pPr>
      <w:suppressAutoHyphens w:val="0"/>
      <w:spacing w:before="180" w:line="240" w:lineRule="auto"/>
    </w:pPr>
    <w:rPr>
      <w:rFonts w:ascii="Arial" w:hAnsi="Arial"/>
      <w:color w:val="000000"/>
      <w:sz w:val="18"/>
      <w:lang w:val="fr-FR" w:eastAsia="fr-FR"/>
    </w:rPr>
  </w:style>
  <w:style w:type="character" w:customStyle="1" w:styleId="FootnoteTextChar">
    <w:name w:val="Footnote Text Char"/>
    <w:aliases w:val="5_G Char"/>
    <w:link w:val="FootnoteText"/>
    <w:rsid w:val="004F44BD"/>
    <w:rPr>
      <w:sz w:val="18"/>
      <w:lang w:val="fr-CH" w:eastAsia="en-US"/>
    </w:rPr>
  </w:style>
  <w:style w:type="paragraph" w:customStyle="1" w:styleId="ParNoG">
    <w:name w:val="_ParNo_G"/>
    <w:basedOn w:val="SingleTxtG"/>
    <w:rsid w:val="00BC69B8"/>
    <w:pPr>
      <w:numPr>
        <w:numId w:val="12"/>
      </w:numPr>
      <w:tabs>
        <w:tab w:val="clear" w:pos="1701"/>
        <w:tab w:val="num" w:pos="360"/>
      </w:tabs>
    </w:pPr>
  </w:style>
  <w:style w:type="character" w:customStyle="1" w:styleId="Heading1Char">
    <w:name w:val="Heading 1 Char"/>
    <w:aliases w:val="Table_G Char"/>
    <w:link w:val="Heading1"/>
    <w:rsid w:val="00916FB3"/>
    <w:rPr>
      <w:lang w:val="fr-CH" w:eastAsia="en-US"/>
    </w:rPr>
  </w:style>
  <w:style w:type="character" w:customStyle="1" w:styleId="Heading2Char">
    <w:name w:val="Heading 2 Char"/>
    <w:link w:val="Heading2"/>
    <w:rsid w:val="00916FB3"/>
    <w:rPr>
      <w:lang w:val="fr-CH" w:eastAsia="en-US"/>
    </w:rPr>
  </w:style>
  <w:style w:type="character" w:customStyle="1" w:styleId="Heading3Char">
    <w:name w:val="Heading 3 Char"/>
    <w:link w:val="Heading3"/>
    <w:rsid w:val="00916FB3"/>
    <w:rPr>
      <w:lang w:val="fr-CH" w:eastAsia="en-US"/>
    </w:rPr>
  </w:style>
  <w:style w:type="character" w:customStyle="1" w:styleId="Heading4Char">
    <w:name w:val="Heading 4 Char"/>
    <w:link w:val="Heading4"/>
    <w:rsid w:val="00916FB3"/>
    <w:rPr>
      <w:lang w:val="fr-CH" w:eastAsia="en-US"/>
    </w:rPr>
  </w:style>
  <w:style w:type="character" w:customStyle="1" w:styleId="Heading5Char">
    <w:name w:val="Heading 5 Char"/>
    <w:link w:val="Heading5"/>
    <w:rsid w:val="00916FB3"/>
    <w:rPr>
      <w:lang w:val="fr-CH" w:eastAsia="en-US"/>
    </w:rPr>
  </w:style>
  <w:style w:type="character" w:customStyle="1" w:styleId="Heading6Char">
    <w:name w:val="Heading 6 Char"/>
    <w:link w:val="Heading6"/>
    <w:rsid w:val="00916FB3"/>
    <w:rPr>
      <w:lang w:val="fr-CH" w:eastAsia="en-US"/>
    </w:rPr>
  </w:style>
  <w:style w:type="character" w:customStyle="1" w:styleId="Heading7Char">
    <w:name w:val="Heading 7 Char"/>
    <w:link w:val="Heading7"/>
    <w:rsid w:val="00916FB3"/>
    <w:rPr>
      <w:lang w:val="fr-CH" w:eastAsia="en-US"/>
    </w:rPr>
  </w:style>
  <w:style w:type="character" w:customStyle="1" w:styleId="Heading8Char">
    <w:name w:val="Heading 8 Char"/>
    <w:link w:val="Heading8"/>
    <w:rsid w:val="00916FB3"/>
    <w:rPr>
      <w:lang w:val="fr-CH" w:eastAsia="en-US"/>
    </w:rPr>
  </w:style>
  <w:style w:type="character" w:customStyle="1" w:styleId="Heading9Char">
    <w:name w:val="Heading 9 Char"/>
    <w:link w:val="Heading9"/>
    <w:rsid w:val="00916FB3"/>
    <w:rPr>
      <w:lang w:val="fr-CH" w:eastAsia="en-US"/>
    </w:rPr>
  </w:style>
  <w:style w:type="character" w:customStyle="1" w:styleId="HeaderChar">
    <w:name w:val="Header Char"/>
    <w:aliases w:val="6_G Char"/>
    <w:link w:val="Header"/>
    <w:rsid w:val="00916FB3"/>
    <w:rPr>
      <w:b/>
      <w:sz w:val="18"/>
      <w:lang w:val="fr-CH" w:eastAsia="en-US"/>
    </w:rPr>
  </w:style>
  <w:style w:type="character" w:customStyle="1" w:styleId="EndnoteTextChar">
    <w:name w:val="Endnote Text Char"/>
    <w:aliases w:val="2_G Char"/>
    <w:link w:val="EndnoteText"/>
    <w:rsid w:val="00916FB3"/>
    <w:rPr>
      <w:sz w:val="18"/>
      <w:lang w:val="fr-CH" w:eastAsia="en-US"/>
    </w:rPr>
  </w:style>
  <w:style w:type="character" w:customStyle="1" w:styleId="FooterChar">
    <w:name w:val="Footer Char"/>
    <w:aliases w:val="3_G Char"/>
    <w:link w:val="Footer"/>
    <w:rsid w:val="00916FB3"/>
    <w:rPr>
      <w:sz w:val="16"/>
      <w:lang w:val="fr-CH" w:eastAsia="en-US"/>
    </w:rPr>
  </w:style>
  <w:style w:type="paragraph" w:customStyle="1" w:styleId="Style1">
    <w:name w:val="Style1"/>
    <w:basedOn w:val="Normal"/>
    <w:rsid w:val="00916FB3"/>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fr-FR"/>
    </w:rPr>
  </w:style>
  <w:style w:type="character" w:customStyle="1" w:styleId="H23GChar">
    <w:name w:val="_ H_2/3_G Char"/>
    <w:link w:val="H23G"/>
    <w:rsid w:val="00916FB3"/>
    <w:rPr>
      <w:b/>
      <w:lang w:val="fr-CH" w:eastAsia="en-US"/>
    </w:rPr>
  </w:style>
  <w:style w:type="character" w:customStyle="1" w:styleId="BalloonTextChar">
    <w:name w:val="Balloon Text Char"/>
    <w:link w:val="BalloonText"/>
    <w:rsid w:val="00916FB3"/>
    <w:rPr>
      <w:rFonts w:ascii="Tahoma" w:hAnsi="Tahoma" w:cs="Tahoma"/>
      <w:sz w:val="16"/>
      <w:szCs w:val="16"/>
      <w:lang w:val="fr-CH" w:eastAsia="en-US"/>
    </w:rPr>
  </w:style>
  <w:style w:type="character" w:styleId="CommentReference">
    <w:name w:val="annotation reference"/>
    <w:rsid w:val="00916FB3"/>
    <w:rPr>
      <w:sz w:val="16"/>
      <w:szCs w:val="16"/>
    </w:rPr>
  </w:style>
  <w:style w:type="paragraph" w:styleId="CommentText">
    <w:name w:val="annotation text"/>
    <w:basedOn w:val="Normal"/>
    <w:link w:val="CommentTextChar"/>
    <w:rsid w:val="00916FB3"/>
    <w:rPr>
      <w:lang w:val="x-none"/>
    </w:rPr>
  </w:style>
  <w:style w:type="character" w:customStyle="1" w:styleId="CommentTextChar">
    <w:name w:val="Comment Text Char"/>
    <w:link w:val="CommentText"/>
    <w:rsid w:val="00916FB3"/>
    <w:rPr>
      <w:lang w:val="x-none" w:eastAsia="en-US"/>
    </w:rPr>
  </w:style>
  <w:style w:type="paragraph" w:styleId="CommentSubject">
    <w:name w:val="annotation subject"/>
    <w:basedOn w:val="CommentText"/>
    <w:next w:val="CommentText"/>
    <w:link w:val="CommentSubjectChar"/>
    <w:rsid w:val="00916FB3"/>
    <w:rPr>
      <w:b/>
      <w:bCs/>
      <w:lang w:val="en-GB"/>
    </w:rPr>
  </w:style>
  <w:style w:type="character" w:customStyle="1" w:styleId="CommentSubjectChar">
    <w:name w:val="Comment Subject Char"/>
    <w:link w:val="CommentSubject"/>
    <w:rsid w:val="00916FB3"/>
    <w:rPr>
      <w:b/>
      <w:bCs/>
      <w:lang w:val="x-none" w:eastAsia="en-US"/>
    </w:rPr>
  </w:style>
  <w:style w:type="paragraph" w:customStyle="1" w:styleId="Rom1">
    <w:name w:val="Rom1"/>
    <w:basedOn w:val="SingleTxtG"/>
    <w:semiHidden/>
    <w:rsid w:val="00916FB3"/>
    <w:pPr>
      <w:numPr>
        <w:numId w:val="20"/>
      </w:numPr>
      <w:tabs>
        <w:tab w:val="clear" w:pos="1440"/>
      </w:tabs>
      <w:ind w:left="2268" w:hanging="397"/>
    </w:pPr>
  </w:style>
  <w:style w:type="paragraph" w:customStyle="1" w:styleId="HCh">
    <w:name w:val="_ H _Ch"/>
    <w:basedOn w:val="Normal"/>
    <w:next w:val="Normal"/>
    <w:rsid w:val="000C19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pPr>
    <w:rPr>
      <w:b/>
      <w:spacing w:val="-2"/>
      <w:w w:val="103"/>
      <w:kern w:val="14"/>
      <w:sz w:val="28"/>
      <w:lang w:val="en-GB" w:eastAsia="zh-CN"/>
    </w:rPr>
  </w:style>
  <w:style w:type="character" w:styleId="HTMLKeyboard">
    <w:name w:val="HTML Keyboard"/>
    <w:basedOn w:val="DefaultParagraphFont"/>
    <w:rsid w:val="00A336BF"/>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ece.org/info/open-unece/evaluation.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F3A77-FFDA-4707-B24D-BBF132A1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25</Pages>
  <Words>8702</Words>
  <Characters>49607</Characters>
  <Application>Microsoft Office Word</Application>
  <DocSecurity>0</DocSecurity>
  <Lines>413</Lines>
  <Paragraphs>116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ECE/TRANS/WP.15/AC.1/</vt:lpstr>
      <vt:lpstr>ECE/TRANS/WP.15/AC.1/</vt:lpstr>
    </vt:vector>
  </TitlesOfParts>
  <Company>CSD</Company>
  <LinksUpToDate>false</LinksUpToDate>
  <CharactersWithSpaces>58193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Berthet</dc:creator>
  <cp:lastModifiedBy>barrio-champeau</cp:lastModifiedBy>
  <cp:revision>42</cp:revision>
  <cp:lastPrinted>2016-10-06T10:19:00Z</cp:lastPrinted>
  <dcterms:created xsi:type="dcterms:W3CDTF">2016-10-03T08:20:00Z</dcterms:created>
  <dcterms:modified xsi:type="dcterms:W3CDTF">2016-10-17T13:29:00Z</dcterms:modified>
</cp:coreProperties>
</file>