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565000" w:rsidTr="00F01516">
        <w:trPr>
          <w:trHeight w:hRule="exact" w:val="851"/>
        </w:trPr>
        <w:tc>
          <w:tcPr>
            <w:tcW w:w="1277" w:type="dxa"/>
            <w:tcBorders>
              <w:bottom w:val="single" w:sz="4" w:space="0" w:color="auto"/>
            </w:tcBorders>
          </w:tcPr>
          <w:p w:rsidR="003D1DF3" w:rsidRPr="00565000" w:rsidRDefault="003D1DF3" w:rsidP="00F01516">
            <w:pPr>
              <w:rPr>
                <w:lang w:val="fr-FR"/>
              </w:rPr>
            </w:pPr>
          </w:p>
        </w:tc>
        <w:tc>
          <w:tcPr>
            <w:tcW w:w="2268" w:type="dxa"/>
            <w:tcBorders>
              <w:bottom w:val="single" w:sz="4" w:space="0" w:color="auto"/>
            </w:tcBorders>
            <w:vAlign w:val="bottom"/>
          </w:tcPr>
          <w:p w:rsidR="003D1DF3" w:rsidRPr="00565000" w:rsidRDefault="003D1DF3" w:rsidP="00F01516">
            <w:pPr>
              <w:spacing w:after="80" w:line="300" w:lineRule="exact"/>
              <w:rPr>
                <w:sz w:val="28"/>
                <w:lang w:val="fr-FR"/>
              </w:rPr>
            </w:pPr>
            <w:r w:rsidRPr="00565000">
              <w:rPr>
                <w:sz w:val="28"/>
                <w:lang w:val="fr-FR"/>
              </w:rPr>
              <w:t>Nations Unies</w:t>
            </w:r>
          </w:p>
        </w:tc>
        <w:tc>
          <w:tcPr>
            <w:tcW w:w="6094" w:type="dxa"/>
            <w:gridSpan w:val="2"/>
            <w:tcBorders>
              <w:bottom w:val="single" w:sz="4" w:space="0" w:color="auto"/>
            </w:tcBorders>
            <w:vAlign w:val="bottom"/>
          </w:tcPr>
          <w:p w:rsidR="003D1DF3" w:rsidRPr="00565000" w:rsidRDefault="00362E48" w:rsidP="00984EF3">
            <w:pPr>
              <w:jc w:val="right"/>
              <w:rPr>
                <w:lang w:val="fr-FR"/>
              </w:rPr>
            </w:pPr>
            <w:r w:rsidRPr="00565000">
              <w:rPr>
                <w:sz w:val="40"/>
                <w:lang w:val="fr-FR"/>
              </w:rPr>
              <w:t>ECE</w:t>
            </w:r>
            <w:r w:rsidRPr="00565000">
              <w:rPr>
                <w:lang w:val="fr-FR"/>
              </w:rPr>
              <w:t>/TRANS/WP.15/AC.1/</w:t>
            </w:r>
            <w:r w:rsidR="00812DB1" w:rsidRPr="00565000">
              <w:rPr>
                <w:lang w:val="fr-FR"/>
              </w:rPr>
              <w:t>14</w:t>
            </w:r>
            <w:r w:rsidR="00984EF3" w:rsidRPr="00565000">
              <w:rPr>
                <w:lang w:val="fr-FR"/>
              </w:rPr>
              <w:t>2</w:t>
            </w:r>
          </w:p>
        </w:tc>
      </w:tr>
      <w:tr w:rsidR="003D1DF3" w:rsidRPr="00565000" w:rsidTr="00F01516">
        <w:trPr>
          <w:trHeight w:hRule="exact" w:val="2835"/>
        </w:trPr>
        <w:tc>
          <w:tcPr>
            <w:tcW w:w="1276" w:type="dxa"/>
            <w:tcBorders>
              <w:top w:val="single" w:sz="4" w:space="0" w:color="auto"/>
              <w:bottom w:val="single" w:sz="12" w:space="0" w:color="auto"/>
            </w:tcBorders>
          </w:tcPr>
          <w:p w:rsidR="003D1DF3" w:rsidRPr="00565000" w:rsidRDefault="00DC71DC" w:rsidP="00F01516">
            <w:pPr>
              <w:spacing w:before="120"/>
              <w:jc w:val="center"/>
              <w:rPr>
                <w:lang w:val="fr-FR"/>
              </w:rPr>
            </w:pPr>
            <w:r>
              <w:rPr>
                <w:noProof/>
                <w:lang w:val="en-GB" w:eastAsia="en-GB"/>
              </w:rPr>
              <w:drawing>
                <wp:inline distT="0" distB="0" distL="0" distR="0">
                  <wp:extent cx="714375" cy="590550"/>
                  <wp:effectExtent l="1905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tcPr>
          <w:p w:rsidR="003D1DF3" w:rsidRPr="00565000" w:rsidRDefault="003D1DF3" w:rsidP="00F01516">
            <w:pPr>
              <w:spacing w:before="120" w:line="420" w:lineRule="exact"/>
              <w:rPr>
                <w:b/>
                <w:sz w:val="40"/>
                <w:szCs w:val="40"/>
                <w:lang w:val="fr-FR"/>
              </w:rPr>
            </w:pPr>
            <w:r w:rsidRPr="00565000">
              <w:rPr>
                <w:b/>
                <w:sz w:val="40"/>
                <w:szCs w:val="40"/>
                <w:lang w:val="fr-FR"/>
              </w:rPr>
              <w:t>Conseil économique et social</w:t>
            </w:r>
          </w:p>
        </w:tc>
        <w:tc>
          <w:tcPr>
            <w:tcW w:w="2835" w:type="dxa"/>
            <w:tcBorders>
              <w:top w:val="single" w:sz="4" w:space="0" w:color="auto"/>
              <w:bottom w:val="single" w:sz="12" w:space="0" w:color="auto"/>
            </w:tcBorders>
          </w:tcPr>
          <w:p w:rsidR="003D1DF3" w:rsidRPr="00565000" w:rsidRDefault="00362E48" w:rsidP="00362E48">
            <w:pPr>
              <w:spacing w:before="240" w:line="240" w:lineRule="exact"/>
              <w:rPr>
                <w:lang w:val="fr-FR"/>
              </w:rPr>
            </w:pPr>
            <w:proofErr w:type="spellStart"/>
            <w:r w:rsidRPr="00565000">
              <w:rPr>
                <w:lang w:val="fr-FR"/>
              </w:rPr>
              <w:t>Distr</w:t>
            </w:r>
            <w:proofErr w:type="spellEnd"/>
            <w:r w:rsidRPr="00565000">
              <w:rPr>
                <w:lang w:val="fr-FR"/>
              </w:rPr>
              <w:t>. générale</w:t>
            </w:r>
          </w:p>
          <w:p w:rsidR="00362E48" w:rsidRPr="00565000" w:rsidRDefault="00E74C5F" w:rsidP="00362E48">
            <w:pPr>
              <w:spacing w:line="240" w:lineRule="exact"/>
              <w:rPr>
                <w:lang w:val="fr-FR"/>
              </w:rPr>
            </w:pPr>
            <w:r>
              <w:rPr>
                <w:lang w:val="fr-FR"/>
              </w:rPr>
              <w:t>13 avril</w:t>
            </w:r>
            <w:r w:rsidR="00362E48" w:rsidRPr="00565000">
              <w:rPr>
                <w:lang w:val="fr-FR"/>
              </w:rPr>
              <w:t xml:space="preserve"> </w:t>
            </w:r>
            <w:r w:rsidR="00812DB1" w:rsidRPr="00565000">
              <w:rPr>
                <w:lang w:val="fr-FR"/>
              </w:rPr>
              <w:t>2016</w:t>
            </w:r>
          </w:p>
          <w:p w:rsidR="00362E48" w:rsidRPr="00565000" w:rsidRDefault="00201645" w:rsidP="00362E48">
            <w:pPr>
              <w:spacing w:line="240" w:lineRule="exact"/>
              <w:rPr>
                <w:lang w:val="fr-FR"/>
              </w:rPr>
            </w:pPr>
            <w:r w:rsidRPr="00565000">
              <w:rPr>
                <w:lang w:val="fr-FR"/>
              </w:rPr>
              <w:t>Français</w:t>
            </w:r>
          </w:p>
          <w:p w:rsidR="00362E48" w:rsidRPr="00565000" w:rsidRDefault="00362E48" w:rsidP="00362E48">
            <w:pPr>
              <w:spacing w:line="240" w:lineRule="exact"/>
              <w:rPr>
                <w:lang w:val="fr-FR"/>
              </w:rPr>
            </w:pPr>
            <w:r w:rsidRPr="00565000">
              <w:rPr>
                <w:lang w:val="fr-FR"/>
              </w:rPr>
              <w:t xml:space="preserve">Original: français </w:t>
            </w:r>
            <w:r w:rsidR="00201645" w:rsidRPr="00565000">
              <w:rPr>
                <w:lang w:val="fr-FR"/>
              </w:rPr>
              <w:t>et anglais</w:t>
            </w:r>
          </w:p>
        </w:tc>
      </w:tr>
    </w:tbl>
    <w:p w:rsidR="00FF1DBD" w:rsidRPr="00565000" w:rsidRDefault="000312C0" w:rsidP="000312C0">
      <w:pPr>
        <w:spacing w:before="120"/>
        <w:rPr>
          <w:b/>
          <w:sz w:val="28"/>
          <w:szCs w:val="28"/>
          <w:lang w:val="fr-FR"/>
        </w:rPr>
      </w:pPr>
      <w:r w:rsidRPr="00565000">
        <w:rPr>
          <w:b/>
          <w:sz w:val="28"/>
          <w:szCs w:val="28"/>
          <w:lang w:val="fr-FR"/>
        </w:rPr>
        <w:t>Commission économique pour l’Europe</w:t>
      </w:r>
    </w:p>
    <w:p w:rsidR="00B93E72" w:rsidRPr="00565000" w:rsidRDefault="00B93E72" w:rsidP="00B93E72">
      <w:pPr>
        <w:spacing w:before="120"/>
        <w:rPr>
          <w:sz w:val="28"/>
          <w:szCs w:val="28"/>
          <w:lang w:val="fr-FR"/>
        </w:rPr>
      </w:pPr>
      <w:r w:rsidRPr="00565000">
        <w:rPr>
          <w:sz w:val="28"/>
          <w:szCs w:val="28"/>
          <w:lang w:val="fr-FR"/>
        </w:rPr>
        <w:t>Comité des transports intérieurs</w:t>
      </w:r>
    </w:p>
    <w:p w:rsidR="00B93E72" w:rsidRPr="00565000" w:rsidRDefault="00B93E72" w:rsidP="00B93E72">
      <w:pPr>
        <w:spacing w:before="120"/>
        <w:rPr>
          <w:b/>
          <w:sz w:val="24"/>
          <w:szCs w:val="24"/>
          <w:lang w:val="fr-FR"/>
        </w:rPr>
      </w:pPr>
      <w:r w:rsidRPr="00565000">
        <w:rPr>
          <w:b/>
          <w:sz w:val="24"/>
          <w:szCs w:val="24"/>
          <w:lang w:val="fr-FR"/>
        </w:rPr>
        <w:t>Groupe de travail des transports</w:t>
      </w:r>
      <w:r w:rsidR="00FA6422" w:rsidRPr="00565000">
        <w:rPr>
          <w:b/>
          <w:sz w:val="24"/>
          <w:szCs w:val="24"/>
          <w:lang w:val="fr-FR"/>
        </w:rPr>
        <w:t xml:space="preserve"> </w:t>
      </w:r>
      <w:r w:rsidRPr="00565000">
        <w:rPr>
          <w:b/>
          <w:sz w:val="24"/>
          <w:szCs w:val="24"/>
          <w:lang w:val="fr-FR"/>
        </w:rPr>
        <w:t>de marchandises dangereuses</w:t>
      </w:r>
    </w:p>
    <w:p w:rsidR="00B93E72" w:rsidRPr="00565000" w:rsidRDefault="00B93E72" w:rsidP="00B93E72">
      <w:pPr>
        <w:spacing w:before="120"/>
        <w:rPr>
          <w:b/>
          <w:lang w:val="fr-FR"/>
        </w:rPr>
      </w:pPr>
      <w:r w:rsidRPr="00565000">
        <w:rPr>
          <w:b/>
          <w:lang w:val="fr-FR"/>
        </w:rPr>
        <w:t>Réunion commune de la Commission d’experts</w:t>
      </w:r>
      <w:r w:rsidR="006049FD" w:rsidRPr="00565000">
        <w:rPr>
          <w:b/>
          <w:lang w:val="fr-FR"/>
        </w:rPr>
        <w:br/>
      </w:r>
      <w:r w:rsidRPr="00565000">
        <w:rPr>
          <w:b/>
          <w:lang w:val="fr-FR"/>
        </w:rPr>
        <w:t>du RID</w:t>
      </w:r>
      <w:r w:rsidR="00926E87" w:rsidRPr="00565000">
        <w:rPr>
          <w:b/>
          <w:lang w:val="fr-FR"/>
        </w:rPr>
        <w:t xml:space="preserve"> </w:t>
      </w:r>
      <w:r w:rsidRPr="00565000">
        <w:rPr>
          <w:b/>
          <w:lang w:val="fr-FR"/>
        </w:rPr>
        <w:t>et</w:t>
      </w:r>
      <w:r w:rsidR="006049FD" w:rsidRPr="00565000">
        <w:rPr>
          <w:b/>
          <w:lang w:val="fr-FR"/>
        </w:rPr>
        <w:t xml:space="preserve"> </w:t>
      </w:r>
      <w:r w:rsidRPr="00565000">
        <w:rPr>
          <w:b/>
          <w:lang w:val="fr-FR"/>
        </w:rPr>
        <w:t>du Groupe de travail</w:t>
      </w:r>
      <w:r w:rsidR="003D76E4" w:rsidRPr="00565000">
        <w:rPr>
          <w:b/>
          <w:lang w:val="fr-FR"/>
        </w:rPr>
        <w:t xml:space="preserve"> </w:t>
      </w:r>
      <w:r w:rsidRPr="00565000">
        <w:rPr>
          <w:b/>
          <w:lang w:val="fr-FR"/>
        </w:rPr>
        <w:t>des transports</w:t>
      </w:r>
      <w:r w:rsidR="006049FD" w:rsidRPr="00565000">
        <w:rPr>
          <w:b/>
          <w:lang w:val="fr-FR"/>
        </w:rPr>
        <w:br/>
      </w:r>
      <w:r w:rsidRPr="00565000">
        <w:rPr>
          <w:b/>
          <w:lang w:val="fr-FR"/>
        </w:rPr>
        <w:t>de marchandises dangereuses</w:t>
      </w:r>
    </w:p>
    <w:p w:rsidR="00201645" w:rsidRPr="00565000" w:rsidRDefault="00201645" w:rsidP="00201645">
      <w:pPr>
        <w:pStyle w:val="HChG"/>
        <w:spacing w:after="120"/>
        <w:rPr>
          <w:b w:val="0"/>
        </w:rPr>
      </w:pPr>
      <w:r w:rsidRPr="00565000">
        <w:rPr>
          <w:bCs/>
        </w:rPr>
        <w:tab/>
      </w:r>
      <w:r w:rsidRPr="00565000">
        <w:rPr>
          <w:bCs/>
        </w:rPr>
        <w:tab/>
        <w:t>Rapport de la Réunion commune de la Commission d'experts du RID et du Groupe de travail des transports de marchandises dangereuses sur sa session de printemps 201</w:t>
      </w:r>
      <w:r w:rsidR="00812DB1" w:rsidRPr="00565000">
        <w:rPr>
          <w:bCs/>
        </w:rPr>
        <w:t>6</w:t>
      </w:r>
      <w:r w:rsidRPr="00565000">
        <w:rPr>
          <w:rStyle w:val="FootnoteReference"/>
          <w:bCs/>
        </w:rPr>
        <w:footnoteReference w:id="2"/>
      </w:r>
    </w:p>
    <w:p w:rsidR="00201645" w:rsidRPr="00565000" w:rsidRDefault="00201645" w:rsidP="00201645">
      <w:pPr>
        <w:pStyle w:val="H56G"/>
      </w:pPr>
      <w:r w:rsidRPr="00565000">
        <w:tab/>
      </w:r>
      <w:r w:rsidRPr="00565000">
        <w:tab/>
      </w:r>
      <w:proofErr w:type="gramStart"/>
      <w:r w:rsidRPr="00565000">
        <w:t>tenue</w:t>
      </w:r>
      <w:proofErr w:type="gramEnd"/>
      <w:r w:rsidRPr="00565000">
        <w:t xml:space="preserve"> à Berne du </w:t>
      </w:r>
      <w:r w:rsidR="00812DB1" w:rsidRPr="00565000">
        <w:t>14</w:t>
      </w:r>
      <w:r w:rsidRPr="00565000">
        <w:t xml:space="preserve"> au </w:t>
      </w:r>
      <w:r w:rsidR="00812DB1" w:rsidRPr="00565000">
        <w:t>18</w:t>
      </w:r>
      <w:r w:rsidRPr="00565000">
        <w:t xml:space="preserve"> mars 201</w:t>
      </w:r>
      <w:r w:rsidR="00812DB1" w:rsidRPr="00565000">
        <w:t>6</w:t>
      </w:r>
    </w:p>
    <w:p w:rsidR="00201645" w:rsidRPr="00565000" w:rsidRDefault="00201645" w:rsidP="00201645">
      <w:pPr>
        <w:spacing w:line="120" w:lineRule="atLeast"/>
        <w:outlineLvl w:val="0"/>
        <w:rPr>
          <w:sz w:val="28"/>
        </w:rPr>
      </w:pPr>
      <w:r w:rsidRPr="00565000">
        <w:rPr>
          <w:sz w:val="28"/>
        </w:rPr>
        <w:tab/>
      </w:r>
    </w:p>
    <w:p w:rsidR="00201645" w:rsidRPr="00565000" w:rsidRDefault="00201645" w:rsidP="00201645">
      <w:pPr>
        <w:spacing w:line="120" w:lineRule="atLeast"/>
        <w:outlineLvl w:val="0"/>
        <w:rPr>
          <w:sz w:val="28"/>
        </w:rPr>
      </w:pPr>
      <w:r w:rsidRPr="00565000">
        <w:rPr>
          <w:sz w:val="28"/>
        </w:rPr>
        <w:t>Table des matières</w:t>
      </w:r>
    </w:p>
    <w:p w:rsidR="00201645" w:rsidRPr="00565000" w:rsidRDefault="00201645" w:rsidP="00201645">
      <w:pPr>
        <w:tabs>
          <w:tab w:val="right" w:pos="8929"/>
          <w:tab w:val="right" w:pos="9638"/>
        </w:tabs>
        <w:spacing w:after="120"/>
        <w:ind w:left="284"/>
      </w:pPr>
      <w:r w:rsidRPr="00565000">
        <w:rPr>
          <w:i/>
          <w:sz w:val="18"/>
        </w:rPr>
        <w:tab/>
        <w:t>Paragraphes</w:t>
      </w:r>
      <w:r w:rsidRPr="00565000">
        <w:rPr>
          <w:i/>
          <w:sz w:val="18"/>
        </w:rPr>
        <w:tab/>
        <w:t>Page</w:t>
      </w:r>
    </w:p>
    <w:p w:rsidR="00201645" w:rsidRPr="00565000" w:rsidRDefault="00201645" w:rsidP="00201645">
      <w:pPr>
        <w:tabs>
          <w:tab w:val="right" w:pos="850"/>
          <w:tab w:val="left" w:pos="1134"/>
          <w:tab w:val="left" w:pos="1559"/>
          <w:tab w:val="left" w:pos="1984"/>
          <w:tab w:val="left" w:leader="dot" w:pos="7654"/>
          <w:tab w:val="right" w:pos="8929"/>
          <w:tab w:val="right" w:pos="9638"/>
        </w:tabs>
        <w:spacing w:after="120"/>
      </w:pPr>
      <w:r w:rsidRPr="00565000">
        <w:tab/>
        <w:t>I.</w:t>
      </w:r>
      <w:r w:rsidRPr="00565000">
        <w:tab/>
        <w:t>Participation</w:t>
      </w:r>
      <w:r w:rsidRPr="00565000">
        <w:tab/>
      </w:r>
      <w:r w:rsidRPr="00565000">
        <w:tab/>
      </w:r>
      <w:r w:rsidR="002A6B23" w:rsidRPr="00565000">
        <w:t>1-3</w:t>
      </w:r>
      <w:r w:rsidRPr="00565000">
        <w:tab/>
      </w:r>
      <w:r w:rsidR="00391663" w:rsidRPr="00565000">
        <w:t>4</w:t>
      </w:r>
    </w:p>
    <w:p w:rsidR="00201645" w:rsidRPr="00565000" w:rsidRDefault="00201645" w:rsidP="00201645">
      <w:pPr>
        <w:tabs>
          <w:tab w:val="right" w:pos="850"/>
          <w:tab w:val="left" w:pos="1134"/>
          <w:tab w:val="left" w:pos="1559"/>
          <w:tab w:val="left" w:pos="1984"/>
          <w:tab w:val="left" w:leader="dot" w:pos="7654"/>
          <w:tab w:val="right" w:pos="8929"/>
          <w:tab w:val="right" w:pos="9638"/>
        </w:tabs>
        <w:spacing w:after="120"/>
      </w:pPr>
      <w:r w:rsidRPr="00565000">
        <w:tab/>
        <w:t>II.</w:t>
      </w:r>
      <w:r w:rsidRPr="00565000">
        <w:tab/>
        <w:t>Adoption de l'ordre du jour (point 1 de l'ordre du jour)</w:t>
      </w:r>
      <w:r w:rsidRPr="00565000">
        <w:tab/>
      </w:r>
      <w:r w:rsidRPr="00565000">
        <w:tab/>
      </w:r>
      <w:r w:rsidR="002A6B23" w:rsidRPr="00565000">
        <w:t>4</w:t>
      </w:r>
      <w:r w:rsidRPr="00565000">
        <w:tab/>
      </w:r>
      <w:r w:rsidR="00391663" w:rsidRPr="00565000">
        <w:t>4</w:t>
      </w:r>
    </w:p>
    <w:p w:rsidR="00201645" w:rsidRPr="00565000" w:rsidRDefault="00201645" w:rsidP="00201645">
      <w:pPr>
        <w:tabs>
          <w:tab w:val="right" w:pos="850"/>
          <w:tab w:val="left" w:pos="1134"/>
          <w:tab w:val="left" w:pos="1570"/>
          <w:tab w:val="left" w:pos="1984"/>
          <w:tab w:val="left" w:leader="dot" w:pos="7654"/>
          <w:tab w:val="right" w:pos="8929"/>
          <w:tab w:val="right" w:pos="9638"/>
        </w:tabs>
        <w:spacing w:after="120"/>
        <w:ind w:left="1570" w:hanging="970"/>
      </w:pPr>
      <w:r w:rsidRPr="00565000">
        <w:t>III.</w:t>
      </w:r>
      <w:r w:rsidRPr="00565000">
        <w:tab/>
      </w:r>
      <w:r w:rsidRPr="00565000">
        <w:tab/>
        <w:t>Citernes (point 2 de l'ordre du jour)</w:t>
      </w:r>
      <w:r w:rsidRPr="00565000">
        <w:tab/>
      </w:r>
      <w:r w:rsidRPr="00565000">
        <w:tab/>
      </w:r>
      <w:r w:rsidR="002A6B23" w:rsidRPr="00565000">
        <w:t>5-</w:t>
      </w:r>
      <w:r w:rsidR="00E1143F">
        <w:t>7</w:t>
      </w:r>
      <w:r w:rsidRPr="00565000">
        <w:tab/>
      </w:r>
      <w:r w:rsidR="00391663" w:rsidRPr="00565000">
        <w:t>4</w:t>
      </w:r>
    </w:p>
    <w:p w:rsidR="00825DE8" w:rsidRPr="00565000" w:rsidRDefault="00825DE8" w:rsidP="00201645">
      <w:pPr>
        <w:tabs>
          <w:tab w:val="right" w:pos="850"/>
          <w:tab w:val="left" w:pos="1134"/>
          <w:tab w:val="left" w:pos="1570"/>
          <w:tab w:val="left" w:pos="1984"/>
          <w:tab w:val="left" w:leader="dot" w:pos="7654"/>
          <w:tab w:val="right" w:pos="8929"/>
          <w:tab w:val="right" w:pos="9638"/>
        </w:tabs>
        <w:spacing w:after="120"/>
        <w:ind w:left="1570" w:hanging="970"/>
      </w:pPr>
      <w:r w:rsidRPr="00565000">
        <w:tab/>
      </w:r>
      <w:r w:rsidRPr="00565000">
        <w:tab/>
        <w:t>Rapport du Groupe de travail sur les citernes</w:t>
      </w:r>
      <w:r w:rsidRPr="00565000">
        <w:tab/>
      </w:r>
      <w:r w:rsidR="002A6B23" w:rsidRPr="00565000">
        <w:tab/>
        <w:t>6-</w:t>
      </w:r>
      <w:r w:rsidR="00BF11F6" w:rsidRPr="00565000">
        <w:t>7</w:t>
      </w:r>
      <w:r w:rsidR="00391663" w:rsidRPr="00565000">
        <w:tab/>
      </w:r>
      <w:r w:rsidR="00BF11F6" w:rsidRPr="00565000">
        <w:t>5</w:t>
      </w:r>
    </w:p>
    <w:p w:rsidR="00201645" w:rsidRPr="00565000" w:rsidRDefault="00201645" w:rsidP="00201645">
      <w:pPr>
        <w:tabs>
          <w:tab w:val="right" w:pos="850"/>
          <w:tab w:val="left" w:pos="1134"/>
          <w:tab w:val="left" w:pos="1559"/>
          <w:tab w:val="left" w:pos="1984"/>
          <w:tab w:val="left" w:leader="dot" w:pos="7654"/>
          <w:tab w:val="right" w:pos="8929"/>
          <w:tab w:val="right" w:pos="9638"/>
        </w:tabs>
        <w:spacing w:after="120"/>
      </w:pPr>
      <w:r w:rsidRPr="00565000">
        <w:tab/>
        <w:t>IV.</w:t>
      </w:r>
      <w:r w:rsidRPr="00565000">
        <w:tab/>
        <w:t>Normes (point 3 de l’ordre du jour)</w:t>
      </w:r>
      <w:r w:rsidRPr="00565000">
        <w:tab/>
      </w:r>
      <w:r w:rsidRPr="00565000">
        <w:tab/>
      </w:r>
      <w:r w:rsidR="00BF11F6" w:rsidRPr="00565000">
        <w:t>8-11</w:t>
      </w:r>
      <w:r w:rsidRPr="00565000">
        <w:tab/>
      </w:r>
      <w:r w:rsidR="00391663" w:rsidRPr="00565000">
        <w:t>6</w:t>
      </w:r>
    </w:p>
    <w:p w:rsidR="00825DE8" w:rsidRPr="00565000" w:rsidRDefault="00BF11F6" w:rsidP="00201645">
      <w:pPr>
        <w:tabs>
          <w:tab w:val="right" w:pos="850"/>
          <w:tab w:val="left" w:pos="1134"/>
          <w:tab w:val="left" w:pos="1559"/>
          <w:tab w:val="left" w:pos="1984"/>
          <w:tab w:val="left" w:leader="dot" w:pos="7654"/>
          <w:tab w:val="right" w:pos="8929"/>
          <w:tab w:val="right" w:pos="9638"/>
        </w:tabs>
        <w:spacing w:after="120"/>
      </w:pPr>
      <w:r w:rsidRPr="00565000">
        <w:tab/>
      </w:r>
      <w:r w:rsidRPr="00565000">
        <w:tab/>
      </w:r>
      <w:r w:rsidR="00825DE8" w:rsidRPr="00565000">
        <w:t>Rapport du Groupe de travail sur les normes</w:t>
      </w:r>
      <w:r w:rsidR="00825DE8" w:rsidRPr="00565000">
        <w:tab/>
      </w:r>
      <w:r w:rsidR="002A6B23" w:rsidRPr="00565000">
        <w:tab/>
      </w:r>
      <w:r w:rsidRPr="00565000">
        <w:t>10-11</w:t>
      </w:r>
      <w:r w:rsidR="00391663" w:rsidRPr="00565000">
        <w:tab/>
      </w:r>
      <w:r w:rsidRPr="00565000">
        <w:t>6</w:t>
      </w:r>
    </w:p>
    <w:p w:rsidR="00201645" w:rsidRDefault="00201645" w:rsidP="00201645">
      <w:pPr>
        <w:tabs>
          <w:tab w:val="right" w:pos="850"/>
          <w:tab w:val="left" w:pos="1134"/>
          <w:tab w:val="left" w:pos="1559"/>
          <w:tab w:val="left" w:pos="1984"/>
          <w:tab w:val="left" w:leader="dot" w:pos="7654"/>
          <w:tab w:val="right" w:pos="8929"/>
          <w:tab w:val="right" w:pos="9638"/>
        </w:tabs>
        <w:spacing w:after="120"/>
        <w:ind w:left="567" w:hanging="567"/>
      </w:pPr>
      <w:r w:rsidRPr="00565000">
        <w:tab/>
        <w:t>V.</w:t>
      </w:r>
      <w:r w:rsidRPr="00565000">
        <w:tab/>
      </w:r>
      <w:r w:rsidRPr="00565000">
        <w:tab/>
        <w:t>Interprétation du RID/ADR/ADN (point 4 de l’ordre du jour)</w:t>
      </w:r>
      <w:r w:rsidRPr="00565000">
        <w:tab/>
      </w:r>
      <w:r w:rsidRPr="00565000">
        <w:tab/>
      </w:r>
      <w:r w:rsidR="00BF11F6" w:rsidRPr="00565000">
        <w:t>12</w:t>
      </w:r>
      <w:r w:rsidRPr="00565000">
        <w:tab/>
      </w:r>
      <w:r w:rsidR="00BF11F6" w:rsidRPr="00565000">
        <w:t>6</w:t>
      </w:r>
    </w:p>
    <w:p w:rsidR="005B3097" w:rsidRPr="005B3097" w:rsidRDefault="005B3097" w:rsidP="005B3097">
      <w:pPr>
        <w:tabs>
          <w:tab w:val="right" w:pos="850"/>
          <w:tab w:val="left" w:pos="1134"/>
          <w:tab w:val="left" w:pos="1559"/>
          <w:tab w:val="left" w:pos="1984"/>
          <w:tab w:val="left" w:leader="dot" w:pos="7654"/>
          <w:tab w:val="right" w:pos="8929"/>
          <w:tab w:val="right" w:pos="9638"/>
        </w:tabs>
        <w:spacing w:after="120"/>
        <w:ind w:left="567" w:hanging="567"/>
      </w:pPr>
      <w:r>
        <w:tab/>
      </w:r>
      <w:r>
        <w:tab/>
      </w:r>
      <w:r>
        <w:tab/>
      </w:r>
      <w:r w:rsidRPr="005B3097">
        <w:t>Contrôle du wagon/véhicule/bateau et du chargement par le transporteur</w:t>
      </w:r>
      <w:r>
        <w:tab/>
      </w:r>
      <w:r w:rsidRPr="005B3097">
        <w:tab/>
      </w:r>
      <w:r>
        <w:t>12</w:t>
      </w:r>
      <w:r w:rsidRPr="005B3097">
        <w:tab/>
      </w:r>
      <w:r>
        <w:t>6</w:t>
      </w:r>
    </w:p>
    <w:p w:rsidR="00201645" w:rsidRPr="00565000" w:rsidRDefault="00201645" w:rsidP="00201645">
      <w:pPr>
        <w:tabs>
          <w:tab w:val="right" w:pos="850"/>
          <w:tab w:val="left" w:pos="1134"/>
          <w:tab w:val="left" w:pos="1559"/>
          <w:tab w:val="left" w:pos="1984"/>
          <w:tab w:val="left" w:leader="dot" w:pos="7654"/>
          <w:tab w:val="right" w:pos="8929"/>
          <w:tab w:val="right" w:pos="9638"/>
        </w:tabs>
        <w:spacing w:after="120"/>
        <w:ind w:left="567" w:hanging="567"/>
      </w:pPr>
      <w:r w:rsidRPr="00565000">
        <w:tab/>
        <w:t>VI.</w:t>
      </w:r>
      <w:r w:rsidRPr="00565000">
        <w:tab/>
      </w:r>
      <w:r w:rsidRPr="00565000">
        <w:tab/>
        <w:t xml:space="preserve">Propositions d’amendements au RID/ADR/ADN (point 5 de l’ordre du jour) </w:t>
      </w:r>
      <w:r w:rsidRPr="00565000">
        <w:tab/>
      </w:r>
      <w:r w:rsidRPr="00565000">
        <w:tab/>
      </w:r>
      <w:r w:rsidR="00BF11F6" w:rsidRPr="00565000">
        <w:t>13-</w:t>
      </w:r>
      <w:r w:rsidR="005B3097">
        <w:t>51</w:t>
      </w:r>
      <w:r w:rsidRPr="00565000">
        <w:tab/>
      </w:r>
      <w:r w:rsidR="00BF11F6" w:rsidRPr="00565000">
        <w:t>7</w:t>
      </w:r>
    </w:p>
    <w:p w:rsidR="0020510F" w:rsidRPr="00565000" w:rsidRDefault="00201645" w:rsidP="00201645">
      <w:pPr>
        <w:tabs>
          <w:tab w:val="right" w:pos="850"/>
          <w:tab w:val="left" w:pos="1134"/>
          <w:tab w:val="left" w:pos="1559"/>
          <w:tab w:val="left" w:pos="1984"/>
          <w:tab w:val="left" w:leader="dot" w:pos="7654"/>
          <w:tab w:val="right" w:pos="8929"/>
          <w:tab w:val="right" w:pos="9638"/>
        </w:tabs>
        <w:spacing w:after="120"/>
        <w:ind w:left="567" w:hanging="567"/>
      </w:pPr>
      <w:r w:rsidRPr="00565000">
        <w:tab/>
      </w:r>
      <w:r w:rsidRPr="00565000">
        <w:tab/>
      </w:r>
      <w:r w:rsidRPr="00565000">
        <w:tab/>
        <w:t>A.</w:t>
      </w:r>
      <w:r w:rsidRPr="00565000">
        <w:tab/>
        <w:t>Questions en suspens</w:t>
      </w:r>
      <w:r w:rsidRPr="00565000">
        <w:tab/>
      </w:r>
      <w:r w:rsidR="002A6B23" w:rsidRPr="00565000">
        <w:tab/>
      </w:r>
      <w:r w:rsidR="00BF11F6" w:rsidRPr="00565000">
        <w:t>13-33</w:t>
      </w:r>
      <w:r w:rsidR="00391663" w:rsidRPr="00565000">
        <w:tab/>
      </w:r>
      <w:r w:rsidR="00BF11F6" w:rsidRPr="00565000">
        <w:t>7</w:t>
      </w:r>
    </w:p>
    <w:p w:rsidR="0020510F" w:rsidRPr="005B3097" w:rsidRDefault="0020510F" w:rsidP="0020510F">
      <w:pPr>
        <w:tabs>
          <w:tab w:val="right" w:pos="850"/>
          <w:tab w:val="left" w:pos="1134"/>
          <w:tab w:val="left" w:pos="1559"/>
          <w:tab w:val="left" w:pos="1984"/>
          <w:tab w:val="left" w:leader="dot" w:pos="7654"/>
          <w:tab w:val="right" w:pos="8929"/>
          <w:tab w:val="right" w:pos="9638"/>
        </w:tabs>
        <w:spacing w:after="120"/>
        <w:ind w:left="567" w:hanging="567"/>
      </w:pPr>
      <w:r w:rsidRPr="005B3097">
        <w:lastRenderedPageBreak/>
        <w:tab/>
      </w:r>
      <w:r w:rsidRPr="005B3097">
        <w:tab/>
      </w:r>
      <w:r w:rsidRPr="005B3097">
        <w:tab/>
      </w:r>
      <w:r w:rsidRPr="005B3097">
        <w:tab/>
        <w:t>1.</w:t>
      </w:r>
      <w:r w:rsidRPr="005B3097">
        <w:tab/>
      </w:r>
      <w:r w:rsidR="00BF11F6" w:rsidRPr="005B3097">
        <w:t xml:space="preserve">Mise à jour des références aux instruments de l’Union européenne </w:t>
      </w:r>
      <w:r w:rsidR="00BF11F6" w:rsidRPr="005B3097">
        <w:br/>
      </w:r>
      <w:r w:rsidR="00BF11F6" w:rsidRPr="005B3097">
        <w:tab/>
      </w:r>
      <w:r w:rsidR="00BF11F6" w:rsidRPr="005B3097">
        <w:tab/>
      </w:r>
      <w:r w:rsidR="00BF11F6" w:rsidRPr="005B3097">
        <w:tab/>
      </w:r>
      <w:r w:rsidR="00BF11F6" w:rsidRPr="005B3097">
        <w:tab/>
        <w:t xml:space="preserve">(matières toxiques, matières corrosives, matières dangereuses pour </w:t>
      </w:r>
      <w:r w:rsidR="00BF11F6" w:rsidRPr="005B3097">
        <w:br/>
      </w:r>
      <w:r w:rsidR="00BF11F6" w:rsidRPr="005B3097">
        <w:tab/>
      </w:r>
      <w:r w:rsidR="00BF11F6" w:rsidRPr="005B3097">
        <w:tab/>
      </w:r>
      <w:r w:rsidR="00BF11F6" w:rsidRPr="005B3097">
        <w:tab/>
      </w:r>
      <w:r w:rsidR="00BF11F6" w:rsidRPr="005B3097">
        <w:tab/>
        <w:t>l’environnement aquatique)</w:t>
      </w:r>
      <w:r w:rsidRPr="005B3097">
        <w:tab/>
      </w:r>
      <w:r w:rsidR="002A6B23" w:rsidRPr="005B3097">
        <w:tab/>
      </w:r>
      <w:r w:rsidR="00BF11F6" w:rsidRPr="005B3097">
        <w:t>13</w:t>
      </w:r>
      <w:r w:rsidR="00391663" w:rsidRPr="005B3097">
        <w:tab/>
      </w:r>
      <w:r w:rsidR="00BF11F6" w:rsidRPr="005B3097">
        <w:t>7</w:t>
      </w:r>
    </w:p>
    <w:p w:rsidR="0020510F" w:rsidRPr="005B3097" w:rsidRDefault="0020510F" w:rsidP="0020510F">
      <w:pPr>
        <w:tabs>
          <w:tab w:val="right" w:pos="850"/>
          <w:tab w:val="left" w:pos="1134"/>
          <w:tab w:val="left" w:pos="1559"/>
          <w:tab w:val="left" w:pos="1984"/>
          <w:tab w:val="left" w:leader="dot" w:pos="7654"/>
          <w:tab w:val="right" w:pos="8929"/>
          <w:tab w:val="right" w:pos="9638"/>
        </w:tabs>
        <w:spacing w:after="120"/>
        <w:ind w:left="567" w:hanging="567"/>
      </w:pPr>
      <w:r w:rsidRPr="005B3097">
        <w:tab/>
      </w:r>
      <w:r w:rsidRPr="005B3097">
        <w:tab/>
      </w:r>
      <w:r w:rsidRPr="005B3097">
        <w:tab/>
      </w:r>
      <w:r w:rsidR="00370696" w:rsidRPr="005B3097">
        <w:tab/>
      </w:r>
      <w:r w:rsidRPr="005B3097">
        <w:t>2.</w:t>
      </w:r>
      <w:r w:rsidRPr="005B3097">
        <w:tab/>
      </w:r>
      <w:r w:rsidR="00BF11F6" w:rsidRPr="005B3097">
        <w:t>Instr</w:t>
      </w:r>
      <w:r w:rsidR="00AE3D4C">
        <w:t>uctions d’emballage P200 et P20</w:t>
      </w:r>
      <w:r w:rsidR="00BF11F6" w:rsidRPr="005B3097">
        <w:t>6</w:t>
      </w:r>
      <w:r w:rsidR="00370696" w:rsidRPr="005B3097">
        <w:tab/>
      </w:r>
      <w:r w:rsidR="002A6B23" w:rsidRPr="005B3097">
        <w:tab/>
      </w:r>
      <w:r w:rsidR="00BF11F6" w:rsidRPr="005B3097">
        <w:t>14</w:t>
      </w:r>
      <w:r w:rsidR="00391663" w:rsidRPr="005B3097">
        <w:tab/>
      </w:r>
      <w:r w:rsidR="00BF11F6" w:rsidRPr="005B3097">
        <w:t>7</w:t>
      </w:r>
    </w:p>
    <w:p w:rsidR="0020510F" w:rsidRPr="005B3097" w:rsidRDefault="0020510F" w:rsidP="0020510F">
      <w:pPr>
        <w:tabs>
          <w:tab w:val="right" w:pos="850"/>
          <w:tab w:val="left" w:pos="1134"/>
          <w:tab w:val="left" w:pos="1559"/>
          <w:tab w:val="left" w:pos="1984"/>
          <w:tab w:val="left" w:leader="dot" w:pos="7654"/>
          <w:tab w:val="right" w:pos="8929"/>
          <w:tab w:val="right" w:pos="9638"/>
        </w:tabs>
        <w:spacing w:after="120"/>
        <w:ind w:left="567" w:hanging="567"/>
      </w:pPr>
      <w:r w:rsidRPr="005B3097">
        <w:tab/>
      </w:r>
      <w:r w:rsidR="00370696" w:rsidRPr="005B3097">
        <w:tab/>
      </w:r>
      <w:r w:rsidR="00370696" w:rsidRPr="005B3097">
        <w:tab/>
      </w:r>
      <w:r w:rsidR="00370696" w:rsidRPr="005B3097">
        <w:tab/>
      </w:r>
      <w:r w:rsidRPr="005B3097">
        <w:t>3.</w:t>
      </w:r>
      <w:r w:rsidRPr="005B3097">
        <w:tab/>
      </w:r>
      <w:r w:rsidR="00BF11F6" w:rsidRPr="005B3097">
        <w:t>Marquage et ventilation conformément au 5.5.3.3.3</w:t>
      </w:r>
      <w:r w:rsidR="00370696" w:rsidRPr="005B3097">
        <w:tab/>
      </w:r>
      <w:r w:rsidR="002A6B23" w:rsidRPr="005B3097">
        <w:tab/>
      </w:r>
      <w:r w:rsidR="00BF11F6" w:rsidRPr="005B3097">
        <w:t>1</w:t>
      </w:r>
      <w:r w:rsidR="002A6B23" w:rsidRPr="005B3097">
        <w:t>5</w:t>
      </w:r>
      <w:r w:rsidR="00391663" w:rsidRPr="005B3097">
        <w:tab/>
      </w:r>
      <w:r w:rsidR="00BF11F6" w:rsidRPr="005B3097">
        <w:t>7</w:t>
      </w:r>
    </w:p>
    <w:p w:rsidR="0020510F" w:rsidRPr="005B3097" w:rsidRDefault="0020510F" w:rsidP="0020510F">
      <w:pPr>
        <w:tabs>
          <w:tab w:val="right" w:pos="850"/>
          <w:tab w:val="left" w:pos="1134"/>
          <w:tab w:val="left" w:pos="1559"/>
          <w:tab w:val="left" w:pos="1984"/>
          <w:tab w:val="left" w:leader="dot" w:pos="7654"/>
          <w:tab w:val="right" w:pos="8929"/>
          <w:tab w:val="right" w:pos="9638"/>
        </w:tabs>
        <w:spacing w:after="120"/>
        <w:ind w:left="567" w:hanging="567"/>
      </w:pPr>
      <w:r w:rsidRPr="005B3097">
        <w:tab/>
      </w:r>
      <w:r w:rsidR="00370696" w:rsidRPr="005B3097">
        <w:tab/>
      </w:r>
      <w:r w:rsidR="00370696" w:rsidRPr="005B3097">
        <w:tab/>
      </w:r>
      <w:r w:rsidR="00370696" w:rsidRPr="005B3097">
        <w:tab/>
      </w:r>
      <w:r w:rsidRPr="005B3097">
        <w:t>4.</w:t>
      </w:r>
      <w:r w:rsidRPr="005B3097">
        <w:tab/>
      </w:r>
      <w:r w:rsidR="00BF11F6" w:rsidRPr="005B3097">
        <w:t xml:space="preserve">Textes adoptés pour 2017 – 1.1.3.2, 1.1.3.3 et dispositions spéciales </w:t>
      </w:r>
      <w:r w:rsidR="00BF11F6" w:rsidRPr="005B3097">
        <w:br/>
      </w:r>
      <w:r w:rsidR="00BF11F6" w:rsidRPr="005B3097">
        <w:tab/>
      </w:r>
      <w:r w:rsidR="00BF11F6" w:rsidRPr="005B3097">
        <w:tab/>
      </w:r>
      <w:r w:rsidR="00BF11F6" w:rsidRPr="005B3097">
        <w:tab/>
      </w:r>
      <w:r w:rsidR="00BF11F6" w:rsidRPr="005B3097">
        <w:tab/>
        <w:t>363 et 666</w:t>
      </w:r>
      <w:r w:rsidR="00370696" w:rsidRPr="005B3097">
        <w:tab/>
      </w:r>
      <w:r w:rsidR="002A6B23" w:rsidRPr="005B3097">
        <w:tab/>
      </w:r>
      <w:r w:rsidR="00BF11F6" w:rsidRPr="005B3097">
        <w:t>16-17</w:t>
      </w:r>
      <w:r w:rsidR="00391663" w:rsidRPr="005B3097">
        <w:tab/>
      </w:r>
      <w:r w:rsidR="00BF11F6" w:rsidRPr="005B3097">
        <w:t>7</w:t>
      </w:r>
    </w:p>
    <w:p w:rsidR="0020510F" w:rsidRPr="005B3097" w:rsidRDefault="00370696" w:rsidP="0020510F">
      <w:pPr>
        <w:tabs>
          <w:tab w:val="right" w:pos="850"/>
          <w:tab w:val="left" w:pos="1134"/>
          <w:tab w:val="left" w:pos="1559"/>
          <w:tab w:val="left" w:pos="1984"/>
          <w:tab w:val="left" w:leader="dot" w:pos="7654"/>
          <w:tab w:val="right" w:pos="8929"/>
          <w:tab w:val="right" w:pos="9638"/>
        </w:tabs>
        <w:spacing w:after="120"/>
        <w:ind w:left="567" w:hanging="567"/>
      </w:pPr>
      <w:r w:rsidRPr="005B3097">
        <w:tab/>
      </w:r>
      <w:r w:rsidRPr="005B3097">
        <w:tab/>
      </w:r>
      <w:r w:rsidRPr="005B3097">
        <w:tab/>
      </w:r>
      <w:r w:rsidR="0020510F" w:rsidRPr="005B3097">
        <w:tab/>
        <w:t>5.</w:t>
      </w:r>
      <w:r w:rsidR="0020510F" w:rsidRPr="005B3097">
        <w:tab/>
      </w:r>
      <w:r w:rsidR="00BF11F6" w:rsidRPr="005B3097">
        <w:t xml:space="preserve">Catégories de transport et codes tunnels pour les rubriques </w:t>
      </w:r>
      <w:r w:rsidR="00BF11F6" w:rsidRPr="005B3097">
        <w:br/>
      </w:r>
      <w:r w:rsidR="00BF11F6" w:rsidRPr="005B3097">
        <w:tab/>
      </w:r>
      <w:r w:rsidR="00BF11F6" w:rsidRPr="005B3097">
        <w:tab/>
      </w:r>
      <w:r w:rsidR="00BF11F6" w:rsidRPr="005B3097">
        <w:tab/>
      </w:r>
      <w:r w:rsidR="00BF11F6" w:rsidRPr="005B3097">
        <w:tab/>
        <w:t>des numéros ONU 3166, 3171, 3528 à 3530</w:t>
      </w:r>
      <w:r w:rsidRPr="005B3097">
        <w:tab/>
      </w:r>
      <w:r w:rsidR="002A6B23" w:rsidRPr="005B3097">
        <w:tab/>
      </w:r>
      <w:r w:rsidR="00BF11F6" w:rsidRPr="005B3097">
        <w:t>18-20</w:t>
      </w:r>
      <w:r w:rsidR="00391663" w:rsidRPr="005B3097">
        <w:tab/>
      </w:r>
      <w:r w:rsidR="00BF11F6" w:rsidRPr="005B3097">
        <w:t>8</w:t>
      </w:r>
    </w:p>
    <w:p w:rsidR="0020510F" w:rsidRPr="005B3097" w:rsidRDefault="0020510F" w:rsidP="0020510F">
      <w:pPr>
        <w:tabs>
          <w:tab w:val="right" w:pos="850"/>
          <w:tab w:val="left" w:pos="1134"/>
          <w:tab w:val="left" w:pos="1559"/>
          <w:tab w:val="left" w:pos="1984"/>
          <w:tab w:val="left" w:leader="dot" w:pos="7654"/>
          <w:tab w:val="right" w:pos="8929"/>
          <w:tab w:val="right" w:pos="9638"/>
        </w:tabs>
        <w:spacing w:after="120"/>
        <w:ind w:left="567" w:hanging="567"/>
      </w:pPr>
      <w:r w:rsidRPr="005B3097">
        <w:tab/>
      </w:r>
      <w:r w:rsidR="00370696" w:rsidRPr="005B3097">
        <w:tab/>
      </w:r>
      <w:r w:rsidR="00370696" w:rsidRPr="005B3097">
        <w:tab/>
      </w:r>
      <w:r w:rsidR="00370696" w:rsidRPr="005B3097">
        <w:tab/>
      </w:r>
      <w:r w:rsidRPr="005B3097">
        <w:t>6.</w:t>
      </w:r>
      <w:r w:rsidRPr="005B3097">
        <w:tab/>
      </w:r>
      <w:r w:rsidR="00BF11F6" w:rsidRPr="005B3097">
        <w:t>Disposition spéciale 636</w:t>
      </w:r>
      <w:r w:rsidR="00370696" w:rsidRPr="005B3097">
        <w:tab/>
      </w:r>
      <w:r w:rsidR="002A6B23" w:rsidRPr="005B3097">
        <w:tab/>
      </w:r>
      <w:r w:rsidR="00BF11F6" w:rsidRPr="005B3097">
        <w:t>21-22</w:t>
      </w:r>
      <w:r w:rsidR="00391663" w:rsidRPr="005B3097">
        <w:tab/>
      </w:r>
      <w:r w:rsidR="00BF11F6" w:rsidRPr="005B3097">
        <w:t>8</w:t>
      </w:r>
    </w:p>
    <w:p w:rsidR="0020510F" w:rsidRPr="005B3097" w:rsidRDefault="0020510F" w:rsidP="0020510F">
      <w:pPr>
        <w:tabs>
          <w:tab w:val="right" w:pos="850"/>
          <w:tab w:val="left" w:pos="1134"/>
          <w:tab w:val="left" w:pos="1559"/>
          <w:tab w:val="left" w:pos="1984"/>
          <w:tab w:val="left" w:leader="dot" w:pos="7654"/>
          <w:tab w:val="right" w:pos="8929"/>
          <w:tab w:val="right" w:pos="9638"/>
        </w:tabs>
        <w:spacing w:after="120"/>
        <w:ind w:left="567" w:hanging="567"/>
      </w:pPr>
      <w:r w:rsidRPr="005B3097">
        <w:tab/>
      </w:r>
      <w:r w:rsidR="00370696" w:rsidRPr="005B3097">
        <w:tab/>
      </w:r>
      <w:r w:rsidR="00370696" w:rsidRPr="005B3097">
        <w:tab/>
      </w:r>
      <w:r w:rsidR="00370696" w:rsidRPr="005B3097">
        <w:tab/>
      </w:r>
      <w:r w:rsidRPr="005B3097">
        <w:t>7.</w:t>
      </w:r>
      <w:r w:rsidRPr="005B3097">
        <w:tab/>
      </w:r>
      <w:r w:rsidR="00BF11F6" w:rsidRPr="005B3097">
        <w:t>Utilisation de GRV comme emballage de secours</w:t>
      </w:r>
      <w:r w:rsidR="00370696" w:rsidRPr="005B3097">
        <w:tab/>
      </w:r>
      <w:r w:rsidR="002A6B23" w:rsidRPr="005B3097">
        <w:tab/>
      </w:r>
      <w:r w:rsidR="00BF11F6" w:rsidRPr="005B3097">
        <w:t>23-24</w:t>
      </w:r>
      <w:r w:rsidR="00391663" w:rsidRPr="005B3097">
        <w:tab/>
      </w:r>
      <w:r w:rsidR="00BF11F6" w:rsidRPr="005B3097">
        <w:t>8</w:t>
      </w:r>
    </w:p>
    <w:p w:rsidR="00BF11F6" w:rsidRPr="005B3097" w:rsidRDefault="00BF11F6" w:rsidP="0020510F">
      <w:pPr>
        <w:tabs>
          <w:tab w:val="right" w:pos="850"/>
          <w:tab w:val="left" w:pos="1134"/>
          <w:tab w:val="left" w:pos="1559"/>
          <w:tab w:val="left" w:pos="1984"/>
          <w:tab w:val="left" w:leader="dot" w:pos="7654"/>
          <w:tab w:val="right" w:pos="8929"/>
          <w:tab w:val="right" w:pos="9638"/>
        </w:tabs>
        <w:spacing w:after="120"/>
        <w:ind w:left="567" w:hanging="567"/>
      </w:pPr>
      <w:r w:rsidRPr="005B3097">
        <w:tab/>
      </w:r>
      <w:r w:rsidRPr="005B3097">
        <w:tab/>
      </w:r>
      <w:r w:rsidRPr="005B3097">
        <w:tab/>
      </w:r>
      <w:r w:rsidRPr="005B3097">
        <w:tab/>
        <w:t>8.</w:t>
      </w:r>
      <w:r w:rsidRPr="005B3097">
        <w:tab/>
        <w:t>Conclusions de la 5</w:t>
      </w:r>
      <w:r w:rsidRPr="005B3097">
        <w:rPr>
          <w:vertAlign w:val="superscript"/>
        </w:rPr>
        <w:t>ème</w:t>
      </w:r>
      <w:r w:rsidRPr="005B3097">
        <w:t xml:space="preserve"> session du Groupe de travail permanent </w:t>
      </w:r>
      <w:r w:rsidRPr="005B3097">
        <w:br/>
      </w:r>
      <w:r w:rsidRPr="005B3097">
        <w:tab/>
      </w:r>
      <w:r w:rsidRPr="005B3097">
        <w:tab/>
      </w:r>
      <w:r w:rsidRPr="005B3097">
        <w:tab/>
      </w:r>
      <w:r w:rsidRPr="005B3097">
        <w:tab/>
        <w:t>de la Commission d’experts du RID</w:t>
      </w:r>
      <w:r w:rsidRPr="005B3097">
        <w:tab/>
      </w:r>
      <w:r w:rsidRPr="005B3097">
        <w:tab/>
        <w:t>25</w:t>
      </w:r>
      <w:r w:rsidRPr="005B3097">
        <w:tab/>
        <w:t>9</w:t>
      </w:r>
    </w:p>
    <w:p w:rsidR="00BF11F6" w:rsidRPr="005B3097" w:rsidRDefault="00BF11F6" w:rsidP="0020510F">
      <w:pPr>
        <w:tabs>
          <w:tab w:val="right" w:pos="850"/>
          <w:tab w:val="left" w:pos="1134"/>
          <w:tab w:val="left" w:pos="1559"/>
          <w:tab w:val="left" w:pos="1984"/>
          <w:tab w:val="left" w:leader="dot" w:pos="7654"/>
          <w:tab w:val="right" w:pos="8929"/>
          <w:tab w:val="right" w:pos="9638"/>
        </w:tabs>
        <w:spacing w:after="120"/>
        <w:ind w:left="567" w:hanging="567"/>
      </w:pPr>
      <w:r w:rsidRPr="005B3097">
        <w:tab/>
      </w:r>
      <w:r w:rsidRPr="005B3097">
        <w:tab/>
      </w:r>
      <w:r w:rsidRPr="005B3097">
        <w:tab/>
      </w:r>
      <w:r w:rsidRPr="005B3097">
        <w:tab/>
        <w:t>9.</w:t>
      </w:r>
      <w:r w:rsidRPr="005B3097">
        <w:tab/>
        <w:t xml:space="preserve">Référence à l’autorité compétente dans </w:t>
      </w:r>
      <w:r w:rsidRPr="005B3097">
        <w:br/>
      </w:r>
      <w:r w:rsidRPr="005B3097">
        <w:tab/>
      </w:r>
      <w:r w:rsidRPr="005B3097">
        <w:tab/>
      </w:r>
      <w:r w:rsidRPr="005B3097">
        <w:tab/>
      </w:r>
      <w:r w:rsidRPr="005B3097">
        <w:tab/>
        <w:t>l’instruction d’emballage P910</w:t>
      </w:r>
      <w:r w:rsidRPr="005B3097">
        <w:tab/>
      </w:r>
      <w:r w:rsidRPr="005B3097">
        <w:tab/>
        <w:t>26</w:t>
      </w:r>
      <w:r w:rsidRPr="005B3097">
        <w:tab/>
        <w:t>9</w:t>
      </w:r>
    </w:p>
    <w:p w:rsidR="00BF11F6" w:rsidRPr="005B3097" w:rsidRDefault="00BF11F6" w:rsidP="0020510F">
      <w:pPr>
        <w:tabs>
          <w:tab w:val="right" w:pos="850"/>
          <w:tab w:val="left" w:pos="1134"/>
          <w:tab w:val="left" w:pos="1559"/>
          <w:tab w:val="left" w:pos="1984"/>
          <w:tab w:val="left" w:leader="dot" w:pos="7654"/>
          <w:tab w:val="right" w:pos="8929"/>
          <w:tab w:val="right" w:pos="9638"/>
        </w:tabs>
        <w:spacing w:after="120"/>
        <w:ind w:left="567" w:hanging="567"/>
      </w:pPr>
      <w:r w:rsidRPr="005B3097">
        <w:tab/>
      </w:r>
      <w:r w:rsidRPr="005B3097">
        <w:tab/>
      </w:r>
      <w:r w:rsidRPr="005B3097">
        <w:tab/>
      </w:r>
      <w:r w:rsidRPr="005B3097">
        <w:tab/>
        <w:t>10.</w:t>
      </w:r>
      <w:r w:rsidRPr="005B3097">
        <w:tab/>
        <w:t>Matières qui polymérisent</w:t>
      </w:r>
      <w:r w:rsidRPr="005B3097">
        <w:tab/>
      </w:r>
      <w:r w:rsidRPr="005B3097">
        <w:tab/>
        <w:t>27</w:t>
      </w:r>
      <w:r w:rsidRPr="005B3097">
        <w:tab/>
        <w:t>9</w:t>
      </w:r>
    </w:p>
    <w:p w:rsidR="00BF11F6" w:rsidRPr="005B3097" w:rsidRDefault="00BF11F6" w:rsidP="0020510F">
      <w:pPr>
        <w:tabs>
          <w:tab w:val="right" w:pos="850"/>
          <w:tab w:val="left" w:pos="1134"/>
          <w:tab w:val="left" w:pos="1559"/>
          <w:tab w:val="left" w:pos="1984"/>
          <w:tab w:val="left" w:leader="dot" w:pos="7654"/>
          <w:tab w:val="right" w:pos="8929"/>
          <w:tab w:val="right" w:pos="9638"/>
        </w:tabs>
        <w:spacing w:after="120"/>
        <w:ind w:left="567" w:hanging="567"/>
      </w:pPr>
      <w:r w:rsidRPr="005B3097">
        <w:tab/>
      </w:r>
      <w:r w:rsidRPr="005B3097">
        <w:tab/>
      </w:r>
      <w:r w:rsidRPr="005B3097">
        <w:tab/>
      </w:r>
      <w:r w:rsidRPr="005B3097">
        <w:tab/>
        <w:t>11.</w:t>
      </w:r>
      <w:r w:rsidRPr="005B3097">
        <w:tab/>
        <w:t>Dimensions réduites des étiquettes</w:t>
      </w:r>
      <w:r w:rsidRPr="005B3097">
        <w:tab/>
      </w:r>
      <w:r w:rsidRPr="005B3097">
        <w:tab/>
        <w:t>28-29</w:t>
      </w:r>
      <w:r w:rsidRPr="005B3097">
        <w:tab/>
        <w:t>9</w:t>
      </w:r>
    </w:p>
    <w:p w:rsidR="00BF11F6" w:rsidRPr="005B3097" w:rsidRDefault="00BF11F6" w:rsidP="0020510F">
      <w:pPr>
        <w:tabs>
          <w:tab w:val="right" w:pos="850"/>
          <w:tab w:val="left" w:pos="1134"/>
          <w:tab w:val="left" w:pos="1559"/>
          <w:tab w:val="left" w:pos="1984"/>
          <w:tab w:val="left" w:leader="dot" w:pos="7654"/>
          <w:tab w:val="right" w:pos="8929"/>
          <w:tab w:val="right" w:pos="9638"/>
        </w:tabs>
        <w:spacing w:after="120"/>
        <w:ind w:left="567" w:hanging="567"/>
      </w:pPr>
      <w:r w:rsidRPr="005B3097">
        <w:tab/>
      </w:r>
      <w:r w:rsidRPr="005B3097">
        <w:tab/>
      </w:r>
      <w:r w:rsidRPr="005B3097">
        <w:tab/>
      </w:r>
      <w:r w:rsidRPr="005B3097">
        <w:tab/>
        <w:t>12.</w:t>
      </w:r>
      <w:r w:rsidRPr="005B3097">
        <w:tab/>
        <w:t>Références au Code de bonnes pratiques «CTU»</w:t>
      </w:r>
      <w:r w:rsidRPr="005B3097">
        <w:tab/>
      </w:r>
      <w:r w:rsidRPr="005B3097">
        <w:tab/>
        <w:t>30</w:t>
      </w:r>
      <w:r w:rsidRPr="005B3097">
        <w:tab/>
        <w:t>9</w:t>
      </w:r>
    </w:p>
    <w:p w:rsidR="00BF11F6" w:rsidRPr="005B3097" w:rsidRDefault="00BF11F6" w:rsidP="0020510F">
      <w:pPr>
        <w:tabs>
          <w:tab w:val="right" w:pos="850"/>
          <w:tab w:val="left" w:pos="1134"/>
          <w:tab w:val="left" w:pos="1559"/>
          <w:tab w:val="left" w:pos="1984"/>
          <w:tab w:val="left" w:leader="dot" w:pos="7654"/>
          <w:tab w:val="right" w:pos="8929"/>
          <w:tab w:val="right" w:pos="9638"/>
        </w:tabs>
        <w:spacing w:after="120"/>
        <w:ind w:left="567" w:hanging="567"/>
      </w:pPr>
      <w:r w:rsidRPr="005B3097">
        <w:tab/>
      </w:r>
      <w:r w:rsidRPr="005B3097">
        <w:tab/>
      </w:r>
      <w:r w:rsidRPr="005B3097">
        <w:tab/>
      </w:r>
      <w:r w:rsidRPr="005B3097">
        <w:tab/>
        <w:t>13.</w:t>
      </w:r>
      <w:r w:rsidRPr="005B3097">
        <w:tab/>
        <w:t>Alignement de diverses versions linguistiques</w:t>
      </w:r>
      <w:r w:rsidRPr="005B3097">
        <w:tab/>
      </w:r>
      <w:r w:rsidRPr="005B3097">
        <w:tab/>
        <w:t>31</w:t>
      </w:r>
      <w:r w:rsidRPr="005B3097">
        <w:tab/>
        <w:t>9</w:t>
      </w:r>
    </w:p>
    <w:p w:rsidR="00BF11F6" w:rsidRPr="005B3097" w:rsidRDefault="00BF11F6" w:rsidP="0020510F">
      <w:pPr>
        <w:tabs>
          <w:tab w:val="right" w:pos="850"/>
          <w:tab w:val="left" w:pos="1134"/>
          <w:tab w:val="left" w:pos="1559"/>
          <w:tab w:val="left" w:pos="1984"/>
          <w:tab w:val="left" w:leader="dot" w:pos="7654"/>
          <w:tab w:val="right" w:pos="8929"/>
          <w:tab w:val="right" w:pos="9638"/>
        </w:tabs>
        <w:spacing w:after="120"/>
        <w:ind w:left="567" w:hanging="567"/>
      </w:pPr>
      <w:r w:rsidRPr="005B3097">
        <w:tab/>
      </w:r>
      <w:r w:rsidRPr="005B3097">
        <w:tab/>
      </w:r>
      <w:r w:rsidRPr="005B3097">
        <w:tab/>
      </w:r>
      <w:r w:rsidRPr="005B3097">
        <w:tab/>
        <w:t>14.</w:t>
      </w:r>
      <w:r w:rsidRPr="005B3097">
        <w:tab/>
        <w:t>Explications relatives à la colonne (15) du tableau A du chapitre 3.2</w:t>
      </w:r>
      <w:r w:rsidRPr="005B3097">
        <w:tab/>
        <w:t>32</w:t>
      </w:r>
      <w:r w:rsidRPr="005B3097">
        <w:tab/>
      </w:r>
      <w:r w:rsidR="005B3097">
        <w:t>32</w:t>
      </w:r>
      <w:r w:rsidR="005B3097">
        <w:tab/>
      </w:r>
      <w:r w:rsidR="000520D6">
        <w:t>10</w:t>
      </w:r>
    </w:p>
    <w:p w:rsidR="00BF11F6" w:rsidRPr="005B3097" w:rsidRDefault="008F1B68" w:rsidP="0020510F">
      <w:pPr>
        <w:tabs>
          <w:tab w:val="right" w:pos="850"/>
          <w:tab w:val="left" w:pos="1134"/>
          <w:tab w:val="left" w:pos="1559"/>
          <w:tab w:val="left" w:pos="1984"/>
          <w:tab w:val="left" w:leader="dot" w:pos="7654"/>
          <w:tab w:val="right" w:pos="8929"/>
          <w:tab w:val="right" w:pos="9638"/>
        </w:tabs>
        <w:spacing w:after="120"/>
        <w:ind w:left="567" w:hanging="567"/>
      </w:pPr>
      <w:r w:rsidRPr="005B3097">
        <w:tab/>
      </w:r>
      <w:r w:rsidRPr="005B3097">
        <w:tab/>
      </w:r>
      <w:r w:rsidRPr="005B3097">
        <w:tab/>
      </w:r>
      <w:r w:rsidRPr="005B3097">
        <w:tab/>
        <w:t>15.</w:t>
      </w:r>
      <w:r w:rsidRPr="005B3097">
        <w:tab/>
        <w:t xml:space="preserve">Quarante-huitième session du Sous-Comité d’experts du transport </w:t>
      </w:r>
      <w:r w:rsidRPr="005B3097">
        <w:br/>
      </w:r>
      <w:r w:rsidRPr="005B3097">
        <w:tab/>
      </w:r>
      <w:r w:rsidRPr="005B3097">
        <w:tab/>
      </w:r>
      <w:r w:rsidRPr="005B3097">
        <w:tab/>
      </w:r>
      <w:r w:rsidRPr="005B3097">
        <w:tab/>
        <w:t>des marchandises dangereuses de l’ONU</w:t>
      </w:r>
      <w:r w:rsidRPr="005B3097">
        <w:tab/>
      </w:r>
      <w:r w:rsidRPr="005B3097">
        <w:tab/>
        <w:t>33</w:t>
      </w:r>
      <w:r w:rsidRPr="005B3097">
        <w:tab/>
        <w:t>10</w:t>
      </w:r>
    </w:p>
    <w:p w:rsidR="00201645" w:rsidRPr="005B3097" w:rsidRDefault="00201645" w:rsidP="00201645">
      <w:pPr>
        <w:tabs>
          <w:tab w:val="right" w:pos="850"/>
          <w:tab w:val="left" w:pos="1134"/>
          <w:tab w:val="left" w:pos="1559"/>
          <w:tab w:val="left" w:pos="1984"/>
          <w:tab w:val="left" w:leader="dot" w:pos="7654"/>
          <w:tab w:val="right" w:pos="8929"/>
          <w:tab w:val="right" w:pos="9638"/>
        </w:tabs>
        <w:spacing w:after="120"/>
        <w:ind w:left="567" w:hanging="567"/>
      </w:pPr>
      <w:r w:rsidRPr="005B3097">
        <w:tab/>
      </w:r>
      <w:r w:rsidRPr="005B3097">
        <w:tab/>
      </w:r>
      <w:r w:rsidRPr="005B3097">
        <w:tab/>
        <w:t>B.</w:t>
      </w:r>
      <w:r w:rsidRPr="005B3097">
        <w:tab/>
        <w:t>Nouvelles propositions</w:t>
      </w:r>
      <w:r w:rsidRPr="005B3097">
        <w:tab/>
      </w:r>
      <w:r w:rsidRPr="005B3097">
        <w:tab/>
      </w:r>
      <w:r w:rsidR="008F1B68" w:rsidRPr="005B3097">
        <w:t>34-</w:t>
      </w:r>
      <w:r w:rsidR="005B3097" w:rsidRPr="005B3097">
        <w:t>51</w:t>
      </w:r>
      <w:r w:rsidRPr="005B3097">
        <w:tab/>
      </w:r>
      <w:r w:rsidR="00391663" w:rsidRPr="005B3097">
        <w:t>1</w:t>
      </w:r>
      <w:r w:rsidR="008F1B68" w:rsidRPr="005B3097">
        <w:t>0</w:t>
      </w:r>
    </w:p>
    <w:p w:rsidR="00370696" w:rsidRPr="005B3097" w:rsidRDefault="00370696" w:rsidP="00201645">
      <w:pPr>
        <w:tabs>
          <w:tab w:val="right" w:pos="850"/>
          <w:tab w:val="left" w:pos="1134"/>
          <w:tab w:val="left" w:pos="1559"/>
          <w:tab w:val="left" w:pos="1984"/>
          <w:tab w:val="left" w:leader="dot" w:pos="7654"/>
          <w:tab w:val="right" w:pos="8929"/>
          <w:tab w:val="right" w:pos="9638"/>
        </w:tabs>
        <w:spacing w:after="120"/>
        <w:ind w:left="567" w:hanging="567"/>
      </w:pPr>
      <w:r w:rsidRPr="005B3097">
        <w:tab/>
      </w:r>
      <w:r w:rsidRPr="005B3097">
        <w:tab/>
      </w:r>
      <w:r w:rsidRPr="005B3097">
        <w:tab/>
      </w:r>
      <w:r w:rsidR="008F1B68" w:rsidRPr="005B3097">
        <w:tab/>
        <w:t>1.</w:t>
      </w:r>
      <w:r w:rsidR="008F1B68" w:rsidRPr="005B3097">
        <w:tab/>
        <w:t>Propositions relatives aux conseillers à la sécurité</w:t>
      </w:r>
      <w:r w:rsidRPr="005B3097">
        <w:tab/>
      </w:r>
      <w:r w:rsidR="00391663" w:rsidRPr="005B3097">
        <w:tab/>
      </w:r>
      <w:r w:rsidR="005B3097" w:rsidRPr="005B3097">
        <w:t>3</w:t>
      </w:r>
      <w:r w:rsidR="008F1B68" w:rsidRPr="005B3097">
        <w:t>4-42</w:t>
      </w:r>
      <w:r w:rsidR="00391663" w:rsidRPr="005B3097">
        <w:tab/>
        <w:t>1</w:t>
      </w:r>
      <w:r w:rsidR="008F1B68" w:rsidRPr="005B3097">
        <w:t>0</w:t>
      </w:r>
    </w:p>
    <w:p w:rsidR="008F1B68" w:rsidRPr="005B3097" w:rsidRDefault="008F1B68" w:rsidP="00201645">
      <w:pPr>
        <w:tabs>
          <w:tab w:val="right" w:pos="850"/>
          <w:tab w:val="left" w:pos="1134"/>
          <w:tab w:val="left" w:pos="1559"/>
          <w:tab w:val="left" w:pos="1984"/>
          <w:tab w:val="left" w:leader="dot" w:pos="7654"/>
          <w:tab w:val="right" w:pos="8929"/>
          <w:tab w:val="right" w:pos="9638"/>
        </w:tabs>
        <w:spacing w:after="120"/>
        <w:ind w:left="567" w:hanging="567"/>
      </w:pPr>
      <w:r w:rsidRPr="005B3097">
        <w:tab/>
      </w:r>
      <w:r w:rsidRPr="005B3097">
        <w:tab/>
      </w:r>
      <w:r w:rsidRPr="005B3097">
        <w:tab/>
      </w:r>
      <w:r w:rsidRPr="005B3097">
        <w:tab/>
        <w:t>2.</w:t>
      </w:r>
      <w:r w:rsidRPr="005B3097">
        <w:tab/>
        <w:t xml:space="preserve">Remplissage des panneaux orange requis par le 5.3.2 </w:t>
      </w:r>
      <w:r w:rsidRPr="005B3097">
        <w:br/>
      </w:r>
      <w:r w:rsidRPr="005B3097">
        <w:tab/>
      </w:r>
      <w:r w:rsidRPr="005B3097">
        <w:tab/>
      </w:r>
      <w:r w:rsidRPr="005B3097">
        <w:tab/>
      </w:r>
      <w:r w:rsidRPr="005B3097">
        <w:tab/>
        <w:t>dans le cas des transports de matières radioactives</w:t>
      </w:r>
      <w:r w:rsidRPr="005B3097">
        <w:tab/>
      </w:r>
      <w:r w:rsidRPr="005B3097">
        <w:tab/>
        <w:t>43</w:t>
      </w:r>
      <w:r w:rsidRPr="005B3097">
        <w:tab/>
        <w:t>11</w:t>
      </w:r>
    </w:p>
    <w:p w:rsidR="008F1B68" w:rsidRPr="005B3097" w:rsidRDefault="008F1B68" w:rsidP="00201645">
      <w:pPr>
        <w:tabs>
          <w:tab w:val="right" w:pos="850"/>
          <w:tab w:val="left" w:pos="1134"/>
          <w:tab w:val="left" w:pos="1559"/>
          <w:tab w:val="left" w:pos="1984"/>
          <w:tab w:val="left" w:leader="dot" w:pos="7654"/>
          <w:tab w:val="right" w:pos="8929"/>
          <w:tab w:val="right" w:pos="9638"/>
        </w:tabs>
        <w:spacing w:after="120"/>
        <w:ind w:left="567" w:hanging="567"/>
      </w:pPr>
      <w:r w:rsidRPr="005B3097">
        <w:tab/>
      </w:r>
      <w:r w:rsidRPr="005B3097">
        <w:tab/>
      </w:r>
      <w:r w:rsidRPr="005B3097">
        <w:tab/>
      </w:r>
      <w:r w:rsidRPr="005B3097">
        <w:tab/>
        <w:t>3.</w:t>
      </w:r>
      <w:r w:rsidRPr="005B3097">
        <w:tab/>
        <w:t>Transport en vrac selon les codes BK ou VC</w:t>
      </w:r>
      <w:r w:rsidRPr="005B3097">
        <w:tab/>
      </w:r>
      <w:r w:rsidRPr="005B3097">
        <w:tab/>
        <w:t>44</w:t>
      </w:r>
      <w:r w:rsidRPr="005B3097">
        <w:tab/>
        <w:t>12</w:t>
      </w:r>
    </w:p>
    <w:p w:rsidR="008F1B68" w:rsidRPr="005B3097" w:rsidRDefault="008F1B68" w:rsidP="00201645">
      <w:pPr>
        <w:tabs>
          <w:tab w:val="right" w:pos="850"/>
          <w:tab w:val="left" w:pos="1134"/>
          <w:tab w:val="left" w:pos="1559"/>
          <w:tab w:val="left" w:pos="1984"/>
          <w:tab w:val="left" w:leader="dot" w:pos="7654"/>
          <w:tab w:val="right" w:pos="8929"/>
          <w:tab w:val="right" w:pos="9638"/>
        </w:tabs>
        <w:spacing w:after="120"/>
        <w:ind w:left="567" w:hanging="567"/>
      </w:pPr>
      <w:r w:rsidRPr="005B3097">
        <w:tab/>
      </w:r>
      <w:r w:rsidRPr="005B3097">
        <w:tab/>
      </w:r>
      <w:r w:rsidRPr="005B3097">
        <w:tab/>
      </w:r>
      <w:r w:rsidRPr="005B3097">
        <w:tab/>
        <w:t>4.</w:t>
      </w:r>
      <w:r w:rsidRPr="005B3097">
        <w:tab/>
        <w:t>Amendement au 4.1.1.17 concernant les récipients à pression</w:t>
      </w:r>
      <w:r w:rsidRPr="005B3097">
        <w:tab/>
      </w:r>
      <w:r w:rsidRPr="005B3097">
        <w:tab/>
        <w:t>45</w:t>
      </w:r>
      <w:r w:rsidRPr="005B3097">
        <w:tab/>
        <w:t>12</w:t>
      </w:r>
    </w:p>
    <w:p w:rsidR="008F1B68" w:rsidRPr="005B3097" w:rsidRDefault="008F1B68" w:rsidP="008F1B68">
      <w:pPr>
        <w:tabs>
          <w:tab w:val="right" w:pos="850"/>
          <w:tab w:val="left" w:pos="1134"/>
          <w:tab w:val="left" w:pos="1559"/>
          <w:tab w:val="left" w:pos="1984"/>
          <w:tab w:val="left" w:leader="dot" w:pos="7654"/>
          <w:tab w:val="right" w:pos="8929"/>
          <w:tab w:val="right" w:pos="9638"/>
        </w:tabs>
        <w:spacing w:after="120"/>
        <w:ind w:left="567" w:hanging="567"/>
      </w:pPr>
      <w:r w:rsidRPr="005B3097">
        <w:tab/>
      </w:r>
      <w:r w:rsidRPr="005B3097">
        <w:tab/>
      </w:r>
      <w:r w:rsidRPr="005B3097">
        <w:tab/>
      </w:r>
      <w:r w:rsidRPr="005B3097">
        <w:tab/>
        <w:t>5.</w:t>
      </w:r>
      <w:r w:rsidRPr="005B3097">
        <w:tab/>
        <w:t>Signes distinctifs pour les automobiles en circulation internationale</w:t>
      </w:r>
      <w:r w:rsidR="00AE3D4C">
        <w:tab/>
      </w:r>
      <w:r w:rsidRPr="005B3097">
        <w:tab/>
      </w:r>
      <w:r w:rsidR="00951831">
        <w:t>46</w:t>
      </w:r>
      <w:r w:rsidR="00951831">
        <w:tab/>
      </w:r>
      <w:r w:rsidRPr="005B3097">
        <w:t>12</w:t>
      </w:r>
    </w:p>
    <w:p w:rsidR="008F1B68" w:rsidRPr="005B3097" w:rsidRDefault="008F1B68" w:rsidP="008F1B68">
      <w:pPr>
        <w:tabs>
          <w:tab w:val="right" w:pos="850"/>
          <w:tab w:val="left" w:pos="1134"/>
          <w:tab w:val="left" w:pos="1559"/>
          <w:tab w:val="left" w:pos="1984"/>
          <w:tab w:val="left" w:leader="dot" w:pos="7654"/>
          <w:tab w:val="right" w:pos="8929"/>
          <w:tab w:val="right" w:pos="9638"/>
        </w:tabs>
        <w:spacing w:after="120"/>
        <w:ind w:left="567" w:hanging="567"/>
      </w:pPr>
      <w:r w:rsidRPr="005B3097">
        <w:tab/>
      </w:r>
      <w:r w:rsidRPr="005B3097">
        <w:tab/>
      </w:r>
      <w:r w:rsidRPr="005B3097">
        <w:tab/>
      </w:r>
      <w:r w:rsidRPr="005B3097">
        <w:tab/>
        <w:t>6.</w:t>
      </w:r>
      <w:r w:rsidRPr="005B3097">
        <w:tab/>
        <w:t>Amendements et corrections éditoriaux</w:t>
      </w:r>
      <w:r w:rsidRPr="005B3097">
        <w:tab/>
      </w:r>
      <w:r w:rsidRPr="005B3097">
        <w:tab/>
        <w:t>47</w:t>
      </w:r>
      <w:r w:rsidRPr="005B3097">
        <w:tab/>
        <w:t>12</w:t>
      </w:r>
    </w:p>
    <w:p w:rsidR="008F1B68" w:rsidRPr="005B3097" w:rsidRDefault="008F1B68" w:rsidP="008F1B68">
      <w:pPr>
        <w:tabs>
          <w:tab w:val="right" w:pos="850"/>
          <w:tab w:val="left" w:pos="1134"/>
          <w:tab w:val="left" w:pos="1559"/>
          <w:tab w:val="left" w:pos="1984"/>
          <w:tab w:val="left" w:leader="dot" w:pos="7654"/>
          <w:tab w:val="right" w:pos="8929"/>
          <w:tab w:val="right" w:pos="9638"/>
        </w:tabs>
        <w:spacing w:after="120"/>
        <w:ind w:left="567" w:hanging="567"/>
      </w:pPr>
      <w:r w:rsidRPr="005B3097">
        <w:tab/>
      </w:r>
      <w:r w:rsidRPr="005B3097">
        <w:tab/>
      </w:r>
      <w:r w:rsidRPr="005B3097">
        <w:tab/>
      </w:r>
      <w:r w:rsidRPr="005B3097">
        <w:tab/>
        <w:t>7.</w:t>
      </w:r>
      <w:r w:rsidRPr="005B3097">
        <w:tab/>
        <w:t>Exemptions relatives à la nature de l’opération de transport</w:t>
      </w:r>
      <w:r w:rsidRPr="005B3097">
        <w:tab/>
      </w:r>
      <w:r w:rsidRPr="005B3097">
        <w:tab/>
        <w:t>48</w:t>
      </w:r>
      <w:r w:rsidRPr="005B3097">
        <w:tab/>
        <w:t>12</w:t>
      </w:r>
    </w:p>
    <w:p w:rsidR="008F1B68" w:rsidRPr="005B3097" w:rsidRDefault="00E75D46" w:rsidP="008F1B68">
      <w:pPr>
        <w:tabs>
          <w:tab w:val="right" w:pos="850"/>
          <w:tab w:val="left" w:pos="1134"/>
          <w:tab w:val="left" w:pos="1559"/>
          <w:tab w:val="left" w:pos="1984"/>
          <w:tab w:val="left" w:leader="dot" w:pos="7654"/>
          <w:tab w:val="right" w:pos="8929"/>
          <w:tab w:val="right" w:pos="9638"/>
        </w:tabs>
        <w:spacing w:after="120"/>
        <w:ind w:left="567" w:hanging="567"/>
      </w:pPr>
      <w:r>
        <w:tab/>
      </w:r>
      <w:r>
        <w:tab/>
      </w:r>
      <w:r>
        <w:tab/>
      </w:r>
      <w:r>
        <w:tab/>
        <w:t>8.</w:t>
      </w:r>
      <w:r>
        <w:tab/>
        <w:t>Emballage «4N</w:t>
      </w:r>
      <w:r w:rsidR="008F1B68" w:rsidRPr="005B3097">
        <w:t>»</w:t>
      </w:r>
      <w:r w:rsidR="008F1B68" w:rsidRPr="005B3097">
        <w:tab/>
      </w:r>
      <w:r w:rsidR="008F1B68" w:rsidRPr="005B3097">
        <w:tab/>
        <w:t>49</w:t>
      </w:r>
      <w:r w:rsidR="008F1B68" w:rsidRPr="005B3097">
        <w:tab/>
        <w:t>12</w:t>
      </w:r>
    </w:p>
    <w:p w:rsidR="008F1B68" w:rsidRPr="005B3097" w:rsidRDefault="008F1B68" w:rsidP="00201645">
      <w:pPr>
        <w:tabs>
          <w:tab w:val="right" w:pos="850"/>
          <w:tab w:val="left" w:pos="1134"/>
          <w:tab w:val="left" w:pos="1559"/>
          <w:tab w:val="left" w:pos="1984"/>
          <w:tab w:val="left" w:leader="dot" w:pos="7654"/>
          <w:tab w:val="right" w:pos="8929"/>
          <w:tab w:val="right" w:pos="9638"/>
        </w:tabs>
        <w:spacing w:after="120"/>
        <w:ind w:left="567" w:hanging="567"/>
      </w:pPr>
      <w:r w:rsidRPr="005B3097">
        <w:tab/>
      </w:r>
      <w:r w:rsidRPr="005B3097">
        <w:tab/>
      </w:r>
      <w:r w:rsidRPr="005B3097">
        <w:tab/>
      </w:r>
      <w:r w:rsidRPr="005B3097">
        <w:tab/>
        <w:t>9.</w:t>
      </w:r>
      <w:r w:rsidRPr="005B3097">
        <w:tab/>
        <w:t xml:space="preserve">Organes </w:t>
      </w:r>
      <w:proofErr w:type="spellStart"/>
      <w:r w:rsidRPr="005B3097">
        <w:t>Xb</w:t>
      </w:r>
      <w:proofErr w:type="spellEnd"/>
      <w:r w:rsidRPr="005B3097">
        <w:t xml:space="preserve"> et IS</w:t>
      </w:r>
      <w:r w:rsidRPr="005B3097">
        <w:tab/>
      </w:r>
      <w:r w:rsidRPr="005B3097">
        <w:tab/>
        <w:t>50</w:t>
      </w:r>
      <w:r w:rsidRPr="005B3097">
        <w:tab/>
        <w:t>13</w:t>
      </w:r>
    </w:p>
    <w:p w:rsidR="008F1B68" w:rsidRPr="005B3097" w:rsidRDefault="008F1B68" w:rsidP="00201645">
      <w:pPr>
        <w:tabs>
          <w:tab w:val="right" w:pos="850"/>
          <w:tab w:val="left" w:pos="1134"/>
          <w:tab w:val="left" w:pos="1559"/>
          <w:tab w:val="left" w:pos="1984"/>
          <w:tab w:val="left" w:leader="dot" w:pos="7654"/>
          <w:tab w:val="right" w:pos="8929"/>
          <w:tab w:val="right" w:pos="9638"/>
        </w:tabs>
        <w:spacing w:after="120"/>
        <w:ind w:left="567" w:hanging="567"/>
      </w:pPr>
      <w:r w:rsidRPr="005B3097">
        <w:tab/>
      </w:r>
      <w:r w:rsidRPr="005B3097">
        <w:tab/>
      </w:r>
      <w:r w:rsidRPr="005B3097">
        <w:tab/>
      </w:r>
      <w:r w:rsidRPr="005B3097">
        <w:tab/>
        <w:t>10.</w:t>
      </w:r>
      <w:r w:rsidRPr="005B3097">
        <w:tab/>
        <w:t>Renouvellement des certificats de conseillers à la sécurité</w:t>
      </w:r>
      <w:r w:rsidRPr="005B3097">
        <w:tab/>
      </w:r>
      <w:r w:rsidRPr="005B3097">
        <w:tab/>
        <w:t>51</w:t>
      </w:r>
      <w:r w:rsidRPr="005B3097">
        <w:tab/>
        <w:t>13</w:t>
      </w:r>
    </w:p>
    <w:p w:rsidR="00201645" w:rsidRPr="005B3097" w:rsidRDefault="00201645" w:rsidP="00201645">
      <w:pPr>
        <w:tabs>
          <w:tab w:val="right" w:pos="850"/>
          <w:tab w:val="left" w:pos="1134"/>
          <w:tab w:val="left" w:pos="1559"/>
          <w:tab w:val="left" w:pos="1984"/>
          <w:tab w:val="left" w:leader="dot" w:pos="7654"/>
          <w:tab w:val="right" w:pos="8929"/>
          <w:tab w:val="right" w:pos="9638"/>
        </w:tabs>
        <w:spacing w:after="120"/>
        <w:ind w:left="567" w:hanging="567"/>
      </w:pPr>
      <w:r w:rsidRPr="005B3097">
        <w:tab/>
      </w:r>
      <w:r w:rsidRPr="005B3097">
        <w:tab/>
        <w:t>VII.</w:t>
      </w:r>
      <w:r w:rsidRPr="005B3097">
        <w:tab/>
        <w:t>Rapports des groupes de travail informels (point 6 de l’ordre du jour)</w:t>
      </w:r>
      <w:r w:rsidRPr="005B3097">
        <w:tab/>
      </w:r>
      <w:r w:rsidRPr="005B3097">
        <w:tab/>
      </w:r>
      <w:r w:rsidR="008F1B68" w:rsidRPr="005B3097">
        <w:t>52-5</w:t>
      </w:r>
      <w:r w:rsidR="005B3097" w:rsidRPr="005B3097">
        <w:t>7</w:t>
      </w:r>
      <w:r w:rsidRPr="005B3097">
        <w:tab/>
      </w:r>
      <w:r w:rsidR="00391663" w:rsidRPr="005B3097">
        <w:t>13</w:t>
      </w:r>
    </w:p>
    <w:p w:rsidR="00370696" w:rsidRPr="005B3097" w:rsidRDefault="00370696" w:rsidP="00370696">
      <w:pPr>
        <w:tabs>
          <w:tab w:val="right" w:pos="850"/>
          <w:tab w:val="left" w:pos="1134"/>
          <w:tab w:val="left" w:pos="1559"/>
          <w:tab w:val="left" w:pos="1984"/>
          <w:tab w:val="left" w:leader="dot" w:pos="7654"/>
          <w:tab w:val="right" w:pos="8929"/>
          <w:tab w:val="right" w:pos="9638"/>
        </w:tabs>
        <w:spacing w:after="120"/>
        <w:ind w:left="567" w:hanging="567"/>
      </w:pPr>
      <w:r w:rsidRPr="005B3097">
        <w:tab/>
      </w:r>
      <w:r w:rsidRPr="005B3097">
        <w:tab/>
      </w:r>
      <w:r w:rsidRPr="005B3097">
        <w:tab/>
        <w:t>A.</w:t>
      </w:r>
      <w:r w:rsidRPr="005B3097">
        <w:tab/>
        <w:t>Groupe de travail informel sur la télématique</w:t>
      </w:r>
      <w:r w:rsidR="002A6B23" w:rsidRPr="005B3097">
        <w:tab/>
      </w:r>
      <w:r w:rsidR="002A6B23" w:rsidRPr="005B3097">
        <w:tab/>
      </w:r>
      <w:r w:rsidR="008F1B68" w:rsidRPr="005B3097">
        <w:t>52-54</w:t>
      </w:r>
      <w:r w:rsidR="00391663" w:rsidRPr="005B3097">
        <w:tab/>
        <w:t>13</w:t>
      </w:r>
    </w:p>
    <w:p w:rsidR="00370696" w:rsidRPr="005B3097" w:rsidRDefault="00370696" w:rsidP="00370696">
      <w:pPr>
        <w:tabs>
          <w:tab w:val="right" w:pos="850"/>
          <w:tab w:val="left" w:pos="1134"/>
          <w:tab w:val="left" w:pos="1559"/>
          <w:tab w:val="left" w:pos="1984"/>
          <w:tab w:val="left" w:leader="dot" w:pos="7654"/>
          <w:tab w:val="right" w:pos="8929"/>
          <w:tab w:val="right" w:pos="9638"/>
        </w:tabs>
        <w:spacing w:after="120"/>
        <w:ind w:left="567" w:hanging="567"/>
      </w:pPr>
      <w:r w:rsidRPr="005B3097">
        <w:tab/>
      </w:r>
      <w:r w:rsidRPr="005B3097">
        <w:tab/>
      </w:r>
      <w:r w:rsidRPr="005B3097">
        <w:tab/>
        <w:t>B.</w:t>
      </w:r>
      <w:r w:rsidRPr="005B3097">
        <w:tab/>
      </w:r>
      <w:r w:rsidR="008F1B68" w:rsidRPr="005B3097">
        <w:t xml:space="preserve">Groupe de travail informel sur le transport des équipements électriques et </w:t>
      </w:r>
      <w:r w:rsidR="008F1B68" w:rsidRPr="005B3097">
        <w:br/>
      </w:r>
      <w:r w:rsidR="008F1B68" w:rsidRPr="005B3097">
        <w:tab/>
      </w:r>
      <w:r w:rsidR="008F1B68" w:rsidRPr="005B3097">
        <w:tab/>
      </w:r>
      <w:r w:rsidR="008F1B68" w:rsidRPr="005B3097">
        <w:tab/>
        <w:t>électroniques mis au rebut</w:t>
      </w:r>
      <w:r w:rsidRPr="005B3097">
        <w:tab/>
      </w:r>
      <w:r w:rsidR="002A6B23" w:rsidRPr="005B3097">
        <w:tab/>
      </w:r>
      <w:r w:rsidR="008F1B68" w:rsidRPr="005B3097">
        <w:t>55</w:t>
      </w:r>
      <w:r w:rsidR="00391663" w:rsidRPr="005B3097">
        <w:tab/>
        <w:t>14</w:t>
      </w:r>
    </w:p>
    <w:p w:rsidR="00370696" w:rsidRPr="005B3097" w:rsidRDefault="00370696" w:rsidP="00370696">
      <w:pPr>
        <w:tabs>
          <w:tab w:val="right" w:pos="850"/>
          <w:tab w:val="left" w:pos="1134"/>
          <w:tab w:val="left" w:pos="1559"/>
          <w:tab w:val="left" w:pos="1984"/>
          <w:tab w:val="left" w:leader="dot" w:pos="7654"/>
          <w:tab w:val="right" w:pos="8929"/>
          <w:tab w:val="right" w:pos="9638"/>
        </w:tabs>
        <w:spacing w:after="120"/>
        <w:ind w:left="567" w:hanging="567"/>
      </w:pPr>
      <w:r w:rsidRPr="005B3097">
        <w:lastRenderedPageBreak/>
        <w:tab/>
      </w:r>
      <w:r w:rsidRPr="005B3097">
        <w:tab/>
      </w:r>
      <w:r w:rsidRPr="005B3097">
        <w:tab/>
        <w:t>C.</w:t>
      </w:r>
      <w:r w:rsidRPr="005B3097">
        <w:tab/>
      </w:r>
      <w:r w:rsidR="008F1B68" w:rsidRPr="005B3097">
        <w:t xml:space="preserve">Groupe de travail informel sur les méthodes alternatives pour </w:t>
      </w:r>
      <w:r w:rsidR="008F1B68" w:rsidRPr="005B3097">
        <w:br/>
      </w:r>
      <w:r w:rsidR="008F1B68" w:rsidRPr="005B3097">
        <w:tab/>
      </w:r>
      <w:r w:rsidR="008F1B68" w:rsidRPr="005B3097">
        <w:tab/>
      </w:r>
      <w:r w:rsidR="008F1B68" w:rsidRPr="005B3097">
        <w:tab/>
        <w:t>le contrôle périodique des bouteilles rechargeables en acier</w:t>
      </w:r>
      <w:r w:rsidRPr="005B3097">
        <w:tab/>
      </w:r>
      <w:r w:rsidR="002A6B23" w:rsidRPr="005B3097">
        <w:tab/>
        <w:t>5</w:t>
      </w:r>
      <w:r w:rsidR="008F1B68" w:rsidRPr="005B3097">
        <w:t>6</w:t>
      </w:r>
      <w:r w:rsidR="00391663" w:rsidRPr="005B3097">
        <w:tab/>
        <w:t>14</w:t>
      </w:r>
    </w:p>
    <w:p w:rsidR="00370696" w:rsidRPr="005B3097" w:rsidRDefault="00370696" w:rsidP="00201645">
      <w:pPr>
        <w:tabs>
          <w:tab w:val="right" w:pos="850"/>
          <w:tab w:val="left" w:pos="1134"/>
          <w:tab w:val="left" w:pos="1559"/>
          <w:tab w:val="left" w:pos="1984"/>
          <w:tab w:val="left" w:leader="dot" w:pos="7654"/>
          <w:tab w:val="right" w:pos="8929"/>
          <w:tab w:val="right" w:pos="9638"/>
        </w:tabs>
        <w:spacing w:after="120"/>
        <w:ind w:left="567" w:hanging="567"/>
      </w:pPr>
      <w:r w:rsidRPr="005B3097">
        <w:tab/>
      </w:r>
      <w:r w:rsidRPr="005B3097">
        <w:tab/>
      </w:r>
      <w:r w:rsidRPr="005B3097">
        <w:tab/>
        <w:t>D.</w:t>
      </w:r>
      <w:r w:rsidRPr="005B3097">
        <w:tab/>
      </w:r>
      <w:r w:rsidR="008F1B68" w:rsidRPr="005B3097">
        <w:t xml:space="preserve">Groupe de travail informel sur l’équipement de service des citernes et </w:t>
      </w:r>
      <w:r w:rsidR="008F1B68" w:rsidRPr="005B3097">
        <w:br/>
      </w:r>
      <w:r w:rsidR="008F1B68" w:rsidRPr="005B3097">
        <w:tab/>
      </w:r>
      <w:r w:rsidR="008F1B68" w:rsidRPr="005B3097">
        <w:tab/>
      </w:r>
      <w:r w:rsidR="008F1B68" w:rsidRPr="005B3097">
        <w:tab/>
        <w:t>des récipients à pression</w:t>
      </w:r>
      <w:r w:rsidRPr="005B3097">
        <w:tab/>
      </w:r>
      <w:r w:rsidR="002A6B23" w:rsidRPr="005B3097">
        <w:tab/>
      </w:r>
      <w:r w:rsidR="008F1B68" w:rsidRPr="005B3097">
        <w:t>57</w:t>
      </w:r>
      <w:r w:rsidR="00391663" w:rsidRPr="005B3097">
        <w:tab/>
        <w:t>14</w:t>
      </w:r>
    </w:p>
    <w:p w:rsidR="00736C84" w:rsidRPr="005B3097" w:rsidRDefault="00201645" w:rsidP="00736C84">
      <w:pPr>
        <w:tabs>
          <w:tab w:val="right" w:pos="850"/>
          <w:tab w:val="left" w:pos="1134"/>
          <w:tab w:val="left" w:pos="1559"/>
          <w:tab w:val="left" w:pos="1984"/>
          <w:tab w:val="left" w:leader="dot" w:pos="7654"/>
          <w:tab w:val="right" w:pos="8929"/>
          <w:tab w:val="right" w:pos="9638"/>
        </w:tabs>
        <w:spacing w:after="120"/>
        <w:ind w:left="567" w:hanging="567"/>
      </w:pPr>
      <w:r w:rsidRPr="005B3097">
        <w:tab/>
      </w:r>
      <w:r w:rsidR="00736C84" w:rsidRPr="005B3097">
        <w:tab/>
        <w:t>VIII.</w:t>
      </w:r>
      <w:r w:rsidR="00736C84" w:rsidRPr="005B3097">
        <w:tab/>
        <w:t xml:space="preserve">Accidents et management de risque (point 7 de l’ordre du jour) </w:t>
      </w:r>
      <w:r w:rsidR="00736C84" w:rsidRPr="005B3097">
        <w:tab/>
      </w:r>
      <w:r w:rsidR="002A6B23" w:rsidRPr="005B3097">
        <w:tab/>
      </w:r>
      <w:r w:rsidR="008F1B68" w:rsidRPr="005B3097">
        <w:t>58</w:t>
      </w:r>
      <w:r w:rsidR="00391663" w:rsidRPr="005B3097">
        <w:tab/>
        <w:t>14</w:t>
      </w:r>
    </w:p>
    <w:p w:rsidR="00201645" w:rsidRPr="005B3097" w:rsidRDefault="00736C84" w:rsidP="00201645">
      <w:pPr>
        <w:tabs>
          <w:tab w:val="right" w:pos="850"/>
          <w:tab w:val="left" w:pos="1134"/>
          <w:tab w:val="left" w:pos="1559"/>
          <w:tab w:val="left" w:pos="1984"/>
          <w:tab w:val="left" w:leader="dot" w:pos="7654"/>
          <w:tab w:val="right" w:pos="8929"/>
          <w:tab w:val="right" w:pos="9638"/>
        </w:tabs>
        <w:spacing w:after="120"/>
        <w:ind w:left="567" w:hanging="567"/>
      </w:pPr>
      <w:r w:rsidRPr="005B3097">
        <w:tab/>
        <w:t>IX</w:t>
      </w:r>
      <w:r w:rsidR="00201645" w:rsidRPr="005B3097">
        <w:t>.</w:t>
      </w:r>
      <w:r w:rsidR="00201645" w:rsidRPr="005B3097">
        <w:tab/>
      </w:r>
      <w:r w:rsidR="009C7CE7" w:rsidRPr="005B3097">
        <w:tab/>
      </w:r>
      <w:r w:rsidR="00201645" w:rsidRPr="005B3097">
        <w:t xml:space="preserve">Travaux futurs (point </w:t>
      </w:r>
      <w:r w:rsidRPr="005B3097">
        <w:t xml:space="preserve">8 </w:t>
      </w:r>
      <w:r w:rsidR="00201645" w:rsidRPr="005B3097">
        <w:t>de l’ordre du jour)</w:t>
      </w:r>
      <w:r w:rsidR="00201645" w:rsidRPr="005B3097">
        <w:tab/>
      </w:r>
      <w:r w:rsidR="002A6B23" w:rsidRPr="005B3097">
        <w:tab/>
      </w:r>
      <w:r w:rsidR="008F1B68" w:rsidRPr="005B3097">
        <w:t>59</w:t>
      </w:r>
      <w:r w:rsidR="00201645" w:rsidRPr="005B3097">
        <w:tab/>
      </w:r>
      <w:r w:rsidR="00391663" w:rsidRPr="005B3097">
        <w:t>1</w:t>
      </w:r>
      <w:r w:rsidR="008F1B68" w:rsidRPr="005B3097">
        <w:t>4</w:t>
      </w:r>
    </w:p>
    <w:p w:rsidR="00201645" w:rsidRPr="005B3097" w:rsidRDefault="00201645" w:rsidP="00201645">
      <w:pPr>
        <w:tabs>
          <w:tab w:val="right" w:pos="850"/>
          <w:tab w:val="left" w:pos="1134"/>
          <w:tab w:val="left" w:pos="1559"/>
          <w:tab w:val="left" w:pos="1984"/>
          <w:tab w:val="left" w:leader="dot" w:pos="7654"/>
          <w:tab w:val="right" w:pos="8929"/>
          <w:tab w:val="right" w:pos="9638"/>
        </w:tabs>
        <w:spacing w:after="120"/>
        <w:ind w:left="567" w:hanging="567"/>
      </w:pPr>
      <w:r w:rsidRPr="005B3097">
        <w:tab/>
        <w:t>X.</w:t>
      </w:r>
      <w:r w:rsidRPr="005B3097">
        <w:tab/>
      </w:r>
      <w:r w:rsidRPr="005B3097">
        <w:tab/>
        <w:t xml:space="preserve">Questions diverses (point </w:t>
      </w:r>
      <w:r w:rsidR="00736C84" w:rsidRPr="005B3097">
        <w:t>9</w:t>
      </w:r>
      <w:r w:rsidRPr="005B3097">
        <w:t xml:space="preserve"> de l’ordre du jour)</w:t>
      </w:r>
      <w:r w:rsidRPr="005B3097">
        <w:tab/>
      </w:r>
      <w:r w:rsidR="002A6B23" w:rsidRPr="005B3097">
        <w:tab/>
      </w:r>
      <w:r w:rsidR="008F1B68" w:rsidRPr="005B3097">
        <w:t>60-6</w:t>
      </w:r>
      <w:r w:rsidR="005B3097" w:rsidRPr="005B3097">
        <w:t>3</w:t>
      </w:r>
      <w:r w:rsidRPr="005B3097">
        <w:tab/>
      </w:r>
      <w:r w:rsidR="00391663" w:rsidRPr="005B3097">
        <w:t>1</w:t>
      </w:r>
      <w:r w:rsidR="008F1B68" w:rsidRPr="005B3097">
        <w:t>4</w:t>
      </w:r>
    </w:p>
    <w:p w:rsidR="008F1B68" w:rsidRPr="005B3097" w:rsidRDefault="008F1B68" w:rsidP="008F1B68">
      <w:pPr>
        <w:tabs>
          <w:tab w:val="right" w:pos="850"/>
          <w:tab w:val="left" w:pos="1134"/>
          <w:tab w:val="left" w:pos="1559"/>
          <w:tab w:val="left" w:pos="1984"/>
          <w:tab w:val="left" w:leader="dot" w:pos="7654"/>
          <w:tab w:val="right" w:pos="8929"/>
          <w:tab w:val="right" w:pos="9638"/>
        </w:tabs>
        <w:spacing w:after="120"/>
        <w:ind w:left="567" w:hanging="567"/>
      </w:pPr>
      <w:r w:rsidRPr="005B3097">
        <w:tab/>
      </w:r>
      <w:r w:rsidRPr="005B3097">
        <w:tab/>
      </w:r>
      <w:r w:rsidRPr="005B3097">
        <w:tab/>
        <w:t>A.</w:t>
      </w:r>
      <w:r w:rsidRPr="005B3097">
        <w:tab/>
        <w:t xml:space="preserve">Transport de récipients à pression agréés par le Département des transports </w:t>
      </w:r>
      <w:r w:rsidRPr="005B3097">
        <w:br/>
      </w:r>
      <w:r w:rsidRPr="005B3097">
        <w:tab/>
      </w:r>
      <w:r w:rsidRPr="005B3097">
        <w:tab/>
      </w:r>
      <w:r w:rsidRPr="005B3097">
        <w:tab/>
        <w:t>des Etats-Unis (DOT</w:t>
      </w:r>
      <w:r w:rsidRPr="005B3097">
        <w:tab/>
      </w:r>
      <w:r w:rsidRPr="005B3097">
        <w:tab/>
        <w:t>60-62</w:t>
      </w:r>
      <w:r w:rsidRPr="005B3097">
        <w:tab/>
        <w:t>14</w:t>
      </w:r>
    </w:p>
    <w:p w:rsidR="008F1B68" w:rsidRPr="005B3097" w:rsidRDefault="008F1B68" w:rsidP="008F1B68">
      <w:pPr>
        <w:tabs>
          <w:tab w:val="right" w:pos="850"/>
          <w:tab w:val="left" w:pos="1134"/>
          <w:tab w:val="left" w:pos="1559"/>
          <w:tab w:val="left" w:pos="1984"/>
          <w:tab w:val="left" w:leader="dot" w:pos="7654"/>
          <w:tab w:val="right" w:pos="8929"/>
          <w:tab w:val="right" w:pos="9638"/>
        </w:tabs>
        <w:spacing w:after="120"/>
        <w:ind w:left="567" w:hanging="567"/>
      </w:pPr>
      <w:r w:rsidRPr="005B3097">
        <w:tab/>
      </w:r>
      <w:r w:rsidRPr="005B3097">
        <w:tab/>
      </w:r>
      <w:r w:rsidRPr="005B3097">
        <w:tab/>
        <w:t>B.</w:t>
      </w:r>
      <w:r w:rsidRPr="005B3097">
        <w:tab/>
        <w:t>Définitions d’acier de référence et d’acier doux</w:t>
      </w:r>
      <w:r w:rsidRPr="005B3097">
        <w:tab/>
      </w:r>
      <w:r w:rsidRPr="005B3097">
        <w:tab/>
        <w:t>63</w:t>
      </w:r>
      <w:r w:rsidRPr="005B3097">
        <w:tab/>
        <w:t>15</w:t>
      </w:r>
    </w:p>
    <w:p w:rsidR="00201645" w:rsidRPr="005B3097" w:rsidRDefault="00201645" w:rsidP="00201645">
      <w:pPr>
        <w:tabs>
          <w:tab w:val="right" w:pos="850"/>
          <w:tab w:val="left" w:pos="1134"/>
          <w:tab w:val="left" w:pos="1559"/>
          <w:tab w:val="left" w:pos="1984"/>
          <w:tab w:val="left" w:leader="dot" w:pos="7654"/>
          <w:tab w:val="right" w:pos="8929"/>
          <w:tab w:val="right" w:pos="9638"/>
        </w:tabs>
        <w:spacing w:after="120"/>
        <w:ind w:left="567" w:hanging="567"/>
      </w:pPr>
      <w:r w:rsidRPr="005B3097">
        <w:tab/>
        <w:t>X</w:t>
      </w:r>
      <w:r w:rsidR="00736C84" w:rsidRPr="005B3097">
        <w:t>I</w:t>
      </w:r>
      <w:r w:rsidRPr="005B3097">
        <w:t>.</w:t>
      </w:r>
      <w:r w:rsidRPr="005B3097">
        <w:tab/>
      </w:r>
      <w:r w:rsidRPr="005B3097">
        <w:tab/>
        <w:t xml:space="preserve">Adoption du rapport (point </w:t>
      </w:r>
      <w:r w:rsidR="00736C84" w:rsidRPr="005B3097">
        <w:t xml:space="preserve">10 </w:t>
      </w:r>
      <w:r w:rsidRPr="005B3097">
        <w:t>de l’ordre du jour)</w:t>
      </w:r>
      <w:r w:rsidRPr="005B3097">
        <w:tab/>
      </w:r>
      <w:r w:rsidRPr="005B3097">
        <w:tab/>
      </w:r>
      <w:r w:rsidR="002A6B23" w:rsidRPr="005B3097">
        <w:t>6</w:t>
      </w:r>
      <w:r w:rsidR="008F1B68" w:rsidRPr="005B3097">
        <w:t>4</w:t>
      </w:r>
      <w:r w:rsidRPr="005B3097">
        <w:tab/>
      </w:r>
      <w:r w:rsidR="00391663" w:rsidRPr="005B3097">
        <w:t>1</w:t>
      </w:r>
      <w:r w:rsidR="008F1B68" w:rsidRPr="005B3097">
        <w:t>5</w:t>
      </w:r>
    </w:p>
    <w:p w:rsidR="00201645" w:rsidRPr="005B3097" w:rsidRDefault="00201645" w:rsidP="00201645">
      <w:pPr>
        <w:spacing w:after="120"/>
        <w:ind w:left="567" w:hanging="567"/>
      </w:pPr>
      <w:r w:rsidRPr="005B3097">
        <w:t xml:space="preserve">Annexes </w:t>
      </w:r>
    </w:p>
    <w:p w:rsidR="00201645" w:rsidRDefault="00201645" w:rsidP="00AE3D4C">
      <w:pPr>
        <w:pStyle w:val="SingleTxtG"/>
        <w:tabs>
          <w:tab w:val="right" w:pos="851"/>
          <w:tab w:val="left" w:pos="1134"/>
          <w:tab w:val="left" w:pos="1559"/>
          <w:tab w:val="left" w:pos="1600"/>
          <w:tab w:val="left" w:pos="1985"/>
          <w:tab w:val="left" w:pos="2500"/>
          <w:tab w:val="left" w:leader="dot" w:pos="7655"/>
          <w:tab w:val="right" w:pos="8749"/>
          <w:tab w:val="right" w:pos="9673"/>
        </w:tabs>
        <w:ind w:left="1554" w:hanging="392"/>
        <w:jc w:val="left"/>
      </w:pPr>
      <w:r w:rsidRPr="005B3097">
        <w:rPr>
          <w:lang w:val="fr-FR"/>
        </w:rPr>
        <w:t>I.</w:t>
      </w:r>
      <w:r w:rsidRPr="005B3097">
        <w:rPr>
          <w:lang w:val="fr-FR"/>
        </w:rPr>
        <w:tab/>
        <w:t>Rapport du Groupe de travail sur les citernes</w:t>
      </w:r>
      <w:r w:rsidR="00504292">
        <w:rPr>
          <w:rStyle w:val="FootnoteReference"/>
        </w:rPr>
        <w:footnoteReference w:id="3"/>
      </w:r>
      <w:r w:rsidRPr="005B3097">
        <w:rPr>
          <w:lang w:val="fr-FR"/>
        </w:rPr>
        <w:tab/>
      </w:r>
      <w:r w:rsidRPr="005B3097">
        <w:rPr>
          <w:lang w:val="fr-FR"/>
        </w:rPr>
        <w:tab/>
      </w:r>
      <w:r w:rsidRPr="005B3097">
        <w:tab/>
      </w:r>
      <w:r w:rsidR="00AE3D4C">
        <w:t>16</w:t>
      </w:r>
    </w:p>
    <w:p w:rsidR="00AE3D4C" w:rsidRPr="005B3097" w:rsidRDefault="00AE3D4C" w:rsidP="00AE3D4C">
      <w:pPr>
        <w:pStyle w:val="SingleTxtG"/>
        <w:tabs>
          <w:tab w:val="right" w:pos="851"/>
          <w:tab w:val="left" w:pos="1134"/>
          <w:tab w:val="left" w:pos="1559"/>
          <w:tab w:val="left" w:pos="1600"/>
          <w:tab w:val="left" w:pos="1985"/>
          <w:tab w:val="left" w:pos="2500"/>
          <w:tab w:val="left" w:leader="dot" w:pos="7655"/>
          <w:tab w:val="right" w:pos="8749"/>
          <w:tab w:val="right" w:pos="9673"/>
        </w:tabs>
        <w:ind w:left="1554" w:hanging="392"/>
        <w:jc w:val="left"/>
      </w:pPr>
      <w:r>
        <w:t>II.</w:t>
      </w:r>
      <w:r>
        <w:tab/>
      </w:r>
      <w:r w:rsidRPr="00565000">
        <w:rPr>
          <w:lang w:val="fr-FR"/>
        </w:rPr>
        <w:t>Corrections</w:t>
      </w:r>
      <w:r>
        <w:rPr>
          <w:lang w:val="fr-FR"/>
        </w:rPr>
        <w:tab/>
        <w:t xml:space="preserve"> aux projets d’amendements dans les documents </w:t>
      </w:r>
      <w:r w:rsidR="00E74C5F">
        <w:rPr>
          <w:lang w:val="fr-FR"/>
        </w:rPr>
        <w:br/>
      </w:r>
      <w:r>
        <w:rPr>
          <w:lang w:val="fr-FR"/>
        </w:rPr>
        <w:t>ECE/TRANS/WP.15/231</w:t>
      </w:r>
      <w:r w:rsidR="00E74C5F">
        <w:rPr>
          <w:lang w:val="fr-FR"/>
        </w:rPr>
        <w:t xml:space="preserve"> </w:t>
      </w:r>
      <w:r>
        <w:rPr>
          <w:lang w:val="fr-FR"/>
        </w:rPr>
        <w:t>et OTIF/RID/CE/GTP/2015/12</w:t>
      </w:r>
      <w:r w:rsidR="00DD168D">
        <w:rPr>
          <w:sz w:val="18"/>
          <w:szCs w:val="18"/>
          <w:vertAlign w:val="superscript"/>
          <w:lang w:val="fr-FR"/>
        </w:rPr>
        <w:t>3</w:t>
      </w:r>
      <w:r>
        <w:rPr>
          <w:lang w:val="fr-FR"/>
        </w:rPr>
        <w:tab/>
      </w:r>
      <w:r>
        <w:rPr>
          <w:lang w:val="fr-FR"/>
        </w:rPr>
        <w:tab/>
      </w:r>
      <w:r>
        <w:rPr>
          <w:lang w:val="fr-FR"/>
        </w:rPr>
        <w:tab/>
        <w:t>1</w:t>
      </w:r>
      <w:r w:rsidR="00616601">
        <w:rPr>
          <w:lang w:val="fr-FR"/>
        </w:rPr>
        <w:t>7</w:t>
      </w:r>
    </w:p>
    <w:p w:rsidR="00201645" w:rsidRDefault="00AE3D4C" w:rsidP="00201645">
      <w:pPr>
        <w:pStyle w:val="SingleTxtG"/>
        <w:tabs>
          <w:tab w:val="right" w:pos="851"/>
          <w:tab w:val="left" w:pos="1134"/>
          <w:tab w:val="left" w:pos="1559"/>
          <w:tab w:val="left" w:pos="1600"/>
          <w:tab w:val="left" w:pos="1985"/>
          <w:tab w:val="left" w:pos="2500"/>
          <w:tab w:val="left" w:leader="dot" w:pos="7655"/>
          <w:tab w:val="right" w:pos="8749"/>
          <w:tab w:val="right" w:pos="9673"/>
        </w:tabs>
        <w:ind w:left="1554" w:hanging="392"/>
        <w:jc w:val="left"/>
        <w:rPr>
          <w:lang w:val="fr-FR"/>
        </w:rPr>
      </w:pPr>
      <w:r>
        <w:rPr>
          <w:lang w:val="fr-FR"/>
        </w:rPr>
        <w:t>I</w:t>
      </w:r>
      <w:r w:rsidR="00201645" w:rsidRPr="005B3097">
        <w:rPr>
          <w:lang w:val="fr-FR"/>
        </w:rPr>
        <w:t>II.</w:t>
      </w:r>
      <w:r w:rsidR="00201645" w:rsidRPr="005B3097">
        <w:rPr>
          <w:lang w:val="fr-FR"/>
        </w:rPr>
        <w:tab/>
        <w:t xml:space="preserve">Projet d’amendements au RID, à l’ADR et à l’ADN pour entrée en vigueur </w:t>
      </w:r>
      <w:r w:rsidR="00201645" w:rsidRPr="005B3097">
        <w:rPr>
          <w:lang w:val="fr-FR"/>
        </w:rPr>
        <w:br/>
        <w:t>le 1</w:t>
      </w:r>
      <w:r w:rsidR="00201645" w:rsidRPr="005B3097">
        <w:rPr>
          <w:vertAlign w:val="superscript"/>
          <w:lang w:val="fr-FR"/>
        </w:rPr>
        <w:t>er</w:t>
      </w:r>
      <w:r w:rsidR="00201645" w:rsidRPr="005B3097">
        <w:rPr>
          <w:lang w:val="fr-FR"/>
        </w:rPr>
        <w:t xml:space="preserve"> janvier 201</w:t>
      </w:r>
      <w:r>
        <w:rPr>
          <w:lang w:val="fr-FR"/>
        </w:rPr>
        <w:t>7</w:t>
      </w:r>
      <w:r w:rsidR="005B6E11">
        <w:rPr>
          <w:rStyle w:val="FootnoteReference"/>
        </w:rPr>
        <w:footnoteReference w:id="4"/>
      </w:r>
      <w:r w:rsidR="00B253C4" w:rsidRPr="005B3097">
        <w:rPr>
          <w:lang w:val="fr-FR"/>
        </w:rPr>
        <w:tab/>
      </w:r>
      <w:r w:rsidR="00201645" w:rsidRPr="005B3097">
        <w:rPr>
          <w:lang w:val="fr-FR"/>
        </w:rPr>
        <w:tab/>
      </w:r>
      <w:r w:rsidR="00201645" w:rsidRPr="005B3097">
        <w:rPr>
          <w:lang w:val="fr-FR"/>
        </w:rPr>
        <w:tab/>
      </w:r>
      <w:r>
        <w:rPr>
          <w:lang w:val="fr-FR"/>
        </w:rPr>
        <w:t>1</w:t>
      </w:r>
      <w:r w:rsidR="00616601">
        <w:rPr>
          <w:lang w:val="fr-FR"/>
        </w:rPr>
        <w:t>8</w:t>
      </w:r>
    </w:p>
    <w:p w:rsidR="00AE3D4C" w:rsidRPr="005B3097" w:rsidRDefault="00AE3D4C" w:rsidP="00201645">
      <w:pPr>
        <w:pStyle w:val="SingleTxtG"/>
        <w:tabs>
          <w:tab w:val="right" w:pos="851"/>
          <w:tab w:val="left" w:pos="1134"/>
          <w:tab w:val="left" w:pos="1559"/>
          <w:tab w:val="left" w:pos="1600"/>
          <w:tab w:val="left" w:pos="1985"/>
          <w:tab w:val="left" w:pos="2500"/>
          <w:tab w:val="left" w:leader="dot" w:pos="7655"/>
          <w:tab w:val="right" w:pos="8749"/>
          <w:tab w:val="right" w:pos="9673"/>
        </w:tabs>
        <w:ind w:left="1554" w:hanging="392"/>
        <w:jc w:val="left"/>
        <w:rPr>
          <w:lang w:val="fr-FR"/>
        </w:rPr>
      </w:pPr>
      <w:r>
        <w:rPr>
          <w:lang w:val="fr-FR"/>
        </w:rPr>
        <w:t>IV.</w:t>
      </w:r>
      <w:r>
        <w:rPr>
          <w:lang w:val="fr-FR"/>
        </w:rPr>
        <w:tab/>
      </w:r>
      <w:r w:rsidRPr="005B3097">
        <w:rPr>
          <w:lang w:val="fr-FR"/>
        </w:rPr>
        <w:tab/>
        <w:t xml:space="preserve">Projet d’amendements au RID, à l’ADR et à l’ADN pour entrée en vigueur </w:t>
      </w:r>
      <w:r w:rsidRPr="005B3097">
        <w:rPr>
          <w:lang w:val="fr-FR"/>
        </w:rPr>
        <w:br/>
        <w:t>le 1</w:t>
      </w:r>
      <w:r w:rsidRPr="005B3097">
        <w:rPr>
          <w:vertAlign w:val="superscript"/>
          <w:lang w:val="fr-FR"/>
        </w:rPr>
        <w:t>er</w:t>
      </w:r>
      <w:r w:rsidRPr="005B3097">
        <w:rPr>
          <w:lang w:val="fr-FR"/>
        </w:rPr>
        <w:t xml:space="preserve"> janvier 201</w:t>
      </w:r>
      <w:r>
        <w:rPr>
          <w:lang w:val="fr-FR"/>
        </w:rPr>
        <w:t>9</w:t>
      </w:r>
      <w:r w:rsidR="002C2110">
        <w:rPr>
          <w:lang w:val="fr-FR"/>
        </w:rPr>
        <w:tab/>
      </w:r>
      <w:r w:rsidR="002C2110">
        <w:rPr>
          <w:lang w:val="fr-FR"/>
        </w:rPr>
        <w:tab/>
      </w:r>
      <w:r w:rsidR="002C2110">
        <w:rPr>
          <w:lang w:val="fr-FR"/>
        </w:rPr>
        <w:tab/>
        <w:t>1</w:t>
      </w:r>
      <w:r w:rsidR="00616601">
        <w:rPr>
          <w:lang w:val="fr-FR"/>
        </w:rPr>
        <w:t>9</w:t>
      </w:r>
    </w:p>
    <w:p w:rsidR="00E3637A" w:rsidRPr="00565000" w:rsidRDefault="00201645" w:rsidP="00E3637A">
      <w:pPr>
        <w:pStyle w:val="HChG"/>
      </w:pPr>
      <w:r w:rsidRPr="00565000">
        <w:br w:type="page"/>
      </w:r>
      <w:r w:rsidR="00E3637A" w:rsidRPr="00565000">
        <w:lastRenderedPageBreak/>
        <w:tab/>
      </w:r>
      <w:r w:rsidR="00E3637A" w:rsidRPr="00565000">
        <w:tab/>
        <w:t xml:space="preserve">Rapport </w:t>
      </w:r>
    </w:p>
    <w:p w:rsidR="00E3637A" w:rsidRPr="00565000" w:rsidRDefault="00E3637A" w:rsidP="00E3637A">
      <w:pPr>
        <w:pStyle w:val="HChG"/>
      </w:pPr>
      <w:r w:rsidRPr="00565000">
        <w:tab/>
        <w:t>I.</w:t>
      </w:r>
      <w:r w:rsidRPr="00565000">
        <w:tab/>
        <w:t>Participation</w:t>
      </w:r>
    </w:p>
    <w:p w:rsidR="00E3637A" w:rsidRPr="00565000" w:rsidRDefault="00E3637A" w:rsidP="00E3637A">
      <w:pPr>
        <w:pStyle w:val="SingleTxtG"/>
        <w:rPr>
          <w:lang w:val="fr-FR"/>
        </w:rPr>
      </w:pPr>
      <w:r w:rsidRPr="00565000">
        <w:rPr>
          <w:lang w:val="fr-FR"/>
        </w:rPr>
        <w:t>1.</w:t>
      </w:r>
      <w:r w:rsidRPr="00565000">
        <w:rPr>
          <w:lang w:val="fr-FR"/>
        </w:rPr>
        <w:tab/>
        <w:t xml:space="preserve">La Réunion commune de la Commission d’experts du RID et du Groupe de travail des transports de marchandises dangereuses de la CEE-ONU s’est tenue à Berne du 14 au 18 mars 2016 sous la présidence de M. C. </w:t>
      </w:r>
      <w:proofErr w:type="spellStart"/>
      <w:r w:rsidRPr="00565000">
        <w:rPr>
          <w:lang w:val="fr-FR"/>
        </w:rPr>
        <w:t>Pfauvadel</w:t>
      </w:r>
      <w:proofErr w:type="spellEnd"/>
      <w:r w:rsidRPr="00565000">
        <w:rPr>
          <w:lang w:val="fr-FR"/>
        </w:rPr>
        <w:t xml:space="preserve"> (France) et la vice-présidence de M. H. Rein (Allemagne).</w:t>
      </w:r>
    </w:p>
    <w:p w:rsidR="00E3637A" w:rsidRPr="00565000" w:rsidRDefault="00E3637A" w:rsidP="00E3637A">
      <w:pPr>
        <w:spacing w:after="120"/>
        <w:ind w:left="1134" w:right="1134"/>
        <w:jc w:val="both"/>
        <w:rPr>
          <w:lang w:val="fr-FR"/>
        </w:rPr>
      </w:pPr>
      <w:r w:rsidRPr="00565000">
        <w:rPr>
          <w:lang w:val="fr-FR"/>
        </w:rPr>
        <w:t>2.</w:t>
      </w:r>
      <w:r w:rsidRPr="00565000">
        <w:rPr>
          <w:lang w:val="fr-FR"/>
        </w:rPr>
        <w:tab/>
        <w:t>Conformément à l’article 1 a) du Règlement intérieur de la Réunion commune, (ECE/TRANS/WP.15/AC.1/112/Add.2), les représentants des pays suivants ont participé de plein droit à la session: Allemagne, Autriche, Azerbaïdjan, Belgique, Bosnie-Herzégovine, Croatie,  Espagne, Etats-Unis d’Amérique, Fédération de Russie, Finlande, France, Irlande, Italie, Lettonie,  Luxembourg, Norvège, Pays-Bas, Pologne, Portugal, République tchèque, Roumanie, Ro</w:t>
      </w:r>
      <w:r w:rsidR="00F57DB1" w:rsidRPr="00565000">
        <w:rPr>
          <w:lang w:val="fr-FR"/>
        </w:rPr>
        <w:t xml:space="preserve">yaume-Uni,  Slovaquie, Suède, </w:t>
      </w:r>
      <w:r w:rsidRPr="00565000">
        <w:rPr>
          <w:lang w:val="fr-FR"/>
        </w:rPr>
        <w:t>Suisse</w:t>
      </w:r>
      <w:r w:rsidR="00F57DB1" w:rsidRPr="00565000">
        <w:rPr>
          <w:lang w:val="fr-FR"/>
        </w:rPr>
        <w:t xml:space="preserve"> et Turquie</w:t>
      </w:r>
      <w:r w:rsidRPr="00565000">
        <w:rPr>
          <w:lang w:val="fr-FR"/>
        </w:rPr>
        <w:t xml:space="preserve">. </w:t>
      </w:r>
    </w:p>
    <w:p w:rsidR="00E3637A" w:rsidRPr="00565000" w:rsidRDefault="00E3637A" w:rsidP="00E3637A">
      <w:pPr>
        <w:spacing w:after="120"/>
        <w:ind w:left="1134" w:right="1134"/>
        <w:jc w:val="both"/>
        <w:rPr>
          <w:lang w:val="fr-FR"/>
        </w:rPr>
      </w:pPr>
      <w:r w:rsidRPr="00565000">
        <w:rPr>
          <w:lang w:val="fr-FR"/>
        </w:rPr>
        <w:t>3.</w:t>
      </w:r>
      <w:r w:rsidRPr="00565000">
        <w:rPr>
          <w:lang w:val="fr-FR"/>
        </w:rPr>
        <w:tab/>
        <w:t>Conformément à l’article 1, paragraphes b), c) et d) du Règlement intérieur, étaient représentées à titre consultatif:</w:t>
      </w:r>
    </w:p>
    <w:p w:rsidR="00E3637A" w:rsidRPr="00565000" w:rsidRDefault="00FC0F08" w:rsidP="00E3637A">
      <w:pPr>
        <w:spacing w:after="120"/>
        <w:ind w:left="1689" w:right="1134"/>
        <w:jc w:val="both"/>
        <w:rPr>
          <w:lang w:val="fr-FR"/>
        </w:rPr>
      </w:pPr>
      <w:r w:rsidRPr="00565000">
        <w:rPr>
          <w:lang w:val="fr-FR"/>
        </w:rPr>
        <w:t>a</w:t>
      </w:r>
      <w:r w:rsidR="00E3637A" w:rsidRPr="00565000">
        <w:rPr>
          <w:lang w:val="fr-FR"/>
        </w:rPr>
        <w:t>)</w:t>
      </w:r>
      <w:r w:rsidR="00E3637A" w:rsidRPr="00565000">
        <w:rPr>
          <w:lang w:val="fr-FR"/>
        </w:rPr>
        <w:tab/>
        <w:t xml:space="preserve">L'Union européenne et l’Organisation pour la Coopération des Chemins de Fer (OSJD); </w:t>
      </w:r>
    </w:p>
    <w:p w:rsidR="00E3637A" w:rsidRPr="00565000" w:rsidRDefault="00E3637A" w:rsidP="00E3637A">
      <w:pPr>
        <w:spacing w:after="120"/>
        <w:ind w:left="1701" w:right="1134" w:hanging="567"/>
        <w:jc w:val="both"/>
        <w:rPr>
          <w:rFonts w:eastAsia="Batang"/>
          <w:lang w:val="fr-FR"/>
        </w:rPr>
      </w:pPr>
      <w:r w:rsidRPr="00565000">
        <w:rPr>
          <w:lang w:val="fr-FR"/>
        </w:rPr>
        <w:tab/>
      </w:r>
      <w:r w:rsidR="00FC0F08" w:rsidRPr="00565000">
        <w:rPr>
          <w:lang w:val="fr-FR"/>
        </w:rPr>
        <w:t>b</w:t>
      </w:r>
      <w:r w:rsidRPr="00565000">
        <w:rPr>
          <w:lang w:val="fr-FR"/>
        </w:rPr>
        <w:t>)</w:t>
      </w:r>
      <w:r w:rsidRPr="00565000">
        <w:rPr>
          <w:lang w:val="fr-FR"/>
        </w:rPr>
        <w:tab/>
        <w:t xml:space="preserve">Les organisations internationales non-gouvernementales suivantes: l'Association européenne des gaz industriels (EIGA), l’Association européenne des gaz de pétrole liquéfiés (AEGPL), le Comité européen de normalisation (CEN), le Comité de liaison de la construction de </w:t>
      </w:r>
      <w:proofErr w:type="spellStart"/>
      <w:r w:rsidRPr="00565000">
        <w:rPr>
          <w:lang w:val="fr-FR"/>
        </w:rPr>
        <w:t>carosseries</w:t>
      </w:r>
      <w:proofErr w:type="spellEnd"/>
      <w:r w:rsidRPr="00565000">
        <w:rPr>
          <w:lang w:val="fr-FR"/>
        </w:rPr>
        <w:t xml:space="preserve"> </w:t>
      </w:r>
      <w:proofErr w:type="spellStart"/>
      <w:r w:rsidRPr="00565000">
        <w:rPr>
          <w:lang w:val="fr-FR"/>
        </w:rPr>
        <w:t>ed</w:t>
      </w:r>
      <w:proofErr w:type="spellEnd"/>
      <w:r w:rsidRPr="00565000">
        <w:rPr>
          <w:lang w:val="fr-FR"/>
        </w:rPr>
        <w:t xml:space="preserve"> de remorques (CLCCR), le Conseil européen de l’industrie chimique (CEFIC), la Conférence européenne des négociants en carburant et combustibles (CENCC), </w:t>
      </w:r>
      <w:proofErr w:type="spellStart"/>
      <w:r w:rsidRPr="00565000">
        <w:rPr>
          <w:lang w:val="fr-FR"/>
        </w:rPr>
        <w:t>European</w:t>
      </w:r>
      <w:proofErr w:type="spellEnd"/>
      <w:r w:rsidRPr="00565000">
        <w:rPr>
          <w:lang w:val="fr-FR"/>
        </w:rPr>
        <w:t xml:space="preserve"> Association of </w:t>
      </w:r>
      <w:proofErr w:type="spellStart"/>
      <w:r w:rsidRPr="00565000">
        <w:rPr>
          <w:lang w:val="fr-FR"/>
        </w:rPr>
        <w:t>Dangerous</w:t>
      </w:r>
      <w:proofErr w:type="spellEnd"/>
      <w:r w:rsidRPr="00565000">
        <w:rPr>
          <w:lang w:val="fr-FR"/>
        </w:rPr>
        <w:t xml:space="preserve"> </w:t>
      </w:r>
      <w:proofErr w:type="spellStart"/>
      <w:r w:rsidRPr="00565000">
        <w:rPr>
          <w:lang w:val="fr-FR"/>
        </w:rPr>
        <w:t>Goods</w:t>
      </w:r>
      <w:proofErr w:type="spellEnd"/>
      <w:r w:rsidRPr="00565000">
        <w:rPr>
          <w:lang w:val="fr-FR"/>
        </w:rPr>
        <w:t xml:space="preserve"> </w:t>
      </w:r>
      <w:proofErr w:type="spellStart"/>
      <w:r w:rsidRPr="00565000">
        <w:rPr>
          <w:lang w:val="fr-FR"/>
        </w:rPr>
        <w:t>Safety</w:t>
      </w:r>
      <w:proofErr w:type="spellEnd"/>
      <w:r w:rsidRPr="00565000">
        <w:rPr>
          <w:lang w:val="fr-FR"/>
        </w:rPr>
        <w:t xml:space="preserve"> </w:t>
      </w:r>
      <w:proofErr w:type="spellStart"/>
      <w:r w:rsidRPr="00565000">
        <w:rPr>
          <w:lang w:val="fr-FR"/>
        </w:rPr>
        <w:t>Advisers</w:t>
      </w:r>
      <w:proofErr w:type="spellEnd"/>
      <w:r w:rsidRPr="00565000">
        <w:rPr>
          <w:lang w:val="fr-FR"/>
        </w:rPr>
        <w:t xml:space="preserve"> (EASA), </w:t>
      </w:r>
      <w:proofErr w:type="spellStart"/>
      <w:r w:rsidRPr="00565000">
        <w:rPr>
          <w:lang w:val="fr-FR"/>
        </w:rPr>
        <w:t>European</w:t>
      </w:r>
      <w:proofErr w:type="spellEnd"/>
      <w:r w:rsidRPr="00565000">
        <w:rPr>
          <w:lang w:val="fr-FR"/>
        </w:rPr>
        <w:t xml:space="preserve"> </w:t>
      </w:r>
      <w:proofErr w:type="spellStart"/>
      <w:r w:rsidRPr="00565000">
        <w:rPr>
          <w:lang w:val="fr-FR"/>
        </w:rPr>
        <w:t>Cylinder</w:t>
      </w:r>
      <w:proofErr w:type="spellEnd"/>
      <w:r w:rsidRPr="00565000">
        <w:rPr>
          <w:lang w:val="fr-FR"/>
        </w:rPr>
        <w:t xml:space="preserve"> </w:t>
      </w:r>
      <w:proofErr w:type="spellStart"/>
      <w:r w:rsidRPr="00565000">
        <w:rPr>
          <w:lang w:val="fr-FR"/>
        </w:rPr>
        <w:t>Makers</w:t>
      </w:r>
      <w:proofErr w:type="spellEnd"/>
      <w:r w:rsidRPr="00565000">
        <w:rPr>
          <w:lang w:val="fr-FR"/>
        </w:rPr>
        <w:t xml:space="preserve"> Association (ECMA), </w:t>
      </w:r>
      <w:proofErr w:type="spellStart"/>
      <w:r w:rsidRPr="00565000">
        <w:rPr>
          <w:lang w:val="fr-FR"/>
        </w:rPr>
        <w:t>Eur</w:t>
      </w:r>
      <w:r w:rsidR="00A61375">
        <w:rPr>
          <w:lang w:val="fr-FR"/>
        </w:rPr>
        <w:t>opean</w:t>
      </w:r>
      <w:proofErr w:type="spellEnd"/>
      <w:r w:rsidR="00A61375">
        <w:rPr>
          <w:lang w:val="fr-FR"/>
        </w:rPr>
        <w:t xml:space="preserve"> </w:t>
      </w:r>
      <w:proofErr w:type="spellStart"/>
      <w:r w:rsidR="00A61375">
        <w:rPr>
          <w:lang w:val="fr-FR"/>
        </w:rPr>
        <w:t>Metal</w:t>
      </w:r>
      <w:proofErr w:type="spellEnd"/>
      <w:r w:rsidR="00A61375">
        <w:rPr>
          <w:lang w:val="fr-FR"/>
        </w:rPr>
        <w:t xml:space="preserve"> Packaging (EMPAC),</w:t>
      </w:r>
      <w:r w:rsidRPr="00565000">
        <w:rPr>
          <w:lang w:val="fr-FR"/>
        </w:rPr>
        <w:t xml:space="preserve"> </w:t>
      </w:r>
      <w:r w:rsidRPr="00565000">
        <w:t xml:space="preserve">la Fédération européenne des activités de la dépollution et de l’environnement (FEAD), </w:t>
      </w:r>
      <w:r w:rsidRPr="00565000">
        <w:rPr>
          <w:bCs/>
          <w:lang w:val="fr-FR"/>
        </w:rPr>
        <w:t>International Tank Container Organisation</w:t>
      </w:r>
      <w:r w:rsidRPr="00565000">
        <w:rPr>
          <w:lang w:val="fr-FR"/>
        </w:rPr>
        <w:t xml:space="preserve"> (</w:t>
      </w:r>
      <w:r w:rsidRPr="00565000">
        <w:rPr>
          <w:bCs/>
          <w:lang w:val="fr-FR"/>
        </w:rPr>
        <w:t>ITCO</w:t>
      </w:r>
      <w:r w:rsidRPr="00565000">
        <w:rPr>
          <w:lang w:val="fr-FR"/>
        </w:rPr>
        <w:t>), l’Organisation internationale des constructeurs d’automobiles (OICA), l’Union internationale des chemins de fer (UIC), l’Union internationale des propriétaires de wagons particuliers (UIP), l’Union internationale des transports routiers (IRU) et l’Union internationale pour le transport combiné Rail-Route.</w:t>
      </w:r>
    </w:p>
    <w:p w:rsidR="00E3637A" w:rsidRPr="00565000" w:rsidRDefault="00E3637A" w:rsidP="00E3637A">
      <w:pPr>
        <w:pStyle w:val="HChG"/>
        <w:spacing w:before="120" w:after="120"/>
      </w:pPr>
      <w:r w:rsidRPr="00565000">
        <w:rPr>
          <w:lang w:val="fr-FR"/>
        </w:rPr>
        <w:tab/>
        <w:t>II.</w:t>
      </w:r>
      <w:r w:rsidRPr="00565000">
        <w:rPr>
          <w:lang w:val="fr-FR"/>
        </w:rPr>
        <w:tab/>
        <w:t>Adoption de l'ordre du jour (point 1 de l’ordre du jour)</w:t>
      </w:r>
    </w:p>
    <w:p w:rsidR="00E3637A" w:rsidRPr="00565000" w:rsidRDefault="00E3637A" w:rsidP="00E3637A">
      <w:pPr>
        <w:pStyle w:val="SingleTxtG"/>
        <w:tabs>
          <w:tab w:val="left" w:pos="3100"/>
        </w:tabs>
        <w:rPr>
          <w:i/>
          <w:lang w:val="fr-FR"/>
        </w:rPr>
      </w:pPr>
      <w:r w:rsidRPr="00565000">
        <w:rPr>
          <w:i/>
          <w:lang w:val="fr-FR"/>
        </w:rPr>
        <w:t>Document:</w:t>
      </w:r>
      <w:r w:rsidRPr="00565000">
        <w:rPr>
          <w:lang w:val="fr-FR"/>
        </w:rPr>
        <w:tab/>
      </w:r>
      <w:r w:rsidRPr="00565000">
        <w:rPr>
          <w:lang w:val="fr-FR"/>
        </w:rPr>
        <w:tab/>
        <w:t>ECE/TRANS/WP.15/AC.1/141 et Add.1</w:t>
      </w:r>
    </w:p>
    <w:p w:rsidR="00E3637A" w:rsidRPr="00565000" w:rsidRDefault="00E3637A" w:rsidP="00E3637A">
      <w:pPr>
        <w:pStyle w:val="SingleTxtG"/>
        <w:tabs>
          <w:tab w:val="left" w:pos="3100"/>
        </w:tabs>
        <w:rPr>
          <w:lang w:val="fr-FR"/>
        </w:rPr>
      </w:pPr>
      <w:r w:rsidRPr="00565000">
        <w:rPr>
          <w:i/>
          <w:lang w:val="fr-FR"/>
        </w:rPr>
        <w:t>Documents informels</w:t>
      </w:r>
      <w:r w:rsidR="00FC0F08" w:rsidRPr="00565000">
        <w:rPr>
          <w:lang w:val="fr-FR"/>
        </w:rPr>
        <w:t xml:space="preserve">: </w:t>
      </w:r>
      <w:r w:rsidR="00FC0F08" w:rsidRPr="00565000">
        <w:rPr>
          <w:lang w:val="fr-FR"/>
        </w:rPr>
        <w:tab/>
      </w:r>
      <w:r w:rsidR="00FC0F08" w:rsidRPr="00565000">
        <w:rPr>
          <w:lang w:val="fr-FR"/>
        </w:rPr>
        <w:tab/>
        <w:t>INF.2</w:t>
      </w:r>
      <w:r w:rsidRPr="00565000">
        <w:rPr>
          <w:lang w:val="fr-FR"/>
        </w:rPr>
        <w:t xml:space="preserve"> et INF.3 (Secrétariat)</w:t>
      </w:r>
    </w:p>
    <w:p w:rsidR="00E3637A" w:rsidRPr="00565000" w:rsidRDefault="00E3637A" w:rsidP="00E3637A">
      <w:pPr>
        <w:spacing w:after="120"/>
        <w:ind w:left="1134" w:right="1134"/>
        <w:jc w:val="both"/>
      </w:pPr>
      <w:r w:rsidRPr="00565000">
        <w:rPr>
          <w:lang w:val="fr-FR"/>
        </w:rPr>
        <w:t>4.</w:t>
      </w:r>
      <w:r w:rsidRPr="00565000">
        <w:rPr>
          <w:lang w:val="fr-FR"/>
        </w:rPr>
        <w:tab/>
        <w:t xml:space="preserve">La Réunion commune a adopté l’ordre du jour proposé par le secrétariat dans les documents ECE/TRANS/WP.15/AC.1/141 et additif 1 (lettre </w:t>
      </w:r>
      <w:r w:rsidRPr="00565000">
        <w:rPr>
          <w:iCs/>
          <w:lang w:val="fr-FR"/>
        </w:rPr>
        <w:t xml:space="preserve">A </w:t>
      </w:r>
      <w:r w:rsidRPr="00565000">
        <w:rPr>
          <w:lang w:val="fr-FR"/>
        </w:rPr>
        <w:t>81-02/502.2016</w:t>
      </w:r>
      <w:r w:rsidRPr="00565000">
        <w:rPr>
          <w:i/>
          <w:lang w:val="fr-FR"/>
        </w:rPr>
        <w:t xml:space="preserve"> </w:t>
      </w:r>
      <w:r w:rsidRPr="00565000">
        <w:rPr>
          <w:lang w:val="fr-FR"/>
        </w:rPr>
        <w:t>de l’OTIF) tels que mis à jour par le</w:t>
      </w:r>
      <w:r w:rsidR="00FC0F08" w:rsidRPr="00565000">
        <w:rPr>
          <w:lang w:val="fr-FR"/>
        </w:rPr>
        <w:t xml:space="preserve"> document informel </w:t>
      </w:r>
      <w:r w:rsidRPr="00565000">
        <w:rPr>
          <w:lang w:val="fr-FR"/>
        </w:rPr>
        <w:t>INF.2.</w:t>
      </w:r>
    </w:p>
    <w:p w:rsidR="00E3637A" w:rsidRPr="00565000" w:rsidRDefault="00E3637A" w:rsidP="00E3637A">
      <w:pPr>
        <w:pStyle w:val="HChG"/>
      </w:pPr>
      <w:r w:rsidRPr="00565000">
        <w:tab/>
        <w:t>III.</w:t>
      </w:r>
      <w:r w:rsidRPr="00565000">
        <w:tab/>
        <w:t>Citernes (point 2 de l’ordre du jour)</w:t>
      </w:r>
    </w:p>
    <w:p w:rsidR="00E3637A" w:rsidRPr="00565000" w:rsidRDefault="00E3637A" w:rsidP="00E3637A">
      <w:pPr>
        <w:pStyle w:val="SingleTxtG"/>
        <w:spacing w:after="0"/>
        <w:ind w:left="3402" w:hanging="2268"/>
        <w:rPr>
          <w:lang w:val="fr-FR"/>
        </w:rPr>
      </w:pPr>
      <w:r w:rsidRPr="00565000">
        <w:rPr>
          <w:i/>
          <w:lang w:val="fr-FR"/>
        </w:rPr>
        <w:t>Documents</w:t>
      </w:r>
      <w:r w:rsidRPr="00565000">
        <w:rPr>
          <w:lang w:val="fr-FR"/>
        </w:rPr>
        <w:t xml:space="preserve">: </w:t>
      </w:r>
      <w:r w:rsidRPr="00565000">
        <w:rPr>
          <w:lang w:val="fr-FR"/>
        </w:rPr>
        <w:tab/>
      </w:r>
      <w:r w:rsidRPr="00565000">
        <w:rPr>
          <w:lang w:val="fr-FR"/>
        </w:rPr>
        <w:tab/>
        <w:t>ECE/TRANS/WP.15/AC.1/140/Add.2(Rapport du Groupe de travail sur les citernes à la session d’automne 2015)</w:t>
      </w:r>
    </w:p>
    <w:p w:rsidR="00E3637A" w:rsidRPr="00565000" w:rsidRDefault="00E3637A" w:rsidP="00E3637A">
      <w:pPr>
        <w:pStyle w:val="SingleTxtG"/>
        <w:spacing w:after="0"/>
        <w:ind w:left="3402" w:hanging="2268"/>
        <w:rPr>
          <w:lang w:val="fr-FR"/>
        </w:rPr>
      </w:pPr>
      <w:r w:rsidRPr="00565000">
        <w:rPr>
          <w:lang w:val="fr-FR"/>
        </w:rPr>
        <w:tab/>
        <w:t>ECE/TRANS/WP.15/AC.1/2016/10 (Roumanie) (Définitions de l’acier de référence et de l’acier doux)</w:t>
      </w:r>
    </w:p>
    <w:p w:rsidR="00E3637A" w:rsidRPr="00565000" w:rsidRDefault="00E3637A" w:rsidP="00E3637A">
      <w:pPr>
        <w:pStyle w:val="SingleTxtG"/>
        <w:spacing w:after="0" w:line="240" w:lineRule="auto"/>
        <w:ind w:left="3402"/>
      </w:pPr>
      <w:r w:rsidRPr="00565000">
        <w:lastRenderedPageBreak/>
        <w:t>ECE/TRANS/WP.15/AC.1/2016/11 (Norvège) (CGEM et conteneurs-citernes)</w:t>
      </w:r>
    </w:p>
    <w:p w:rsidR="00E3637A" w:rsidRPr="00565000" w:rsidRDefault="00E3637A" w:rsidP="00E3637A">
      <w:pPr>
        <w:pStyle w:val="SingleTxtG"/>
        <w:ind w:left="3402"/>
      </w:pPr>
      <w:r w:rsidRPr="00565000">
        <w:t>ECE/TRANS/WP.15/AC.1/2016/12 (Royaume-Uni) ((Citernes: épreuve de pression au moyen de gaz) ECE/TRANS/WP.15/AC.1/2016/13 (Royaume-Uni) (Citernes: groupe de travail informel sur le contrôle et l’agrément des citernes)ECE/TRANS/WP.15/AC.1/2016/17 (Suisse) (Clarification de la définition de la pression maximale de service d’une citerne)</w:t>
      </w:r>
    </w:p>
    <w:p w:rsidR="00E3637A" w:rsidRPr="00565000" w:rsidRDefault="00E3637A" w:rsidP="00E3637A">
      <w:pPr>
        <w:pStyle w:val="SingleTxtG"/>
        <w:tabs>
          <w:tab w:val="left" w:pos="3100"/>
        </w:tabs>
        <w:spacing w:after="0"/>
        <w:ind w:left="3402" w:hanging="2268"/>
        <w:rPr>
          <w:lang w:val="fr-FR"/>
        </w:rPr>
      </w:pPr>
      <w:r w:rsidRPr="00565000">
        <w:rPr>
          <w:i/>
          <w:lang w:val="fr-FR"/>
        </w:rPr>
        <w:t>Documents informels</w:t>
      </w:r>
      <w:r w:rsidRPr="00565000">
        <w:rPr>
          <w:lang w:val="fr-FR"/>
        </w:rPr>
        <w:t xml:space="preserve">: </w:t>
      </w:r>
      <w:r w:rsidRPr="00565000">
        <w:rPr>
          <w:lang w:val="fr-FR"/>
        </w:rPr>
        <w:tab/>
      </w:r>
      <w:r w:rsidRPr="00565000">
        <w:rPr>
          <w:lang w:val="fr-FR"/>
        </w:rPr>
        <w:tab/>
        <w:t xml:space="preserve">INF.5 (Secrétariat de l’OTIF) (Conclusions de la cinquième session du Groupe de travail permanent de la Commission d’experts du RID, paragraphes 30 à 33) </w:t>
      </w:r>
    </w:p>
    <w:p w:rsidR="00E3637A" w:rsidRPr="00565000" w:rsidRDefault="00E3637A" w:rsidP="00E3637A">
      <w:pPr>
        <w:pStyle w:val="SingleTxtG"/>
        <w:tabs>
          <w:tab w:val="left" w:pos="3100"/>
        </w:tabs>
        <w:spacing w:after="0"/>
        <w:rPr>
          <w:lang w:val="fr-FR"/>
        </w:rPr>
      </w:pPr>
      <w:r w:rsidRPr="00565000">
        <w:rPr>
          <w:lang w:val="fr-FR"/>
        </w:rPr>
        <w:tab/>
      </w:r>
      <w:r w:rsidRPr="00565000">
        <w:rPr>
          <w:lang w:val="fr-FR"/>
        </w:rPr>
        <w:tab/>
        <w:t xml:space="preserve">INF.10 (CEN) (Demande d’avis (à l’attention du Groupe de </w:t>
      </w:r>
      <w:r w:rsidRPr="00565000">
        <w:rPr>
          <w:lang w:val="fr-FR"/>
        </w:rPr>
        <w:tab/>
      </w:r>
      <w:r w:rsidRPr="00565000">
        <w:rPr>
          <w:lang w:val="fr-FR"/>
        </w:rPr>
        <w:tab/>
        <w:t>travail sur les citernes)</w:t>
      </w:r>
    </w:p>
    <w:p w:rsidR="00E3637A" w:rsidRPr="00565000" w:rsidRDefault="00E3637A" w:rsidP="00E3637A">
      <w:pPr>
        <w:pStyle w:val="SingleTxtG"/>
        <w:tabs>
          <w:tab w:val="left" w:pos="3100"/>
        </w:tabs>
        <w:spacing w:after="0"/>
        <w:ind w:left="3402"/>
        <w:rPr>
          <w:lang w:val="fr-FR"/>
        </w:rPr>
      </w:pPr>
      <w:r w:rsidRPr="00565000">
        <w:rPr>
          <w:lang w:val="fr-FR"/>
        </w:rPr>
        <w:t>INF.12 (Pays-Bas) (Questions diverses sur les citernes))</w:t>
      </w:r>
    </w:p>
    <w:p w:rsidR="00E3637A" w:rsidRPr="00565000" w:rsidRDefault="00E3637A" w:rsidP="00E3637A">
      <w:pPr>
        <w:pStyle w:val="SingleTxtG"/>
        <w:tabs>
          <w:tab w:val="left" w:pos="3100"/>
        </w:tabs>
        <w:spacing w:after="0"/>
        <w:ind w:left="3402"/>
        <w:rPr>
          <w:lang w:val="fr-FR"/>
        </w:rPr>
      </w:pPr>
      <w:r w:rsidRPr="00565000">
        <w:rPr>
          <w:lang w:val="fr-FR"/>
        </w:rPr>
        <w:tab/>
        <w:t>INF.13 (Pays-Bas) (Soupapes de sécurité et disques de rupture)</w:t>
      </w:r>
    </w:p>
    <w:p w:rsidR="00E3637A" w:rsidRPr="00565000" w:rsidRDefault="00E3637A" w:rsidP="00E3637A">
      <w:pPr>
        <w:pStyle w:val="SingleTxtG"/>
        <w:spacing w:after="0"/>
        <w:ind w:left="3402"/>
      </w:pPr>
      <w:r w:rsidRPr="00565000">
        <w:rPr>
          <w:lang w:val="fr-FR"/>
        </w:rPr>
        <w:tab/>
        <w:t>INF.16 (fédération de Russie) (Dispositions TU21 et TU16 du chapitre 4.3)</w:t>
      </w:r>
    </w:p>
    <w:p w:rsidR="00E3637A" w:rsidRPr="00565000" w:rsidRDefault="00F57D70" w:rsidP="00E3637A">
      <w:pPr>
        <w:pStyle w:val="SingleTxtG"/>
        <w:tabs>
          <w:tab w:val="left" w:pos="3100"/>
        </w:tabs>
        <w:spacing w:after="0"/>
        <w:ind w:left="3402" w:hanging="2268"/>
        <w:rPr>
          <w:lang w:val="fr-FR"/>
        </w:rPr>
      </w:pPr>
      <w:r>
        <w:rPr>
          <w:lang w:val="fr-FR"/>
        </w:rPr>
        <w:tab/>
      </w:r>
      <w:r>
        <w:rPr>
          <w:lang w:val="fr-FR"/>
        </w:rPr>
        <w:tab/>
        <w:t xml:space="preserve">INF.17 (Royaume-Uni) </w:t>
      </w:r>
      <w:r w:rsidR="00E3637A" w:rsidRPr="00565000">
        <w:rPr>
          <w:lang w:val="fr-FR"/>
        </w:rPr>
        <w:t>(Groupe de travail informel sur le contrôle et l’agrément des citernes)</w:t>
      </w:r>
    </w:p>
    <w:p w:rsidR="00E3637A" w:rsidRPr="00565000" w:rsidRDefault="00E3637A" w:rsidP="00E3637A">
      <w:pPr>
        <w:pStyle w:val="SingleTxtG"/>
        <w:tabs>
          <w:tab w:val="left" w:pos="3100"/>
        </w:tabs>
        <w:spacing w:after="0"/>
        <w:ind w:left="3402" w:hanging="2268"/>
        <w:rPr>
          <w:lang w:val="fr-FR"/>
        </w:rPr>
      </w:pPr>
      <w:r w:rsidRPr="00565000">
        <w:rPr>
          <w:lang w:val="fr-FR"/>
        </w:rPr>
        <w:tab/>
      </w:r>
      <w:r w:rsidRPr="00565000">
        <w:rPr>
          <w:lang w:val="fr-FR"/>
        </w:rPr>
        <w:tab/>
        <w:t>INF.18 (EIGA) (Equipement de service des citernes)</w:t>
      </w:r>
    </w:p>
    <w:p w:rsidR="00FC0F08" w:rsidRPr="00565000" w:rsidRDefault="00E3637A" w:rsidP="00E3637A">
      <w:pPr>
        <w:pStyle w:val="SingleTxtG"/>
        <w:spacing w:after="0"/>
        <w:ind w:left="3402"/>
      </w:pPr>
      <w:r w:rsidRPr="00565000">
        <w:rPr>
          <w:lang w:val="fr-FR"/>
        </w:rPr>
        <w:tab/>
        <w:t xml:space="preserve">INF.21 (UIC/CEFIC) (Transport de citernes, véhicules/wagons </w:t>
      </w:r>
      <w:r w:rsidRPr="00565000">
        <w:t xml:space="preserve">batteries et CGEM  avant l’expiration du délai pour les contrôles périodiques et intermédiaires) </w:t>
      </w:r>
    </w:p>
    <w:p w:rsidR="00FC0F08" w:rsidRPr="00565000" w:rsidRDefault="00E3637A" w:rsidP="00E3637A">
      <w:pPr>
        <w:pStyle w:val="SingleTxtG"/>
        <w:spacing w:after="0"/>
        <w:ind w:left="3402"/>
      </w:pPr>
      <w:r w:rsidRPr="00565000">
        <w:t>INF.34 (Fédération de Russie (5.4.1.2.2, documentation- Dispositions supplémentaires pour la classe 2)</w:t>
      </w:r>
    </w:p>
    <w:p w:rsidR="00FC0F08" w:rsidRPr="00565000" w:rsidRDefault="00E3637A" w:rsidP="00E3637A">
      <w:pPr>
        <w:pStyle w:val="SingleTxtG"/>
        <w:spacing w:after="0"/>
        <w:ind w:left="3402"/>
      </w:pPr>
      <w:r w:rsidRPr="00565000">
        <w:t xml:space="preserve">INF.36 (Secrétariat de l’OTIF) (Disposition spéciale 640) </w:t>
      </w:r>
    </w:p>
    <w:p w:rsidR="00FC0F08" w:rsidRPr="00565000" w:rsidRDefault="00FC0F08" w:rsidP="00FC0F08">
      <w:pPr>
        <w:pStyle w:val="SingleTxtG"/>
        <w:spacing w:after="0"/>
        <w:ind w:left="3402"/>
      </w:pPr>
      <w:r w:rsidRPr="00565000">
        <w:t xml:space="preserve">INF.38 (AEGPL) (Questions diverses relatives aux citernes) </w:t>
      </w:r>
    </w:p>
    <w:p w:rsidR="00FC0F08" w:rsidRPr="00565000" w:rsidRDefault="00E3637A" w:rsidP="00E3637A">
      <w:pPr>
        <w:pStyle w:val="SingleTxtG"/>
        <w:spacing w:after="0"/>
        <w:ind w:left="3402"/>
      </w:pPr>
      <w:r w:rsidRPr="00565000">
        <w:t>INF. 39 (AEGPL) (soupapes de sécurité et disques de rupture) INF.45 (France) (</w:t>
      </w:r>
      <w:r w:rsidR="005123B8">
        <w:t>Traduction française du terme «</w:t>
      </w:r>
      <w:proofErr w:type="spellStart"/>
      <w:r w:rsidRPr="00565000">
        <w:t>vapour</w:t>
      </w:r>
      <w:proofErr w:type="spellEnd"/>
      <w:r w:rsidRPr="00565000">
        <w:t xml:space="preserve"> </w:t>
      </w:r>
      <w:proofErr w:type="spellStart"/>
      <w:r w:rsidR="005123B8">
        <w:t>space</w:t>
      </w:r>
      <w:proofErr w:type="spellEnd"/>
      <w:r w:rsidRPr="00565000">
        <w:t xml:space="preserve">») </w:t>
      </w:r>
    </w:p>
    <w:p w:rsidR="00FC0F08" w:rsidRPr="00565000" w:rsidRDefault="00E3637A" w:rsidP="00E3637A">
      <w:pPr>
        <w:pStyle w:val="SingleTxtG"/>
        <w:spacing w:after="0"/>
        <w:ind w:left="3402"/>
      </w:pPr>
      <w:r w:rsidRPr="00565000">
        <w:t xml:space="preserve">INF.46 (Allemagne) (Normes 14432 et EN 14433 pour les citernes métalliques avec pression de service ne dépassant pas 0,5 bar) </w:t>
      </w:r>
      <w:r w:rsidR="00FC0F08" w:rsidRPr="00565000">
        <w:t>(retiré)</w:t>
      </w:r>
    </w:p>
    <w:p w:rsidR="00FC0F08" w:rsidRPr="00565000" w:rsidRDefault="00E3637A" w:rsidP="00E3637A">
      <w:pPr>
        <w:pStyle w:val="SingleTxtG"/>
        <w:spacing w:after="0"/>
        <w:ind w:left="3402"/>
      </w:pPr>
      <w:r w:rsidRPr="00565000">
        <w:t xml:space="preserve">INF.48 (Royaume-Uni) (Véhicules-citernes routiers mal construits et agréés à tort) </w:t>
      </w:r>
    </w:p>
    <w:p w:rsidR="00E3637A" w:rsidRPr="00565000" w:rsidRDefault="00E3637A" w:rsidP="00E3637A">
      <w:pPr>
        <w:pStyle w:val="SingleTxtG"/>
        <w:spacing w:after="0"/>
        <w:ind w:left="3402"/>
        <w:rPr>
          <w:lang w:val="fr-FR"/>
        </w:rPr>
      </w:pPr>
      <w:r w:rsidRPr="00565000">
        <w:t>INF.49 (France) (Commentaires sur le document ECE/TRANS/WP.15/AC.1/2016/17 de la Suisse)</w:t>
      </w:r>
    </w:p>
    <w:p w:rsidR="00E3637A" w:rsidRPr="00565000" w:rsidRDefault="00E3637A" w:rsidP="00E3637A">
      <w:pPr>
        <w:spacing w:before="120" w:after="120"/>
        <w:ind w:left="1134" w:right="1134"/>
        <w:jc w:val="both"/>
        <w:rPr>
          <w:lang w:val="fr-FR"/>
        </w:rPr>
      </w:pPr>
      <w:r w:rsidRPr="00565000">
        <w:rPr>
          <w:lang w:val="fr-FR"/>
        </w:rPr>
        <w:t>5.</w:t>
      </w:r>
      <w:r w:rsidRPr="00565000">
        <w:rPr>
          <w:lang w:val="fr-FR"/>
        </w:rPr>
        <w:tab/>
        <w:t>L’examen de ces documents a été confié à un Groupe de travail qui s’est réuni du 14 au 16 mars sous la présidence de M. A. Bale (Royaume-Uni).</w:t>
      </w:r>
    </w:p>
    <w:p w:rsidR="00EF6AD0" w:rsidRPr="001816D2" w:rsidRDefault="00EF6AD0" w:rsidP="00EF6AD0">
      <w:pPr>
        <w:pStyle w:val="H1G"/>
        <w:rPr>
          <w:sz w:val="20"/>
        </w:rPr>
      </w:pPr>
      <w:r w:rsidRPr="001816D2">
        <w:rPr>
          <w:sz w:val="20"/>
        </w:rPr>
        <w:tab/>
      </w:r>
      <w:r w:rsidRPr="001816D2">
        <w:rPr>
          <w:sz w:val="20"/>
        </w:rPr>
        <w:tab/>
        <w:t xml:space="preserve">Rapport du Groupe de travail sur les citernes </w:t>
      </w:r>
    </w:p>
    <w:p w:rsidR="00EF6AD0" w:rsidRPr="00565000" w:rsidRDefault="00EF6AD0" w:rsidP="00EF6AD0">
      <w:pPr>
        <w:spacing w:before="120"/>
        <w:ind w:left="1134"/>
        <w:jc w:val="both"/>
        <w:rPr>
          <w:szCs w:val="24"/>
        </w:rPr>
      </w:pPr>
      <w:r w:rsidRPr="00565000">
        <w:rPr>
          <w:i/>
          <w:szCs w:val="24"/>
        </w:rPr>
        <w:t>Document informel:</w:t>
      </w:r>
      <w:r w:rsidR="00FC0F08" w:rsidRPr="00565000">
        <w:rPr>
          <w:szCs w:val="24"/>
        </w:rPr>
        <w:t xml:space="preserve"> </w:t>
      </w:r>
      <w:r w:rsidR="00FC0F08" w:rsidRPr="00565000">
        <w:rPr>
          <w:szCs w:val="24"/>
        </w:rPr>
        <w:tab/>
      </w:r>
      <w:r w:rsidR="00FC0F08" w:rsidRPr="00565000">
        <w:rPr>
          <w:szCs w:val="24"/>
        </w:rPr>
        <w:tab/>
        <w:t>INF.61</w:t>
      </w:r>
    </w:p>
    <w:p w:rsidR="00EF6AD0" w:rsidRPr="00565000" w:rsidRDefault="00FC0F08" w:rsidP="00EF6AD0">
      <w:pPr>
        <w:pStyle w:val="SingleTxtG"/>
        <w:spacing w:before="240" w:after="0"/>
      </w:pPr>
      <w:r w:rsidRPr="00565000">
        <w:t>6</w:t>
      </w:r>
      <w:r w:rsidR="00EF6AD0" w:rsidRPr="00565000">
        <w:t>.</w:t>
      </w:r>
      <w:r w:rsidR="00EF6AD0" w:rsidRPr="00565000">
        <w:tab/>
        <w:t xml:space="preserve">La Réunion commune a entériné les conclusions et recommandations du Groupe de travail dont le </w:t>
      </w:r>
      <w:r w:rsidRPr="00565000">
        <w:t>rapport est reproduit en annexe I comme additif 1</w:t>
      </w:r>
      <w:r w:rsidR="00EF6AD0" w:rsidRPr="00565000">
        <w:t xml:space="preserve"> au présent rapport avec ou sans réserve des commentaires ci-dessous. Les textes adoptés sont reproduits en annexe</w:t>
      </w:r>
      <w:r w:rsidRPr="00565000">
        <w:t xml:space="preserve">s II et III </w:t>
      </w:r>
      <w:r w:rsidR="00EF6AD0" w:rsidRPr="00565000">
        <w:t>au présent rapport, étant donné que la Réunion commune est convenue que tous les amendements proposés devraient entrer en vigueur en 2017.</w:t>
      </w:r>
    </w:p>
    <w:p w:rsidR="00EF6AD0" w:rsidRPr="00565000" w:rsidRDefault="00FC0F08" w:rsidP="00EF6AD0">
      <w:pPr>
        <w:pStyle w:val="SingleTxtG"/>
        <w:spacing w:before="240" w:after="0"/>
      </w:pPr>
      <w:r w:rsidRPr="00565000">
        <w:lastRenderedPageBreak/>
        <w:t>7</w:t>
      </w:r>
      <w:r w:rsidR="00EF6AD0" w:rsidRPr="00565000">
        <w:t>.</w:t>
      </w:r>
      <w:r w:rsidR="00EF6AD0" w:rsidRPr="00565000">
        <w:tab/>
        <w:t xml:space="preserve">Certaines délégations ont </w:t>
      </w:r>
      <w:r w:rsidR="001816D2">
        <w:t>émis des objections</w:t>
      </w:r>
      <w:r w:rsidR="00EF6AD0" w:rsidRPr="00565000">
        <w:t xml:space="preserve"> aux propositions 8, 9 et 10 concernant le transport de citernes, wagons-batteries/véhicules-batteries et CGEM après l’expiration des dates butoirs pour les contrôles périodiques. Mises aux voix, ces propositions ont été adoptées.</w:t>
      </w:r>
      <w:r w:rsidRPr="00565000">
        <w:t xml:space="preserve"> La Réunion commune est convenue que le groupe de travail informel sur les contrôles et la certification des citernes pourrait poursuivre ses travaux.</w:t>
      </w:r>
    </w:p>
    <w:p w:rsidR="00EF6AD0" w:rsidRPr="00565000" w:rsidRDefault="00FC0F08" w:rsidP="00EF6AD0">
      <w:pPr>
        <w:pStyle w:val="HChG"/>
      </w:pPr>
      <w:r w:rsidRPr="00565000">
        <w:tab/>
      </w:r>
      <w:r w:rsidR="00EF6AD0" w:rsidRPr="00565000">
        <w:t>IV.</w:t>
      </w:r>
      <w:r w:rsidR="00EF6AD0" w:rsidRPr="00565000">
        <w:tab/>
        <w:t>Normes (point 3 de l’ordre du jour)</w:t>
      </w:r>
    </w:p>
    <w:p w:rsidR="00EF6AD0" w:rsidRPr="00565000" w:rsidRDefault="00EF6AD0" w:rsidP="00EF6AD0">
      <w:pPr>
        <w:spacing w:before="120" w:after="120"/>
        <w:ind w:left="3402" w:right="1134" w:hanging="2268"/>
        <w:jc w:val="both"/>
        <w:rPr>
          <w:szCs w:val="24"/>
        </w:rPr>
      </w:pPr>
      <w:r w:rsidRPr="00565000">
        <w:rPr>
          <w:i/>
          <w:szCs w:val="24"/>
        </w:rPr>
        <w:t>Documents:</w:t>
      </w:r>
      <w:r w:rsidRPr="00565000">
        <w:rPr>
          <w:szCs w:val="24"/>
        </w:rPr>
        <w:t xml:space="preserve"> </w:t>
      </w:r>
      <w:r w:rsidRPr="00565000">
        <w:rPr>
          <w:szCs w:val="24"/>
        </w:rPr>
        <w:tab/>
        <w:t>ECE/TRANS/WP.15/AC.1/2016/1 (Allemagne) (Nouvelle édition de la norme ISO 9001)</w:t>
      </w:r>
      <w:r w:rsidRPr="00565000">
        <w:rPr>
          <w:szCs w:val="24"/>
        </w:rPr>
        <w:tab/>
        <w:t>ECE/TRANS/WP.15/AC.1/2016/5 (CEN) (Travaux du CEN)</w:t>
      </w:r>
      <w:r w:rsidRPr="00565000">
        <w:rPr>
          <w:i/>
          <w:szCs w:val="24"/>
        </w:rPr>
        <w:t xml:space="preserve"> </w:t>
      </w:r>
    </w:p>
    <w:p w:rsidR="001816D2" w:rsidRDefault="00EF6AD0" w:rsidP="001816D2">
      <w:pPr>
        <w:ind w:left="1134" w:right="1134"/>
        <w:jc w:val="both"/>
        <w:rPr>
          <w:szCs w:val="24"/>
        </w:rPr>
      </w:pPr>
      <w:r w:rsidRPr="00565000">
        <w:rPr>
          <w:i/>
          <w:szCs w:val="24"/>
        </w:rPr>
        <w:t>Document</w:t>
      </w:r>
      <w:r w:rsidR="001816D2">
        <w:rPr>
          <w:i/>
          <w:szCs w:val="24"/>
        </w:rPr>
        <w:t>s</w:t>
      </w:r>
      <w:r w:rsidRPr="00565000">
        <w:rPr>
          <w:i/>
          <w:szCs w:val="24"/>
        </w:rPr>
        <w:t xml:space="preserve"> informel</w:t>
      </w:r>
      <w:r w:rsidR="001816D2">
        <w:rPr>
          <w:i/>
          <w:szCs w:val="24"/>
        </w:rPr>
        <w:t>s</w:t>
      </w:r>
      <w:r w:rsidRPr="00565000">
        <w:rPr>
          <w:i/>
          <w:szCs w:val="24"/>
        </w:rPr>
        <w:t>:</w:t>
      </w:r>
      <w:r w:rsidR="001816D2">
        <w:rPr>
          <w:szCs w:val="24"/>
        </w:rPr>
        <w:t xml:space="preserve"> </w:t>
      </w:r>
      <w:r w:rsidR="001816D2">
        <w:rPr>
          <w:szCs w:val="24"/>
        </w:rPr>
        <w:tab/>
      </w:r>
      <w:r w:rsidRPr="00565000">
        <w:rPr>
          <w:szCs w:val="24"/>
        </w:rPr>
        <w:t>INF.30 (CEN)</w:t>
      </w:r>
      <w:r w:rsidR="00FC0F08" w:rsidRPr="00565000">
        <w:rPr>
          <w:szCs w:val="24"/>
        </w:rPr>
        <w:t xml:space="preserve"> </w:t>
      </w:r>
    </w:p>
    <w:p w:rsidR="00EF6AD0" w:rsidRPr="00565000" w:rsidRDefault="001816D2" w:rsidP="001816D2">
      <w:pPr>
        <w:spacing w:after="120"/>
        <w:ind w:left="3402" w:right="1134" w:hanging="2268"/>
        <w:jc w:val="both"/>
        <w:rPr>
          <w:szCs w:val="24"/>
        </w:rPr>
      </w:pPr>
      <w:r>
        <w:rPr>
          <w:szCs w:val="24"/>
        </w:rPr>
        <w:tab/>
      </w:r>
      <w:r w:rsidR="00EF6AD0" w:rsidRPr="00565000">
        <w:rPr>
          <w:szCs w:val="24"/>
        </w:rPr>
        <w:t xml:space="preserve">INF.47 (Autriche) (Nouvelles éditions de </w:t>
      </w:r>
      <w:r w:rsidR="00EF6AD0" w:rsidRPr="00565000">
        <w:rPr>
          <w:szCs w:val="24"/>
        </w:rPr>
        <w:tab/>
        <w:t>normes)</w:t>
      </w:r>
    </w:p>
    <w:p w:rsidR="00EF6AD0" w:rsidRPr="00565000" w:rsidRDefault="00FC0F08" w:rsidP="00EF6AD0">
      <w:pPr>
        <w:spacing w:before="120" w:after="120"/>
        <w:ind w:left="1134" w:right="1134"/>
        <w:jc w:val="both"/>
        <w:rPr>
          <w:szCs w:val="24"/>
        </w:rPr>
      </w:pPr>
      <w:r w:rsidRPr="00565000">
        <w:rPr>
          <w:szCs w:val="24"/>
        </w:rPr>
        <w:t>8</w:t>
      </w:r>
      <w:r w:rsidR="00EF6AD0" w:rsidRPr="00565000">
        <w:rPr>
          <w:szCs w:val="24"/>
        </w:rPr>
        <w:t>.</w:t>
      </w:r>
      <w:r w:rsidR="00EF6AD0" w:rsidRPr="00565000">
        <w:rPr>
          <w:szCs w:val="24"/>
        </w:rPr>
        <w:tab/>
        <w:t xml:space="preserve">L’examen de ces documents a été confié au Groupe de travail sur les normes qui s’est réuni pendant les pauses </w:t>
      </w:r>
      <w:proofErr w:type="gramStart"/>
      <w:r w:rsidR="00EF6AD0" w:rsidRPr="00565000">
        <w:rPr>
          <w:szCs w:val="24"/>
        </w:rPr>
        <w:t>déjeuner</w:t>
      </w:r>
      <w:proofErr w:type="gramEnd"/>
      <w:r w:rsidRPr="00565000">
        <w:rPr>
          <w:szCs w:val="24"/>
        </w:rPr>
        <w:t xml:space="preserve"> et en soirée</w:t>
      </w:r>
      <w:r w:rsidR="00EF6AD0" w:rsidRPr="00565000">
        <w:rPr>
          <w:szCs w:val="24"/>
        </w:rPr>
        <w:t>.</w:t>
      </w:r>
    </w:p>
    <w:p w:rsidR="00EF6AD0" w:rsidRPr="00565000" w:rsidRDefault="00FC0F08" w:rsidP="00EF6AD0">
      <w:pPr>
        <w:spacing w:before="120" w:after="120"/>
        <w:ind w:left="1134" w:right="1134"/>
        <w:jc w:val="both"/>
        <w:rPr>
          <w:szCs w:val="24"/>
        </w:rPr>
      </w:pPr>
      <w:r w:rsidRPr="00565000">
        <w:rPr>
          <w:szCs w:val="24"/>
        </w:rPr>
        <w:t>9</w:t>
      </w:r>
      <w:r w:rsidR="00EF6AD0" w:rsidRPr="00565000">
        <w:rPr>
          <w:szCs w:val="24"/>
        </w:rPr>
        <w:t>.</w:t>
      </w:r>
      <w:r w:rsidR="00EF6AD0" w:rsidRPr="00565000">
        <w:rPr>
          <w:szCs w:val="24"/>
        </w:rPr>
        <w:tab/>
        <w:t xml:space="preserve">La Réunion commune a noté avec satisfaction que M. D. </w:t>
      </w:r>
      <w:proofErr w:type="spellStart"/>
      <w:r w:rsidR="00EF6AD0" w:rsidRPr="00565000">
        <w:rPr>
          <w:szCs w:val="24"/>
        </w:rPr>
        <w:t>Teasdale</w:t>
      </w:r>
      <w:proofErr w:type="spellEnd"/>
      <w:r w:rsidR="00EF6AD0" w:rsidRPr="00565000">
        <w:rPr>
          <w:szCs w:val="24"/>
        </w:rPr>
        <w:t xml:space="preserve"> avait été recruté comme consultant CEN pour faciliter la coopération entre la Réunion commune et le CEN. Sur proposition du représentant du Royaume-Uni, elle a décidé de nommer M. C. </w:t>
      </w:r>
      <w:proofErr w:type="spellStart"/>
      <w:r w:rsidR="00EF6AD0" w:rsidRPr="00565000">
        <w:rPr>
          <w:szCs w:val="24"/>
        </w:rPr>
        <w:t>Jubb</w:t>
      </w:r>
      <w:proofErr w:type="spellEnd"/>
      <w:r w:rsidR="00EF6AD0" w:rsidRPr="00565000">
        <w:rPr>
          <w:szCs w:val="24"/>
        </w:rPr>
        <w:t xml:space="preserve"> (Royaume-Uni) président du Groupe de travail sur les normes pour une période de </w:t>
      </w:r>
      <w:r w:rsidRPr="00565000">
        <w:rPr>
          <w:szCs w:val="24"/>
        </w:rPr>
        <w:t>deux</w:t>
      </w:r>
      <w:r w:rsidR="00EF6AD0" w:rsidRPr="00565000">
        <w:rPr>
          <w:szCs w:val="24"/>
        </w:rPr>
        <w:t xml:space="preserve"> ans.</w:t>
      </w:r>
    </w:p>
    <w:p w:rsidR="00EF6AD0" w:rsidRPr="00565000" w:rsidRDefault="00EF6AD0" w:rsidP="00EF6AD0">
      <w:pPr>
        <w:pStyle w:val="SingleTxtG"/>
        <w:spacing w:before="120"/>
        <w:ind w:left="709"/>
        <w:rPr>
          <w:b/>
        </w:rPr>
      </w:pPr>
      <w:r w:rsidRPr="00565000">
        <w:rPr>
          <w:b/>
        </w:rPr>
        <w:tab/>
        <w:t>Rapport du Groupe de travail sur les normes</w:t>
      </w:r>
    </w:p>
    <w:p w:rsidR="00EF6AD0" w:rsidRPr="00565000" w:rsidRDefault="00EF6AD0" w:rsidP="00EF6AD0">
      <w:pPr>
        <w:spacing w:before="120"/>
        <w:ind w:left="3402" w:right="1134" w:hanging="2268"/>
        <w:jc w:val="both"/>
        <w:rPr>
          <w:szCs w:val="24"/>
        </w:rPr>
      </w:pPr>
      <w:r w:rsidRPr="00565000">
        <w:rPr>
          <w:i/>
          <w:szCs w:val="24"/>
        </w:rPr>
        <w:t>Document informel:</w:t>
      </w:r>
      <w:r w:rsidRPr="00565000">
        <w:rPr>
          <w:szCs w:val="24"/>
        </w:rPr>
        <w:t xml:space="preserve"> </w:t>
      </w:r>
      <w:r w:rsidRPr="00565000">
        <w:rPr>
          <w:szCs w:val="24"/>
        </w:rPr>
        <w:tab/>
      </w:r>
      <w:r w:rsidRPr="00565000">
        <w:rPr>
          <w:szCs w:val="24"/>
        </w:rPr>
        <w:tab/>
        <w:t xml:space="preserve">INF.57 et INF.57/Rev.1 (contenant des corrections faites oralement pendant la présentation </w:t>
      </w:r>
      <w:proofErr w:type="gramStart"/>
      <w:r w:rsidRPr="00565000">
        <w:rPr>
          <w:szCs w:val="24"/>
        </w:rPr>
        <w:t>du INF.57</w:t>
      </w:r>
      <w:proofErr w:type="gramEnd"/>
      <w:r w:rsidRPr="00565000">
        <w:rPr>
          <w:szCs w:val="24"/>
        </w:rPr>
        <w:t>)</w:t>
      </w:r>
    </w:p>
    <w:p w:rsidR="00EF6AD0" w:rsidRPr="00565000" w:rsidRDefault="00FC0F08" w:rsidP="00EF6AD0">
      <w:pPr>
        <w:pStyle w:val="SingleTxtG"/>
        <w:spacing w:before="240" w:after="0"/>
      </w:pPr>
      <w:r w:rsidRPr="00565000">
        <w:t>10</w:t>
      </w:r>
      <w:r w:rsidR="00EF6AD0" w:rsidRPr="00565000">
        <w:t>.</w:t>
      </w:r>
      <w:r w:rsidR="00EF6AD0" w:rsidRPr="00565000">
        <w:tab/>
        <w:t>La Réunion commune a approuvé le rapport du Groupe de travail et a adopté les propositions d’amendement suggérées. Les amendements devraient entrer en vigueur en 2017</w:t>
      </w:r>
      <w:r w:rsidRPr="00565000">
        <w:t xml:space="preserve"> (voir annexes II et III)</w:t>
      </w:r>
      <w:r w:rsidR="00EF6AD0" w:rsidRPr="00565000">
        <w:t>.</w:t>
      </w:r>
    </w:p>
    <w:p w:rsidR="00EF6AD0" w:rsidRPr="00565000" w:rsidRDefault="00FC0F08" w:rsidP="00EF6AD0">
      <w:pPr>
        <w:pStyle w:val="SingleTxtG"/>
        <w:spacing w:before="240" w:after="0"/>
      </w:pPr>
      <w:r w:rsidRPr="00565000">
        <w:t>11</w:t>
      </w:r>
      <w:r w:rsidR="00EF6AD0" w:rsidRPr="00565000">
        <w:t>.</w:t>
      </w:r>
      <w:r w:rsidR="00EF6AD0" w:rsidRPr="00565000">
        <w:tab/>
        <w:t>Au point 4.2 (b), il a été relevé que si la publication récente de la norme EN 60079-7:2015 n’affecte pas le RID/ADR, elle affecte par contre l’ADN qui contient une référence à la norme IEC 60079-7:2006 qui a dû également être mise à jour comme son pendant EN.</w:t>
      </w:r>
    </w:p>
    <w:p w:rsidR="00EF6AD0" w:rsidRPr="00565000" w:rsidRDefault="00FC0F08" w:rsidP="00EF6AD0">
      <w:pPr>
        <w:pStyle w:val="HChG"/>
      </w:pPr>
      <w:r w:rsidRPr="00565000">
        <w:tab/>
      </w:r>
      <w:r w:rsidR="00EF6AD0" w:rsidRPr="00565000">
        <w:t>V.</w:t>
      </w:r>
      <w:r w:rsidR="00EF6AD0" w:rsidRPr="00565000">
        <w:tab/>
        <w:t>Interprétation du RID/ADR/ADN (point 4 de l’ordre du jour)</w:t>
      </w:r>
    </w:p>
    <w:p w:rsidR="00EF6AD0" w:rsidRPr="00565000" w:rsidRDefault="00EF6AD0" w:rsidP="00EF6AD0">
      <w:pPr>
        <w:spacing w:before="120" w:after="120"/>
        <w:ind w:left="1134" w:right="1134"/>
        <w:jc w:val="both"/>
        <w:rPr>
          <w:b/>
          <w:szCs w:val="24"/>
        </w:rPr>
      </w:pPr>
      <w:r w:rsidRPr="00565000">
        <w:rPr>
          <w:b/>
          <w:szCs w:val="24"/>
        </w:rPr>
        <w:t>Contrôle du wagon/véhicule/bateau et du chargement par le transporteur</w:t>
      </w:r>
    </w:p>
    <w:p w:rsidR="00EF6AD0" w:rsidRPr="00565000" w:rsidRDefault="00EF6AD0" w:rsidP="00EF6AD0">
      <w:pPr>
        <w:spacing w:before="120" w:after="120"/>
        <w:ind w:left="1134" w:right="1134"/>
        <w:jc w:val="both"/>
        <w:rPr>
          <w:szCs w:val="24"/>
        </w:rPr>
      </w:pPr>
      <w:r w:rsidRPr="00565000">
        <w:rPr>
          <w:i/>
          <w:szCs w:val="24"/>
        </w:rPr>
        <w:t>Document informel:</w:t>
      </w:r>
      <w:r w:rsidRPr="00565000">
        <w:rPr>
          <w:i/>
          <w:szCs w:val="24"/>
        </w:rPr>
        <w:tab/>
      </w:r>
      <w:r w:rsidRPr="00565000">
        <w:rPr>
          <w:szCs w:val="24"/>
        </w:rPr>
        <w:tab/>
        <w:t>INF.42 (Autriche)</w:t>
      </w:r>
    </w:p>
    <w:p w:rsidR="00EF6AD0" w:rsidRPr="00565000" w:rsidRDefault="00FC0F08" w:rsidP="00EF6AD0">
      <w:pPr>
        <w:spacing w:before="120" w:after="120"/>
        <w:ind w:left="1134" w:right="1134"/>
        <w:jc w:val="both"/>
        <w:rPr>
          <w:szCs w:val="24"/>
        </w:rPr>
      </w:pPr>
      <w:r w:rsidRPr="00565000">
        <w:rPr>
          <w:szCs w:val="24"/>
        </w:rPr>
        <w:t>12</w:t>
      </w:r>
      <w:r w:rsidR="00EF6AD0" w:rsidRPr="00565000">
        <w:rPr>
          <w:szCs w:val="24"/>
        </w:rPr>
        <w:t>.</w:t>
      </w:r>
      <w:r w:rsidR="00EF6AD0" w:rsidRPr="00565000">
        <w:rPr>
          <w:szCs w:val="24"/>
        </w:rPr>
        <w:tab/>
        <w:t>La Réunion commune a noté que des amendements à la règle VI-2 de la Convention SOLAS visant à vérifier la masse brute des conteneurs à embarquer sur les navires entreraient en vigueur au 1</w:t>
      </w:r>
      <w:r w:rsidR="00EF6AD0" w:rsidRPr="00565000">
        <w:rPr>
          <w:szCs w:val="24"/>
          <w:vertAlign w:val="superscript"/>
        </w:rPr>
        <w:t>er</w:t>
      </w:r>
      <w:r w:rsidR="00EF6AD0" w:rsidRPr="00565000">
        <w:rPr>
          <w:szCs w:val="24"/>
        </w:rPr>
        <w:t xml:space="preserve"> juillet 2016, et la question se posait de savoir quels contrôles pouvaient être effectués par le transporteur dans le cadre du 1.4.2.2.1 du RID/ADR/ADN, notamment lorsque les conteneurs sont scellés par exemple par les douanes ou par l’expéditeur. Le représentant de l’Autriche a été prié de revenir sur la question dans un document officiel à la prochaine session.</w:t>
      </w:r>
    </w:p>
    <w:p w:rsidR="00EF6AD0" w:rsidRPr="00565000" w:rsidRDefault="00FC0F08" w:rsidP="00EF6AD0">
      <w:pPr>
        <w:pStyle w:val="H1G"/>
      </w:pPr>
      <w:r w:rsidRPr="00565000">
        <w:lastRenderedPageBreak/>
        <w:tab/>
      </w:r>
      <w:r w:rsidR="00EF6AD0" w:rsidRPr="00565000">
        <w:t>VI.</w:t>
      </w:r>
      <w:r w:rsidR="00EF6AD0" w:rsidRPr="00565000">
        <w:tab/>
        <w:t>Propositions d’amendements au RID/ADR/ADN (point 5 de l’ordre du jour)</w:t>
      </w:r>
    </w:p>
    <w:p w:rsidR="00EF6AD0" w:rsidRPr="00565000" w:rsidRDefault="00EF6AD0" w:rsidP="00EF6AD0">
      <w:pPr>
        <w:pStyle w:val="H1G"/>
      </w:pPr>
      <w:r w:rsidRPr="00565000">
        <w:tab/>
        <w:t>A.</w:t>
      </w:r>
      <w:r w:rsidRPr="00565000">
        <w:tab/>
        <w:t>Questions en suspens</w:t>
      </w:r>
    </w:p>
    <w:p w:rsidR="00EF6AD0" w:rsidRPr="00565000" w:rsidRDefault="00EF6AD0" w:rsidP="00EF6AD0">
      <w:pPr>
        <w:pStyle w:val="SingleTxtG"/>
        <w:numPr>
          <w:ilvl w:val="0"/>
          <w:numId w:val="4"/>
        </w:numPr>
        <w:spacing w:before="240" w:after="0"/>
        <w:ind w:left="567" w:firstLine="0"/>
        <w:rPr>
          <w:b/>
        </w:rPr>
      </w:pPr>
      <w:r w:rsidRPr="00565000">
        <w:rPr>
          <w:b/>
        </w:rPr>
        <w:t xml:space="preserve">Mise à jour des références aux instruments de l’Union européenne (matières toxiques, </w:t>
      </w:r>
      <w:r w:rsidRPr="00565000">
        <w:rPr>
          <w:b/>
        </w:rPr>
        <w:tab/>
        <w:t>matières corrosives, matières dangereuses pour l’environnement aquatique)</w:t>
      </w:r>
    </w:p>
    <w:p w:rsidR="00EF6AD0" w:rsidRPr="00565000" w:rsidRDefault="00EF6AD0" w:rsidP="00EF6AD0">
      <w:pPr>
        <w:pStyle w:val="SingleTxtG"/>
        <w:spacing w:before="240" w:after="0"/>
        <w:ind w:left="567"/>
        <w:rPr>
          <w:b/>
        </w:rPr>
      </w:pPr>
      <w:r w:rsidRPr="00565000">
        <w:rPr>
          <w:i/>
          <w:szCs w:val="24"/>
        </w:rPr>
        <w:tab/>
      </w:r>
      <w:r w:rsidRPr="00565000">
        <w:rPr>
          <w:i/>
        </w:rPr>
        <w:t>Document:</w:t>
      </w:r>
      <w:r w:rsidRPr="00565000">
        <w:rPr>
          <w:i/>
        </w:rPr>
        <w:tab/>
      </w:r>
      <w:r w:rsidRPr="00565000">
        <w:rPr>
          <w:i/>
        </w:rPr>
        <w:tab/>
      </w:r>
      <w:r w:rsidRPr="00565000">
        <w:rPr>
          <w:i/>
        </w:rPr>
        <w:tab/>
      </w:r>
      <w:r w:rsidRPr="00565000">
        <w:t>ECE/TRANS/WP.15/AC.1/2016/2 (CEFIC)</w:t>
      </w:r>
    </w:p>
    <w:p w:rsidR="00EF6AD0" w:rsidRPr="00565000" w:rsidRDefault="00EF6AD0" w:rsidP="00EF6AD0">
      <w:pPr>
        <w:spacing w:before="120"/>
        <w:rPr>
          <w:szCs w:val="24"/>
        </w:rPr>
      </w:pPr>
      <w:r w:rsidRPr="00565000">
        <w:rPr>
          <w:i/>
          <w:szCs w:val="24"/>
        </w:rPr>
        <w:tab/>
      </w:r>
      <w:r w:rsidRPr="00565000">
        <w:rPr>
          <w:i/>
          <w:szCs w:val="24"/>
        </w:rPr>
        <w:tab/>
        <w:t>Documents informels:</w:t>
      </w:r>
      <w:r w:rsidRPr="00565000">
        <w:rPr>
          <w:i/>
          <w:szCs w:val="24"/>
        </w:rPr>
        <w:tab/>
      </w:r>
      <w:r w:rsidRPr="00565000">
        <w:rPr>
          <w:szCs w:val="24"/>
        </w:rPr>
        <w:t>INF.53 (Union européenne)</w:t>
      </w:r>
    </w:p>
    <w:p w:rsidR="00EF6AD0" w:rsidRPr="00565000" w:rsidRDefault="00EF6AD0" w:rsidP="00EF6AD0">
      <w:pPr>
        <w:spacing w:after="120"/>
      </w:pPr>
      <w:r w:rsidRPr="00565000">
        <w:rPr>
          <w:szCs w:val="24"/>
        </w:rPr>
        <w:tab/>
      </w:r>
      <w:r w:rsidRPr="00565000">
        <w:rPr>
          <w:szCs w:val="24"/>
        </w:rPr>
        <w:tab/>
      </w:r>
      <w:r w:rsidRPr="00565000">
        <w:rPr>
          <w:szCs w:val="24"/>
        </w:rPr>
        <w:tab/>
      </w:r>
      <w:r w:rsidRPr="00565000">
        <w:rPr>
          <w:szCs w:val="24"/>
        </w:rPr>
        <w:tab/>
      </w:r>
      <w:r w:rsidRPr="00565000">
        <w:rPr>
          <w:szCs w:val="24"/>
        </w:rPr>
        <w:tab/>
      </w:r>
      <w:r w:rsidRPr="00565000">
        <w:rPr>
          <w:szCs w:val="24"/>
        </w:rPr>
        <w:tab/>
        <w:t>INF.54/Rev.1 et Rev.2 (CEFIC)</w:t>
      </w:r>
    </w:p>
    <w:p w:rsidR="00EF6AD0" w:rsidRPr="00565000" w:rsidRDefault="00EF6AD0" w:rsidP="00EF6AD0">
      <w:pPr>
        <w:pStyle w:val="SingleTxtG"/>
        <w:spacing w:before="120" w:after="0" w:line="240" w:lineRule="auto"/>
      </w:pPr>
      <w:r w:rsidRPr="00565000">
        <w:t>1</w:t>
      </w:r>
      <w:r w:rsidR="00FC0F08" w:rsidRPr="00565000">
        <w:t>3</w:t>
      </w:r>
      <w:r w:rsidRPr="00565000">
        <w:t>.</w:t>
      </w:r>
      <w:r w:rsidRPr="00565000">
        <w:tab/>
        <w:t>La Réunion commune a adopté des amendements aux 2.2.61.1.14, 2.2.8.1.9 et 2.2.9.1.10.5 visant à tenir compte de l’évolution de la législation de l’Union européenne relative à la classification, l’étiquetage et l’emballage des subs</w:t>
      </w:r>
      <w:r w:rsidR="00FC0F08" w:rsidRPr="00565000">
        <w:t>tances et mélanges (voir annexe III</w:t>
      </w:r>
      <w:r w:rsidRPr="00565000">
        <w:t>).</w:t>
      </w:r>
    </w:p>
    <w:p w:rsidR="00EF6AD0" w:rsidRPr="00565000" w:rsidRDefault="00EF6AD0" w:rsidP="00EF6AD0">
      <w:pPr>
        <w:pStyle w:val="SingleTxtG"/>
        <w:numPr>
          <w:ilvl w:val="0"/>
          <w:numId w:val="4"/>
        </w:numPr>
        <w:spacing w:before="240" w:after="0"/>
        <w:ind w:left="567" w:firstLine="0"/>
        <w:rPr>
          <w:b/>
        </w:rPr>
      </w:pPr>
      <w:r w:rsidRPr="00565000">
        <w:rPr>
          <w:b/>
        </w:rPr>
        <w:t>Instr</w:t>
      </w:r>
      <w:r w:rsidR="001816D2">
        <w:rPr>
          <w:b/>
        </w:rPr>
        <w:t>uctions d’emballage P200 et P20</w:t>
      </w:r>
      <w:r w:rsidRPr="00565000">
        <w:rPr>
          <w:b/>
        </w:rPr>
        <w:t>6</w:t>
      </w:r>
    </w:p>
    <w:p w:rsidR="00EF6AD0" w:rsidRPr="00565000" w:rsidRDefault="00EF6AD0" w:rsidP="00EF6AD0">
      <w:pPr>
        <w:pStyle w:val="SingleTxtG"/>
        <w:spacing w:before="240" w:after="0"/>
        <w:ind w:left="709"/>
        <w:rPr>
          <w:b/>
        </w:rPr>
      </w:pPr>
      <w:r w:rsidRPr="00565000">
        <w:rPr>
          <w:i/>
          <w:szCs w:val="24"/>
        </w:rPr>
        <w:tab/>
      </w:r>
      <w:r w:rsidRPr="00565000">
        <w:rPr>
          <w:i/>
        </w:rPr>
        <w:t>Document:</w:t>
      </w:r>
      <w:r w:rsidRPr="00565000">
        <w:rPr>
          <w:i/>
        </w:rPr>
        <w:tab/>
      </w:r>
      <w:r w:rsidRPr="00565000">
        <w:rPr>
          <w:i/>
        </w:rPr>
        <w:tab/>
      </w:r>
      <w:r w:rsidRPr="00565000">
        <w:rPr>
          <w:i/>
        </w:rPr>
        <w:tab/>
      </w:r>
      <w:r w:rsidRPr="00565000">
        <w:t>ECE/TRANS/WP.15/AC.1/2016/4 (ISO)</w:t>
      </w:r>
    </w:p>
    <w:p w:rsidR="00EF6AD0" w:rsidRPr="00565000" w:rsidRDefault="00EF6AD0" w:rsidP="00EF6AD0">
      <w:pPr>
        <w:pStyle w:val="SingleTxtG"/>
        <w:spacing w:before="120" w:after="0" w:line="240" w:lineRule="auto"/>
      </w:pPr>
      <w:r w:rsidRPr="00565000">
        <w:t>1</w:t>
      </w:r>
      <w:r w:rsidR="00FC0F08" w:rsidRPr="00565000">
        <w:t>4</w:t>
      </w:r>
      <w:r w:rsidRPr="00565000">
        <w:t>.</w:t>
      </w:r>
      <w:r w:rsidRPr="00565000">
        <w:tab/>
        <w:t xml:space="preserve">La Réunion commune a noté que le Sous-Comité d’experts </w:t>
      </w:r>
      <w:r w:rsidR="00FC0F08" w:rsidRPr="00565000">
        <w:t xml:space="preserve">du transport des marchandises dangereuses </w:t>
      </w:r>
      <w:r w:rsidRPr="00565000">
        <w:t>de l’ONU avait adopté une correction à l’instruction d’emballage P200 reflétée dans l’annexe III du document ST/SG/AC.10/C.3/96/Add.1, et qu’une correction similaire pour l’instruction P206 serait proposée à la prochaine session du Sous-Comité. Elle a donc adopté en conséquence les modifications aux instructions P200 et P206 p</w:t>
      </w:r>
      <w:r w:rsidR="001816D2">
        <w:t>roposées par l’ISO (voir annexe III</w:t>
      </w:r>
      <w:r w:rsidRPr="00565000">
        <w:t>) (modification devant prendre effet au 1 janvier 2017).</w:t>
      </w:r>
    </w:p>
    <w:p w:rsidR="00EF6AD0" w:rsidRPr="00565000" w:rsidRDefault="00EF6AD0" w:rsidP="00EF6AD0">
      <w:pPr>
        <w:pStyle w:val="SingleTxtG"/>
        <w:numPr>
          <w:ilvl w:val="0"/>
          <w:numId w:val="4"/>
        </w:numPr>
        <w:spacing w:before="240" w:after="0"/>
        <w:ind w:left="567" w:firstLine="0"/>
        <w:rPr>
          <w:b/>
        </w:rPr>
      </w:pPr>
      <w:r w:rsidRPr="00565000">
        <w:rPr>
          <w:b/>
        </w:rPr>
        <w:t>Marquage et ventilation conformément au 5.5.3.3.3</w:t>
      </w:r>
    </w:p>
    <w:p w:rsidR="00EF6AD0" w:rsidRPr="00565000" w:rsidRDefault="00EF6AD0" w:rsidP="00EF6AD0">
      <w:pPr>
        <w:pStyle w:val="SingleTxtG"/>
        <w:spacing w:before="240" w:after="0"/>
        <w:ind w:left="567"/>
        <w:rPr>
          <w:b/>
        </w:rPr>
      </w:pPr>
      <w:r w:rsidRPr="00565000">
        <w:rPr>
          <w:i/>
          <w:szCs w:val="24"/>
        </w:rPr>
        <w:tab/>
      </w:r>
      <w:r w:rsidRPr="00565000">
        <w:rPr>
          <w:i/>
        </w:rPr>
        <w:t>Document:</w:t>
      </w:r>
      <w:r w:rsidRPr="00565000">
        <w:rPr>
          <w:i/>
        </w:rPr>
        <w:tab/>
      </w:r>
      <w:r w:rsidRPr="00565000">
        <w:rPr>
          <w:i/>
        </w:rPr>
        <w:tab/>
      </w:r>
      <w:r w:rsidRPr="00565000">
        <w:rPr>
          <w:i/>
        </w:rPr>
        <w:tab/>
      </w:r>
      <w:r w:rsidRPr="00565000">
        <w:t>ECE/TRANS/WP.15/AC.1/2016/18 (Autriche)</w:t>
      </w:r>
    </w:p>
    <w:p w:rsidR="00EF6AD0" w:rsidRPr="00565000" w:rsidRDefault="00EF6AD0" w:rsidP="00EF6AD0">
      <w:pPr>
        <w:spacing w:before="120"/>
        <w:rPr>
          <w:szCs w:val="24"/>
        </w:rPr>
      </w:pPr>
      <w:r w:rsidRPr="00565000">
        <w:rPr>
          <w:i/>
          <w:szCs w:val="24"/>
        </w:rPr>
        <w:tab/>
      </w:r>
      <w:r w:rsidRPr="00565000">
        <w:rPr>
          <w:i/>
          <w:szCs w:val="24"/>
        </w:rPr>
        <w:tab/>
        <w:t>Document informel:</w:t>
      </w:r>
      <w:r w:rsidRPr="00565000">
        <w:rPr>
          <w:i/>
          <w:szCs w:val="24"/>
        </w:rPr>
        <w:tab/>
      </w:r>
      <w:r w:rsidRPr="00565000">
        <w:rPr>
          <w:i/>
          <w:szCs w:val="24"/>
        </w:rPr>
        <w:tab/>
      </w:r>
      <w:r w:rsidR="00FC0F08" w:rsidRPr="00565000">
        <w:rPr>
          <w:szCs w:val="24"/>
        </w:rPr>
        <w:t>INF.59</w:t>
      </w:r>
      <w:r w:rsidRPr="00565000">
        <w:rPr>
          <w:szCs w:val="24"/>
        </w:rPr>
        <w:t xml:space="preserve"> (Autriche)</w:t>
      </w:r>
    </w:p>
    <w:p w:rsidR="00EF6AD0" w:rsidRPr="00565000" w:rsidRDefault="00EF6AD0" w:rsidP="00EF6AD0">
      <w:pPr>
        <w:pStyle w:val="SingleTxtG"/>
        <w:spacing w:before="120" w:after="0" w:line="240" w:lineRule="auto"/>
      </w:pPr>
      <w:r w:rsidRPr="00565000">
        <w:t>1</w:t>
      </w:r>
      <w:r w:rsidR="00FC0F08" w:rsidRPr="00565000">
        <w:t>5</w:t>
      </w:r>
      <w:r w:rsidRPr="00565000">
        <w:t>.</w:t>
      </w:r>
      <w:r w:rsidRPr="00565000">
        <w:tab/>
        <w:t>La Réunion commune a estimé qu’il ne serait pas judicieux de supprimer le deuxième tiret car la référence à l’</w:t>
      </w:r>
      <w:r w:rsidR="00FC0F08" w:rsidRPr="00565000">
        <w:t>Accord relatif aux transports internationaux de denrées périssables et aux engins spéciaux à utiliser pour les transports (ATP)</w:t>
      </w:r>
      <w:r w:rsidRPr="00565000">
        <w:t xml:space="preserve"> permet de clarifier les prescriptions applicables lorsque le transport est effectué selon l’A</w:t>
      </w:r>
      <w:r w:rsidR="00FC0F08" w:rsidRPr="00565000">
        <w:t xml:space="preserve">TP. </w:t>
      </w:r>
      <w:r w:rsidRPr="00565000">
        <w:t>Elle a cependant accepté de remanier le te</w:t>
      </w:r>
      <w:r w:rsidR="00FC0F08" w:rsidRPr="00565000">
        <w:t xml:space="preserve">xte </w:t>
      </w:r>
      <w:proofErr w:type="spellStart"/>
      <w:r w:rsidR="00FC0F08" w:rsidRPr="00565000">
        <w:t>éditorialement</w:t>
      </w:r>
      <w:proofErr w:type="spellEnd"/>
      <w:r w:rsidR="00FC0F08" w:rsidRPr="00565000">
        <w:t xml:space="preserve"> (voir annexe II)</w:t>
      </w:r>
      <w:r w:rsidRPr="00565000">
        <w:t>.</w:t>
      </w:r>
    </w:p>
    <w:p w:rsidR="00EF6AD0" w:rsidRPr="00565000" w:rsidRDefault="00EF6AD0" w:rsidP="00EF6AD0">
      <w:pPr>
        <w:pStyle w:val="SingleTxtG"/>
        <w:numPr>
          <w:ilvl w:val="0"/>
          <w:numId w:val="4"/>
        </w:numPr>
        <w:spacing w:before="240" w:after="0"/>
        <w:ind w:left="567" w:firstLine="0"/>
        <w:rPr>
          <w:b/>
        </w:rPr>
      </w:pPr>
      <w:r w:rsidRPr="00565000">
        <w:rPr>
          <w:b/>
        </w:rPr>
        <w:t>Textes adoptés pour 2017 – 1.1.3.2, 1.1.3.3 et dispositions spéciales 363 et 666</w:t>
      </w:r>
    </w:p>
    <w:p w:rsidR="00EF6AD0" w:rsidRPr="00565000" w:rsidRDefault="00EF6AD0" w:rsidP="00EF6AD0">
      <w:pPr>
        <w:pStyle w:val="SingleTxtG"/>
        <w:spacing w:before="240" w:after="0"/>
        <w:ind w:left="567"/>
        <w:rPr>
          <w:b/>
        </w:rPr>
      </w:pPr>
      <w:r w:rsidRPr="00565000">
        <w:rPr>
          <w:i/>
          <w:szCs w:val="24"/>
        </w:rPr>
        <w:tab/>
      </w:r>
      <w:r w:rsidRPr="00565000">
        <w:rPr>
          <w:i/>
        </w:rPr>
        <w:t>Document:</w:t>
      </w:r>
      <w:r w:rsidRPr="00565000">
        <w:rPr>
          <w:i/>
        </w:rPr>
        <w:tab/>
      </w:r>
      <w:r w:rsidRPr="00565000">
        <w:rPr>
          <w:i/>
        </w:rPr>
        <w:tab/>
      </w:r>
      <w:r w:rsidRPr="00565000">
        <w:rPr>
          <w:i/>
        </w:rPr>
        <w:tab/>
      </w:r>
      <w:r w:rsidRPr="00565000">
        <w:t>ECE/TRANS/WP.15/AC.1/2016/16 (Suisse)</w:t>
      </w:r>
    </w:p>
    <w:p w:rsidR="00EF6AD0" w:rsidRPr="00565000" w:rsidRDefault="00143028" w:rsidP="00EF6AD0">
      <w:pPr>
        <w:spacing w:before="120"/>
        <w:rPr>
          <w:szCs w:val="24"/>
        </w:rPr>
      </w:pPr>
      <w:r w:rsidRPr="00565000">
        <w:rPr>
          <w:i/>
          <w:szCs w:val="24"/>
        </w:rPr>
        <w:tab/>
      </w:r>
      <w:r w:rsidRPr="00565000">
        <w:rPr>
          <w:i/>
          <w:szCs w:val="24"/>
        </w:rPr>
        <w:tab/>
        <w:t>Document</w:t>
      </w:r>
      <w:r w:rsidR="00057197" w:rsidRPr="00565000">
        <w:rPr>
          <w:i/>
          <w:szCs w:val="24"/>
        </w:rPr>
        <w:t>s</w:t>
      </w:r>
      <w:r w:rsidRPr="00565000">
        <w:rPr>
          <w:i/>
          <w:szCs w:val="24"/>
        </w:rPr>
        <w:t xml:space="preserve"> </w:t>
      </w:r>
      <w:r w:rsidR="00EF6AD0" w:rsidRPr="00565000">
        <w:rPr>
          <w:i/>
          <w:szCs w:val="24"/>
        </w:rPr>
        <w:t>informel</w:t>
      </w:r>
      <w:r w:rsidR="00057197" w:rsidRPr="00565000">
        <w:rPr>
          <w:i/>
          <w:szCs w:val="24"/>
        </w:rPr>
        <w:t>s</w:t>
      </w:r>
      <w:r w:rsidRPr="00565000">
        <w:rPr>
          <w:i/>
          <w:szCs w:val="24"/>
        </w:rPr>
        <w:t>:</w:t>
      </w:r>
      <w:r w:rsidRPr="00565000">
        <w:rPr>
          <w:i/>
          <w:szCs w:val="24"/>
        </w:rPr>
        <w:tab/>
      </w:r>
      <w:r w:rsidR="00EF6AD0" w:rsidRPr="00565000">
        <w:rPr>
          <w:szCs w:val="24"/>
        </w:rPr>
        <w:t>INF.52 (France)</w:t>
      </w:r>
    </w:p>
    <w:p w:rsidR="00057197" w:rsidRPr="00565000" w:rsidRDefault="00057197" w:rsidP="00057197">
      <w:pPr>
        <w:spacing w:after="120"/>
        <w:rPr>
          <w:szCs w:val="24"/>
        </w:rPr>
      </w:pPr>
      <w:r w:rsidRPr="00565000">
        <w:rPr>
          <w:szCs w:val="24"/>
        </w:rPr>
        <w:tab/>
      </w:r>
      <w:r w:rsidRPr="00565000">
        <w:rPr>
          <w:szCs w:val="24"/>
        </w:rPr>
        <w:tab/>
      </w:r>
      <w:r w:rsidRPr="00565000">
        <w:rPr>
          <w:szCs w:val="24"/>
        </w:rPr>
        <w:tab/>
      </w:r>
      <w:r w:rsidRPr="00565000">
        <w:rPr>
          <w:szCs w:val="24"/>
        </w:rPr>
        <w:tab/>
      </w:r>
      <w:r w:rsidRPr="00565000">
        <w:rPr>
          <w:szCs w:val="24"/>
        </w:rPr>
        <w:tab/>
      </w:r>
      <w:r w:rsidRPr="00565000">
        <w:rPr>
          <w:szCs w:val="24"/>
        </w:rPr>
        <w:tab/>
        <w:t>INF.60 (France)</w:t>
      </w:r>
    </w:p>
    <w:p w:rsidR="00EF6AD0" w:rsidRPr="00565000" w:rsidRDefault="00EF6AD0" w:rsidP="00EF6AD0">
      <w:pPr>
        <w:pStyle w:val="SingleTxtG"/>
        <w:spacing w:before="120" w:after="0" w:line="240" w:lineRule="auto"/>
      </w:pPr>
      <w:r w:rsidRPr="00565000">
        <w:t>1</w:t>
      </w:r>
      <w:r w:rsidR="00057197" w:rsidRPr="00565000">
        <w:t>6</w:t>
      </w:r>
      <w:r w:rsidRPr="00565000">
        <w:t>.</w:t>
      </w:r>
      <w:r w:rsidRPr="00565000">
        <w:tab/>
        <w:t>Compte tenu des longues discussions au cours des sessions précédentes qui avaient abouti à un compromis pour la version 2017 du RID/ADR/ADN, la Réunion commune n’était pas favorable à rouvrir les débats si cela devait amener à des modifications de la structure adoptée.</w:t>
      </w:r>
    </w:p>
    <w:p w:rsidR="00EF6AD0" w:rsidRPr="00565000" w:rsidRDefault="00EF6AD0" w:rsidP="00EF6AD0">
      <w:pPr>
        <w:pStyle w:val="SingleTxtG"/>
        <w:spacing w:before="120" w:after="0" w:line="240" w:lineRule="auto"/>
      </w:pPr>
      <w:r w:rsidRPr="00565000">
        <w:t>1</w:t>
      </w:r>
      <w:r w:rsidR="00057197" w:rsidRPr="00565000">
        <w:t>7</w:t>
      </w:r>
      <w:r w:rsidRPr="00565000">
        <w:t>.</w:t>
      </w:r>
      <w:r w:rsidRPr="00565000">
        <w:tab/>
        <w:t>Elle a adopté cependant quelques propositions de clarification des textes, à savoir:</w:t>
      </w:r>
    </w:p>
    <w:p w:rsidR="00EF6AD0" w:rsidRPr="00565000" w:rsidRDefault="00EF6AD0" w:rsidP="00EF6AD0">
      <w:pPr>
        <w:pStyle w:val="SingleTxtG"/>
        <w:spacing w:before="120" w:after="0" w:line="240" w:lineRule="auto"/>
      </w:pPr>
      <w:r w:rsidRPr="00565000">
        <w:tab/>
      </w:r>
      <w:proofErr w:type="gramStart"/>
      <w:r w:rsidRPr="00565000">
        <w:t>a</w:t>
      </w:r>
      <w:proofErr w:type="gramEnd"/>
      <w:r w:rsidRPr="00565000">
        <w:t>)</w:t>
      </w:r>
      <w:r w:rsidRPr="00565000">
        <w:tab/>
        <w:t>La proposition 1 de la Suisse relative au NOTA suivant le premier paragraphe de la dispos</w:t>
      </w:r>
      <w:r w:rsidR="00057197" w:rsidRPr="00565000">
        <w:t>ition spéciale 363 (voir annexe II</w:t>
      </w:r>
      <w:r w:rsidRPr="00565000">
        <w:t>);</w:t>
      </w:r>
    </w:p>
    <w:p w:rsidR="00EF6AD0" w:rsidRPr="00565000" w:rsidRDefault="00EF6AD0" w:rsidP="00EF6AD0">
      <w:pPr>
        <w:pStyle w:val="SingleTxtG"/>
        <w:spacing w:before="120" w:after="0" w:line="240" w:lineRule="auto"/>
      </w:pPr>
      <w:r w:rsidRPr="00565000">
        <w:lastRenderedPageBreak/>
        <w:tab/>
        <w:t>b)</w:t>
      </w:r>
      <w:r w:rsidRPr="00565000">
        <w:tab/>
        <w:t>La proposition du paragraphe 12 b) du document de la Suisse de modification du paragraphe b) de la dispos</w:t>
      </w:r>
      <w:r w:rsidR="00057197" w:rsidRPr="00565000">
        <w:t>ition spéciale 666 (voir annexe II</w:t>
      </w:r>
      <w:r w:rsidRPr="00565000">
        <w:t xml:space="preserve">); et </w:t>
      </w:r>
    </w:p>
    <w:p w:rsidR="00EF6AD0" w:rsidRPr="00565000" w:rsidRDefault="00EF6AD0" w:rsidP="00EF6AD0">
      <w:pPr>
        <w:pStyle w:val="SingleTxtG"/>
        <w:spacing w:before="120" w:after="0" w:line="240" w:lineRule="auto"/>
      </w:pPr>
      <w:r w:rsidRPr="00565000">
        <w:tab/>
        <w:t>c)</w:t>
      </w:r>
      <w:r w:rsidRPr="00565000">
        <w:tab/>
        <w:t xml:space="preserve">Une nouvelle disposition spéciale </w:t>
      </w:r>
      <w:r w:rsidR="00057197" w:rsidRPr="00565000">
        <w:t>669</w:t>
      </w:r>
      <w:r w:rsidRPr="00565000">
        <w:t xml:space="preserve"> relative au transport des remorques en t</w:t>
      </w:r>
      <w:r w:rsidR="00057197" w:rsidRPr="00565000">
        <w:t>ant que chargement (voir annexe III</w:t>
      </w:r>
      <w:r w:rsidRPr="00565000">
        <w:t>).</w:t>
      </w:r>
    </w:p>
    <w:p w:rsidR="00EF6AD0" w:rsidRPr="00565000" w:rsidRDefault="00EF6AD0" w:rsidP="00EF6AD0">
      <w:pPr>
        <w:pStyle w:val="SingleTxtG"/>
        <w:numPr>
          <w:ilvl w:val="0"/>
          <w:numId w:val="4"/>
        </w:numPr>
        <w:spacing w:before="240" w:after="0"/>
        <w:ind w:left="567" w:firstLine="0"/>
        <w:rPr>
          <w:b/>
        </w:rPr>
      </w:pPr>
      <w:r w:rsidRPr="00565000">
        <w:rPr>
          <w:b/>
        </w:rPr>
        <w:t xml:space="preserve">Catégories de transport et codes tunnels pour les rubriques des numéros ONU 3166, </w:t>
      </w:r>
      <w:r w:rsidRPr="00565000">
        <w:rPr>
          <w:b/>
        </w:rPr>
        <w:tab/>
        <w:t>3171, 3528 à 3530</w:t>
      </w:r>
    </w:p>
    <w:p w:rsidR="00EF6AD0" w:rsidRPr="00565000" w:rsidRDefault="00EF6AD0" w:rsidP="00EF6AD0">
      <w:pPr>
        <w:pStyle w:val="SingleTxtG"/>
        <w:spacing w:before="240" w:after="0"/>
        <w:ind w:left="567"/>
      </w:pPr>
      <w:r w:rsidRPr="00565000">
        <w:rPr>
          <w:i/>
          <w:szCs w:val="24"/>
        </w:rPr>
        <w:tab/>
      </w:r>
      <w:r w:rsidRPr="00565000">
        <w:rPr>
          <w:i/>
        </w:rPr>
        <w:t>Document:</w:t>
      </w:r>
      <w:r w:rsidRPr="00565000">
        <w:rPr>
          <w:i/>
        </w:rPr>
        <w:tab/>
      </w:r>
      <w:r w:rsidRPr="00565000">
        <w:rPr>
          <w:i/>
        </w:rPr>
        <w:tab/>
      </w:r>
      <w:r w:rsidRPr="00565000">
        <w:rPr>
          <w:i/>
        </w:rPr>
        <w:tab/>
      </w:r>
      <w:r w:rsidRPr="00565000">
        <w:t>ECE/TRANS/WP.15/AC.1/2016/15 (Suisse)</w:t>
      </w:r>
    </w:p>
    <w:p w:rsidR="00EF6AD0" w:rsidRPr="00565000" w:rsidRDefault="00EF6AD0" w:rsidP="00EF6AD0">
      <w:pPr>
        <w:pStyle w:val="SingleTxtG"/>
        <w:spacing w:before="120" w:after="0"/>
        <w:ind w:left="567"/>
        <w:rPr>
          <w:b/>
        </w:rPr>
      </w:pPr>
      <w:r w:rsidRPr="00565000">
        <w:rPr>
          <w:i/>
          <w:szCs w:val="24"/>
        </w:rPr>
        <w:tab/>
        <w:t>Document informel:</w:t>
      </w:r>
      <w:r w:rsidRPr="00565000">
        <w:rPr>
          <w:i/>
          <w:szCs w:val="24"/>
        </w:rPr>
        <w:tab/>
      </w:r>
      <w:r w:rsidRPr="00565000">
        <w:rPr>
          <w:i/>
          <w:szCs w:val="24"/>
        </w:rPr>
        <w:tab/>
      </w:r>
      <w:r w:rsidRPr="00565000">
        <w:rPr>
          <w:szCs w:val="24"/>
        </w:rPr>
        <w:t>INF.55 (Suisse)</w:t>
      </w:r>
    </w:p>
    <w:p w:rsidR="00EF6AD0" w:rsidRPr="00565000" w:rsidRDefault="00EF6AD0" w:rsidP="00EF6AD0">
      <w:pPr>
        <w:spacing w:before="120" w:after="120"/>
        <w:ind w:left="1134" w:right="1134"/>
        <w:jc w:val="both"/>
        <w:rPr>
          <w:szCs w:val="24"/>
        </w:rPr>
      </w:pPr>
      <w:r w:rsidRPr="00565000">
        <w:rPr>
          <w:szCs w:val="24"/>
        </w:rPr>
        <w:t>1</w:t>
      </w:r>
      <w:r w:rsidR="00057197" w:rsidRPr="00565000">
        <w:rPr>
          <w:szCs w:val="24"/>
        </w:rPr>
        <w:t>8</w:t>
      </w:r>
      <w:r w:rsidRPr="00565000">
        <w:rPr>
          <w:szCs w:val="24"/>
        </w:rPr>
        <w:t>.</w:t>
      </w:r>
      <w:r w:rsidRPr="00565000">
        <w:rPr>
          <w:szCs w:val="24"/>
        </w:rPr>
        <w:tab/>
        <w:t>La plupart des délégations estimaient qu’il n’y a pas lieu de prévoir de catégories de transport ni de codes tunnels pour les Nos. ONU 3166 et 3171 car les appareils et véhicules visés sont déjà exemptés dans les conditions fixées par la disposition spéciale 666, et rien n’indique que cette disposition ne s’appliquerait pas aux véhicules endommagés. Par ailleurs le 1.1.3.1 d) couvre également les situations de dépannage.</w:t>
      </w:r>
    </w:p>
    <w:p w:rsidR="00EF6AD0" w:rsidRPr="00565000" w:rsidRDefault="00EF6AD0" w:rsidP="00EF6AD0">
      <w:pPr>
        <w:spacing w:before="120" w:after="120"/>
        <w:ind w:left="1134" w:right="1134"/>
        <w:jc w:val="both"/>
        <w:rPr>
          <w:szCs w:val="24"/>
        </w:rPr>
      </w:pPr>
      <w:r w:rsidRPr="00565000">
        <w:rPr>
          <w:szCs w:val="24"/>
        </w:rPr>
        <w:t>1</w:t>
      </w:r>
      <w:r w:rsidR="00057197" w:rsidRPr="00565000">
        <w:rPr>
          <w:szCs w:val="24"/>
        </w:rPr>
        <w:t>9</w:t>
      </w:r>
      <w:r w:rsidRPr="00565000">
        <w:rPr>
          <w:szCs w:val="24"/>
        </w:rPr>
        <w:t>.</w:t>
      </w:r>
      <w:r w:rsidRPr="00565000">
        <w:rPr>
          <w:szCs w:val="24"/>
        </w:rPr>
        <w:tab/>
        <w:t>De même, les conditions d’exemption pour les numéros ONU 3528 à 3530 figurent à la disposition spéciale 363 et il paraissait superflu de prévoir l’application du 1.1.3.6.3 et donc de leur affecter des catégories de transport.</w:t>
      </w:r>
    </w:p>
    <w:p w:rsidR="00EF6AD0" w:rsidRPr="00565000" w:rsidRDefault="00AD64CB" w:rsidP="001816D2">
      <w:pPr>
        <w:spacing w:before="120" w:after="120"/>
        <w:ind w:left="1134" w:right="1134"/>
        <w:jc w:val="both"/>
      </w:pPr>
      <w:r w:rsidRPr="00565000">
        <w:rPr>
          <w:szCs w:val="24"/>
        </w:rPr>
        <w:t>20</w:t>
      </w:r>
      <w:r w:rsidR="00EF6AD0" w:rsidRPr="00565000">
        <w:rPr>
          <w:szCs w:val="24"/>
        </w:rPr>
        <w:t>.</w:t>
      </w:r>
      <w:r w:rsidR="00EF6AD0" w:rsidRPr="00565000">
        <w:rPr>
          <w:szCs w:val="24"/>
        </w:rPr>
        <w:tab/>
        <w:t xml:space="preserve">La question s’est posée de savoir pourquoi une instruction d’emballage P005 est prévue par les numéros ONU 3528 à 3530 puisque la disposition spéciale 363 les exempte de l’application  de cette instruction. </w:t>
      </w:r>
      <w:r w:rsidR="00EF6AD0" w:rsidRPr="00565000">
        <w:t xml:space="preserve">La Réunion commune s’est donc demandé si l’instruction d’emballage P005 est applicable lorsqu’il est fait usage des exemptions de la disposition spéciale 363, et a préféré attendre l’avis du Sous-Comité d’experts sur cette question. Les dispositions du RID/ADR/ADN 2017 à ce sujet resteront donc conformes à celles du Règlement type de l’ONU, et la Réunion commune a décidé qu’il n’était pas nécessaire de prévoir des catégories de transport pour les raisons </w:t>
      </w:r>
      <w:r w:rsidRPr="00565000">
        <w:t>expliquées au paragraphe 16. Il reviendra au Groupe WP.15 de</w:t>
      </w:r>
      <w:r w:rsidR="00EF6AD0" w:rsidRPr="00565000">
        <w:t xml:space="preserve"> décider s’il </w:t>
      </w:r>
      <w:r w:rsidRPr="00565000">
        <w:t>convient de prévoir des restrictions dans les tunnels routiers</w:t>
      </w:r>
      <w:r w:rsidR="00EF6AD0" w:rsidRPr="00565000">
        <w:t>.</w:t>
      </w:r>
    </w:p>
    <w:p w:rsidR="00EF6AD0" w:rsidRPr="00565000" w:rsidRDefault="00EF6AD0" w:rsidP="00EF6AD0">
      <w:pPr>
        <w:pStyle w:val="SingleTxtG"/>
        <w:spacing w:before="120"/>
        <w:ind w:left="709"/>
        <w:rPr>
          <w:b/>
        </w:rPr>
      </w:pPr>
      <w:r w:rsidRPr="00565000">
        <w:rPr>
          <w:b/>
        </w:rPr>
        <w:t>6.</w:t>
      </w:r>
      <w:r w:rsidRPr="00565000">
        <w:rPr>
          <w:b/>
        </w:rPr>
        <w:tab/>
        <w:t>Disposition spéciale 636</w:t>
      </w:r>
    </w:p>
    <w:p w:rsidR="00EF6AD0" w:rsidRPr="00565000" w:rsidRDefault="00EF6AD0" w:rsidP="00EF6AD0">
      <w:pPr>
        <w:ind w:left="1134"/>
        <w:jc w:val="both"/>
        <w:rPr>
          <w:szCs w:val="24"/>
        </w:rPr>
      </w:pPr>
      <w:r w:rsidRPr="00565000">
        <w:rPr>
          <w:i/>
          <w:szCs w:val="24"/>
        </w:rPr>
        <w:t>Documents informels:</w:t>
      </w:r>
      <w:r w:rsidRPr="00565000">
        <w:rPr>
          <w:szCs w:val="24"/>
        </w:rPr>
        <w:t xml:space="preserve"> </w:t>
      </w:r>
      <w:r w:rsidRPr="00565000">
        <w:rPr>
          <w:szCs w:val="24"/>
        </w:rPr>
        <w:tab/>
      </w:r>
      <w:r w:rsidRPr="00565000">
        <w:rPr>
          <w:szCs w:val="24"/>
        </w:rPr>
        <w:tab/>
        <w:t>INF.26 (Allemagne)</w:t>
      </w:r>
    </w:p>
    <w:p w:rsidR="00EF6AD0" w:rsidRPr="00565000" w:rsidRDefault="00EF6AD0" w:rsidP="00EF6AD0">
      <w:pPr>
        <w:ind w:left="1134"/>
        <w:jc w:val="both"/>
        <w:rPr>
          <w:szCs w:val="24"/>
        </w:rPr>
      </w:pPr>
      <w:r w:rsidRPr="00565000">
        <w:rPr>
          <w:i/>
          <w:szCs w:val="24"/>
        </w:rPr>
        <w:tab/>
      </w:r>
      <w:r w:rsidRPr="00565000">
        <w:rPr>
          <w:i/>
          <w:szCs w:val="24"/>
        </w:rPr>
        <w:tab/>
      </w:r>
      <w:r w:rsidRPr="00565000">
        <w:rPr>
          <w:i/>
          <w:szCs w:val="24"/>
        </w:rPr>
        <w:tab/>
      </w:r>
      <w:r w:rsidRPr="00565000">
        <w:rPr>
          <w:i/>
          <w:szCs w:val="24"/>
        </w:rPr>
        <w:tab/>
      </w:r>
      <w:r w:rsidRPr="00565000">
        <w:rPr>
          <w:i/>
          <w:szCs w:val="24"/>
        </w:rPr>
        <w:tab/>
      </w:r>
      <w:r w:rsidRPr="00565000">
        <w:rPr>
          <w:szCs w:val="24"/>
        </w:rPr>
        <w:t>INF.35 (Suisse)</w:t>
      </w:r>
    </w:p>
    <w:p w:rsidR="00EF6AD0" w:rsidRPr="00565000" w:rsidRDefault="00EF6AD0" w:rsidP="00EF6AD0">
      <w:pPr>
        <w:spacing w:after="120"/>
        <w:ind w:left="1134"/>
        <w:jc w:val="both"/>
        <w:rPr>
          <w:szCs w:val="24"/>
        </w:rPr>
      </w:pPr>
      <w:r w:rsidRPr="00565000">
        <w:rPr>
          <w:szCs w:val="24"/>
        </w:rPr>
        <w:tab/>
      </w:r>
      <w:r w:rsidRPr="00565000">
        <w:rPr>
          <w:szCs w:val="24"/>
        </w:rPr>
        <w:tab/>
      </w:r>
      <w:r w:rsidRPr="00565000">
        <w:rPr>
          <w:szCs w:val="24"/>
        </w:rPr>
        <w:tab/>
      </w:r>
      <w:r w:rsidRPr="00565000">
        <w:rPr>
          <w:szCs w:val="24"/>
        </w:rPr>
        <w:tab/>
      </w:r>
      <w:r w:rsidRPr="00565000">
        <w:rPr>
          <w:szCs w:val="24"/>
        </w:rPr>
        <w:tab/>
        <w:t>INF.37 (Royaume-Uni)</w:t>
      </w:r>
    </w:p>
    <w:p w:rsidR="00EF6AD0" w:rsidRPr="00565000" w:rsidRDefault="00AD64CB" w:rsidP="00EF6AD0">
      <w:pPr>
        <w:pStyle w:val="SingleTxtG"/>
        <w:spacing w:before="240" w:after="0"/>
      </w:pPr>
      <w:r w:rsidRPr="00565000">
        <w:t>21</w:t>
      </w:r>
      <w:r w:rsidR="00EF6AD0" w:rsidRPr="00565000">
        <w:t>.</w:t>
      </w:r>
      <w:r w:rsidR="00EF6AD0" w:rsidRPr="00565000">
        <w:tab/>
        <w:t>La Réunion commune a confirmé l’amendement au paragraphe b) de la disposition spéciale 636 provisoirement adopté à la session précédente (voir ECE/TRANS/WP.15/AC.1/140, par.72 et Add.1)</w:t>
      </w:r>
      <w:r w:rsidRPr="00565000">
        <w:t xml:space="preserve"> (voir annexe II)</w:t>
      </w:r>
      <w:r w:rsidR="00EF6AD0" w:rsidRPr="00565000">
        <w:t>.</w:t>
      </w:r>
    </w:p>
    <w:p w:rsidR="00EF6AD0" w:rsidRPr="00565000" w:rsidRDefault="00AD64CB" w:rsidP="00EF6AD0">
      <w:pPr>
        <w:pStyle w:val="SingleTxtG"/>
        <w:spacing w:before="240" w:after="0"/>
      </w:pPr>
      <w:r w:rsidRPr="00565000">
        <w:t>22</w:t>
      </w:r>
      <w:r w:rsidR="00EF6AD0" w:rsidRPr="00565000">
        <w:t>.</w:t>
      </w:r>
      <w:r w:rsidR="00EF6AD0" w:rsidRPr="00565000">
        <w:tab/>
        <w:t>Elle a estimé q</w:t>
      </w:r>
      <w:r w:rsidRPr="00565000">
        <w:t>ue la proposition de la Suisse dans le document informel INF.35</w:t>
      </w:r>
      <w:r w:rsidR="00EF6AD0" w:rsidRPr="00565000">
        <w:t xml:space="preserve"> était nouvelle et devrait être étudiée en premier lieu par le Groupe de travail informel sur le transport des équipements électriques et électroniques mis au rebut.</w:t>
      </w:r>
    </w:p>
    <w:p w:rsidR="00EF6AD0" w:rsidRPr="00565000" w:rsidRDefault="00EF6AD0" w:rsidP="00EF6AD0">
      <w:pPr>
        <w:pStyle w:val="SingleTxtG"/>
        <w:spacing w:before="120"/>
        <w:ind w:hanging="425"/>
        <w:rPr>
          <w:b/>
        </w:rPr>
      </w:pPr>
      <w:r w:rsidRPr="00565000">
        <w:rPr>
          <w:b/>
        </w:rPr>
        <w:t>7.</w:t>
      </w:r>
      <w:r w:rsidRPr="00565000">
        <w:rPr>
          <w:b/>
        </w:rPr>
        <w:tab/>
        <w:t>Utilisation de GRV comme emballage de secours</w:t>
      </w:r>
    </w:p>
    <w:p w:rsidR="00EF6AD0" w:rsidRPr="00565000" w:rsidRDefault="00EF6AD0" w:rsidP="00EF6AD0">
      <w:pPr>
        <w:ind w:left="1134"/>
        <w:jc w:val="both"/>
        <w:rPr>
          <w:szCs w:val="24"/>
        </w:rPr>
      </w:pPr>
      <w:r w:rsidRPr="00565000">
        <w:rPr>
          <w:i/>
          <w:szCs w:val="24"/>
        </w:rPr>
        <w:t>Documents informels:</w:t>
      </w:r>
      <w:r w:rsidRPr="00565000">
        <w:rPr>
          <w:szCs w:val="24"/>
        </w:rPr>
        <w:t xml:space="preserve"> </w:t>
      </w:r>
      <w:r w:rsidRPr="00565000">
        <w:rPr>
          <w:szCs w:val="24"/>
        </w:rPr>
        <w:tab/>
        <w:t>INF.14 (FEAD)</w:t>
      </w:r>
    </w:p>
    <w:p w:rsidR="00EF6AD0" w:rsidRPr="00565000" w:rsidRDefault="00EF6AD0" w:rsidP="00EF6AD0">
      <w:pPr>
        <w:spacing w:after="120"/>
        <w:ind w:left="1134"/>
        <w:jc w:val="both"/>
        <w:rPr>
          <w:szCs w:val="24"/>
        </w:rPr>
      </w:pPr>
      <w:r w:rsidRPr="00565000">
        <w:rPr>
          <w:szCs w:val="24"/>
        </w:rPr>
        <w:tab/>
      </w:r>
      <w:r w:rsidRPr="00565000">
        <w:rPr>
          <w:szCs w:val="24"/>
        </w:rPr>
        <w:tab/>
      </w:r>
      <w:r w:rsidRPr="00565000">
        <w:rPr>
          <w:szCs w:val="24"/>
        </w:rPr>
        <w:tab/>
      </w:r>
      <w:r w:rsidRPr="00565000">
        <w:rPr>
          <w:szCs w:val="24"/>
        </w:rPr>
        <w:tab/>
        <w:t>INF.24 (Secrétariat)</w:t>
      </w:r>
    </w:p>
    <w:p w:rsidR="00EF6AD0" w:rsidRPr="00565000" w:rsidRDefault="00EF6AD0" w:rsidP="00EF6AD0">
      <w:pPr>
        <w:pStyle w:val="SingleTxtG"/>
        <w:spacing w:before="240" w:after="0"/>
      </w:pPr>
      <w:r w:rsidRPr="00565000">
        <w:t>2</w:t>
      </w:r>
      <w:r w:rsidR="005C6A34" w:rsidRPr="00565000">
        <w:t>3</w:t>
      </w:r>
      <w:r w:rsidRPr="00565000">
        <w:t>.</w:t>
      </w:r>
      <w:r w:rsidRPr="00565000">
        <w:tab/>
        <w:t>La Réunion commune a noté que le Sous-Comité d’experts de l’ONU n’avait pas accepté d’autoriser les GRV comme emballages de secours parce qu’a priori les GRV ne sont pas éprouvés pour contenir des objets. Le Sous-Comité d’experts de l’ONU avait estimé que</w:t>
      </w:r>
      <w:r w:rsidR="005C6A34" w:rsidRPr="00565000">
        <w:t xml:space="preserve"> des</w:t>
      </w:r>
      <w:r w:rsidRPr="00565000">
        <w:t xml:space="preserve"> grands emballages</w:t>
      </w:r>
      <w:r w:rsidR="005C6A34" w:rsidRPr="00565000">
        <w:t xml:space="preserve"> devraient </w:t>
      </w:r>
      <w:r w:rsidR="001816D2">
        <w:t xml:space="preserve">être </w:t>
      </w:r>
      <w:r w:rsidR="005C6A34" w:rsidRPr="00565000">
        <w:t>utilisés dans ce cas</w:t>
      </w:r>
      <w:r w:rsidRPr="00565000">
        <w:t>.</w:t>
      </w:r>
    </w:p>
    <w:p w:rsidR="00EF6AD0" w:rsidRPr="00565000" w:rsidRDefault="00EF6AD0" w:rsidP="00EF6AD0">
      <w:pPr>
        <w:pStyle w:val="SingleTxtG"/>
        <w:spacing w:before="240" w:after="0"/>
      </w:pPr>
      <w:r w:rsidRPr="00565000">
        <w:lastRenderedPageBreak/>
        <w:t>2</w:t>
      </w:r>
      <w:r w:rsidR="005C6A34" w:rsidRPr="00565000">
        <w:t>4</w:t>
      </w:r>
      <w:r w:rsidRPr="00565000">
        <w:t>.</w:t>
      </w:r>
      <w:r w:rsidRPr="00565000">
        <w:tab/>
        <w:t>La Réunion commune a décidé, par vote, de continuer à autoriser l’utilisation de GRV comme emballages de secours pour les transports selon le RID/ADR/ADN, mais seulement ceux des types 11A, le représentant de la FEAD ayant confirmé que d’autres types n’étaient pas utilisés par l’industrie européenne de la récupération de déchets</w:t>
      </w:r>
      <w:r w:rsidR="005C6A34" w:rsidRPr="00565000">
        <w:t xml:space="preserve"> (voir annexe II)</w:t>
      </w:r>
      <w:r w:rsidRPr="00565000">
        <w:t>.</w:t>
      </w:r>
    </w:p>
    <w:p w:rsidR="00EF6AD0" w:rsidRPr="00565000" w:rsidRDefault="00EF6AD0" w:rsidP="00EF6AD0">
      <w:pPr>
        <w:pStyle w:val="SingleTxtG"/>
        <w:spacing w:before="120"/>
        <w:ind w:hanging="425"/>
        <w:rPr>
          <w:b/>
        </w:rPr>
      </w:pPr>
      <w:r w:rsidRPr="00565000">
        <w:rPr>
          <w:b/>
        </w:rPr>
        <w:t>8.</w:t>
      </w:r>
      <w:r w:rsidRPr="00565000">
        <w:rPr>
          <w:b/>
        </w:rPr>
        <w:tab/>
        <w:t>Conclusions de la 5</w:t>
      </w:r>
      <w:r w:rsidRPr="00565000">
        <w:rPr>
          <w:b/>
          <w:vertAlign w:val="superscript"/>
        </w:rPr>
        <w:t>ème</w:t>
      </w:r>
      <w:r w:rsidRPr="00565000">
        <w:rPr>
          <w:b/>
        </w:rPr>
        <w:t xml:space="preserve"> session du Groupe de travail permanent de la Commission d’experts du RID</w:t>
      </w:r>
    </w:p>
    <w:p w:rsidR="00EF6AD0" w:rsidRPr="00565000" w:rsidRDefault="00EF6AD0" w:rsidP="00EF6AD0">
      <w:pPr>
        <w:ind w:left="1134"/>
        <w:jc w:val="both"/>
        <w:rPr>
          <w:szCs w:val="24"/>
        </w:rPr>
      </w:pPr>
      <w:r w:rsidRPr="00565000">
        <w:rPr>
          <w:i/>
          <w:szCs w:val="24"/>
        </w:rPr>
        <w:t>Document informel:</w:t>
      </w:r>
      <w:r w:rsidRPr="00565000">
        <w:rPr>
          <w:szCs w:val="24"/>
        </w:rPr>
        <w:t xml:space="preserve"> </w:t>
      </w:r>
      <w:r w:rsidRPr="00565000">
        <w:rPr>
          <w:szCs w:val="24"/>
        </w:rPr>
        <w:tab/>
      </w:r>
      <w:r w:rsidRPr="00565000">
        <w:rPr>
          <w:szCs w:val="24"/>
        </w:rPr>
        <w:tab/>
        <w:t>INF.5 (Secrétariat de l’OTIF)</w:t>
      </w:r>
    </w:p>
    <w:p w:rsidR="00EF6AD0" w:rsidRPr="00565000" w:rsidRDefault="00EF6AD0" w:rsidP="00EF6AD0">
      <w:pPr>
        <w:pStyle w:val="SingleTxtG"/>
        <w:spacing w:before="240" w:after="0"/>
      </w:pPr>
      <w:r w:rsidRPr="00565000">
        <w:t>2</w:t>
      </w:r>
      <w:r w:rsidR="005C6A34" w:rsidRPr="00565000">
        <w:t>5</w:t>
      </w:r>
      <w:r w:rsidRPr="00565000">
        <w:t>.</w:t>
      </w:r>
      <w:r w:rsidRPr="00565000">
        <w:tab/>
        <w:t>La Réunion commune a adopté les modifications proposées (voir annexe</w:t>
      </w:r>
      <w:r w:rsidR="005C6A34" w:rsidRPr="00565000">
        <w:t>s II et III)</w:t>
      </w:r>
      <w:r w:rsidRPr="00565000">
        <w:t>.</w:t>
      </w:r>
    </w:p>
    <w:p w:rsidR="00EF6AD0" w:rsidRPr="00565000" w:rsidRDefault="00EF6AD0" w:rsidP="00EF6AD0">
      <w:pPr>
        <w:pStyle w:val="SingleTxtG"/>
        <w:spacing w:before="120"/>
        <w:ind w:hanging="425"/>
        <w:rPr>
          <w:b/>
        </w:rPr>
      </w:pPr>
      <w:r w:rsidRPr="00565000">
        <w:rPr>
          <w:b/>
        </w:rPr>
        <w:t>9.</w:t>
      </w:r>
      <w:r w:rsidRPr="00565000">
        <w:rPr>
          <w:b/>
        </w:rPr>
        <w:tab/>
        <w:t>Référence à l’autorité compétente dans l’instruction d’emballage P910</w:t>
      </w:r>
    </w:p>
    <w:p w:rsidR="00EF6AD0" w:rsidRPr="00565000" w:rsidRDefault="00EF6AD0" w:rsidP="00EF6AD0">
      <w:pPr>
        <w:ind w:left="1134"/>
        <w:jc w:val="both"/>
        <w:rPr>
          <w:szCs w:val="24"/>
        </w:rPr>
      </w:pPr>
      <w:r w:rsidRPr="00565000">
        <w:rPr>
          <w:i/>
          <w:szCs w:val="24"/>
        </w:rPr>
        <w:t>Document informel:</w:t>
      </w:r>
      <w:r w:rsidRPr="00565000">
        <w:rPr>
          <w:szCs w:val="24"/>
        </w:rPr>
        <w:t xml:space="preserve"> </w:t>
      </w:r>
      <w:r w:rsidRPr="00565000">
        <w:rPr>
          <w:szCs w:val="24"/>
        </w:rPr>
        <w:tab/>
      </w:r>
      <w:r w:rsidRPr="00565000">
        <w:rPr>
          <w:szCs w:val="24"/>
        </w:rPr>
        <w:tab/>
        <w:t>INF.6 (Allemagne)</w:t>
      </w:r>
    </w:p>
    <w:p w:rsidR="00EF6AD0" w:rsidRPr="00565000" w:rsidRDefault="00EF6AD0" w:rsidP="00EF6AD0">
      <w:pPr>
        <w:pStyle w:val="SingleTxtG"/>
        <w:spacing w:before="240" w:after="0"/>
      </w:pPr>
      <w:r w:rsidRPr="00565000">
        <w:t>2</w:t>
      </w:r>
      <w:r w:rsidR="005C6A34" w:rsidRPr="00565000">
        <w:t>6</w:t>
      </w:r>
      <w:r w:rsidRPr="00565000">
        <w:t>.</w:t>
      </w:r>
      <w:r w:rsidRPr="00565000">
        <w:tab/>
        <w:t>La proposition de modification a été mise aux voix et adoptée</w:t>
      </w:r>
      <w:r w:rsidR="005C6A34" w:rsidRPr="00565000">
        <w:t xml:space="preserve"> (voir annexe II)</w:t>
      </w:r>
      <w:r w:rsidRPr="00565000">
        <w:t>.</w:t>
      </w:r>
    </w:p>
    <w:p w:rsidR="00EF6AD0" w:rsidRPr="00565000" w:rsidRDefault="00EF6AD0" w:rsidP="00EF6AD0">
      <w:pPr>
        <w:pStyle w:val="SingleTxtG"/>
        <w:spacing w:before="120"/>
        <w:ind w:hanging="425"/>
        <w:rPr>
          <w:b/>
        </w:rPr>
      </w:pPr>
      <w:r w:rsidRPr="00565000">
        <w:rPr>
          <w:b/>
        </w:rPr>
        <w:t>10.</w:t>
      </w:r>
      <w:r w:rsidRPr="00565000">
        <w:rPr>
          <w:b/>
        </w:rPr>
        <w:tab/>
        <w:t>Matières qui polymérisent</w:t>
      </w:r>
    </w:p>
    <w:p w:rsidR="00EF6AD0" w:rsidRPr="00565000" w:rsidRDefault="00EF6AD0" w:rsidP="00EF6AD0">
      <w:pPr>
        <w:ind w:left="1134"/>
        <w:jc w:val="both"/>
        <w:rPr>
          <w:szCs w:val="24"/>
        </w:rPr>
      </w:pPr>
      <w:r w:rsidRPr="00565000">
        <w:rPr>
          <w:i/>
          <w:szCs w:val="24"/>
        </w:rPr>
        <w:t>Document informel:</w:t>
      </w:r>
      <w:r w:rsidRPr="00565000">
        <w:rPr>
          <w:szCs w:val="24"/>
        </w:rPr>
        <w:t xml:space="preserve"> </w:t>
      </w:r>
      <w:r w:rsidRPr="00565000">
        <w:rPr>
          <w:szCs w:val="24"/>
        </w:rPr>
        <w:tab/>
      </w:r>
      <w:r w:rsidRPr="00565000">
        <w:rPr>
          <w:szCs w:val="24"/>
        </w:rPr>
        <w:tab/>
        <w:t>INF.7 (Allemagne)</w:t>
      </w:r>
    </w:p>
    <w:p w:rsidR="00EF6AD0" w:rsidRPr="00565000" w:rsidRDefault="00EF6AD0" w:rsidP="00EF6AD0">
      <w:pPr>
        <w:pStyle w:val="SingleTxtG"/>
        <w:spacing w:before="240" w:after="0"/>
      </w:pPr>
      <w:r w:rsidRPr="00565000">
        <w:t>2</w:t>
      </w:r>
      <w:r w:rsidR="005C6A34" w:rsidRPr="00565000">
        <w:t>7</w:t>
      </w:r>
      <w:r w:rsidRPr="00565000">
        <w:t>.</w:t>
      </w:r>
      <w:r w:rsidRPr="00565000">
        <w:tab/>
        <w:t>Les propositions d’amendements de conséquence liées à l’inclusion des matières qui polymérisent dans la classe 4.</w:t>
      </w:r>
      <w:r w:rsidR="005C6A34" w:rsidRPr="00565000">
        <w:t>1 ont été adoptées (voir annexe III</w:t>
      </w:r>
      <w:r w:rsidRPr="00565000">
        <w:t>).</w:t>
      </w:r>
    </w:p>
    <w:p w:rsidR="00EF6AD0" w:rsidRPr="00565000" w:rsidRDefault="00EF6AD0" w:rsidP="00EF6AD0">
      <w:pPr>
        <w:pStyle w:val="SingleTxtG"/>
        <w:spacing w:before="120"/>
        <w:ind w:hanging="425"/>
        <w:rPr>
          <w:b/>
        </w:rPr>
      </w:pPr>
      <w:r w:rsidRPr="00565000">
        <w:rPr>
          <w:b/>
        </w:rPr>
        <w:t>11.</w:t>
      </w:r>
      <w:r w:rsidRPr="00565000">
        <w:rPr>
          <w:b/>
        </w:rPr>
        <w:tab/>
        <w:t>Dimensions réduites des étiquettes</w:t>
      </w:r>
    </w:p>
    <w:p w:rsidR="00EF6AD0" w:rsidRPr="00565000" w:rsidRDefault="00EF6AD0" w:rsidP="00EF6AD0">
      <w:pPr>
        <w:ind w:left="1134"/>
        <w:jc w:val="both"/>
        <w:rPr>
          <w:szCs w:val="24"/>
        </w:rPr>
      </w:pPr>
      <w:r w:rsidRPr="00565000">
        <w:rPr>
          <w:i/>
          <w:szCs w:val="24"/>
        </w:rPr>
        <w:t>Document informel:</w:t>
      </w:r>
      <w:r w:rsidRPr="00565000">
        <w:rPr>
          <w:szCs w:val="24"/>
        </w:rPr>
        <w:t xml:space="preserve"> </w:t>
      </w:r>
      <w:r w:rsidRPr="00565000">
        <w:rPr>
          <w:szCs w:val="24"/>
        </w:rPr>
        <w:tab/>
      </w:r>
      <w:r w:rsidRPr="00565000">
        <w:rPr>
          <w:szCs w:val="24"/>
        </w:rPr>
        <w:tab/>
        <w:t>INF.11 (Allemagne)</w:t>
      </w:r>
    </w:p>
    <w:p w:rsidR="00EF6AD0" w:rsidRPr="00565000" w:rsidRDefault="00EF6AD0" w:rsidP="00EF6AD0">
      <w:pPr>
        <w:pStyle w:val="SingleTxtG"/>
        <w:spacing w:before="240" w:after="0"/>
      </w:pPr>
      <w:r w:rsidRPr="00565000">
        <w:t>2</w:t>
      </w:r>
      <w:r w:rsidR="005C6A34" w:rsidRPr="00565000">
        <w:t>8</w:t>
      </w:r>
      <w:r w:rsidRPr="00565000">
        <w:t>.</w:t>
      </w:r>
      <w:r w:rsidRPr="00565000">
        <w:tab/>
        <w:t>La proposition de modification de la mesure transitoire du 1.6.1.30 relative aux étiquettes a été adoptée mais la date du 31 décembre 2018 proposée a été remplacée par la date du 30 juin 2019</w:t>
      </w:r>
      <w:r w:rsidR="005C6A34" w:rsidRPr="00565000">
        <w:t xml:space="preserve"> (voir annexe III)</w:t>
      </w:r>
      <w:r w:rsidRPr="00565000">
        <w:t>.</w:t>
      </w:r>
    </w:p>
    <w:p w:rsidR="00EF6AD0" w:rsidRPr="00565000" w:rsidRDefault="00EF6AD0" w:rsidP="00EF6AD0">
      <w:pPr>
        <w:pStyle w:val="SingleTxtG"/>
        <w:spacing w:before="240" w:after="0"/>
      </w:pPr>
      <w:r w:rsidRPr="00565000">
        <w:t>2</w:t>
      </w:r>
      <w:r w:rsidR="005C6A34" w:rsidRPr="00565000">
        <w:t>9</w:t>
      </w:r>
      <w:r w:rsidRPr="00565000">
        <w:t>.</w:t>
      </w:r>
      <w:r w:rsidRPr="00565000">
        <w:tab/>
        <w:t>La Réunion commune a noté que l’on trouvait sur le marché des étiquettes réutilisables, plus résistantes que des étiquettes normales, et que les utilisateurs de ces étiquettes souhaiteraient un délai plus long. La Réunion  commune a estimé que cette question pourrait être discutée dans le cadre des propositions d’amendements pour la version 2019 du RID/ADR/ADN.</w:t>
      </w:r>
    </w:p>
    <w:p w:rsidR="00EF6AD0" w:rsidRPr="00565000" w:rsidRDefault="001816D2" w:rsidP="00EF6AD0">
      <w:pPr>
        <w:pStyle w:val="SingleTxtG"/>
        <w:spacing w:before="120"/>
        <w:ind w:hanging="425"/>
        <w:rPr>
          <w:b/>
        </w:rPr>
      </w:pPr>
      <w:r>
        <w:rPr>
          <w:b/>
        </w:rPr>
        <w:t>12.</w:t>
      </w:r>
      <w:r>
        <w:rPr>
          <w:b/>
        </w:rPr>
        <w:tab/>
        <w:t>Références au c</w:t>
      </w:r>
      <w:r w:rsidR="00EF6AD0" w:rsidRPr="00565000">
        <w:rPr>
          <w:b/>
        </w:rPr>
        <w:t>ode de bonnes pratiques «CTU»</w:t>
      </w:r>
    </w:p>
    <w:p w:rsidR="00EF6AD0" w:rsidRPr="00565000" w:rsidRDefault="00EF6AD0" w:rsidP="00EF6AD0">
      <w:pPr>
        <w:ind w:left="1134"/>
        <w:jc w:val="both"/>
        <w:rPr>
          <w:szCs w:val="24"/>
        </w:rPr>
      </w:pPr>
      <w:r w:rsidRPr="00565000">
        <w:rPr>
          <w:i/>
          <w:szCs w:val="24"/>
        </w:rPr>
        <w:t>Document informel:</w:t>
      </w:r>
      <w:r w:rsidRPr="00565000">
        <w:rPr>
          <w:szCs w:val="24"/>
        </w:rPr>
        <w:t xml:space="preserve"> </w:t>
      </w:r>
      <w:r w:rsidRPr="00565000">
        <w:rPr>
          <w:szCs w:val="24"/>
        </w:rPr>
        <w:tab/>
      </w:r>
      <w:r w:rsidRPr="00565000">
        <w:rPr>
          <w:szCs w:val="24"/>
        </w:rPr>
        <w:tab/>
        <w:t>INF.19 (Secrétariat de l’OTIF)</w:t>
      </w:r>
    </w:p>
    <w:p w:rsidR="00EF6AD0" w:rsidRPr="00565000" w:rsidRDefault="005C6A34" w:rsidP="00EF6AD0">
      <w:pPr>
        <w:pStyle w:val="SingleTxtG"/>
        <w:spacing w:before="240" w:after="0"/>
      </w:pPr>
      <w:r w:rsidRPr="00565000">
        <w:t>30</w:t>
      </w:r>
      <w:r w:rsidR="00EF6AD0" w:rsidRPr="00565000">
        <w:t>.</w:t>
      </w:r>
      <w:r w:rsidR="00EF6AD0" w:rsidRPr="00565000">
        <w:tab/>
        <w:t>Les propositions de modification</w:t>
      </w:r>
      <w:r w:rsidRPr="00565000">
        <w:t>s ont été adoptées (voir annexe III</w:t>
      </w:r>
      <w:r w:rsidR="00EF6AD0" w:rsidRPr="00565000">
        <w:t>).</w:t>
      </w:r>
    </w:p>
    <w:p w:rsidR="00EF6AD0" w:rsidRPr="001816D2" w:rsidRDefault="00EF6AD0" w:rsidP="001816D2">
      <w:pPr>
        <w:pStyle w:val="SingleTxtG"/>
        <w:spacing w:before="120"/>
        <w:ind w:hanging="425"/>
        <w:rPr>
          <w:b/>
        </w:rPr>
      </w:pPr>
      <w:r w:rsidRPr="001816D2">
        <w:rPr>
          <w:b/>
        </w:rPr>
        <w:t>13.</w:t>
      </w:r>
      <w:r w:rsidRPr="001816D2">
        <w:rPr>
          <w:b/>
        </w:rPr>
        <w:tab/>
        <w:t>Alignement de diverses versions linguistiques</w:t>
      </w:r>
    </w:p>
    <w:p w:rsidR="00EF6AD0" w:rsidRPr="00565000" w:rsidRDefault="00EF6AD0" w:rsidP="00EF6AD0">
      <w:pPr>
        <w:ind w:left="1134"/>
        <w:jc w:val="both"/>
        <w:rPr>
          <w:szCs w:val="24"/>
        </w:rPr>
      </w:pPr>
      <w:r w:rsidRPr="00565000">
        <w:rPr>
          <w:i/>
          <w:szCs w:val="24"/>
        </w:rPr>
        <w:t>Document informel:</w:t>
      </w:r>
      <w:r w:rsidRPr="00565000">
        <w:rPr>
          <w:szCs w:val="24"/>
        </w:rPr>
        <w:t xml:space="preserve"> </w:t>
      </w:r>
      <w:r w:rsidRPr="00565000">
        <w:rPr>
          <w:szCs w:val="24"/>
        </w:rPr>
        <w:tab/>
      </w:r>
      <w:r w:rsidRPr="00565000">
        <w:rPr>
          <w:szCs w:val="24"/>
        </w:rPr>
        <w:tab/>
        <w:t>INF.15 (Secrétariat de l’OTIF)</w:t>
      </w:r>
    </w:p>
    <w:p w:rsidR="00EF6AD0" w:rsidRPr="00565000" w:rsidRDefault="005C6A34" w:rsidP="00EF6AD0">
      <w:pPr>
        <w:pStyle w:val="SingleTxtG"/>
        <w:spacing w:before="240" w:after="0"/>
      </w:pPr>
      <w:r w:rsidRPr="00565000">
        <w:t>31</w:t>
      </w:r>
      <w:r w:rsidR="00EF6AD0" w:rsidRPr="00565000">
        <w:t>.</w:t>
      </w:r>
      <w:r w:rsidR="00EF6AD0" w:rsidRPr="00565000">
        <w:tab/>
        <w:t>Les modifications éditoriales proposées aux versions anglaise, allemande et française afin d’assurer l’alignement de ces versions linguistiques ont été adoptées</w:t>
      </w:r>
      <w:r w:rsidRPr="00565000">
        <w:t xml:space="preserve"> (voir annexe III</w:t>
      </w:r>
      <w:r w:rsidR="00EF6AD0" w:rsidRPr="00565000">
        <w:t>).</w:t>
      </w:r>
    </w:p>
    <w:p w:rsidR="00EF6AD0" w:rsidRPr="00565000" w:rsidRDefault="00EF6AD0" w:rsidP="00EF6AD0">
      <w:pPr>
        <w:pStyle w:val="SingleTxtG"/>
        <w:spacing w:before="120"/>
        <w:ind w:hanging="425"/>
        <w:rPr>
          <w:b/>
        </w:rPr>
      </w:pPr>
      <w:r w:rsidRPr="00565000">
        <w:rPr>
          <w:b/>
        </w:rPr>
        <w:t>14.</w:t>
      </w:r>
      <w:r w:rsidRPr="00565000">
        <w:rPr>
          <w:b/>
        </w:rPr>
        <w:tab/>
        <w:t>Explications relatives à la colonne (15) du tableau A du chapitre 3.2</w:t>
      </w:r>
    </w:p>
    <w:p w:rsidR="00EF6AD0" w:rsidRPr="00565000" w:rsidRDefault="00EF6AD0" w:rsidP="00EF6AD0">
      <w:pPr>
        <w:ind w:left="1134"/>
        <w:jc w:val="both"/>
        <w:rPr>
          <w:szCs w:val="24"/>
        </w:rPr>
      </w:pPr>
      <w:r w:rsidRPr="00565000">
        <w:rPr>
          <w:i/>
          <w:szCs w:val="24"/>
        </w:rPr>
        <w:t>Document informel:</w:t>
      </w:r>
      <w:r w:rsidRPr="00565000">
        <w:rPr>
          <w:szCs w:val="24"/>
        </w:rPr>
        <w:t xml:space="preserve"> </w:t>
      </w:r>
      <w:r w:rsidRPr="00565000">
        <w:rPr>
          <w:szCs w:val="24"/>
        </w:rPr>
        <w:tab/>
      </w:r>
      <w:r w:rsidRPr="00565000">
        <w:rPr>
          <w:szCs w:val="24"/>
        </w:rPr>
        <w:tab/>
        <w:t>INF.22 (Portugal)</w:t>
      </w:r>
    </w:p>
    <w:p w:rsidR="00EF6AD0" w:rsidRPr="00565000" w:rsidRDefault="005C6A34" w:rsidP="00EF6AD0">
      <w:pPr>
        <w:pStyle w:val="SingleTxtG"/>
        <w:spacing w:before="240" w:after="0"/>
      </w:pPr>
      <w:r w:rsidRPr="00565000">
        <w:t>32</w:t>
      </w:r>
      <w:r w:rsidR="00EF6AD0" w:rsidRPr="00565000">
        <w:t>.</w:t>
      </w:r>
      <w:r w:rsidR="00EF6AD0" w:rsidRPr="00565000">
        <w:tab/>
        <w:t xml:space="preserve">La plupart des délégations considéraient que les textes actuels ne posaient pas de problèmes d’ambiguïté ou de contradiction. Après de longues discussions le représentant du </w:t>
      </w:r>
      <w:r w:rsidR="00EF6AD0" w:rsidRPr="00565000">
        <w:lastRenderedPageBreak/>
        <w:t>Portugal a retiré sa proposition en indiquant qu’il reviendrait éventuellement sur la question.</w:t>
      </w:r>
    </w:p>
    <w:p w:rsidR="00EF6AD0" w:rsidRPr="00565000" w:rsidRDefault="00EF6AD0" w:rsidP="00EF6AD0">
      <w:pPr>
        <w:pStyle w:val="SingleTxtG"/>
        <w:spacing w:before="120"/>
        <w:ind w:hanging="425"/>
        <w:rPr>
          <w:b/>
        </w:rPr>
      </w:pPr>
      <w:r w:rsidRPr="00565000">
        <w:rPr>
          <w:b/>
        </w:rPr>
        <w:t>15.</w:t>
      </w:r>
      <w:r w:rsidRPr="00565000">
        <w:rPr>
          <w:b/>
        </w:rPr>
        <w:tab/>
        <w:t>Quarante-huitième session du Sous-Comité d’experts du transport des marchandises dangereuses de l’ONU</w:t>
      </w:r>
    </w:p>
    <w:p w:rsidR="00EF6AD0" w:rsidRPr="00565000" w:rsidRDefault="00EF6AD0" w:rsidP="00EF6AD0">
      <w:pPr>
        <w:ind w:left="1134"/>
        <w:jc w:val="both"/>
        <w:rPr>
          <w:szCs w:val="24"/>
        </w:rPr>
      </w:pPr>
      <w:r w:rsidRPr="00565000">
        <w:rPr>
          <w:i/>
          <w:szCs w:val="24"/>
        </w:rPr>
        <w:t>Document informel:</w:t>
      </w:r>
      <w:r w:rsidRPr="00565000">
        <w:rPr>
          <w:szCs w:val="24"/>
        </w:rPr>
        <w:t xml:space="preserve"> </w:t>
      </w:r>
      <w:r w:rsidRPr="00565000">
        <w:rPr>
          <w:szCs w:val="24"/>
        </w:rPr>
        <w:tab/>
      </w:r>
      <w:r w:rsidRPr="00565000">
        <w:rPr>
          <w:szCs w:val="24"/>
        </w:rPr>
        <w:tab/>
        <w:t>INF.24 (Secrétariat)</w:t>
      </w:r>
    </w:p>
    <w:p w:rsidR="00EF6AD0" w:rsidRPr="00565000" w:rsidRDefault="00EF6AD0" w:rsidP="00EF6AD0">
      <w:pPr>
        <w:pStyle w:val="SingleTxtG"/>
        <w:spacing w:before="240" w:after="0"/>
      </w:pPr>
      <w:r w:rsidRPr="00565000">
        <w:t>3</w:t>
      </w:r>
      <w:r w:rsidR="005C6A34" w:rsidRPr="00565000">
        <w:t>3</w:t>
      </w:r>
      <w:r w:rsidRPr="00565000">
        <w:t>.</w:t>
      </w:r>
      <w:r w:rsidRPr="00565000">
        <w:tab/>
        <w:t>La Réunion commune a pris note des résultats des discussions du Sous-Comité d’experts de l’ONU sur les questions émanant de sa session d’automne, du groupe WP.15 et du Sous-Comité CCC de l’Organisation maritime internationale. Elle a décidé que les conclusions relatives aux paragraphes 86, 87, 92, 93, 112 et 114 devraient être prises en compte dans les amendements au RID/ADR/ADN prévus pour le 1</w:t>
      </w:r>
      <w:r w:rsidRPr="00565000">
        <w:rPr>
          <w:vertAlign w:val="superscript"/>
        </w:rPr>
        <w:t>er</w:t>
      </w:r>
      <w:r w:rsidRPr="00565000">
        <w:t xml:space="preserve"> janvier 2017, si elles ne l’ont pas déjà été, et même si certaines de ces conclusions restaient sujettes à confirmation à la quarante-neuvième session du Sous-Comité</w:t>
      </w:r>
      <w:r w:rsidR="00260F2D" w:rsidRPr="00565000">
        <w:t xml:space="preserve"> (voir annexe II)</w:t>
      </w:r>
      <w:r w:rsidRPr="00565000">
        <w:t>.</w:t>
      </w:r>
    </w:p>
    <w:p w:rsidR="00EF6AD0" w:rsidRPr="00565000" w:rsidRDefault="00EF6AD0" w:rsidP="00EF6AD0">
      <w:pPr>
        <w:pStyle w:val="H1G"/>
      </w:pPr>
      <w:r w:rsidRPr="00565000">
        <w:tab/>
        <w:t>B.</w:t>
      </w:r>
      <w:r w:rsidRPr="00565000">
        <w:tab/>
        <w:t>Nouvelles propositions</w:t>
      </w:r>
    </w:p>
    <w:p w:rsidR="00EF6AD0" w:rsidRPr="00565000" w:rsidRDefault="00EF6AD0" w:rsidP="00EF6AD0">
      <w:pPr>
        <w:pStyle w:val="SingleTxtG"/>
        <w:spacing w:before="120"/>
        <w:ind w:left="709"/>
        <w:rPr>
          <w:b/>
        </w:rPr>
      </w:pPr>
      <w:r w:rsidRPr="00565000">
        <w:rPr>
          <w:b/>
        </w:rPr>
        <w:t>1.</w:t>
      </w:r>
      <w:r w:rsidRPr="00565000">
        <w:rPr>
          <w:b/>
        </w:rPr>
        <w:tab/>
        <w:t>Propositions relatives aux conseillers à la sécurité</w:t>
      </w:r>
    </w:p>
    <w:p w:rsidR="00EF6AD0" w:rsidRPr="00565000" w:rsidRDefault="00EF6AD0" w:rsidP="00EF6AD0">
      <w:pPr>
        <w:pStyle w:val="SingleTxtG"/>
        <w:spacing w:before="120"/>
        <w:ind w:left="567"/>
        <w:rPr>
          <w:b/>
        </w:rPr>
      </w:pPr>
      <w:r w:rsidRPr="00565000">
        <w:rPr>
          <w:i/>
          <w:szCs w:val="24"/>
        </w:rPr>
        <w:tab/>
      </w:r>
      <w:r w:rsidRPr="00565000">
        <w:rPr>
          <w:i/>
        </w:rPr>
        <w:t>Document:</w:t>
      </w:r>
      <w:r w:rsidRPr="00565000">
        <w:rPr>
          <w:i/>
        </w:rPr>
        <w:tab/>
      </w:r>
      <w:r w:rsidRPr="00565000">
        <w:rPr>
          <w:i/>
        </w:rPr>
        <w:tab/>
      </w:r>
      <w:r w:rsidRPr="00565000">
        <w:rPr>
          <w:i/>
        </w:rPr>
        <w:tab/>
      </w:r>
      <w:r w:rsidRPr="00565000">
        <w:t>ECE/TRANS/WP.15/AC.1/2016/3 (EASA)</w:t>
      </w:r>
    </w:p>
    <w:p w:rsidR="00EF6AD0" w:rsidRPr="00565000" w:rsidRDefault="00EF6AD0" w:rsidP="00EF6AD0">
      <w:pPr>
        <w:spacing w:before="120"/>
        <w:ind w:left="1134"/>
        <w:jc w:val="both"/>
        <w:rPr>
          <w:szCs w:val="24"/>
        </w:rPr>
      </w:pPr>
      <w:r w:rsidRPr="00565000">
        <w:rPr>
          <w:i/>
          <w:szCs w:val="24"/>
        </w:rPr>
        <w:t>Documents informels:</w:t>
      </w:r>
      <w:r w:rsidRPr="00565000">
        <w:rPr>
          <w:szCs w:val="24"/>
        </w:rPr>
        <w:t xml:space="preserve"> </w:t>
      </w:r>
      <w:r w:rsidRPr="00565000">
        <w:rPr>
          <w:szCs w:val="24"/>
        </w:rPr>
        <w:tab/>
        <w:t>INF.40 (Espagne)</w:t>
      </w:r>
    </w:p>
    <w:p w:rsidR="00EF6AD0" w:rsidRPr="00565000" w:rsidRDefault="00EF6AD0" w:rsidP="00EF6AD0">
      <w:pPr>
        <w:spacing w:after="120"/>
        <w:ind w:left="1134"/>
        <w:jc w:val="both"/>
        <w:rPr>
          <w:szCs w:val="24"/>
        </w:rPr>
      </w:pPr>
      <w:r w:rsidRPr="00565000">
        <w:rPr>
          <w:i/>
          <w:szCs w:val="24"/>
        </w:rPr>
        <w:tab/>
      </w:r>
      <w:r w:rsidRPr="00565000">
        <w:rPr>
          <w:i/>
          <w:szCs w:val="24"/>
        </w:rPr>
        <w:tab/>
      </w:r>
      <w:r w:rsidRPr="00565000">
        <w:rPr>
          <w:i/>
          <w:szCs w:val="24"/>
        </w:rPr>
        <w:tab/>
      </w:r>
      <w:r w:rsidRPr="00565000">
        <w:rPr>
          <w:i/>
          <w:szCs w:val="24"/>
        </w:rPr>
        <w:tab/>
      </w:r>
      <w:r w:rsidRPr="00565000">
        <w:rPr>
          <w:szCs w:val="24"/>
        </w:rPr>
        <w:t>INF</w:t>
      </w:r>
      <w:r w:rsidRPr="00565000">
        <w:rPr>
          <w:i/>
          <w:szCs w:val="24"/>
        </w:rPr>
        <w:t>.</w:t>
      </w:r>
      <w:r w:rsidRPr="00565000">
        <w:rPr>
          <w:szCs w:val="24"/>
        </w:rPr>
        <w:t>50 (UIP)</w:t>
      </w:r>
    </w:p>
    <w:p w:rsidR="00EF6AD0" w:rsidRPr="00565000" w:rsidRDefault="00EF6AD0" w:rsidP="00EF6AD0">
      <w:pPr>
        <w:pStyle w:val="SingleTxtG"/>
        <w:spacing w:before="240" w:after="0"/>
      </w:pPr>
      <w:r w:rsidRPr="00565000">
        <w:t>3</w:t>
      </w:r>
      <w:r w:rsidR="00260F2D" w:rsidRPr="00565000">
        <w:t>4</w:t>
      </w:r>
      <w:r w:rsidRPr="00565000">
        <w:t>.</w:t>
      </w:r>
      <w:r w:rsidRPr="00565000">
        <w:tab/>
        <w:t xml:space="preserve">Plusieurs délégations ont exprimé leur opposition à l’ensemble des propositions de l’EASA car elles ne voyaient pas en quoi ces propositions pouvaient améliorer la sécurité et parce que les coûts de la mise en œuvre des mesures proposées n’avaient pas été évaluées. Certaines ont indiqué que leurs associations nationales n’y étaient pas </w:t>
      </w:r>
      <w:proofErr w:type="gramStart"/>
      <w:r w:rsidRPr="00565000">
        <w:t>favorable</w:t>
      </w:r>
      <w:proofErr w:type="gramEnd"/>
      <w:r w:rsidRPr="00565000">
        <w:t xml:space="preserve"> et </w:t>
      </w:r>
      <w:r w:rsidR="00260F2D" w:rsidRPr="00565000">
        <w:t xml:space="preserve">se </w:t>
      </w:r>
      <w:r w:rsidRPr="00565000">
        <w:t>sont demandé dans quelle mesure ces propositions avai</w:t>
      </w:r>
      <w:r w:rsidR="007E0281">
        <w:t>en</w:t>
      </w:r>
      <w:r w:rsidRPr="00565000">
        <w:t>t reçu l’aval des associations professionnelles concernées.</w:t>
      </w:r>
    </w:p>
    <w:p w:rsidR="00EF6AD0" w:rsidRPr="00565000" w:rsidRDefault="00EF6AD0" w:rsidP="00EF6AD0">
      <w:pPr>
        <w:pStyle w:val="SingleTxtG"/>
        <w:spacing w:before="240" w:after="0"/>
      </w:pPr>
      <w:r w:rsidRPr="00565000">
        <w:t>3</w:t>
      </w:r>
      <w:r w:rsidR="00260F2D" w:rsidRPr="00565000">
        <w:t>5</w:t>
      </w:r>
      <w:r w:rsidRPr="00565000">
        <w:t>.</w:t>
      </w:r>
      <w:r w:rsidRPr="00565000">
        <w:tab/>
        <w:t>Certaines délégations ont indiqué que certaines des propositions comportaient des aspects intéressants, il a donc été décidé de les étudier par groupes.</w:t>
      </w:r>
    </w:p>
    <w:p w:rsidR="00EF6AD0" w:rsidRPr="00565000" w:rsidRDefault="00EF6AD0" w:rsidP="00EF6AD0">
      <w:pPr>
        <w:pStyle w:val="H4G"/>
        <w:rPr>
          <w:b/>
        </w:rPr>
      </w:pPr>
      <w:r w:rsidRPr="00565000">
        <w:rPr>
          <w:b/>
        </w:rPr>
        <w:tab/>
      </w:r>
      <w:r w:rsidRPr="00565000">
        <w:rPr>
          <w:b/>
        </w:rPr>
        <w:tab/>
        <w:t>Proposition 1</w:t>
      </w:r>
    </w:p>
    <w:p w:rsidR="00EF6AD0" w:rsidRPr="00565000" w:rsidRDefault="00EF6AD0" w:rsidP="00EF6AD0">
      <w:pPr>
        <w:pStyle w:val="SingleTxtG"/>
        <w:spacing w:before="240" w:after="0"/>
      </w:pPr>
      <w:r w:rsidRPr="00565000">
        <w:t>3</w:t>
      </w:r>
      <w:r w:rsidR="00260F2D" w:rsidRPr="00565000">
        <w:t>6</w:t>
      </w:r>
      <w:r w:rsidRPr="00565000">
        <w:t>.</w:t>
      </w:r>
      <w:r w:rsidRPr="00565000">
        <w:tab/>
        <w:t>Cette proposition visait à exiger que la formation  aux fins du chapitre 1.3 soit dispensée exclusivement par des conseillers à la sécurité certifiés. Les discussions ont montré que la très grande majorité des délégations gouvernementales et non-gouvernementales étaient fortement opposée au principe même car la formation dispensée est liée à des fonctions spécifiques dans l’entreprise. La formation peut en effet être dispensée par du personnel de l’entreprise qualifié et expérimenté, souvent plus compétent qu’un conseiller à la sécurité pour assurer une formation ciblée prenant en compte éventuellement d’autres exigences réglementaires ne relevant pas du transport, ou simplement liées à l’environnement de travail propre à l’entreprise. La proposition n’a donc pas été acceptée.</w:t>
      </w:r>
    </w:p>
    <w:p w:rsidR="00EF6AD0" w:rsidRPr="00565000" w:rsidRDefault="00260F2D" w:rsidP="00EF6AD0">
      <w:pPr>
        <w:pStyle w:val="H4G"/>
        <w:rPr>
          <w:b/>
        </w:rPr>
      </w:pPr>
      <w:r w:rsidRPr="00565000">
        <w:rPr>
          <w:b/>
        </w:rPr>
        <w:tab/>
      </w:r>
      <w:r w:rsidRPr="00565000">
        <w:rPr>
          <w:b/>
        </w:rPr>
        <w:tab/>
      </w:r>
      <w:r w:rsidR="00EF6AD0" w:rsidRPr="00565000">
        <w:rPr>
          <w:b/>
        </w:rPr>
        <w:t>Propositions 2, 5 et 8</w:t>
      </w:r>
    </w:p>
    <w:p w:rsidR="00EF6AD0" w:rsidRPr="00565000" w:rsidRDefault="00EF6AD0" w:rsidP="00EF6AD0">
      <w:pPr>
        <w:pStyle w:val="SingleTxtG"/>
        <w:spacing w:before="240" w:after="0"/>
      </w:pPr>
      <w:r w:rsidRPr="00565000">
        <w:t>3</w:t>
      </w:r>
      <w:r w:rsidR="00260F2D" w:rsidRPr="00565000">
        <w:t>7</w:t>
      </w:r>
      <w:r w:rsidRPr="00565000">
        <w:t>.</w:t>
      </w:r>
      <w:r w:rsidRPr="00565000">
        <w:tab/>
        <w:t xml:space="preserve">Certaines délégations ont indiqué que dans leur législation nationale, l’obligation de conseiller à la sécurité s’appliquait déjà aux expéditeurs. D’autres ont indiqué que leur législation nationale reposait sur la directive européenne à l’origine de ces prescriptions en matière de conseiller à la sécurité qui ne visait pas les expéditeurs. Une extension du champ </w:t>
      </w:r>
      <w:r w:rsidRPr="00565000">
        <w:lastRenderedPageBreak/>
        <w:t>d’application aurait des répercussions importantes autant pour l’industrie que pour les administrations.</w:t>
      </w:r>
    </w:p>
    <w:p w:rsidR="00EF6AD0" w:rsidRPr="00565000" w:rsidRDefault="00EF6AD0" w:rsidP="00EF6AD0">
      <w:pPr>
        <w:pStyle w:val="SingleTxtG"/>
        <w:spacing w:before="240" w:after="0"/>
      </w:pPr>
      <w:r w:rsidRPr="00565000">
        <w:t>3</w:t>
      </w:r>
      <w:r w:rsidR="00260F2D" w:rsidRPr="00565000">
        <w:t>8</w:t>
      </w:r>
      <w:r w:rsidRPr="00565000">
        <w:t>.</w:t>
      </w:r>
      <w:r w:rsidRPr="00565000">
        <w:tab/>
        <w:t>Il a finalement été décidé d’étendre le champ d’application aux expéditeurs, mais le représentant de l’EASA a été prié de préparer une proposition de mesures transitoires de quatre ans à partir de l’entrée en vigueur prévue (soit jusqu’en 2023 pour une entrée en vigueur en 2019). Il conviendrait aussi de prévoir des mesures transitoires pour les certificats du modèle figurant au 1.8.3.18, également modifiées selon la proposition 8.</w:t>
      </w:r>
    </w:p>
    <w:p w:rsidR="00EF6AD0" w:rsidRPr="00565000" w:rsidRDefault="00EF6AD0" w:rsidP="00EF6AD0">
      <w:pPr>
        <w:pStyle w:val="SingleTxtG"/>
        <w:spacing w:before="240" w:after="0"/>
      </w:pPr>
      <w:r w:rsidRPr="00565000">
        <w:t>3</w:t>
      </w:r>
      <w:r w:rsidR="00260F2D" w:rsidRPr="00565000">
        <w:t>9</w:t>
      </w:r>
      <w:r w:rsidRPr="00565000">
        <w:t>.</w:t>
      </w:r>
      <w:r w:rsidRPr="00565000">
        <w:tab/>
        <w:t xml:space="preserve">L’inclusion de la mention </w:t>
      </w:r>
      <w:proofErr w:type="gramStart"/>
      <w:r w:rsidRPr="00565000">
        <w:t>«(</w:t>
      </w:r>
      <w:proofErr w:type="gramEnd"/>
      <w:r w:rsidRPr="00565000">
        <w:t xml:space="preserve">autres intervenants inclus)» n’a  pas été </w:t>
      </w:r>
      <w:r w:rsidR="00260F2D" w:rsidRPr="00565000">
        <w:t>appuyée et a été retirée par l’EASA. L</w:t>
      </w:r>
      <w:r w:rsidRPr="00565000">
        <w:t>a question d’extension du champ d’application aux exploitants de wagons-citernes était du ressort de la Commission d’experts du RID et devrait donc le cas échéant faire l’objet d’une soumission séparée à cette commission. Il conviendrait notamment de tenir compte des commentaires de l’UIP dans le document informel INF.50</w:t>
      </w:r>
      <w:r w:rsidR="00260F2D" w:rsidRPr="00565000">
        <w:t xml:space="preserve"> ainsi que de la relation avec les exploitants de citernes mobiles et de conteneurs-citernes</w:t>
      </w:r>
      <w:r w:rsidRPr="00565000">
        <w:t>.</w:t>
      </w:r>
    </w:p>
    <w:p w:rsidR="00EF6AD0" w:rsidRPr="00565000" w:rsidRDefault="00EF6AD0" w:rsidP="00EF6AD0">
      <w:pPr>
        <w:pStyle w:val="H4G"/>
        <w:rPr>
          <w:b/>
        </w:rPr>
      </w:pPr>
      <w:r w:rsidRPr="00565000">
        <w:rPr>
          <w:b/>
        </w:rPr>
        <w:tab/>
      </w:r>
      <w:r w:rsidRPr="00565000">
        <w:rPr>
          <w:b/>
        </w:rPr>
        <w:tab/>
        <w:t>Proposition 3</w:t>
      </w:r>
    </w:p>
    <w:p w:rsidR="00EF6AD0" w:rsidRPr="00565000" w:rsidRDefault="00260F2D" w:rsidP="00EF6AD0">
      <w:pPr>
        <w:pStyle w:val="SingleTxtG"/>
        <w:spacing w:before="240" w:after="0"/>
      </w:pPr>
      <w:r w:rsidRPr="00565000">
        <w:t>40</w:t>
      </w:r>
      <w:r w:rsidR="00EF6AD0" w:rsidRPr="00565000">
        <w:t>.</w:t>
      </w:r>
      <w:r w:rsidR="00EF6AD0" w:rsidRPr="00565000">
        <w:tab/>
        <w:t>La modification éditoriale au 1.8.3.2 a) a été acceptée, mais l’ajout de NOTA limitant les prérogatives des autorités compétentes en matière d’exemption de certains intervenants en fonction des quantités concernées a été rejeté.</w:t>
      </w:r>
    </w:p>
    <w:p w:rsidR="00EF6AD0" w:rsidRPr="00565000" w:rsidRDefault="00EF6AD0" w:rsidP="00EF6AD0">
      <w:pPr>
        <w:pStyle w:val="H4G"/>
        <w:rPr>
          <w:b/>
        </w:rPr>
      </w:pPr>
      <w:r w:rsidRPr="00565000">
        <w:rPr>
          <w:b/>
        </w:rPr>
        <w:tab/>
      </w:r>
      <w:r w:rsidRPr="00565000">
        <w:rPr>
          <w:b/>
        </w:rPr>
        <w:tab/>
        <w:t>Proposition 4</w:t>
      </w:r>
    </w:p>
    <w:p w:rsidR="00EF6AD0" w:rsidRPr="00565000" w:rsidRDefault="00260F2D" w:rsidP="00EF6AD0">
      <w:pPr>
        <w:pStyle w:val="SingleTxtG"/>
        <w:spacing w:before="240" w:after="0"/>
      </w:pPr>
      <w:r w:rsidRPr="00565000">
        <w:t>41</w:t>
      </w:r>
      <w:r w:rsidR="00EF6AD0" w:rsidRPr="00565000">
        <w:t>.</w:t>
      </w:r>
      <w:r w:rsidR="00EF6AD0" w:rsidRPr="00565000">
        <w:tab/>
        <w:t>Les avis étaient partagés en ce qui concerne la pertinence d’un modèle de rapport harmonisé. Il convenait en effet d’analyser la finalité de ces rapports et de leur utilité. S’agissait-il de conseiller l’entreprise pour améliorer la sécurité ou de la surveiller? Le représentant de l’EASA a été prié</w:t>
      </w:r>
      <w:r w:rsidRPr="00565000">
        <w:t xml:space="preserve"> d’envisager l’option d’établir des directives</w:t>
      </w:r>
      <w:r w:rsidR="00EF6AD0" w:rsidRPr="00565000">
        <w:t>.</w:t>
      </w:r>
      <w:r w:rsidR="005C5D9F" w:rsidRPr="00565000">
        <w:t xml:space="preserve"> Si une nouvelle proposition s’avérait nécessaire, il conviendrait de fournir des explications claires sur la finalité d’un rapport harmonisé et de tenir compte des modèles existants.</w:t>
      </w:r>
    </w:p>
    <w:p w:rsidR="00EF6AD0" w:rsidRPr="00565000" w:rsidRDefault="00EF6AD0" w:rsidP="00EF6AD0">
      <w:pPr>
        <w:pStyle w:val="H4G"/>
        <w:rPr>
          <w:b/>
        </w:rPr>
      </w:pPr>
      <w:r w:rsidRPr="00565000">
        <w:rPr>
          <w:b/>
        </w:rPr>
        <w:tab/>
      </w:r>
      <w:r w:rsidRPr="00565000">
        <w:rPr>
          <w:b/>
        </w:rPr>
        <w:tab/>
        <w:t>Propositions 6 et 7</w:t>
      </w:r>
    </w:p>
    <w:p w:rsidR="00EF6AD0" w:rsidRPr="00565000" w:rsidRDefault="00260F2D" w:rsidP="00EF6AD0">
      <w:pPr>
        <w:pStyle w:val="SingleTxtG"/>
        <w:spacing w:before="240" w:after="0"/>
      </w:pPr>
      <w:r w:rsidRPr="00565000">
        <w:t>42</w:t>
      </w:r>
      <w:r w:rsidR="00EF6AD0" w:rsidRPr="00565000">
        <w:t>.</w:t>
      </w:r>
      <w:r w:rsidR="00EF6AD0" w:rsidRPr="00565000">
        <w:tab/>
      </w:r>
      <w:r w:rsidRPr="00565000">
        <w:t>Les propositions n’ayant pas été appuyées, elles n’ont pas été approfondies et n’ont pas donné lieu à des décisions.</w:t>
      </w:r>
    </w:p>
    <w:p w:rsidR="00EF6AD0" w:rsidRPr="00565000" w:rsidRDefault="00EF6AD0" w:rsidP="00EF6AD0">
      <w:pPr>
        <w:pStyle w:val="SingleTxtG"/>
        <w:spacing w:before="120"/>
        <w:ind w:left="709"/>
        <w:rPr>
          <w:b/>
        </w:rPr>
      </w:pPr>
      <w:r w:rsidRPr="00565000">
        <w:rPr>
          <w:b/>
        </w:rPr>
        <w:t>2.</w:t>
      </w:r>
      <w:r w:rsidRPr="00565000">
        <w:rPr>
          <w:b/>
        </w:rPr>
        <w:tab/>
        <w:t xml:space="preserve">Remplissage des panneaux orange requis par le 5.3.2 dans le cas des transports de </w:t>
      </w:r>
      <w:r w:rsidRPr="00565000">
        <w:rPr>
          <w:b/>
        </w:rPr>
        <w:tab/>
        <w:t>matières radioactives</w:t>
      </w:r>
    </w:p>
    <w:p w:rsidR="00EF6AD0" w:rsidRPr="00565000" w:rsidRDefault="00EF6AD0" w:rsidP="00EF6AD0">
      <w:pPr>
        <w:pStyle w:val="SingleTxtG"/>
        <w:spacing w:before="120"/>
        <w:ind w:left="567"/>
        <w:rPr>
          <w:b/>
        </w:rPr>
      </w:pPr>
      <w:r w:rsidRPr="00565000">
        <w:rPr>
          <w:i/>
          <w:szCs w:val="24"/>
        </w:rPr>
        <w:tab/>
      </w:r>
      <w:r w:rsidRPr="00565000">
        <w:rPr>
          <w:i/>
        </w:rPr>
        <w:t>Document:</w:t>
      </w:r>
      <w:r w:rsidRPr="00565000">
        <w:rPr>
          <w:i/>
        </w:rPr>
        <w:tab/>
      </w:r>
      <w:r w:rsidRPr="00565000">
        <w:rPr>
          <w:i/>
        </w:rPr>
        <w:tab/>
      </w:r>
      <w:r w:rsidRPr="00565000">
        <w:rPr>
          <w:i/>
        </w:rPr>
        <w:tab/>
      </w:r>
      <w:r w:rsidRPr="00565000">
        <w:t>ECE/TRANS/WP.15/AC.1/2016/14 (France)</w:t>
      </w:r>
    </w:p>
    <w:p w:rsidR="00EF6AD0" w:rsidRPr="00565000" w:rsidRDefault="00EF6AD0" w:rsidP="00EF6AD0">
      <w:pPr>
        <w:spacing w:before="120"/>
        <w:ind w:left="1134"/>
        <w:jc w:val="both"/>
        <w:rPr>
          <w:szCs w:val="24"/>
        </w:rPr>
      </w:pPr>
      <w:r w:rsidRPr="00565000">
        <w:rPr>
          <w:i/>
          <w:szCs w:val="24"/>
        </w:rPr>
        <w:t>Document informel:</w:t>
      </w:r>
      <w:r w:rsidRPr="00565000">
        <w:rPr>
          <w:szCs w:val="24"/>
        </w:rPr>
        <w:t xml:space="preserve"> </w:t>
      </w:r>
      <w:r w:rsidRPr="00565000">
        <w:rPr>
          <w:szCs w:val="24"/>
        </w:rPr>
        <w:tab/>
      </w:r>
      <w:r w:rsidRPr="00565000">
        <w:rPr>
          <w:szCs w:val="24"/>
        </w:rPr>
        <w:tab/>
        <w:t>INF.28 (France)</w:t>
      </w:r>
    </w:p>
    <w:p w:rsidR="00EF6AD0" w:rsidRPr="00565000" w:rsidRDefault="00EF6AD0" w:rsidP="00EF6AD0">
      <w:pPr>
        <w:pStyle w:val="SingleTxtG"/>
        <w:spacing w:before="240" w:after="0"/>
      </w:pPr>
      <w:r w:rsidRPr="00565000">
        <w:t>4</w:t>
      </w:r>
      <w:r w:rsidR="00260F2D" w:rsidRPr="00565000">
        <w:t>3</w:t>
      </w:r>
      <w:r w:rsidRPr="00565000">
        <w:t>.</w:t>
      </w:r>
      <w:r w:rsidRPr="00565000">
        <w:tab/>
        <w:t>La Réunion commune a pris note de la proposition de la France d’exiger le numéro ONU sur le panneau orange pour tous les transports de matières radioactives emballées dont le chargement correspond à un seul numéro ONU même lorsque le transport sans utilisation exclusive n’est pas exigé, mais a noté également que cette prescription ne serait pas conforme au Règlement actuel de l’AIEA. Elle a donc souhaité connaître l’avis de l’AIEA sur la question et souligné qu’il serait souhaitable que la prescription proposée soit également proposée pour les réglementations relatives aux autres modes de transport, notamment le transport maritime.</w:t>
      </w:r>
    </w:p>
    <w:p w:rsidR="00EF6AD0" w:rsidRPr="00565000" w:rsidRDefault="00EF6AD0" w:rsidP="00B45B33">
      <w:pPr>
        <w:pStyle w:val="SingleTxtG"/>
        <w:keepNext/>
        <w:spacing w:before="120"/>
        <w:ind w:left="709"/>
        <w:rPr>
          <w:b/>
        </w:rPr>
      </w:pPr>
      <w:r w:rsidRPr="00565000">
        <w:rPr>
          <w:b/>
        </w:rPr>
        <w:lastRenderedPageBreak/>
        <w:t>3.</w:t>
      </w:r>
      <w:r w:rsidRPr="00565000">
        <w:rPr>
          <w:b/>
        </w:rPr>
        <w:tab/>
        <w:t>Transport en vrac selon les codes BK ou VC</w:t>
      </w:r>
    </w:p>
    <w:p w:rsidR="00EF6AD0" w:rsidRPr="00565000" w:rsidRDefault="00EF6AD0" w:rsidP="00B45B33">
      <w:pPr>
        <w:pStyle w:val="SingleTxtG"/>
        <w:keepNext/>
        <w:spacing w:before="240" w:after="0"/>
        <w:rPr>
          <w:i/>
        </w:rPr>
      </w:pPr>
      <w:r w:rsidRPr="00565000">
        <w:rPr>
          <w:i/>
        </w:rPr>
        <w:t xml:space="preserve">Document: </w:t>
      </w:r>
      <w:r w:rsidRPr="00565000">
        <w:t>ECE/TRANS/WP.15/AC.1/2016/6 (</w:t>
      </w:r>
      <w:r w:rsidR="00260F2D" w:rsidRPr="00565000">
        <w:t>Espagne</w:t>
      </w:r>
      <w:r w:rsidRPr="00565000">
        <w:t>)</w:t>
      </w:r>
    </w:p>
    <w:p w:rsidR="00EF6AD0" w:rsidRPr="00565000" w:rsidRDefault="00EF6AD0" w:rsidP="00B45B33">
      <w:pPr>
        <w:pStyle w:val="SingleTxtG"/>
        <w:keepNext/>
        <w:spacing w:before="240" w:after="0"/>
      </w:pPr>
      <w:r w:rsidRPr="00565000">
        <w:t>4</w:t>
      </w:r>
      <w:r w:rsidR="00260F2D" w:rsidRPr="00565000">
        <w:t>4</w:t>
      </w:r>
      <w:r w:rsidRPr="00565000">
        <w:t>.</w:t>
      </w:r>
      <w:r w:rsidRPr="00565000">
        <w:tab/>
        <w:t>Plusieurs délégations ont estimé que l’interprétation proposée par l’</w:t>
      </w:r>
      <w:r w:rsidR="00260F2D" w:rsidRPr="00565000">
        <w:t>Espagne</w:t>
      </w:r>
      <w:r w:rsidRPr="00565000">
        <w:t xml:space="preserve"> ressortait déjà du texte. Toutefois la Réunion commune a accepté d’introduire un NOTA au 7.3.3.1 pour indiquer clairement que lorsqu’un code VC1 (ou VC2) est indiqué dans la colonne 17 du Tableau A, un conteneur pour vrac BK1 (respectivement BK2) peut être utilisé si toutes les dispositions pertinentes de la section 7.3.3</w:t>
      </w:r>
      <w:r w:rsidR="00260F2D" w:rsidRPr="00565000">
        <w:t xml:space="preserve"> sont satisfaites. (</w:t>
      </w:r>
      <w:proofErr w:type="gramStart"/>
      <w:r w:rsidR="00260F2D" w:rsidRPr="00565000">
        <w:t>voir</w:t>
      </w:r>
      <w:proofErr w:type="gramEnd"/>
      <w:r w:rsidR="00260F2D" w:rsidRPr="00565000">
        <w:t xml:space="preserve"> annexe IV</w:t>
      </w:r>
      <w:r w:rsidRPr="00565000">
        <w:t>).</w:t>
      </w:r>
    </w:p>
    <w:p w:rsidR="00EF6AD0" w:rsidRPr="00565000" w:rsidRDefault="00EF6AD0" w:rsidP="00EF6AD0">
      <w:pPr>
        <w:pStyle w:val="SingleTxtG"/>
        <w:spacing w:before="120"/>
        <w:ind w:left="709"/>
        <w:rPr>
          <w:b/>
        </w:rPr>
      </w:pPr>
      <w:r w:rsidRPr="00565000">
        <w:rPr>
          <w:b/>
        </w:rPr>
        <w:t>4.</w:t>
      </w:r>
      <w:r w:rsidRPr="00565000">
        <w:rPr>
          <w:b/>
        </w:rPr>
        <w:tab/>
        <w:t>Amendement au 4.1.1.17 concernant les récipients à pression</w:t>
      </w:r>
    </w:p>
    <w:p w:rsidR="00EF6AD0" w:rsidRPr="00565000" w:rsidRDefault="00EF6AD0" w:rsidP="00EF6AD0">
      <w:pPr>
        <w:pStyle w:val="SingleTxtG"/>
        <w:spacing w:before="240" w:after="0"/>
        <w:rPr>
          <w:i/>
        </w:rPr>
      </w:pPr>
      <w:r w:rsidRPr="00565000">
        <w:rPr>
          <w:i/>
        </w:rPr>
        <w:t xml:space="preserve">Document: </w:t>
      </w:r>
      <w:r w:rsidRPr="00565000">
        <w:rPr>
          <w:i/>
        </w:rPr>
        <w:tab/>
      </w:r>
      <w:r w:rsidRPr="00565000">
        <w:rPr>
          <w:i/>
        </w:rPr>
        <w:tab/>
      </w:r>
      <w:r w:rsidRPr="00565000">
        <w:rPr>
          <w:i/>
        </w:rPr>
        <w:tab/>
      </w:r>
      <w:r w:rsidRPr="00565000">
        <w:t>ECE/TRANS/WP.15/AC.1/2016/7 (EIGA)</w:t>
      </w:r>
    </w:p>
    <w:p w:rsidR="00EF6AD0" w:rsidRPr="00565000" w:rsidRDefault="00EF6AD0" w:rsidP="00EF6AD0">
      <w:pPr>
        <w:spacing w:before="120"/>
        <w:ind w:left="1134"/>
        <w:jc w:val="both"/>
        <w:rPr>
          <w:szCs w:val="24"/>
        </w:rPr>
      </w:pPr>
      <w:r w:rsidRPr="00565000">
        <w:rPr>
          <w:i/>
          <w:szCs w:val="24"/>
        </w:rPr>
        <w:t>Document informel:</w:t>
      </w:r>
      <w:r w:rsidRPr="00565000">
        <w:rPr>
          <w:szCs w:val="24"/>
        </w:rPr>
        <w:t xml:space="preserve"> </w:t>
      </w:r>
      <w:r w:rsidRPr="00565000">
        <w:rPr>
          <w:szCs w:val="24"/>
        </w:rPr>
        <w:tab/>
      </w:r>
      <w:r w:rsidRPr="00565000">
        <w:rPr>
          <w:szCs w:val="24"/>
        </w:rPr>
        <w:tab/>
        <w:t>INF.27 (Royaume-Uni)</w:t>
      </w:r>
    </w:p>
    <w:p w:rsidR="00EF6AD0" w:rsidRPr="00565000" w:rsidRDefault="00EF6AD0" w:rsidP="00EF6AD0">
      <w:pPr>
        <w:pStyle w:val="SingleTxtG"/>
        <w:spacing w:before="240" w:after="0"/>
      </w:pPr>
      <w:r w:rsidRPr="00565000">
        <w:t>4</w:t>
      </w:r>
      <w:r w:rsidR="00260F2D" w:rsidRPr="00565000">
        <w:t>5</w:t>
      </w:r>
      <w:r w:rsidRPr="00565000">
        <w:t>.</w:t>
      </w:r>
      <w:r w:rsidRPr="00565000">
        <w:tab/>
        <w:t>Après quelques discussions sur cette proposition visant à résoudre une contradiction entre le NOTA figurant sous le 4.1.1 et le 4.1.1.17, la proposition de l’EIGA dans la forme rédigée par le Royaume-Uni (INF.27) a été mise a</w:t>
      </w:r>
      <w:r w:rsidR="00260F2D" w:rsidRPr="00565000">
        <w:t>ux voix et adoptée (voir annexe IV</w:t>
      </w:r>
      <w:r w:rsidRPr="00565000">
        <w:t>).</w:t>
      </w:r>
    </w:p>
    <w:p w:rsidR="00EF6AD0" w:rsidRPr="00565000" w:rsidRDefault="00EF6AD0" w:rsidP="00EF6AD0">
      <w:pPr>
        <w:pStyle w:val="SingleTxtG"/>
        <w:spacing w:before="120"/>
        <w:ind w:left="709"/>
        <w:rPr>
          <w:b/>
        </w:rPr>
      </w:pPr>
      <w:r w:rsidRPr="00565000">
        <w:rPr>
          <w:b/>
        </w:rPr>
        <w:t>5.</w:t>
      </w:r>
      <w:r w:rsidRPr="00565000">
        <w:rPr>
          <w:b/>
        </w:rPr>
        <w:tab/>
        <w:t>Signes distinctifs pour les automobiles en circulation internationale</w:t>
      </w:r>
    </w:p>
    <w:p w:rsidR="00EF6AD0" w:rsidRPr="00565000" w:rsidRDefault="00EF6AD0" w:rsidP="00EF6AD0">
      <w:pPr>
        <w:spacing w:before="120"/>
        <w:ind w:left="1134"/>
        <w:jc w:val="both"/>
        <w:rPr>
          <w:szCs w:val="24"/>
        </w:rPr>
      </w:pPr>
      <w:r w:rsidRPr="00565000">
        <w:rPr>
          <w:i/>
          <w:szCs w:val="24"/>
        </w:rPr>
        <w:t>Document informel:</w:t>
      </w:r>
      <w:r w:rsidRPr="00565000">
        <w:rPr>
          <w:szCs w:val="24"/>
        </w:rPr>
        <w:t xml:space="preserve"> </w:t>
      </w:r>
      <w:r w:rsidRPr="00565000">
        <w:rPr>
          <w:szCs w:val="24"/>
        </w:rPr>
        <w:tab/>
      </w:r>
      <w:r w:rsidRPr="00565000">
        <w:rPr>
          <w:szCs w:val="24"/>
        </w:rPr>
        <w:tab/>
        <w:t>INF.41 (Secrétariat de la CEE-ONU)</w:t>
      </w:r>
    </w:p>
    <w:p w:rsidR="00EF6AD0" w:rsidRPr="00565000" w:rsidRDefault="00260F2D" w:rsidP="00EF6AD0">
      <w:pPr>
        <w:pStyle w:val="SingleTxtG"/>
        <w:spacing w:before="240" w:after="0"/>
      </w:pPr>
      <w:r w:rsidRPr="00565000">
        <w:t>46</w:t>
      </w:r>
      <w:r w:rsidR="00EF6AD0" w:rsidRPr="00565000">
        <w:t>.</w:t>
      </w:r>
      <w:r w:rsidR="00EF6AD0" w:rsidRPr="00565000">
        <w:tab/>
        <w:t xml:space="preserve">La Réunion commune a noté que les références à ces signes distinctifs dans le contexte de la marque des emballages, GRV, citernes </w:t>
      </w:r>
      <w:proofErr w:type="spellStart"/>
      <w:r w:rsidR="00EF6AD0" w:rsidRPr="00565000">
        <w:t>etc</w:t>
      </w:r>
      <w:proofErr w:type="spellEnd"/>
      <w:r w:rsidR="00EF6AD0" w:rsidRPr="00565000">
        <w:t xml:space="preserve"> n’était pas non plus correct dans la version anglaise dérivée du Règlement type de l’ONU. Elle a adopté la modification proposée par le secrétariat en notant qu’une proposition similaire serait soumise au Sous-Comité </w:t>
      </w:r>
      <w:r w:rsidRPr="00565000">
        <w:t>d’experts de l’ONU (voir annexe III</w:t>
      </w:r>
      <w:r w:rsidR="00EF6AD0" w:rsidRPr="00565000">
        <w:t>).</w:t>
      </w:r>
    </w:p>
    <w:p w:rsidR="00EF6AD0" w:rsidRPr="00565000" w:rsidRDefault="00EF6AD0" w:rsidP="00EF6AD0">
      <w:pPr>
        <w:pStyle w:val="SingleTxtG"/>
        <w:spacing w:before="120"/>
        <w:ind w:left="709"/>
        <w:rPr>
          <w:b/>
        </w:rPr>
      </w:pPr>
      <w:r w:rsidRPr="00565000">
        <w:rPr>
          <w:b/>
        </w:rPr>
        <w:t>6.</w:t>
      </w:r>
      <w:r w:rsidRPr="00565000">
        <w:rPr>
          <w:b/>
        </w:rPr>
        <w:tab/>
        <w:t>Amendements et corrections éditoriaux</w:t>
      </w:r>
    </w:p>
    <w:p w:rsidR="00EF6AD0" w:rsidRPr="00565000" w:rsidRDefault="00EF6AD0" w:rsidP="00EF6AD0">
      <w:pPr>
        <w:spacing w:before="120"/>
        <w:ind w:left="1134"/>
        <w:jc w:val="both"/>
        <w:rPr>
          <w:szCs w:val="24"/>
        </w:rPr>
      </w:pPr>
      <w:r w:rsidRPr="00565000">
        <w:rPr>
          <w:i/>
          <w:szCs w:val="24"/>
        </w:rPr>
        <w:t>Document informel:</w:t>
      </w:r>
      <w:r w:rsidRPr="00565000">
        <w:rPr>
          <w:szCs w:val="24"/>
        </w:rPr>
        <w:t xml:space="preserve"> </w:t>
      </w:r>
      <w:r w:rsidRPr="00565000">
        <w:rPr>
          <w:szCs w:val="24"/>
        </w:rPr>
        <w:tab/>
      </w:r>
      <w:r w:rsidRPr="00565000">
        <w:rPr>
          <w:szCs w:val="24"/>
        </w:rPr>
        <w:tab/>
        <w:t>INF.44 (Secrétariat de la CEE-ONU)</w:t>
      </w:r>
    </w:p>
    <w:p w:rsidR="00EF6AD0" w:rsidRPr="00565000" w:rsidRDefault="00260F2D" w:rsidP="00EF6AD0">
      <w:pPr>
        <w:pStyle w:val="SingleTxtG"/>
        <w:spacing w:before="240" w:after="0"/>
      </w:pPr>
      <w:r w:rsidRPr="00565000">
        <w:t>47</w:t>
      </w:r>
      <w:r w:rsidR="00EF6AD0" w:rsidRPr="00565000">
        <w:t>.</w:t>
      </w:r>
      <w:r w:rsidR="00EF6AD0" w:rsidRPr="00565000">
        <w:tab/>
        <w:t>La Réunion commune a accepté la suppression de la disposition spéciale MP16 au 4.1.10.4 car elle n’est affectée à aucun numéro ONU. Elle a également adopté toutes les propositions d’amélioration éditoriale du texte français</w:t>
      </w:r>
      <w:r w:rsidR="005B6E11">
        <w:t xml:space="preserve"> (voir annexe</w:t>
      </w:r>
      <w:r w:rsidR="00B45B33">
        <w:t xml:space="preserve"> III</w:t>
      </w:r>
      <w:r w:rsidR="005B6E11">
        <w:t>)</w:t>
      </w:r>
      <w:r w:rsidR="00EF6AD0" w:rsidRPr="00565000">
        <w:t>.</w:t>
      </w:r>
    </w:p>
    <w:p w:rsidR="00EF6AD0" w:rsidRPr="00565000" w:rsidRDefault="00EF6AD0" w:rsidP="00EF6AD0">
      <w:pPr>
        <w:pStyle w:val="SingleTxtG"/>
        <w:spacing w:before="120"/>
        <w:ind w:left="709"/>
        <w:rPr>
          <w:b/>
        </w:rPr>
      </w:pPr>
      <w:r w:rsidRPr="00565000">
        <w:rPr>
          <w:b/>
        </w:rPr>
        <w:t>7.</w:t>
      </w:r>
      <w:r w:rsidRPr="00565000">
        <w:rPr>
          <w:b/>
        </w:rPr>
        <w:tab/>
        <w:t>Exemptions relatives à la nature de l’opération de transport</w:t>
      </w:r>
    </w:p>
    <w:p w:rsidR="00EF6AD0" w:rsidRPr="00565000" w:rsidRDefault="00EF6AD0" w:rsidP="00EF6AD0">
      <w:pPr>
        <w:spacing w:before="120"/>
        <w:ind w:left="1134"/>
        <w:jc w:val="both"/>
        <w:rPr>
          <w:szCs w:val="24"/>
        </w:rPr>
      </w:pPr>
      <w:r w:rsidRPr="00565000">
        <w:rPr>
          <w:i/>
          <w:szCs w:val="24"/>
        </w:rPr>
        <w:t>Document informel:</w:t>
      </w:r>
      <w:r w:rsidRPr="00565000">
        <w:rPr>
          <w:szCs w:val="24"/>
        </w:rPr>
        <w:t xml:space="preserve"> </w:t>
      </w:r>
      <w:r w:rsidRPr="00565000">
        <w:rPr>
          <w:szCs w:val="24"/>
        </w:rPr>
        <w:tab/>
      </w:r>
      <w:r w:rsidRPr="00565000">
        <w:rPr>
          <w:szCs w:val="24"/>
        </w:rPr>
        <w:tab/>
        <w:t>INF.9 (Suède)</w:t>
      </w:r>
    </w:p>
    <w:p w:rsidR="00EF6AD0" w:rsidRPr="00565000" w:rsidRDefault="00260F2D" w:rsidP="00EF6AD0">
      <w:pPr>
        <w:pStyle w:val="SingleTxtG"/>
        <w:spacing w:before="240" w:after="0"/>
      </w:pPr>
      <w:r w:rsidRPr="00565000">
        <w:t>48</w:t>
      </w:r>
      <w:r w:rsidR="00EF6AD0" w:rsidRPr="00565000">
        <w:t>.</w:t>
      </w:r>
      <w:r w:rsidR="00EF6AD0" w:rsidRPr="00565000">
        <w:tab/>
        <w:t>La représentante de la Suède a été invitée à soumettre une proposition officielle à la prochaine session en la centrant sur les problèmes spécifiques aux exemptions relatives aux matières et objets explosibles.</w:t>
      </w:r>
    </w:p>
    <w:p w:rsidR="00EF6AD0" w:rsidRPr="00565000" w:rsidRDefault="00EF6AD0" w:rsidP="00EF6AD0">
      <w:pPr>
        <w:pStyle w:val="SingleTxtG"/>
        <w:spacing w:before="120"/>
        <w:ind w:left="709"/>
        <w:rPr>
          <w:b/>
        </w:rPr>
      </w:pPr>
      <w:r w:rsidRPr="00565000">
        <w:rPr>
          <w:b/>
        </w:rPr>
        <w:t>8.</w:t>
      </w:r>
      <w:r w:rsidRPr="00565000">
        <w:rPr>
          <w:b/>
        </w:rPr>
        <w:tab/>
        <w:t>Emballage « 4N »</w:t>
      </w:r>
    </w:p>
    <w:p w:rsidR="00EF6AD0" w:rsidRPr="00565000" w:rsidRDefault="00EF6AD0" w:rsidP="00EF6AD0">
      <w:pPr>
        <w:spacing w:before="120"/>
        <w:ind w:left="1134"/>
        <w:jc w:val="both"/>
        <w:rPr>
          <w:szCs w:val="24"/>
        </w:rPr>
      </w:pPr>
      <w:r w:rsidRPr="00565000">
        <w:rPr>
          <w:i/>
          <w:szCs w:val="24"/>
        </w:rPr>
        <w:t>Document informel:</w:t>
      </w:r>
      <w:r w:rsidRPr="00565000">
        <w:rPr>
          <w:szCs w:val="24"/>
        </w:rPr>
        <w:t xml:space="preserve"> </w:t>
      </w:r>
      <w:r w:rsidRPr="00565000">
        <w:rPr>
          <w:szCs w:val="24"/>
        </w:rPr>
        <w:tab/>
      </w:r>
      <w:r w:rsidRPr="00565000">
        <w:rPr>
          <w:szCs w:val="24"/>
        </w:rPr>
        <w:tab/>
        <w:t>INF.20 (Italie)</w:t>
      </w:r>
    </w:p>
    <w:p w:rsidR="00EF6AD0" w:rsidRPr="00565000" w:rsidRDefault="00260F2D" w:rsidP="00EF6AD0">
      <w:pPr>
        <w:pStyle w:val="SingleTxtG"/>
        <w:spacing w:before="240" w:after="0"/>
      </w:pPr>
      <w:r w:rsidRPr="00565000">
        <w:t>49</w:t>
      </w:r>
      <w:r w:rsidR="00EF6AD0" w:rsidRPr="00565000">
        <w:t>.</w:t>
      </w:r>
      <w:r w:rsidR="00EF6AD0" w:rsidRPr="00565000">
        <w:tab/>
        <w:t xml:space="preserve">La Réunion commune a reconnu que l’introduction des emballages « 4N » aurait dû entraîner des modifications de conséquence aux 4.1.3.4 et 4.1.15.17 qui ont été oubliées. Elle a donc accepté les propositions de rectification, qui devraient être portées à l’attention du Sous-Comité </w:t>
      </w:r>
      <w:r w:rsidRPr="00565000">
        <w:t>d’experts de l’ONU (voir annexe III</w:t>
      </w:r>
      <w:r w:rsidR="00EF6AD0" w:rsidRPr="00565000">
        <w:t>).</w:t>
      </w:r>
    </w:p>
    <w:p w:rsidR="00EF6AD0" w:rsidRPr="00565000" w:rsidRDefault="00EF6AD0" w:rsidP="00B45B33">
      <w:pPr>
        <w:pStyle w:val="SingleTxtG"/>
        <w:keepNext/>
        <w:spacing w:before="120"/>
        <w:ind w:left="709"/>
        <w:rPr>
          <w:b/>
        </w:rPr>
      </w:pPr>
      <w:r w:rsidRPr="00565000">
        <w:rPr>
          <w:b/>
        </w:rPr>
        <w:lastRenderedPageBreak/>
        <w:t>9.</w:t>
      </w:r>
      <w:r w:rsidRPr="00565000">
        <w:rPr>
          <w:b/>
        </w:rPr>
        <w:tab/>
        <w:t xml:space="preserve">Organes </w:t>
      </w:r>
      <w:proofErr w:type="spellStart"/>
      <w:r w:rsidRPr="00565000">
        <w:rPr>
          <w:b/>
        </w:rPr>
        <w:t>Xb</w:t>
      </w:r>
      <w:proofErr w:type="spellEnd"/>
      <w:r w:rsidRPr="00565000">
        <w:rPr>
          <w:b/>
        </w:rPr>
        <w:t xml:space="preserve"> et IS</w:t>
      </w:r>
    </w:p>
    <w:p w:rsidR="00EF6AD0" w:rsidRPr="00565000" w:rsidRDefault="00EF6AD0" w:rsidP="00B45B33">
      <w:pPr>
        <w:keepNext/>
        <w:spacing w:before="120"/>
        <w:ind w:left="1134"/>
        <w:jc w:val="both"/>
        <w:rPr>
          <w:szCs w:val="24"/>
        </w:rPr>
      </w:pPr>
      <w:r w:rsidRPr="00565000">
        <w:rPr>
          <w:i/>
          <w:szCs w:val="24"/>
        </w:rPr>
        <w:t>Document informel:</w:t>
      </w:r>
      <w:r w:rsidRPr="00565000">
        <w:rPr>
          <w:szCs w:val="24"/>
        </w:rPr>
        <w:t xml:space="preserve"> </w:t>
      </w:r>
      <w:r w:rsidRPr="00565000">
        <w:rPr>
          <w:szCs w:val="24"/>
        </w:rPr>
        <w:tab/>
      </w:r>
      <w:r w:rsidRPr="00565000">
        <w:rPr>
          <w:szCs w:val="24"/>
        </w:rPr>
        <w:tab/>
        <w:t>INF.23 (Italie)</w:t>
      </w:r>
    </w:p>
    <w:p w:rsidR="00EF6AD0" w:rsidRPr="00565000" w:rsidRDefault="00260F2D" w:rsidP="00B45B33">
      <w:pPr>
        <w:pStyle w:val="SingleTxtG"/>
        <w:keepNext/>
        <w:spacing w:before="240" w:after="0"/>
      </w:pPr>
      <w:r w:rsidRPr="00565000">
        <w:t>50</w:t>
      </w:r>
      <w:r w:rsidR="00EF6AD0" w:rsidRPr="00565000">
        <w:t>.</w:t>
      </w:r>
      <w:r w:rsidR="00EF6AD0" w:rsidRPr="00565000">
        <w:tab/>
        <w:t>La proposition de clarification au point 1.1 des paragraphes (12) et (13) de l’instruction d’emballage P200 au 4.1.4.1 a été adoptée ave</w:t>
      </w:r>
      <w:r w:rsidRPr="00565000">
        <w:t>c une modification (voir annexe III</w:t>
      </w:r>
      <w:r w:rsidR="00EF6AD0" w:rsidRPr="00565000">
        <w:t>).</w:t>
      </w:r>
    </w:p>
    <w:p w:rsidR="00EF6AD0" w:rsidRPr="00565000" w:rsidRDefault="00EF6AD0" w:rsidP="00EF6AD0">
      <w:pPr>
        <w:pStyle w:val="SingleTxtG"/>
        <w:spacing w:before="120"/>
        <w:ind w:left="709"/>
        <w:rPr>
          <w:b/>
        </w:rPr>
      </w:pPr>
      <w:r w:rsidRPr="00565000">
        <w:rPr>
          <w:b/>
        </w:rPr>
        <w:t>10.</w:t>
      </w:r>
      <w:r w:rsidRPr="00565000">
        <w:rPr>
          <w:b/>
        </w:rPr>
        <w:tab/>
        <w:t>Renouvellement des certificats de conseillers à la sécurité</w:t>
      </w:r>
      <w:bookmarkStart w:id="0" w:name="_GoBack"/>
      <w:bookmarkEnd w:id="0"/>
    </w:p>
    <w:p w:rsidR="00EF6AD0" w:rsidRPr="00565000" w:rsidRDefault="00EF6AD0" w:rsidP="00EF6AD0">
      <w:pPr>
        <w:spacing w:before="120"/>
        <w:ind w:left="1134"/>
        <w:jc w:val="both"/>
        <w:rPr>
          <w:szCs w:val="24"/>
        </w:rPr>
      </w:pPr>
      <w:r w:rsidRPr="00565000">
        <w:rPr>
          <w:i/>
          <w:szCs w:val="24"/>
        </w:rPr>
        <w:t>Document informel:</w:t>
      </w:r>
      <w:r w:rsidRPr="00565000">
        <w:rPr>
          <w:szCs w:val="24"/>
        </w:rPr>
        <w:t xml:space="preserve"> </w:t>
      </w:r>
      <w:r w:rsidRPr="00565000">
        <w:rPr>
          <w:szCs w:val="24"/>
        </w:rPr>
        <w:tab/>
      </w:r>
      <w:r w:rsidRPr="00565000">
        <w:rPr>
          <w:szCs w:val="24"/>
        </w:rPr>
        <w:tab/>
        <w:t>INF.31 (Italie)</w:t>
      </w:r>
    </w:p>
    <w:p w:rsidR="00EF6AD0" w:rsidRPr="00565000" w:rsidRDefault="00260F2D" w:rsidP="00EF6AD0">
      <w:pPr>
        <w:pStyle w:val="SingleTxtG"/>
        <w:spacing w:before="240" w:after="0"/>
      </w:pPr>
      <w:r w:rsidRPr="00565000">
        <w:t>51</w:t>
      </w:r>
      <w:r w:rsidR="00EF6AD0" w:rsidRPr="00565000">
        <w:t>.</w:t>
      </w:r>
      <w:r w:rsidR="00EF6AD0" w:rsidRPr="00565000">
        <w:tab/>
        <w:t>Après quelques discussions, le représentant de l’Italie a été invité à soumettre une proposition officielle à la prochaine session.</w:t>
      </w:r>
    </w:p>
    <w:p w:rsidR="00EF6AD0" w:rsidRPr="00565000" w:rsidRDefault="00260F2D" w:rsidP="00EF6AD0">
      <w:pPr>
        <w:pStyle w:val="HChG"/>
      </w:pPr>
      <w:r w:rsidRPr="00565000">
        <w:tab/>
      </w:r>
      <w:r w:rsidR="00EF6AD0" w:rsidRPr="00565000">
        <w:t>VII.</w:t>
      </w:r>
      <w:r w:rsidR="00EF6AD0" w:rsidRPr="00565000">
        <w:tab/>
        <w:t>Rapports des groupes de travail informels (point 6 de l’ordre du jour)</w:t>
      </w:r>
    </w:p>
    <w:p w:rsidR="00EF6AD0" w:rsidRPr="00565000" w:rsidRDefault="00EF6AD0" w:rsidP="00EF6AD0">
      <w:pPr>
        <w:pStyle w:val="H1G"/>
      </w:pPr>
      <w:r w:rsidRPr="00565000">
        <w:tab/>
        <w:t>A.</w:t>
      </w:r>
      <w:r w:rsidRPr="00565000">
        <w:tab/>
        <w:t>Groupe de travail informel sur la télématique</w:t>
      </w:r>
    </w:p>
    <w:p w:rsidR="00EF6AD0" w:rsidRPr="00565000" w:rsidRDefault="00EF6AD0" w:rsidP="00EF6AD0">
      <w:pPr>
        <w:pStyle w:val="SingleTxtG"/>
        <w:spacing w:before="120"/>
        <w:ind w:left="567"/>
        <w:rPr>
          <w:b/>
        </w:rPr>
      </w:pPr>
      <w:r w:rsidRPr="00565000">
        <w:rPr>
          <w:i/>
          <w:szCs w:val="24"/>
        </w:rPr>
        <w:tab/>
      </w:r>
      <w:r w:rsidRPr="00565000">
        <w:rPr>
          <w:i/>
        </w:rPr>
        <w:t>Document:</w:t>
      </w:r>
      <w:r w:rsidRPr="00565000">
        <w:rPr>
          <w:i/>
        </w:rPr>
        <w:tab/>
      </w:r>
      <w:r w:rsidRPr="00565000">
        <w:rPr>
          <w:i/>
        </w:rPr>
        <w:tab/>
      </w:r>
      <w:r w:rsidRPr="00565000">
        <w:rPr>
          <w:i/>
        </w:rPr>
        <w:tab/>
      </w:r>
      <w:r w:rsidRPr="00565000">
        <w:t>ECE/TRANS/WP.15/AC.1/2016/9 (France)</w:t>
      </w:r>
    </w:p>
    <w:p w:rsidR="00EF6AD0" w:rsidRPr="00565000" w:rsidRDefault="00EF6AD0" w:rsidP="00EF6AD0">
      <w:pPr>
        <w:ind w:left="1134"/>
        <w:jc w:val="both"/>
        <w:rPr>
          <w:szCs w:val="24"/>
        </w:rPr>
      </w:pPr>
      <w:r w:rsidRPr="00565000">
        <w:rPr>
          <w:i/>
          <w:szCs w:val="24"/>
        </w:rPr>
        <w:t>Documents informels:</w:t>
      </w:r>
      <w:r w:rsidRPr="00565000">
        <w:rPr>
          <w:szCs w:val="24"/>
        </w:rPr>
        <w:t xml:space="preserve"> </w:t>
      </w:r>
      <w:r w:rsidRPr="00565000">
        <w:rPr>
          <w:szCs w:val="24"/>
        </w:rPr>
        <w:tab/>
        <w:t>INF.4 et Add.1-9 et Add.1/Corr.1 (France)</w:t>
      </w:r>
    </w:p>
    <w:p w:rsidR="00EF6AD0" w:rsidRPr="00565000" w:rsidRDefault="00EF6AD0" w:rsidP="00EF6AD0">
      <w:pPr>
        <w:pStyle w:val="SingleTxtG"/>
        <w:spacing w:after="0"/>
      </w:pPr>
      <w:r w:rsidRPr="00565000">
        <w:tab/>
      </w:r>
      <w:r w:rsidRPr="00565000">
        <w:tab/>
      </w:r>
      <w:r w:rsidRPr="00565000">
        <w:tab/>
      </w:r>
      <w:r w:rsidRPr="00565000">
        <w:tab/>
        <w:t>INF.51 (France)</w:t>
      </w:r>
    </w:p>
    <w:p w:rsidR="00EF6AD0" w:rsidRPr="00565000" w:rsidRDefault="00EF6AD0" w:rsidP="00EF6AD0">
      <w:pPr>
        <w:pStyle w:val="SingleTxtG"/>
        <w:spacing w:after="0"/>
      </w:pPr>
      <w:r w:rsidRPr="00565000">
        <w:tab/>
      </w:r>
      <w:r w:rsidRPr="00565000">
        <w:tab/>
      </w:r>
      <w:r w:rsidRPr="00565000">
        <w:tab/>
      </w:r>
      <w:r w:rsidRPr="00565000">
        <w:tab/>
        <w:t>INF.33 (Allemagne)</w:t>
      </w:r>
    </w:p>
    <w:p w:rsidR="00EF6AD0" w:rsidRPr="00565000" w:rsidRDefault="00260F2D" w:rsidP="00EF6AD0">
      <w:pPr>
        <w:pStyle w:val="SingleTxtG"/>
        <w:spacing w:before="240" w:after="0"/>
      </w:pPr>
      <w:r w:rsidRPr="00565000">
        <w:t>52</w:t>
      </w:r>
      <w:r w:rsidR="00EF6AD0" w:rsidRPr="00565000">
        <w:t>.</w:t>
      </w:r>
      <w:r w:rsidR="00EF6AD0" w:rsidRPr="00565000">
        <w:tab/>
        <w:t>La Réunion commune a pris note des derniers développements relatifs aux travaux de groupe de travail informel, notamment du projet d’évaluation d’impact de la mise en œuvre de l’architecture proposée (INF.4/Add.1/Corr.1).</w:t>
      </w:r>
    </w:p>
    <w:p w:rsidR="00EF6AD0" w:rsidRPr="00565000" w:rsidRDefault="00260F2D" w:rsidP="00EF6AD0">
      <w:pPr>
        <w:pStyle w:val="SingleTxtG"/>
        <w:spacing w:before="240" w:after="0"/>
      </w:pPr>
      <w:r w:rsidRPr="00565000">
        <w:t>53</w:t>
      </w:r>
      <w:r w:rsidR="00EF6AD0" w:rsidRPr="00565000">
        <w:t>.</w:t>
      </w:r>
      <w:r w:rsidR="00EF6AD0" w:rsidRPr="00565000">
        <w:tab/>
        <w:t xml:space="preserve">Comme il était suggéré par la France dans le document informel INF.51 qu’il serait avantageux du point de vue économique pour les Parties contractantes au RID/ADR/ADN de disposer d’une seule interface dite «TP1» avec une couverture géographique maximale, et qu’il serait souhaitable si possible que cette interface soit hébergée par la CEE-ONU, la Réunion commune a appuyé le principe de discussions entre le Groupe de travail informel et le secrétaire de la CEE-ONU visant à examiner la possibilité de développer un interface de gestion d’accès (dit «TP1» dans l’architecture proposée par le groupe de travail) et de son hébergement par la CEE-ONU; d’examiner les aspects techniques, juridiques et budgétaires y relatifs; dans ce processus, d’examiner la possibilité d’échange de données entre l’interface TP1 et les compagnies ferroviaires agissant en tant qu’interface TP2 en coopérant avec l’ERA; d’examiner les solutions applicables dans la période transitoire en tenant compte des initiatives nationales compatibles avec l’esprit du projet notamment en facilitant les liens entre interfaces TP2 tant que l’interface TP1 n’est pas disponible, et en vérifiant la pertinence des initiatives nationales à cet égard; examiner la relation avec d’autres projets comme </w:t>
      </w:r>
      <w:proofErr w:type="spellStart"/>
      <w:r w:rsidR="00EF6AD0" w:rsidRPr="00565000">
        <w:t>eCall</w:t>
      </w:r>
      <w:proofErr w:type="spellEnd"/>
      <w:r w:rsidR="00EF6AD0" w:rsidRPr="00565000">
        <w:t>.</w:t>
      </w:r>
    </w:p>
    <w:p w:rsidR="00EF6AD0" w:rsidRPr="00565000" w:rsidRDefault="00260F2D" w:rsidP="00EF6AD0">
      <w:pPr>
        <w:pStyle w:val="SingleTxtG"/>
        <w:spacing w:before="240" w:after="0"/>
      </w:pPr>
      <w:r w:rsidRPr="00565000">
        <w:t>54</w:t>
      </w:r>
      <w:r w:rsidR="00EF6AD0" w:rsidRPr="00565000">
        <w:t>.</w:t>
      </w:r>
      <w:r w:rsidR="00EF6AD0" w:rsidRPr="00565000">
        <w:tab/>
        <w:t xml:space="preserve">La Réunion commune a également noté l’initiative de l’Allemagne en ce qui concerne la possibilité d’utilisation de documents de transport électroniques sur son territoire (INF.33). Certaines délégations ont regretté que cette initiative </w:t>
      </w:r>
      <w:proofErr w:type="gramStart"/>
      <w:r w:rsidR="00EF6AD0" w:rsidRPr="00565000">
        <w:t>était</w:t>
      </w:r>
      <w:proofErr w:type="gramEnd"/>
      <w:r w:rsidR="00EF6AD0" w:rsidRPr="00565000">
        <w:t xml:space="preserve"> difficile à mettre en œuvre dans le cad</w:t>
      </w:r>
      <w:r w:rsidRPr="00565000">
        <w:t>re de transports internationaux. Cependant il a été convenu d’inclure ce type d’approche de bas-en-haut dans le mandat du groupe de travail informel sur la télématique.</w:t>
      </w:r>
    </w:p>
    <w:p w:rsidR="003E267E" w:rsidRPr="00565000" w:rsidRDefault="00C67049" w:rsidP="003E267E">
      <w:pPr>
        <w:pStyle w:val="H1G"/>
      </w:pPr>
      <w:r w:rsidRPr="00565000">
        <w:lastRenderedPageBreak/>
        <w:tab/>
      </w:r>
      <w:r w:rsidR="003E267E" w:rsidRPr="00565000">
        <w:t>B.</w:t>
      </w:r>
      <w:r w:rsidR="003E267E" w:rsidRPr="00565000">
        <w:tab/>
        <w:t>Groupe de travail informel sur le transport des équipements électriques et électroniques mis au rebut</w:t>
      </w:r>
    </w:p>
    <w:p w:rsidR="003E267E" w:rsidRPr="00565000" w:rsidRDefault="003E267E" w:rsidP="003E267E">
      <w:pPr>
        <w:spacing w:before="120"/>
        <w:ind w:left="1134"/>
        <w:jc w:val="both"/>
        <w:rPr>
          <w:szCs w:val="24"/>
        </w:rPr>
      </w:pPr>
      <w:r w:rsidRPr="00565000">
        <w:rPr>
          <w:i/>
          <w:szCs w:val="24"/>
        </w:rPr>
        <w:t>Document informel:</w:t>
      </w:r>
      <w:r w:rsidRPr="00565000">
        <w:rPr>
          <w:szCs w:val="24"/>
        </w:rPr>
        <w:t xml:space="preserve"> </w:t>
      </w:r>
      <w:r w:rsidRPr="00565000">
        <w:rPr>
          <w:szCs w:val="24"/>
        </w:rPr>
        <w:tab/>
      </w:r>
      <w:r w:rsidRPr="00565000">
        <w:rPr>
          <w:szCs w:val="24"/>
        </w:rPr>
        <w:tab/>
        <w:t>INF.8 (Allemagne)</w:t>
      </w:r>
    </w:p>
    <w:p w:rsidR="003E267E" w:rsidRPr="00565000" w:rsidRDefault="00C67049" w:rsidP="003E267E">
      <w:pPr>
        <w:pStyle w:val="SingleTxtG"/>
        <w:spacing w:before="240" w:after="0"/>
      </w:pPr>
      <w:r w:rsidRPr="00565000">
        <w:t>55</w:t>
      </w:r>
      <w:r w:rsidR="003E267E" w:rsidRPr="00565000">
        <w:t>.</w:t>
      </w:r>
      <w:r w:rsidR="003E267E" w:rsidRPr="00565000">
        <w:rPr>
          <w:b/>
        </w:rPr>
        <w:tab/>
      </w:r>
      <w:r w:rsidR="003E267E" w:rsidRPr="00565000">
        <w:t>La Réunion commune a noté que la prochaine session de ce groupe aura lieu à Bonn les 27 et 28 avril 2016.</w:t>
      </w:r>
    </w:p>
    <w:p w:rsidR="003E267E" w:rsidRPr="00565000" w:rsidRDefault="003E267E" w:rsidP="003E267E">
      <w:pPr>
        <w:pStyle w:val="H1G"/>
      </w:pPr>
      <w:r w:rsidRPr="00565000">
        <w:tab/>
        <w:t>C.</w:t>
      </w:r>
      <w:r w:rsidRPr="00565000">
        <w:tab/>
        <w:t>Groupe de travail informel sur les méthodes alternatives pour le contrôle périodique des bouteilles rechargeables en acier</w:t>
      </w:r>
    </w:p>
    <w:p w:rsidR="003E267E" w:rsidRPr="00565000" w:rsidRDefault="003E267E" w:rsidP="003E267E">
      <w:pPr>
        <w:spacing w:before="120"/>
        <w:ind w:left="1134"/>
        <w:jc w:val="both"/>
        <w:rPr>
          <w:szCs w:val="24"/>
        </w:rPr>
      </w:pPr>
      <w:r w:rsidRPr="00565000">
        <w:rPr>
          <w:i/>
          <w:szCs w:val="24"/>
        </w:rPr>
        <w:t>Document informel:</w:t>
      </w:r>
      <w:r w:rsidRPr="00565000">
        <w:rPr>
          <w:szCs w:val="24"/>
        </w:rPr>
        <w:t xml:space="preserve"> </w:t>
      </w:r>
      <w:r w:rsidRPr="00565000">
        <w:rPr>
          <w:szCs w:val="24"/>
        </w:rPr>
        <w:tab/>
      </w:r>
      <w:r w:rsidRPr="00565000">
        <w:rPr>
          <w:szCs w:val="24"/>
        </w:rPr>
        <w:tab/>
        <w:t>INF.29 (AEGPL)</w:t>
      </w:r>
    </w:p>
    <w:p w:rsidR="003E267E" w:rsidRPr="00565000" w:rsidRDefault="00C67049" w:rsidP="003E267E">
      <w:pPr>
        <w:pStyle w:val="SingleTxtG"/>
        <w:spacing w:before="240" w:after="0"/>
      </w:pPr>
      <w:r w:rsidRPr="00565000">
        <w:t>56</w:t>
      </w:r>
      <w:r w:rsidR="003E267E" w:rsidRPr="00565000">
        <w:t>.</w:t>
      </w:r>
      <w:r w:rsidR="003E267E" w:rsidRPr="00565000">
        <w:tab/>
        <w:t>La Réunion commune a noté que le groupe se réunirait pendant deux jours à une date indéterminée entre avril et juin 2016 et a pris note du programme de la session.</w:t>
      </w:r>
    </w:p>
    <w:p w:rsidR="003E267E" w:rsidRPr="00565000" w:rsidRDefault="003E267E" w:rsidP="003E267E">
      <w:pPr>
        <w:pStyle w:val="H1G"/>
      </w:pPr>
      <w:r w:rsidRPr="00565000">
        <w:tab/>
        <w:t>D.</w:t>
      </w:r>
      <w:r w:rsidRPr="00565000">
        <w:tab/>
        <w:t>Groupe de travail informel sur l’équipement de service des citernes</w:t>
      </w:r>
      <w:r w:rsidR="00C67049" w:rsidRPr="00565000">
        <w:t xml:space="preserve"> et des récipients à pression</w:t>
      </w:r>
    </w:p>
    <w:p w:rsidR="003E267E" w:rsidRPr="00565000" w:rsidRDefault="003E267E" w:rsidP="003E267E">
      <w:pPr>
        <w:spacing w:before="120"/>
        <w:ind w:left="1134"/>
        <w:jc w:val="both"/>
        <w:rPr>
          <w:szCs w:val="24"/>
        </w:rPr>
      </w:pPr>
      <w:r w:rsidRPr="00565000">
        <w:rPr>
          <w:i/>
          <w:szCs w:val="24"/>
        </w:rPr>
        <w:t>Document informel:</w:t>
      </w:r>
      <w:r w:rsidRPr="00565000">
        <w:rPr>
          <w:szCs w:val="24"/>
        </w:rPr>
        <w:t xml:space="preserve"> </w:t>
      </w:r>
      <w:r w:rsidRPr="00565000">
        <w:rPr>
          <w:szCs w:val="24"/>
        </w:rPr>
        <w:tab/>
      </w:r>
      <w:r w:rsidRPr="00565000">
        <w:rPr>
          <w:szCs w:val="24"/>
        </w:rPr>
        <w:tab/>
        <w:t>INF.18 (EIGA)</w:t>
      </w:r>
    </w:p>
    <w:p w:rsidR="003E267E" w:rsidRPr="00565000" w:rsidRDefault="00C67049" w:rsidP="003E267E">
      <w:pPr>
        <w:pStyle w:val="SingleTxtG"/>
        <w:spacing w:before="240" w:after="0"/>
      </w:pPr>
      <w:r w:rsidRPr="00565000">
        <w:t>57</w:t>
      </w:r>
      <w:r w:rsidR="003E267E" w:rsidRPr="00565000">
        <w:t>.</w:t>
      </w:r>
      <w:r w:rsidR="003E267E" w:rsidRPr="00565000">
        <w:tab/>
        <w:t>La Réunion commune a pris note de l’état d’avancement des travaux</w:t>
      </w:r>
      <w:r w:rsidR="001C6B6F" w:rsidRPr="00565000">
        <w:t xml:space="preserve"> sur les récipients à pression</w:t>
      </w:r>
      <w:r w:rsidR="003E267E" w:rsidRPr="00565000">
        <w:t xml:space="preserve">. Il conviendra de déterminer à la prochaine session </w:t>
      </w:r>
      <w:r w:rsidRPr="00565000">
        <w:t xml:space="preserve">du Groupe de travail sur les citernes </w:t>
      </w:r>
      <w:r w:rsidR="003E267E" w:rsidRPr="00565000">
        <w:t xml:space="preserve">ce qui devrait être discuté </w:t>
      </w:r>
      <w:r w:rsidRPr="00565000">
        <w:t>pour</w:t>
      </w:r>
      <w:r w:rsidR="003E267E" w:rsidRPr="00565000">
        <w:t xml:space="preserve"> les citernes.</w:t>
      </w:r>
    </w:p>
    <w:p w:rsidR="003E267E" w:rsidRPr="00565000" w:rsidRDefault="004F04FB" w:rsidP="003E267E">
      <w:pPr>
        <w:pStyle w:val="HChG"/>
      </w:pPr>
      <w:r w:rsidRPr="00565000">
        <w:tab/>
      </w:r>
      <w:r w:rsidR="003E267E" w:rsidRPr="00565000">
        <w:t>VIII.</w:t>
      </w:r>
      <w:r w:rsidR="003E267E" w:rsidRPr="00565000">
        <w:tab/>
        <w:t>Accidents et management des risques (point 7 de l’ordre du jour)</w:t>
      </w:r>
    </w:p>
    <w:p w:rsidR="003E267E" w:rsidRPr="00565000" w:rsidRDefault="003E267E" w:rsidP="003E267E">
      <w:pPr>
        <w:spacing w:before="120"/>
        <w:ind w:left="1134"/>
        <w:jc w:val="both"/>
        <w:rPr>
          <w:szCs w:val="24"/>
        </w:rPr>
      </w:pPr>
      <w:r w:rsidRPr="00565000">
        <w:rPr>
          <w:i/>
          <w:szCs w:val="24"/>
        </w:rPr>
        <w:t>Document informel:</w:t>
      </w:r>
      <w:r w:rsidRPr="00565000">
        <w:rPr>
          <w:szCs w:val="24"/>
        </w:rPr>
        <w:t xml:space="preserve"> </w:t>
      </w:r>
      <w:r w:rsidRPr="00565000">
        <w:rPr>
          <w:szCs w:val="24"/>
        </w:rPr>
        <w:tab/>
      </w:r>
      <w:r w:rsidRPr="00565000">
        <w:rPr>
          <w:szCs w:val="24"/>
        </w:rPr>
        <w:tab/>
        <w:t>INF.43 (ERA)</w:t>
      </w:r>
    </w:p>
    <w:p w:rsidR="003E267E" w:rsidRPr="00565000" w:rsidRDefault="003E267E" w:rsidP="003E267E">
      <w:pPr>
        <w:pStyle w:val="SingleTxtG"/>
        <w:spacing w:before="240" w:after="0"/>
      </w:pPr>
      <w:r w:rsidRPr="00565000">
        <w:t>5</w:t>
      </w:r>
      <w:r w:rsidR="004F04FB" w:rsidRPr="00565000">
        <w:t>8</w:t>
      </w:r>
      <w:r w:rsidRPr="00565000">
        <w:t>.</w:t>
      </w:r>
      <w:r w:rsidRPr="00565000">
        <w:tab/>
        <w:t>La Réunion commune a pris note des résultats des cinquième et sixième ateliers de l’</w:t>
      </w:r>
      <w:r w:rsidR="00231B91">
        <w:t>Agence ferroviaire européenne de l’Union européenne (ERA)</w:t>
      </w:r>
      <w:r w:rsidRPr="00565000">
        <w:t xml:space="preserve"> sur la feuille de route relative au management de risque dans le contexte du transport des marchandises dangereuses par route, chemin de fer et voies de navigation intérieures, et de l’invitati</w:t>
      </w:r>
      <w:r w:rsidR="004F04FB" w:rsidRPr="00565000">
        <w:t>on pour la participation au septi</w:t>
      </w:r>
      <w:r w:rsidRPr="00565000">
        <w:t>ème atelier</w:t>
      </w:r>
      <w:r w:rsidR="004F04FB" w:rsidRPr="00565000">
        <w:t xml:space="preserve"> (14 au 16 juin 2016 à Valenciennes)</w:t>
      </w:r>
      <w:r w:rsidRPr="00565000">
        <w:t>.</w:t>
      </w:r>
    </w:p>
    <w:p w:rsidR="003E267E" w:rsidRPr="00565000" w:rsidRDefault="004F04FB" w:rsidP="003E267E">
      <w:pPr>
        <w:pStyle w:val="HChG"/>
      </w:pPr>
      <w:r w:rsidRPr="00565000">
        <w:tab/>
      </w:r>
      <w:r w:rsidR="003E267E" w:rsidRPr="00565000">
        <w:t>IX.</w:t>
      </w:r>
      <w:r w:rsidR="003E267E" w:rsidRPr="00565000">
        <w:tab/>
        <w:t>Travaux futurs (point 8 de l’ordre du jour)</w:t>
      </w:r>
    </w:p>
    <w:p w:rsidR="003E267E" w:rsidRPr="00565000" w:rsidRDefault="004F04FB" w:rsidP="003E267E">
      <w:pPr>
        <w:pStyle w:val="SingleTxtG"/>
        <w:spacing w:before="240" w:after="0"/>
      </w:pPr>
      <w:r w:rsidRPr="00565000">
        <w:t>59</w:t>
      </w:r>
      <w:r w:rsidR="003E267E" w:rsidRPr="00565000">
        <w:t>.</w:t>
      </w:r>
      <w:r w:rsidR="003E267E" w:rsidRPr="00565000">
        <w:tab/>
        <w:t>La prochaine session aura lieu à Ge</w:t>
      </w:r>
      <w:r w:rsidR="00231B91">
        <w:t>nève du 19 au 23 septembre 2016</w:t>
      </w:r>
      <w:r w:rsidR="003E267E" w:rsidRPr="00565000">
        <w:t>.</w:t>
      </w:r>
    </w:p>
    <w:p w:rsidR="003E267E" w:rsidRPr="00565000" w:rsidRDefault="004F04FB" w:rsidP="003E267E">
      <w:pPr>
        <w:pStyle w:val="HChG"/>
      </w:pPr>
      <w:r w:rsidRPr="00565000">
        <w:tab/>
      </w:r>
      <w:r w:rsidR="003E267E" w:rsidRPr="00565000">
        <w:t>X.</w:t>
      </w:r>
      <w:r w:rsidR="003E267E" w:rsidRPr="00565000">
        <w:tab/>
        <w:t>Questions diverses (point 9 de l’ordre du jour)</w:t>
      </w:r>
    </w:p>
    <w:p w:rsidR="003E267E" w:rsidRPr="00565000" w:rsidRDefault="003E267E" w:rsidP="003E267E">
      <w:pPr>
        <w:pStyle w:val="H1G"/>
      </w:pPr>
      <w:r w:rsidRPr="00565000">
        <w:tab/>
        <w:t>A.</w:t>
      </w:r>
      <w:r w:rsidRPr="00565000">
        <w:tab/>
        <w:t>Transport de récipients à pression agréés par le Département des transports des Etats-Unis (DOT)</w:t>
      </w:r>
    </w:p>
    <w:p w:rsidR="003E267E" w:rsidRPr="00565000" w:rsidRDefault="003E267E" w:rsidP="003E267E">
      <w:pPr>
        <w:pStyle w:val="SingleTxtG"/>
        <w:spacing w:before="240" w:after="0"/>
        <w:rPr>
          <w:i/>
        </w:rPr>
      </w:pPr>
      <w:r w:rsidRPr="00565000">
        <w:rPr>
          <w:i/>
        </w:rPr>
        <w:t xml:space="preserve">Document: </w:t>
      </w:r>
      <w:r w:rsidRPr="00565000">
        <w:rPr>
          <w:i/>
        </w:rPr>
        <w:tab/>
      </w:r>
      <w:r w:rsidRPr="00565000">
        <w:rPr>
          <w:i/>
        </w:rPr>
        <w:tab/>
      </w:r>
      <w:r w:rsidRPr="00565000">
        <w:rPr>
          <w:i/>
        </w:rPr>
        <w:tab/>
      </w:r>
      <w:r w:rsidRPr="00565000">
        <w:t>ECE/TRANS/WP.15/AC.1/2016/8 (EIGA)</w:t>
      </w:r>
    </w:p>
    <w:p w:rsidR="003E267E" w:rsidRPr="00565000" w:rsidRDefault="003E267E" w:rsidP="003E267E">
      <w:pPr>
        <w:spacing w:before="120"/>
        <w:ind w:left="1134"/>
        <w:jc w:val="both"/>
        <w:rPr>
          <w:szCs w:val="24"/>
        </w:rPr>
      </w:pPr>
      <w:r w:rsidRPr="00565000">
        <w:rPr>
          <w:i/>
          <w:szCs w:val="24"/>
        </w:rPr>
        <w:t>Document informel:</w:t>
      </w:r>
      <w:r w:rsidRPr="00565000">
        <w:rPr>
          <w:szCs w:val="24"/>
        </w:rPr>
        <w:t xml:space="preserve"> </w:t>
      </w:r>
      <w:r w:rsidRPr="00565000">
        <w:rPr>
          <w:szCs w:val="24"/>
        </w:rPr>
        <w:tab/>
      </w:r>
      <w:r w:rsidRPr="00565000">
        <w:rPr>
          <w:szCs w:val="24"/>
        </w:rPr>
        <w:tab/>
        <w:t>INF.56 (Etats-Unis d’Amérique)</w:t>
      </w:r>
    </w:p>
    <w:p w:rsidR="003E267E" w:rsidRPr="00565000" w:rsidRDefault="004F04FB" w:rsidP="003E267E">
      <w:pPr>
        <w:pStyle w:val="SingleTxtG"/>
        <w:spacing w:before="240" w:after="0"/>
      </w:pPr>
      <w:r w:rsidRPr="00565000">
        <w:lastRenderedPageBreak/>
        <w:t>60</w:t>
      </w:r>
      <w:r w:rsidR="003E267E" w:rsidRPr="00565000">
        <w:t>.</w:t>
      </w:r>
      <w:r w:rsidR="003E267E" w:rsidRPr="00565000">
        <w:rPr>
          <w:b/>
        </w:rPr>
        <w:tab/>
      </w:r>
      <w:r w:rsidR="003E267E" w:rsidRPr="00565000">
        <w:t>La Réunion commune a pris note des informations fournies par l’EIGA pour justifier le renouvellement de l’accord multilatéral M237 en attendant que soit initiée et terminée la procédure de mise en place d’une réglementation américaine visant à la reconnaissance aux Etats-Unis des bouteilles à gaz agrées par les parties contractantes au RID et à l’ADR en contrepartie de l’acceptation au transport selon le RID, l’ADR ou l’ADN des bouteilles à gaz agrées par le DOT (voir aussi ECE/TRANS/WP.15/AC.1/140, paras 94-98). Ceci prendrait au minimum deux ans.</w:t>
      </w:r>
    </w:p>
    <w:p w:rsidR="003E267E" w:rsidRPr="00565000" w:rsidRDefault="004F04FB" w:rsidP="003E267E">
      <w:pPr>
        <w:pStyle w:val="SingleTxtG"/>
        <w:spacing w:before="240" w:after="0"/>
      </w:pPr>
      <w:r w:rsidRPr="00565000">
        <w:t>61</w:t>
      </w:r>
      <w:r w:rsidR="003E267E" w:rsidRPr="00565000">
        <w:t>.</w:t>
      </w:r>
      <w:r w:rsidR="003E267E" w:rsidRPr="00565000">
        <w:tab/>
        <w:t>Le représentant du Royaume-Uni a annoncé que son gouvernement avait l’intention de préparer un projet de nouvel accord multilatéral, pour une durée de validité maximale de trois ans.</w:t>
      </w:r>
    </w:p>
    <w:p w:rsidR="003E267E" w:rsidRPr="00565000" w:rsidRDefault="004F04FB" w:rsidP="003E267E">
      <w:pPr>
        <w:pStyle w:val="SingleTxtG"/>
        <w:spacing w:before="240" w:after="0"/>
      </w:pPr>
      <w:r w:rsidRPr="00565000">
        <w:t>62</w:t>
      </w:r>
      <w:r w:rsidR="003E267E" w:rsidRPr="00565000">
        <w:t>.</w:t>
      </w:r>
      <w:r w:rsidR="003E267E" w:rsidRPr="00565000">
        <w:tab/>
        <w:t xml:space="preserve">Certaines délégations ont indiqué qu’elles avaient l’intention de signer un tel accord. D’autres ont indiqué qu’elles souhaitaient que l’accord soit limité à une liste de gaz qui sont actuellement transportés en récipients DOT </w:t>
      </w:r>
      <w:r w:rsidRPr="00565000">
        <w:t>et mentionnés dans l’annexe du document ECE/TRANS/WP.15/AC.1/2016/8. Certaines délégations ont fait remarquer que la liste n’était pas exhaustive et qu’une approche limitative pourrait entraîner des difficultés pour l’industrie.</w:t>
      </w:r>
    </w:p>
    <w:p w:rsidR="003E267E" w:rsidRPr="00565000" w:rsidRDefault="003E267E" w:rsidP="003E267E">
      <w:pPr>
        <w:pStyle w:val="H1G"/>
      </w:pPr>
      <w:r w:rsidRPr="00565000">
        <w:tab/>
        <w:t>B.</w:t>
      </w:r>
      <w:r w:rsidRPr="00565000">
        <w:tab/>
        <w:t>Définitions d’acier de référence et d’acier doux</w:t>
      </w:r>
    </w:p>
    <w:p w:rsidR="003E267E" w:rsidRPr="00565000" w:rsidRDefault="003E267E" w:rsidP="003E267E">
      <w:pPr>
        <w:pStyle w:val="SingleTxtG"/>
        <w:spacing w:before="240" w:after="0"/>
        <w:rPr>
          <w:i/>
        </w:rPr>
      </w:pPr>
      <w:r w:rsidRPr="00565000">
        <w:rPr>
          <w:i/>
        </w:rPr>
        <w:t xml:space="preserve">Document: </w:t>
      </w:r>
      <w:r w:rsidRPr="00565000">
        <w:t>ECE/TRANS/WP.15/AC.1/2016/10 (Roumanie)</w:t>
      </w:r>
    </w:p>
    <w:p w:rsidR="003E267E" w:rsidRPr="00565000" w:rsidRDefault="00194C63" w:rsidP="003E267E">
      <w:pPr>
        <w:pStyle w:val="SingleTxtG"/>
        <w:spacing w:before="240" w:after="0"/>
      </w:pPr>
      <w:r w:rsidRPr="00565000">
        <w:t>63</w:t>
      </w:r>
      <w:r w:rsidR="003E267E" w:rsidRPr="00565000">
        <w:t>.</w:t>
      </w:r>
      <w:r w:rsidR="003E267E" w:rsidRPr="00565000">
        <w:tab/>
        <w:t>Le document a été examiné à la lumière des conclusions du Groupe de travail sur les citernes (document informel INF.61, paragraphes 3 à 5). Le représentant de la Roumanie a été invité à approfondir la question auprès du Sous-Comité d’experts de l’ONU en tenant compte des suggestions du Groupe de travail sur les citernes.</w:t>
      </w:r>
    </w:p>
    <w:p w:rsidR="003E267E" w:rsidRPr="00565000" w:rsidRDefault="00194C63" w:rsidP="003E267E">
      <w:pPr>
        <w:pStyle w:val="HChG"/>
      </w:pPr>
      <w:r w:rsidRPr="00565000">
        <w:tab/>
      </w:r>
      <w:r w:rsidR="003E267E" w:rsidRPr="00565000">
        <w:t>XI.</w:t>
      </w:r>
      <w:r w:rsidR="003E267E" w:rsidRPr="00565000">
        <w:tab/>
        <w:t>Adoption du rapport (point 10 de l’ordre du jour)</w:t>
      </w:r>
    </w:p>
    <w:p w:rsidR="00EF6AD0" w:rsidRDefault="003E267E" w:rsidP="00194C63">
      <w:pPr>
        <w:pStyle w:val="SingleTxtG"/>
        <w:spacing w:before="240" w:after="0"/>
      </w:pPr>
      <w:r w:rsidRPr="00565000">
        <w:t>6</w:t>
      </w:r>
      <w:r w:rsidR="00194C63" w:rsidRPr="00565000">
        <w:t>4</w:t>
      </w:r>
      <w:r w:rsidRPr="00565000">
        <w:t>.</w:t>
      </w:r>
      <w:r w:rsidRPr="00565000">
        <w:tab/>
        <w:t>La Réunion commune a adopté le rapport sur sa session de printemps 2016 et ses annexes sur la base d’un projet établi par les secrétariats</w:t>
      </w:r>
      <w:r w:rsidR="00231B91">
        <w:t>.</w:t>
      </w:r>
    </w:p>
    <w:p w:rsidR="00231B91" w:rsidRDefault="00231B91" w:rsidP="00231B91">
      <w:pPr>
        <w:pStyle w:val="HChG"/>
      </w:pPr>
      <w:r>
        <w:br w:type="page"/>
      </w:r>
      <w:r>
        <w:lastRenderedPageBreak/>
        <w:tab/>
      </w:r>
      <w:r>
        <w:tab/>
        <w:t>Annexe I</w:t>
      </w:r>
    </w:p>
    <w:p w:rsidR="000303A0" w:rsidRDefault="00231B91" w:rsidP="000303A0">
      <w:pPr>
        <w:pStyle w:val="HChG"/>
      </w:pPr>
      <w:r>
        <w:tab/>
      </w:r>
      <w:r>
        <w:tab/>
      </w:r>
      <w:r w:rsidR="000303A0">
        <w:t>Rapport  du Groupe de travail sur les citernes</w:t>
      </w:r>
    </w:p>
    <w:p w:rsidR="000303A0" w:rsidRPr="00E74C5F" w:rsidRDefault="000303A0" w:rsidP="000303A0">
      <w:r>
        <w:tab/>
      </w:r>
      <w:r>
        <w:tab/>
      </w:r>
      <w:r w:rsidRPr="00E74C5F">
        <w:t>(</w:t>
      </w:r>
      <w:proofErr w:type="gramStart"/>
      <w:r w:rsidRPr="00E74C5F">
        <w:t>voir</w:t>
      </w:r>
      <w:proofErr w:type="gramEnd"/>
      <w:r w:rsidRPr="00E74C5F">
        <w:t xml:space="preserve"> ECE/TRANS/WP.15/AC.1/142/Add.1)</w:t>
      </w:r>
    </w:p>
    <w:p w:rsidR="00231B91" w:rsidRPr="00E74C5F" w:rsidRDefault="00231B91" w:rsidP="00231B91"/>
    <w:p w:rsidR="00F1602A" w:rsidRPr="00F1602A" w:rsidRDefault="000303A0" w:rsidP="00F1602A">
      <w:pPr>
        <w:pStyle w:val="HChG"/>
        <w:ind w:hanging="283"/>
        <w:rPr>
          <w:lang w:val="fr-FR"/>
        </w:rPr>
      </w:pPr>
      <w:r w:rsidRPr="00F1602A">
        <w:rPr>
          <w:lang w:val="fr-FR"/>
        </w:rPr>
        <w:br w:type="page"/>
      </w:r>
      <w:r w:rsidR="00F1602A" w:rsidRPr="00F1602A">
        <w:rPr>
          <w:lang w:val="fr-FR"/>
        </w:rPr>
        <w:lastRenderedPageBreak/>
        <w:t>Annexe I</w:t>
      </w:r>
      <w:r w:rsidR="00F1602A">
        <w:rPr>
          <w:lang w:val="fr-FR"/>
        </w:rPr>
        <w:t>I</w:t>
      </w:r>
    </w:p>
    <w:p w:rsidR="00F1602A" w:rsidRDefault="00F1602A" w:rsidP="00F1602A">
      <w:pPr>
        <w:pStyle w:val="HChG"/>
      </w:pPr>
      <w:r w:rsidRPr="00F1602A">
        <w:rPr>
          <w:lang w:val="fr-FR"/>
        </w:rPr>
        <w:tab/>
      </w:r>
      <w:r w:rsidRPr="00F1602A">
        <w:rPr>
          <w:lang w:val="fr-FR"/>
        </w:rPr>
        <w:tab/>
      </w:r>
      <w:r>
        <w:t>Corrections aux projets d’amendements dans les documents ECE/TRANS/WP.15/231</w:t>
      </w:r>
      <w:r w:rsidR="00801D93">
        <w:t xml:space="preserve"> et OTIF/RID/CE/G</w:t>
      </w:r>
      <w:r w:rsidR="00616601">
        <w:t>TP</w:t>
      </w:r>
      <w:r w:rsidR="00801D93">
        <w:t xml:space="preserve">/2015/12 </w:t>
      </w:r>
    </w:p>
    <w:p w:rsidR="00F1602A" w:rsidRDefault="00F1602A" w:rsidP="00F1602A">
      <w:r>
        <w:tab/>
      </w:r>
      <w:r>
        <w:tab/>
        <w:t>(</w:t>
      </w:r>
      <w:proofErr w:type="gramStart"/>
      <w:r>
        <w:t>voir</w:t>
      </w:r>
      <w:proofErr w:type="gramEnd"/>
      <w:r>
        <w:t xml:space="preserve"> ECE/TRANS/WP.15/AC.1/142/Add.</w:t>
      </w:r>
      <w:r w:rsidR="00801D93">
        <w:t>2</w:t>
      </w:r>
      <w:r>
        <w:t>)</w:t>
      </w:r>
    </w:p>
    <w:p w:rsidR="00801D93" w:rsidRDefault="00801D93">
      <w:pPr>
        <w:suppressAutoHyphens w:val="0"/>
        <w:spacing w:line="240" w:lineRule="auto"/>
      </w:pPr>
      <w:r>
        <w:br w:type="page"/>
      </w:r>
    </w:p>
    <w:p w:rsidR="00801D93" w:rsidRDefault="00801D93" w:rsidP="00801D93">
      <w:pPr>
        <w:pStyle w:val="HChG"/>
      </w:pPr>
      <w:r>
        <w:lastRenderedPageBreak/>
        <w:tab/>
      </w:r>
      <w:r>
        <w:tab/>
        <w:t>Annexe III</w:t>
      </w:r>
    </w:p>
    <w:p w:rsidR="00801D93" w:rsidRDefault="00801D93" w:rsidP="00801D93">
      <w:pPr>
        <w:pStyle w:val="HChG"/>
      </w:pPr>
      <w:r>
        <w:tab/>
      </w:r>
      <w:r>
        <w:tab/>
        <w:t>Projet d’amendements au RID, à l’ADR et à l’ADN pour entrée en vigueur le 1</w:t>
      </w:r>
      <w:r w:rsidR="00F57D70">
        <w:t>er</w:t>
      </w:r>
      <w:r>
        <w:t xml:space="preserve"> janvier 2017</w:t>
      </w:r>
    </w:p>
    <w:p w:rsidR="00801D93" w:rsidRPr="00D23A3D" w:rsidRDefault="00801D93" w:rsidP="00801D93">
      <w:r>
        <w:tab/>
      </w:r>
      <w:r>
        <w:tab/>
        <w:t>(</w:t>
      </w:r>
      <w:proofErr w:type="gramStart"/>
      <w:r>
        <w:t>voir</w:t>
      </w:r>
      <w:proofErr w:type="gramEnd"/>
      <w:r>
        <w:t xml:space="preserve"> ECE/TRANS/WP.15/AC.1/142/Add.2)</w:t>
      </w:r>
    </w:p>
    <w:p w:rsidR="00801D93" w:rsidRPr="00D23A3D" w:rsidRDefault="00801D93" w:rsidP="00F1602A"/>
    <w:p w:rsidR="00801D93" w:rsidRDefault="00801D93">
      <w:pPr>
        <w:suppressAutoHyphens w:val="0"/>
        <w:spacing w:line="240" w:lineRule="auto"/>
      </w:pPr>
      <w:r>
        <w:br w:type="page"/>
      </w:r>
    </w:p>
    <w:p w:rsidR="00801D93" w:rsidRDefault="00801D93" w:rsidP="00801D93">
      <w:pPr>
        <w:pStyle w:val="HChG"/>
      </w:pPr>
      <w:r>
        <w:lastRenderedPageBreak/>
        <w:tab/>
      </w:r>
      <w:r>
        <w:tab/>
        <w:t>Annexe IV</w:t>
      </w:r>
    </w:p>
    <w:p w:rsidR="00801D93" w:rsidRDefault="00801D93" w:rsidP="00801D93">
      <w:pPr>
        <w:pStyle w:val="HChG"/>
      </w:pPr>
      <w:r>
        <w:tab/>
      </w:r>
      <w:r>
        <w:tab/>
        <w:t>Projet d’amendements au RID, à l’ADR et à l’ADN pour entrée en vigueur le 1</w:t>
      </w:r>
      <w:r w:rsidR="00F57D70">
        <w:t>er</w:t>
      </w:r>
      <w:r>
        <w:t xml:space="preserve"> janvier 2019</w:t>
      </w:r>
    </w:p>
    <w:p w:rsidR="00801D93" w:rsidRPr="00D23A3D" w:rsidRDefault="00801D93" w:rsidP="00801D93">
      <w:r>
        <w:tab/>
      </w:r>
      <w:r>
        <w:tab/>
        <w:t>(</w:t>
      </w:r>
      <w:proofErr w:type="gramStart"/>
      <w:r>
        <w:t>voir</w:t>
      </w:r>
      <w:proofErr w:type="gramEnd"/>
      <w:r>
        <w:t xml:space="preserve"> ECE/TRANS/WP.15/AC.1/142/Add.2)</w:t>
      </w:r>
    </w:p>
    <w:p w:rsidR="0051535D" w:rsidRPr="005B6CFB" w:rsidRDefault="0051535D" w:rsidP="0051535D">
      <w:pPr>
        <w:spacing w:before="240"/>
        <w:ind w:left="1134" w:right="1134"/>
        <w:jc w:val="center"/>
        <w:rPr>
          <w:u w:val="single"/>
        </w:rPr>
      </w:pPr>
      <w:r>
        <w:rPr>
          <w:u w:val="single"/>
        </w:rPr>
        <w:tab/>
      </w:r>
      <w:r>
        <w:rPr>
          <w:u w:val="single"/>
        </w:rPr>
        <w:tab/>
      </w:r>
      <w:r>
        <w:rPr>
          <w:u w:val="single"/>
        </w:rPr>
        <w:tab/>
      </w:r>
    </w:p>
    <w:sectPr w:rsidR="0051535D" w:rsidRPr="005B6CFB" w:rsidSect="00362E48">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B33" w:rsidRDefault="00B45B33"/>
  </w:endnote>
  <w:endnote w:type="continuationSeparator" w:id="0">
    <w:p w:rsidR="00B45B33" w:rsidRDefault="00B45B33"/>
  </w:endnote>
  <w:endnote w:type="continuationNotice" w:id="1">
    <w:p w:rsidR="00B45B33" w:rsidRDefault="00B45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33" w:rsidRPr="00362E48" w:rsidRDefault="00B45B33" w:rsidP="00362E48">
    <w:pPr>
      <w:pStyle w:val="Footer"/>
      <w:tabs>
        <w:tab w:val="right" w:pos="9638"/>
      </w:tabs>
      <w:rPr>
        <w:sz w:val="18"/>
      </w:rPr>
    </w:pPr>
    <w:r w:rsidRPr="00362E48">
      <w:rPr>
        <w:b/>
        <w:sz w:val="18"/>
      </w:rPr>
      <w:fldChar w:fldCharType="begin"/>
    </w:r>
    <w:r w:rsidRPr="00362E48">
      <w:rPr>
        <w:b/>
        <w:sz w:val="18"/>
      </w:rPr>
      <w:instrText xml:space="preserve"> PAGE  \* MERGEFORMAT </w:instrText>
    </w:r>
    <w:r w:rsidRPr="00362E48">
      <w:rPr>
        <w:b/>
        <w:sz w:val="18"/>
      </w:rPr>
      <w:fldChar w:fldCharType="separate"/>
    </w:r>
    <w:r w:rsidR="00B15AFA">
      <w:rPr>
        <w:b/>
        <w:noProof/>
        <w:sz w:val="18"/>
      </w:rPr>
      <w:t>14</w:t>
    </w:r>
    <w:r w:rsidRPr="00362E4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33" w:rsidRPr="00E82636" w:rsidRDefault="00B45B33" w:rsidP="00362E48">
    <w:pPr>
      <w:pStyle w:val="Footer"/>
      <w:tabs>
        <w:tab w:val="right" w:pos="9638"/>
      </w:tabs>
      <w:rPr>
        <w:sz w:val="18"/>
      </w:rPr>
    </w:pPr>
    <w:r>
      <w:tab/>
    </w:r>
    <w:r w:rsidRPr="00E82636">
      <w:rPr>
        <w:b/>
        <w:sz w:val="18"/>
      </w:rPr>
      <w:fldChar w:fldCharType="begin"/>
    </w:r>
    <w:r w:rsidRPr="00E82636">
      <w:rPr>
        <w:b/>
        <w:sz w:val="18"/>
      </w:rPr>
      <w:instrText xml:space="preserve"> PAGE  \* MERGEFORMAT </w:instrText>
    </w:r>
    <w:r w:rsidRPr="00E82636">
      <w:rPr>
        <w:b/>
        <w:sz w:val="18"/>
      </w:rPr>
      <w:fldChar w:fldCharType="separate"/>
    </w:r>
    <w:r w:rsidR="00B15AFA">
      <w:rPr>
        <w:b/>
        <w:noProof/>
        <w:sz w:val="18"/>
      </w:rPr>
      <w:t>15</w:t>
    </w:r>
    <w:r w:rsidRPr="00E8263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B33" w:rsidRPr="00D27D5E" w:rsidRDefault="00B45B33" w:rsidP="00D27D5E">
      <w:pPr>
        <w:tabs>
          <w:tab w:val="right" w:pos="2155"/>
        </w:tabs>
        <w:spacing w:after="80"/>
        <w:ind w:left="680"/>
        <w:rPr>
          <w:u w:val="single"/>
        </w:rPr>
      </w:pPr>
      <w:r>
        <w:rPr>
          <w:u w:val="single"/>
        </w:rPr>
        <w:tab/>
      </w:r>
    </w:p>
  </w:footnote>
  <w:footnote w:type="continuationSeparator" w:id="0">
    <w:p w:rsidR="00B45B33" w:rsidRPr="00A80554" w:rsidRDefault="00B45B33" w:rsidP="00A80554">
      <w:pPr>
        <w:tabs>
          <w:tab w:val="left" w:pos="2155"/>
        </w:tabs>
        <w:spacing w:after="80"/>
        <w:ind w:left="680"/>
        <w:rPr>
          <w:u w:val="single"/>
        </w:rPr>
      </w:pPr>
      <w:r w:rsidRPr="00A80554">
        <w:rPr>
          <w:u w:val="single"/>
        </w:rPr>
        <w:tab/>
      </w:r>
    </w:p>
  </w:footnote>
  <w:footnote w:type="continuationNotice" w:id="1">
    <w:p w:rsidR="00B45B33" w:rsidRDefault="00B45B33"/>
  </w:footnote>
  <w:footnote w:id="2">
    <w:p w:rsidR="00B45B33" w:rsidRDefault="00B45B33" w:rsidP="00201645">
      <w:pPr>
        <w:pStyle w:val="FootnoteText"/>
        <w:widowControl w:val="0"/>
        <w:tabs>
          <w:tab w:val="clear" w:pos="1021"/>
          <w:tab w:val="right" w:pos="1020"/>
        </w:tabs>
      </w:pPr>
      <w:r>
        <w:tab/>
      </w:r>
      <w:r>
        <w:rPr>
          <w:rStyle w:val="FootnoteReference"/>
        </w:rPr>
        <w:footnoteRef/>
      </w:r>
      <w:r>
        <w:t xml:space="preserve"> </w:t>
      </w:r>
      <w:r>
        <w:tab/>
      </w:r>
      <w:r>
        <w:rPr>
          <w:lang w:val="fr-FR"/>
        </w:rPr>
        <w:t xml:space="preserve">Diffusé par l'Organisation intergouvernementale pour les transports internationaux ferroviaires (OTIF) sous la cote </w:t>
      </w:r>
      <w:r w:rsidRPr="00274AB3">
        <w:rPr>
          <w:lang w:val="fr-FR"/>
        </w:rPr>
        <w:t>OTIF/RID/RC/</w:t>
      </w:r>
      <w:r>
        <w:rPr>
          <w:color w:val="000000"/>
          <w:lang w:val="fr-FR"/>
        </w:rPr>
        <w:t>2016</w:t>
      </w:r>
      <w:r w:rsidRPr="00274AB3">
        <w:rPr>
          <w:color w:val="000000"/>
          <w:lang w:val="fr-FR"/>
        </w:rPr>
        <w:t>-A</w:t>
      </w:r>
      <w:r>
        <w:rPr>
          <w:color w:val="000000"/>
          <w:lang w:val="fr-FR"/>
        </w:rPr>
        <w:t xml:space="preserve">. </w:t>
      </w:r>
      <w:r>
        <w:rPr>
          <w:lang w:val="fr-FR"/>
        </w:rPr>
        <w:t>Sauf indication contraire, les autres documents auxquels il est fait référence dans le présent rapport et qui portent une cote ECE/TRANS/WP.15/AC.1/ suivie de l’année et d’un numéro de série ont été diffusés par l’OTIF sous la cote OTIF/RID/RC/ suivie de l’année et du même numéro de série</w:t>
      </w:r>
      <w:r>
        <w:t>.</w:t>
      </w:r>
    </w:p>
  </w:footnote>
  <w:footnote w:id="3">
    <w:p w:rsidR="00B45B33" w:rsidRDefault="00B45B33" w:rsidP="00504292">
      <w:pPr>
        <w:pStyle w:val="FootnoteText"/>
        <w:widowControl w:val="0"/>
        <w:tabs>
          <w:tab w:val="clear" w:pos="1021"/>
          <w:tab w:val="right" w:pos="1020"/>
        </w:tabs>
      </w:pPr>
      <w:r>
        <w:tab/>
      </w:r>
      <w:r>
        <w:rPr>
          <w:rStyle w:val="FootnoteReference"/>
        </w:rPr>
        <w:footnoteRef/>
      </w:r>
      <w:r>
        <w:tab/>
        <w:t>Pour des raisons pratiques, l’annexe I est reproduite sous forme d’additif au présent document, sous la cote ECE/TRANS/WP.15/AC.1/142/Add.1.</w:t>
      </w:r>
    </w:p>
  </w:footnote>
  <w:footnote w:id="4">
    <w:p w:rsidR="00B45B33" w:rsidRDefault="00B45B33" w:rsidP="005B6E11">
      <w:pPr>
        <w:pStyle w:val="FootnoteText"/>
        <w:widowControl w:val="0"/>
        <w:tabs>
          <w:tab w:val="clear" w:pos="1021"/>
          <w:tab w:val="right" w:pos="1020"/>
        </w:tabs>
      </w:pPr>
      <w:r>
        <w:tab/>
      </w:r>
      <w:r>
        <w:rPr>
          <w:rStyle w:val="FootnoteReference"/>
        </w:rPr>
        <w:footnoteRef/>
      </w:r>
      <w:r>
        <w:tab/>
        <w:t>Pour des raisons pratiques, les annexes II, III et IV sont reproduites sous forme d’additif au présent document, sous la cote ECE/TRANS/WP.15/AC.1/142/Add.2.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33" w:rsidRPr="00362E48" w:rsidRDefault="00B45B33">
    <w:pPr>
      <w:pStyle w:val="Header"/>
    </w:pPr>
    <w:r>
      <w:t>ECE/TRANS/WP.15/AC.1/142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33" w:rsidRPr="00362E48" w:rsidRDefault="00B45B33" w:rsidP="00362E48">
    <w:pPr>
      <w:pStyle w:val="Header"/>
      <w:jc w:val="right"/>
    </w:pPr>
    <w:r>
      <w:t>ECE/TRANS/WP.15/AC.1/142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
    <w:nsid w:val="7071779D"/>
    <w:multiLevelType w:val="hybridMultilevel"/>
    <w:tmpl w:val="0DB63FEA"/>
    <w:lvl w:ilvl="0" w:tplc="72C8C47A">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4246FB"/>
    <w:rsid w:val="00016AC5"/>
    <w:rsid w:val="00025B56"/>
    <w:rsid w:val="000303A0"/>
    <w:rsid w:val="00030ADE"/>
    <w:rsid w:val="000312C0"/>
    <w:rsid w:val="000520D6"/>
    <w:rsid w:val="00057197"/>
    <w:rsid w:val="00067C4E"/>
    <w:rsid w:val="000964C7"/>
    <w:rsid w:val="00096D2C"/>
    <w:rsid w:val="00097A21"/>
    <w:rsid w:val="000B34CA"/>
    <w:rsid w:val="000C3FD5"/>
    <w:rsid w:val="000C4D69"/>
    <w:rsid w:val="000D1DAA"/>
    <w:rsid w:val="000F41F2"/>
    <w:rsid w:val="000F77CA"/>
    <w:rsid w:val="00116359"/>
    <w:rsid w:val="00135C0D"/>
    <w:rsid w:val="00137180"/>
    <w:rsid w:val="00143028"/>
    <w:rsid w:val="00154636"/>
    <w:rsid w:val="00160540"/>
    <w:rsid w:val="0017182C"/>
    <w:rsid w:val="00177007"/>
    <w:rsid w:val="001816D2"/>
    <w:rsid w:val="00185AA7"/>
    <w:rsid w:val="00186EE9"/>
    <w:rsid w:val="00192EEB"/>
    <w:rsid w:val="00194C63"/>
    <w:rsid w:val="001A20FB"/>
    <w:rsid w:val="001B6F40"/>
    <w:rsid w:val="001C202E"/>
    <w:rsid w:val="001C6B6F"/>
    <w:rsid w:val="001D320B"/>
    <w:rsid w:val="001D7F8A"/>
    <w:rsid w:val="001E3FEB"/>
    <w:rsid w:val="001E4A02"/>
    <w:rsid w:val="00201645"/>
    <w:rsid w:val="0020510F"/>
    <w:rsid w:val="00214A04"/>
    <w:rsid w:val="00223B89"/>
    <w:rsid w:val="00225A8C"/>
    <w:rsid w:val="0022745B"/>
    <w:rsid w:val="00231B91"/>
    <w:rsid w:val="00232C61"/>
    <w:rsid w:val="00256B66"/>
    <w:rsid w:val="00260F2D"/>
    <w:rsid w:val="002659F1"/>
    <w:rsid w:val="00271C7C"/>
    <w:rsid w:val="00274AB3"/>
    <w:rsid w:val="00276CA3"/>
    <w:rsid w:val="00287E79"/>
    <w:rsid w:val="002919F0"/>
    <w:rsid w:val="002928F9"/>
    <w:rsid w:val="00294184"/>
    <w:rsid w:val="002A5D07"/>
    <w:rsid w:val="002A6B23"/>
    <w:rsid w:val="002C2110"/>
    <w:rsid w:val="002C4400"/>
    <w:rsid w:val="002C637A"/>
    <w:rsid w:val="002E3E06"/>
    <w:rsid w:val="002F4757"/>
    <w:rsid w:val="003016B7"/>
    <w:rsid w:val="003139DC"/>
    <w:rsid w:val="00321467"/>
    <w:rsid w:val="003275EE"/>
    <w:rsid w:val="00330F9C"/>
    <w:rsid w:val="00340C35"/>
    <w:rsid w:val="003515AA"/>
    <w:rsid w:val="00362E48"/>
    <w:rsid w:val="00367E6A"/>
    <w:rsid w:val="00370696"/>
    <w:rsid w:val="00370E0F"/>
    <w:rsid w:val="00374106"/>
    <w:rsid w:val="00391663"/>
    <w:rsid w:val="003976D5"/>
    <w:rsid w:val="003D1DF3"/>
    <w:rsid w:val="003D46A7"/>
    <w:rsid w:val="003D6C68"/>
    <w:rsid w:val="003D76E4"/>
    <w:rsid w:val="003E0D68"/>
    <w:rsid w:val="003E267E"/>
    <w:rsid w:val="0041069B"/>
    <w:rsid w:val="00414425"/>
    <w:rsid w:val="004159D0"/>
    <w:rsid w:val="004246FB"/>
    <w:rsid w:val="004249E7"/>
    <w:rsid w:val="00426DA1"/>
    <w:rsid w:val="00434168"/>
    <w:rsid w:val="00436449"/>
    <w:rsid w:val="00440AC7"/>
    <w:rsid w:val="004616AF"/>
    <w:rsid w:val="00497A70"/>
    <w:rsid w:val="004A6744"/>
    <w:rsid w:val="004C0375"/>
    <w:rsid w:val="004D1F24"/>
    <w:rsid w:val="004D4F71"/>
    <w:rsid w:val="004D53B7"/>
    <w:rsid w:val="004E1BDE"/>
    <w:rsid w:val="004E614D"/>
    <w:rsid w:val="004F04FB"/>
    <w:rsid w:val="00504292"/>
    <w:rsid w:val="00504685"/>
    <w:rsid w:val="00507D6C"/>
    <w:rsid w:val="005123B8"/>
    <w:rsid w:val="00512D3C"/>
    <w:rsid w:val="0051535D"/>
    <w:rsid w:val="00543D5E"/>
    <w:rsid w:val="00557C4A"/>
    <w:rsid w:val="00564043"/>
    <w:rsid w:val="00565000"/>
    <w:rsid w:val="00571F41"/>
    <w:rsid w:val="0059410B"/>
    <w:rsid w:val="00595BE4"/>
    <w:rsid w:val="005A5EE9"/>
    <w:rsid w:val="005B3097"/>
    <w:rsid w:val="005B6E11"/>
    <w:rsid w:val="005B738F"/>
    <w:rsid w:val="005B76A3"/>
    <w:rsid w:val="005C5D9F"/>
    <w:rsid w:val="005C6A34"/>
    <w:rsid w:val="005C7376"/>
    <w:rsid w:val="005D5AFC"/>
    <w:rsid w:val="005E5D1F"/>
    <w:rsid w:val="005F2C10"/>
    <w:rsid w:val="00603391"/>
    <w:rsid w:val="006049FD"/>
    <w:rsid w:val="00611D43"/>
    <w:rsid w:val="006123AB"/>
    <w:rsid w:val="00612D48"/>
    <w:rsid w:val="00616601"/>
    <w:rsid w:val="00616B45"/>
    <w:rsid w:val="00630D9B"/>
    <w:rsid w:val="00631953"/>
    <w:rsid w:val="00632838"/>
    <w:rsid w:val="006439EC"/>
    <w:rsid w:val="006504BD"/>
    <w:rsid w:val="00674B7B"/>
    <w:rsid w:val="006761B2"/>
    <w:rsid w:val="006772FB"/>
    <w:rsid w:val="006A047B"/>
    <w:rsid w:val="006A436A"/>
    <w:rsid w:val="006B4590"/>
    <w:rsid w:val="006B45F6"/>
    <w:rsid w:val="006C340C"/>
    <w:rsid w:val="006D2836"/>
    <w:rsid w:val="006E5FC7"/>
    <w:rsid w:val="0070347C"/>
    <w:rsid w:val="00704A7C"/>
    <w:rsid w:val="007176C1"/>
    <w:rsid w:val="00726AEB"/>
    <w:rsid w:val="00736C84"/>
    <w:rsid w:val="00756630"/>
    <w:rsid w:val="007577B0"/>
    <w:rsid w:val="0076541C"/>
    <w:rsid w:val="00783F37"/>
    <w:rsid w:val="00790F2F"/>
    <w:rsid w:val="00791B37"/>
    <w:rsid w:val="007A41B9"/>
    <w:rsid w:val="007A6076"/>
    <w:rsid w:val="007B3317"/>
    <w:rsid w:val="007D5A0E"/>
    <w:rsid w:val="007E0281"/>
    <w:rsid w:val="007F55CB"/>
    <w:rsid w:val="00801D93"/>
    <w:rsid w:val="00810A6F"/>
    <w:rsid w:val="00812C1A"/>
    <w:rsid w:val="00812DB1"/>
    <w:rsid w:val="008237D9"/>
    <w:rsid w:val="00825DE8"/>
    <w:rsid w:val="008317F6"/>
    <w:rsid w:val="00833A1F"/>
    <w:rsid w:val="00842357"/>
    <w:rsid w:val="008430FD"/>
    <w:rsid w:val="00844750"/>
    <w:rsid w:val="00862460"/>
    <w:rsid w:val="00885B1A"/>
    <w:rsid w:val="008B44C4"/>
    <w:rsid w:val="008B7879"/>
    <w:rsid w:val="008C2211"/>
    <w:rsid w:val="008D11E1"/>
    <w:rsid w:val="008D3919"/>
    <w:rsid w:val="008E7FAE"/>
    <w:rsid w:val="008F1B68"/>
    <w:rsid w:val="008F2644"/>
    <w:rsid w:val="00911BF7"/>
    <w:rsid w:val="00926E87"/>
    <w:rsid w:val="00951831"/>
    <w:rsid w:val="00952FDB"/>
    <w:rsid w:val="00953393"/>
    <w:rsid w:val="00977EC8"/>
    <w:rsid w:val="00982BF8"/>
    <w:rsid w:val="00984EF3"/>
    <w:rsid w:val="009B18A3"/>
    <w:rsid w:val="009B4C51"/>
    <w:rsid w:val="009C7CE7"/>
    <w:rsid w:val="009D3A8C"/>
    <w:rsid w:val="009D66BB"/>
    <w:rsid w:val="009E01B8"/>
    <w:rsid w:val="009E7956"/>
    <w:rsid w:val="009F36E7"/>
    <w:rsid w:val="00A12F38"/>
    <w:rsid w:val="00A1547F"/>
    <w:rsid w:val="00A2492E"/>
    <w:rsid w:val="00A313CA"/>
    <w:rsid w:val="00A31F07"/>
    <w:rsid w:val="00A41235"/>
    <w:rsid w:val="00A41DB1"/>
    <w:rsid w:val="00A53AB1"/>
    <w:rsid w:val="00A5477A"/>
    <w:rsid w:val="00A61375"/>
    <w:rsid w:val="00A70163"/>
    <w:rsid w:val="00A80554"/>
    <w:rsid w:val="00AA72C3"/>
    <w:rsid w:val="00AC67A1"/>
    <w:rsid w:val="00AC7977"/>
    <w:rsid w:val="00AD64CB"/>
    <w:rsid w:val="00AE352C"/>
    <w:rsid w:val="00AE3D4C"/>
    <w:rsid w:val="00AE40B8"/>
    <w:rsid w:val="00B06B9A"/>
    <w:rsid w:val="00B15AFA"/>
    <w:rsid w:val="00B253C4"/>
    <w:rsid w:val="00B32BA2"/>
    <w:rsid w:val="00B32E2D"/>
    <w:rsid w:val="00B4466B"/>
    <w:rsid w:val="00B45B33"/>
    <w:rsid w:val="00B61990"/>
    <w:rsid w:val="00B6602A"/>
    <w:rsid w:val="00B85D99"/>
    <w:rsid w:val="00B93E72"/>
    <w:rsid w:val="00B94939"/>
    <w:rsid w:val="00BB59F0"/>
    <w:rsid w:val="00BB7972"/>
    <w:rsid w:val="00BC59D2"/>
    <w:rsid w:val="00BD5335"/>
    <w:rsid w:val="00BE056E"/>
    <w:rsid w:val="00BF0556"/>
    <w:rsid w:val="00BF06B0"/>
    <w:rsid w:val="00BF11F6"/>
    <w:rsid w:val="00BF4B89"/>
    <w:rsid w:val="00C24B53"/>
    <w:rsid w:val="00C261F8"/>
    <w:rsid w:val="00C33100"/>
    <w:rsid w:val="00C67049"/>
    <w:rsid w:val="00C940E9"/>
    <w:rsid w:val="00CB6267"/>
    <w:rsid w:val="00CD1A71"/>
    <w:rsid w:val="00CD1FBB"/>
    <w:rsid w:val="00CD2700"/>
    <w:rsid w:val="00D016B5"/>
    <w:rsid w:val="00D034F1"/>
    <w:rsid w:val="00D11B17"/>
    <w:rsid w:val="00D27D5E"/>
    <w:rsid w:val="00D60301"/>
    <w:rsid w:val="00D95773"/>
    <w:rsid w:val="00DA29C0"/>
    <w:rsid w:val="00DA57D4"/>
    <w:rsid w:val="00DB211E"/>
    <w:rsid w:val="00DB4793"/>
    <w:rsid w:val="00DC71DC"/>
    <w:rsid w:val="00DD168D"/>
    <w:rsid w:val="00DE01E3"/>
    <w:rsid w:val="00DE6D90"/>
    <w:rsid w:val="00DF002F"/>
    <w:rsid w:val="00E0244D"/>
    <w:rsid w:val="00E1143F"/>
    <w:rsid w:val="00E3637A"/>
    <w:rsid w:val="00E46EED"/>
    <w:rsid w:val="00E55D71"/>
    <w:rsid w:val="00E74C5F"/>
    <w:rsid w:val="00E75D46"/>
    <w:rsid w:val="00E81E94"/>
    <w:rsid w:val="00E82607"/>
    <w:rsid w:val="00E82636"/>
    <w:rsid w:val="00E94166"/>
    <w:rsid w:val="00EA31C2"/>
    <w:rsid w:val="00ED4152"/>
    <w:rsid w:val="00EE2EA3"/>
    <w:rsid w:val="00EF6AD0"/>
    <w:rsid w:val="00F01516"/>
    <w:rsid w:val="00F1602A"/>
    <w:rsid w:val="00F4083B"/>
    <w:rsid w:val="00F57129"/>
    <w:rsid w:val="00F57D70"/>
    <w:rsid w:val="00F57DB1"/>
    <w:rsid w:val="00F84F4B"/>
    <w:rsid w:val="00F90D06"/>
    <w:rsid w:val="00F95788"/>
    <w:rsid w:val="00FA5A79"/>
    <w:rsid w:val="00FA6422"/>
    <w:rsid w:val="00FB00CB"/>
    <w:rsid w:val="00FB0BFE"/>
    <w:rsid w:val="00FB4C51"/>
    <w:rsid w:val="00FC0F08"/>
    <w:rsid w:val="00FE06C7"/>
    <w:rsid w:val="00FE7EB5"/>
    <w:rsid w:val="00FF1DBD"/>
    <w:rsid w:val="00FF3D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FootnoteTextChar">
    <w:name w:val="Footnote Text Char"/>
    <w:aliases w:val="5_G Char"/>
    <w:link w:val="FootnoteText"/>
    <w:rsid w:val="00201645"/>
    <w:rPr>
      <w:sz w:val="18"/>
      <w:lang w:val="fr-CH" w:eastAsia="en-US"/>
    </w:rPr>
  </w:style>
  <w:style w:type="character" w:customStyle="1" w:styleId="SingleTxtGCar">
    <w:name w:val="_ Single Txt_G Car"/>
    <w:link w:val="SingleTxtG"/>
    <w:rsid w:val="00201645"/>
    <w:rPr>
      <w:lang w:val="fr-CH" w:eastAsia="en-US"/>
    </w:rPr>
  </w:style>
  <w:style w:type="character" w:customStyle="1" w:styleId="HChGChar">
    <w:name w:val="_ H _Ch_G Char"/>
    <w:link w:val="HChG"/>
    <w:rsid w:val="00201645"/>
    <w:rPr>
      <w:b/>
      <w:sz w:val="28"/>
      <w:lang w:val="fr-CH" w:eastAsia="en-US"/>
    </w:rPr>
  </w:style>
  <w:style w:type="character" w:customStyle="1" w:styleId="H1GChar">
    <w:name w:val="_ H_1_G Char"/>
    <w:link w:val="H1G"/>
    <w:rsid w:val="003275EE"/>
    <w:rPr>
      <w:b/>
      <w:sz w:val="24"/>
      <w:lang w:val="fr-CH" w:eastAsia="en-US"/>
    </w:rPr>
  </w:style>
  <w:style w:type="paragraph" w:styleId="Revision">
    <w:name w:val="Revision"/>
    <w:hidden/>
    <w:uiPriority w:val="99"/>
    <w:semiHidden/>
    <w:rsid w:val="00E94166"/>
    <w:rPr>
      <w:lang w:val="fr-CH" w:eastAsia="en-US"/>
    </w:rPr>
  </w:style>
  <w:style w:type="paragraph" w:styleId="BalloonText">
    <w:name w:val="Balloon Text"/>
    <w:basedOn w:val="Normal"/>
    <w:link w:val="BalloonTextChar"/>
    <w:rsid w:val="00E94166"/>
    <w:pPr>
      <w:spacing w:line="240" w:lineRule="auto"/>
    </w:pPr>
    <w:rPr>
      <w:rFonts w:ascii="Tahoma" w:hAnsi="Tahoma"/>
      <w:sz w:val="16"/>
      <w:szCs w:val="16"/>
    </w:rPr>
  </w:style>
  <w:style w:type="character" w:customStyle="1" w:styleId="BalloonTextChar">
    <w:name w:val="Balloon Text Char"/>
    <w:link w:val="BalloonText"/>
    <w:rsid w:val="00E94166"/>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2077">
      <w:bodyDiv w:val="1"/>
      <w:marLeft w:val="0"/>
      <w:marRight w:val="0"/>
      <w:marTop w:val="0"/>
      <w:marBottom w:val="0"/>
      <w:divBdr>
        <w:top w:val="none" w:sz="0" w:space="0" w:color="auto"/>
        <w:left w:val="none" w:sz="0" w:space="0" w:color="auto"/>
        <w:bottom w:val="none" w:sz="0" w:space="0" w:color="auto"/>
        <w:right w:val="none" w:sz="0" w:space="0" w:color="auto"/>
      </w:divBdr>
    </w:div>
    <w:div w:id="174155450">
      <w:bodyDiv w:val="1"/>
      <w:marLeft w:val="0"/>
      <w:marRight w:val="0"/>
      <w:marTop w:val="0"/>
      <w:marBottom w:val="0"/>
      <w:divBdr>
        <w:top w:val="none" w:sz="0" w:space="0" w:color="auto"/>
        <w:left w:val="none" w:sz="0" w:space="0" w:color="auto"/>
        <w:bottom w:val="none" w:sz="0" w:space="0" w:color="auto"/>
        <w:right w:val="none" w:sz="0" w:space="0" w:color="auto"/>
      </w:divBdr>
    </w:div>
    <w:div w:id="188225874">
      <w:bodyDiv w:val="1"/>
      <w:marLeft w:val="0"/>
      <w:marRight w:val="0"/>
      <w:marTop w:val="0"/>
      <w:marBottom w:val="0"/>
      <w:divBdr>
        <w:top w:val="none" w:sz="0" w:space="0" w:color="auto"/>
        <w:left w:val="none" w:sz="0" w:space="0" w:color="auto"/>
        <w:bottom w:val="none" w:sz="0" w:space="0" w:color="auto"/>
        <w:right w:val="none" w:sz="0" w:space="0" w:color="auto"/>
      </w:divBdr>
    </w:div>
    <w:div w:id="189033755">
      <w:bodyDiv w:val="1"/>
      <w:marLeft w:val="0"/>
      <w:marRight w:val="0"/>
      <w:marTop w:val="0"/>
      <w:marBottom w:val="0"/>
      <w:divBdr>
        <w:top w:val="none" w:sz="0" w:space="0" w:color="auto"/>
        <w:left w:val="none" w:sz="0" w:space="0" w:color="auto"/>
        <w:bottom w:val="none" w:sz="0" w:space="0" w:color="auto"/>
        <w:right w:val="none" w:sz="0" w:space="0" w:color="auto"/>
      </w:divBdr>
    </w:div>
    <w:div w:id="253440469">
      <w:bodyDiv w:val="1"/>
      <w:marLeft w:val="0"/>
      <w:marRight w:val="0"/>
      <w:marTop w:val="0"/>
      <w:marBottom w:val="0"/>
      <w:divBdr>
        <w:top w:val="none" w:sz="0" w:space="0" w:color="auto"/>
        <w:left w:val="none" w:sz="0" w:space="0" w:color="auto"/>
        <w:bottom w:val="none" w:sz="0" w:space="0" w:color="auto"/>
        <w:right w:val="none" w:sz="0" w:space="0" w:color="auto"/>
      </w:divBdr>
    </w:div>
    <w:div w:id="428965236">
      <w:bodyDiv w:val="1"/>
      <w:marLeft w:val="0"/>
      <w:marRight w:val="0"/>
      <w:marTop w:val="0"/>
      <w:marBottom w:val="0"/>
      <w:divBdr>
        <w:top w:val="none" w:sz="0" w:space="0" w:color="auto"/>
        <w:left w:val="none" w:sz="0" w:space="0" w:color="auto"/>
        <w:bottom w:val="none" w:sz="0" w:space="0" w:color="auto"/>
        <w:right w:val="none" w:sz="0" w:space="0" w:color="auto"/>
      </w:divBdr>
    </w:div>
    <w:div w:id="526869525">
      <w:bodyDiv w:val="1"/>
      <w:marLeft w:val="0"/>
      <w:marRight w:val="0"/>
      <w:marTop w:val="0"/>
      <w:marBottom w:val="0"/>
      <w:divBdr>
        <w:top w:val="none" w:sz="0" w:space="0" w:color="auto"/>
        <w:left w:val="none" w:sz="0" w:space="0" w:color="auto"/>
        <w:bottom w:val="none" w:sz="0" w:space="0" w:color="auto"/>
        <w:right w:val="none" w:sz="0" w:space="0" w:color="auto"/>
      </w:divBdr>
    </w:div>
    <w:div w:id="681199153">
      <w:bodyDiv w:val="1"/>
      <w:marLeft w:val="0"/>
      <w:marRight w:val="0"/>
      <w:marTop w:val="0"/>
      <w:marBottom w:val="0"/>
      <w:divBdr>
        <w:top w:val="none" w:sz="0" w:space="0" w:color="auto"/>
        <w:left w:val="none" w:sz="0" w:space="0" w:color="auto"/>
        <w:bottom w:val="none" w:sz="0" w:space="0" w:color="auto"/>
        <w:right w:val="none" w:sz="0" w:space="0" w:color="auto"/>
      </w:divBdr>
    </w:div>
    <w:div w:id="734397192">
      <w:bodyDiv w:val="1"/>
      <w:marLeft w:val="0"/>
      <w:marRight w:val="0"/>
      <w:marTop w:val="0"/>
      <w:marBottom w:val="0"/>
      <w:divBdr>
        <w:top w:val="none" w:sz="0" w:space="0" w:color="auto"/>
        <w:left w:val="none" w:sz="0" w:space="0" w:color="auto"/>
        <w:bottom w:val="none" w:sz="0" w:space="0" w:color="auto"/>
        <w:right w:val="none" w:sz="0" w:space="0" w:color="auto"/>
      </w:divBdr>
    </w:div>
    <w:div w:id="861285278">
      <w:bodyDiv w:val="1"/>
      <w:marLeft w:val="0"/>
      <w:marRight w:val="0"/>
      <w:marTop w:val="0"/>
      <w:marBottom w:val="0"/>
      <w:divBdr>
        <w:top w:val="none" w:sz="0" w:space="0" w:color="auto"/>
        <w:left w:val="none" w:sz="0" w:space="0" w:color="auto"/>
        <w:bottom w:val="none" w:sz="0" w:space="0" w:color="auto"/>
        <w:right w:val="none" w:sz="0" w:space="0" w:color="auto"/>
      </w:divBdr>
    </w:div>
    <w:div w:id="1045721062">
      <w:bodyDiv w:val="1"/>
      <w:marLeft w:val="0"/>
      <w:marRight w:val="0"/>
      <w:marTop w:val="0"/>
      <w:marBottom w:val="0"/>
      <w:divBdr>
        <w:top w:val="none" w:sz="0" w:space="0" w:color="auto"/>
        <w:left w:val="none" w:sz="0" w:space="0" w:color="auto"/>
        <w:bottom w:val="none" w:sz="0" w:space="0" w:color="auto"/>
        <w:right w:val="none" w:sz="0" w:space="0" w:color="auto"/>
      </w:divBdr>
    </w:div>
    <w:div w:id="1193690282">
      <w:bodyDiv w:val="1"/>
      <w:marLeft w:val="0"/>
      <w:marRight w:val="0"/>
      <w:marTop w:val="0"/>
      <w:marBottom w:val="0"/>
      <w:divBdr>
        <w:top w:val="none" w:sz="0" w:space="0" w:color="auto"/>
        <w:left w:val="none" w:sz="0" w:space="0" w:color="auto"/>
        <w:bottom w:val="none" w:sz="0" w:space="0" w:color="auto"/>
        <w:right w:val="none" w:sz="0" w:space="0" w:color="auto"/>
      </w:divBdr>
    </w:div>
    <w:div w:id="1264075842">
      <w:bodyDiv w:val="1"/>
      <w:marLeft w:val="0"/>
      <w:marRight w:val="0"/>
      <w:marTop w:val="0"/>
      <w:marBottom w:val="0"/>
      <w:divBdr>
        <w:top w:val="none" w:sz="0" w:space="0" w:color="auto"/>
        <w:left w:val="none" w:sz="0" w:space="0" w:color="auto"/>
        <w:bottom w:val="none" w:sz="0" w:space="0" w:color="auto"/>
        <w:right w:val="none" w:sz="0" w:space="0" w:color="auto"/>
      </w:divBdr>
    </w:div>
    <w:div w:id="1517690143">
      <w:bodyDiv w:val="1"/>
      <w:marLeft w:val="0"/>
      <w:marRight w:val="0"/>
      <w:marTop w:val="0"/>
      <w:marBottom w:val="0"/>
      <w:divBdr>
        <w:top w:val="none" w:sz="0" w:space="0" w:color="auto"/>
        <w:left w:val="none" w:sz="0" w:space="0" w:color="auto"/>
        <w:bottom w:val="none" w:sz="0" w:space="0" w:color="auto"/>
        <w:right w:val="none" w:sz="0" w:space="0" w:color="auto"/>
      </w:divBdr>
    </w:div>
    <w:div w:id="1539657785">
      <w:bodyDiv w:val="1"/>
      <w:marLeft w:val="0"/>
      <w:marRight w:val="0"/>
      <w:marTop w:val="0"/>
      <w:marBottom w:val="0"/>
      <w:divBdr>
        <w:top w:val="none" w:sz="0" w:space="0" w:color="auto"/>
        <w:left w:val="none" w:sz="0" w:space="0" w:color="auto"/>
        <w:bottom w:val="none" w:sz="0" w:space="0" w:color="auto"/>
        <w:right w:val="none" w:sz="0" w:space="0" w:color="auto"/>
      </w:divBdr>
    </w:div>
    <w:div w:id="1670712722">
      <w:bodyDiv w:val="1"/>
      <w:marLeft w:val="0"/>
      <w:marRight w:val="0"/>
      <w:marTop w:val="0"/>
      <w:marBottom w:val="0"/>
      <w:divBdr>
        <w:top w:val="none" w:sz="0" w:space="0" w:color="auto"/>
        <w:left w:val="none" w:sz="0" w:space="0" w:color="auto"/>
        <w:bottom w:val="none" w:sz="0" w:space="0" w:color="auto"/>
        <w:right w:val="none" w:sz="0" w:space="0" w:color="auto"/>
      </w:divBdr>
    </w:div>
    <w:div w:id="1890070566">
      <w:bodyDiv w:val="1"/>
      <w:marLeft w:val="0"/>
      <w:marRight w:val="0"/>
      <w:marTop w:val="0"/>
      <w:marBottom w:val="0"/>
      <w:divBdr>
        <w:top w:val="none" w:sz="0" w:space="0" w:color="auto"/>
        <w:left w:val="none" w:sz="0" w:space="0" w:color="auto"/>
        <w:bottom w:val="none" w:sz="0" w:space="0" w:color="auto"/>
        <w:right w:val="none" w:sz="0" w:space="0" w:color="auto"/>
      </w:divBdr>
    </w:div>
    <w:div w:id="1972244133">
      <w:bodyDiv w:val="1"/>
      <w:marLeft w:val="0"/>
      <w:marRight w:val="0"/>
      <w:marTop w:val="0"/>
      <w:marBottom w:val="0"/>
      <w:divBdr>
        <w:top w:val="none" w:sz="0" w:space="0" w:color="auto"/>
        <w:left w:val="none" w:sz="0" w:space="0" w:color="auto"/>
        <w:bottom w:val="none" w:sz="0" w:space="0" w:color="auto"/>
        <w:right w:val="none" w:sz="0" w:space="0" w:color="auto"/>
      </w:divBdr>
    </w:div>
    <w:div w:id="207507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TRANS\TRANS_WP15_AC1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2DE29-0B3B-4795-9F14-AC543CE6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TRANS_WP15_AC1_F.dotm</Template>
  <TotalTime>118</TotalTime>
  <Pages>19</Pages>
  <Words>5262</Words>
  <Characters>29995</Characters>
  <Application>Microsoft Office Word</Application>
  <DocSecurity>0</DocSecurity>
  <Lines>249</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35187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Rosa Garcia-Couto</dc:creator>
  <cp:lastModifiedBy>barrio-champeau</cp:lastModifiedBy>
  <cp:revision>12</cp:revision>
  <cp:lastPrinted>2015-05-07T13:03:00Z</cp:lastPrinted>
  <dcterms:created xsi:type="dcterms:W3CDTF">2016-04-12T07:58:00Z</dcterms:created>
  <dcterms:modified xsi:type="dcterms:W3CDTF">2016-04-13T09:55:00Z</dcterms:modified>
</cp:coreProperties>
</file>