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9864BF" w:rsidP="00F11CCC">
            <w:pPr>
              <w:jc w:val="right"/>
              <w:rPr>
                <w:lang w:val="fr-FR"/>
              </w:rPr>
            </w:pPr>
            <w:r w:rsidRPr="009864BF">
              <w:rPr>
                <w:sz w:val="40"/>
                <w:lang w:val="fr-FR"/>
              </w:rPr>
              <w:t>ECE</w:t>
            </w:r>
            <w:r>
              <w:rPr>
                <w:lang w:val="fr-FR"/>
              </w:rPr>
              <w:t>/TRANS/WP.15/23</w:t>
            </w:r>
            <w:r w:rsidR="00F11CCC">
              <w:rPr>
                <w:lang w:val="fr-FR"/>
              </w:rPr>
              <w:t>3</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fr-FR" w:eastAsia="fr-FR"/>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9864BF" w:rsidP="009864BF">
            <w:pPr>
              <w:spacing w:before="240" w:line="240" w:lineRule="exact"/>
              <w:rPr>
                <w:lang w:val="fr-FR"/>
              </w:rPr>
            </w:pPr>
            <w:proofErr w:type="spellStart"/>
            <w:r>
              <w:rPr>
                <w:lang w:val="fr-FR"/>
              </w:rPr>
              <w:t>Distr</w:t>
            </w:r>
            <w:proofErr w:type="spellEnd"/>
            <w:r>
              <w:rPr>
                <w:lang w:val="fr-FR"/>
              </w:rPr>
              <w:t>. générale</w:t>
            </w:r>
          </w:p>
          <w:p w:rsidR="009864BF" w:rsidRDefault="007154B4" w:rsidP="009864BF">
            <w:pPr>
              <w:spacing w:line="240" w:lineRule="exact"/>
              <w:rPr>
                <w:lang w:val="fr-FR"/>
              </w:rPr>
            </w:pPr>
            <w:r>
              <w:rPr>
                <w:lang w:val="fr-FR"/>
              </w:rPr>
              <w:t>2</w:t>
            </w:r>
            <w:r w:rsidR="008E3D95">
              <w:rPr>
                <w:lang w:val="fr-FR"/>
              </w:rPr>
              <w:t>7</w:t>
            </w:r>
            <w:r w:rsidR="00DF77A2">
              <w:rPr>
                <w:lang w:val="fr-FR"/>
              </w:rPr>
              <w:t xml:space="preserve"> </w:t>
            </w:r>
            <w:r w:rsidR="00F11CCC">
              <w:rPr>
                <w:lang w:val="fr-FR"/>
              </w:rPr>
              <w:t>mai 2016</w:t>
            </w:r>
          </w:p>
          <w:p w:rsidR="004E4695" w:rsidRDefault="004E4695" w:rsidP="009864BF">
            <w:pPr>
              <w:spacing w:line="240" w:lineRule="exact"/>
              <w:rPr>
                <w:lang w:val="fr-FR"/>
              </w:rPr>
            </w:pPr>
            <w:r>
              <w:rPr>
                <w:lang w:val="fr-FR"/>
              </w:rPr>
              <w:t xml:space="preserve">Français </w:t>
            </w:r>
          </w:p>
          <w:p w:rsidR="009864BF" w:rsidRPr="00367E6A" w:rsidRDefault="009864BF" w:rsidP="009864BF">
            <w:pPr>
              <w:spacing w:line="240" w:lineRule="exact"/>
              <w:rPr>
                <w:lang w:val="fr-FR"/>
              </w:rPr>
            </w:pPr>
            <w:proofErr w:type="gramStart"/>
            <w:r>
              <w:rPr>
                <w:lang w:val="fr-FR"/>
              </w:rPr>
              <w:t>Original:</w:t>
            </w:r>
            <w:proofErr w:type="gramEnd"/>
            <w:r>
              <w:rPr>
                <w:lang w:val="fr-FR"/>
              </w:rPr>
              <w:t xml:space="preserve"> français </w:t>
            </w:r>
            <w:r w:rsidR="004E4695">
              <w:rPr>
                <w:lang w:val="fr-FR"/>
              </w:rPr>
              <w:t>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A34F4A" w:rsidRPr="00A34F4A" w:rsidRDefault="00A34F4A" w:rsidP="00A34F4A">
      <w:pPr>
        <w:keepNext/>
        <w:keepLines/>
        <w:tabs>
          <w:tab w:val="right" w:pos="851"/>
        </w:tabs>
        <w:spacing w:before="360" w:after="120" w:line="300" w:lineRule="exact"/>
        <w:ind w:left="1134" w:right="1134" w:hanging="1134"/>
        <w:rPr>
          <w:sz w:val="28"/>
          <w:lang w:val="fr-FR"/>
        </w:rPr>
      </w:pPr>
      <w:r w:rsidRPr="00A34F4A">
        <w:rPr>
          <w:b/>
          <w:sz w:val="28"/>
          <w:lang w:val="fr-FR"/>
        </w:rPr>
        <w:tab/>
      </w:r>
      <w:r w:rsidRPr="00A34F4A">
        <w:rPr>
          <w:b/>
          <w:sz w:val="28"/>
          <w:lang w:val="fr-FR"/>
        </w:rPr>
        <w:tab/>
        <w:t xml:space="preserve">Rapport du Groupe de travail sur sa </w:t>
      </w:r>
      <w:r w:rsidR="00F11CCC">
        <w:rPr>
          <w:b/>
          <w:sz w:val="28"/>
          <w:lang w:val="fr-FR"/>
        </w:rPr>
        <w:t>100</w:t>
      </w:r>
      <w:r w:rsidR="00F11CCC" w:rsidRPr="00F11CCC">
        <w:rPr>
          <w:b/>
          <w:sz w:val="28"/>
          <w:vertAlign w:val="superscript"/>
          <w:lang w:val="fr-FR"/>
        </w:rPr>
        <w:t>e</w:t>
      </w:r>
      <w:r w:rsidRPr="00A34F4A">
        <w:rPr>
          <w:b/>
          <w:bCs/>
          <w:sz w:val="28"/>
          <w:lang w:val="fr-FR"/>
        </w:rPr>
        <w:t xml:space="preserve"> </w:t>
      </w:r>
      <w:r w:rsidRPr="00A34F4A">
        <w:rPr>
          <w:b/>
          <w:sz w:val="28"/>
          <w:lang w:val="fr-FR"/>
        </w:rPr>
        <w:t>session</w:t>
      </w:r>
    </w:p>
    <w:p w:rsidR="00A34F4A" w:rsidRPr="00A34F4A" w:rsidRDefault="00A34F4A" w:rsidP="00A34F4A">
      <w:pPr>
        <w:keepNext/>
        <w:keepLines/>
        <w:tabs>
          <w:tab w:val="right" w:pos="851"/>
        </w:tabs>
        <w:spacing w:before="120" w:after="120" w:line="240" w:lineRule="exact"/>
        <w:ind w:left="1134" w:right="1134" w:hanging="1134"/>
      </w:pPr>
      <w:r w:rsidRPr="00A34F4A">
        <w:rPr>
          <w:lang w:val="fr-FR"/>
        </w:rPr>
        <w:tab/>
      </w:r>
      <w:r w:rsidRPr="00A34F4A">
        <w:rPr>
          <w:lang w:val="fr-FR"/>
        </w:rPr>
        <w:tab/>
      </w:r>
      <w:proofErr w:type="gramStart"/>
      <w:r w:rsidRPr="00A34F4A">
        <w:rPr>
          <w:lang w:val="fr-FR"/>
        </w:rPr>
        <w:t>tenue</w:t>
      </w:r>
      <w:proofErr w:type="gramEnd"/>
      <w:r w:rsidRPr="00A34F4A">
        <w:rPr>
          <w:lang w:val="fr-FR"/>
        </w:rPr>
        <w:t xml:space="preserve"> à Genève du </w:t>
      </w:r>
      <w:r w:rsidR="00F11CCC">
        <w:rPr>
          <w:lang w:val="fr-FR"/>
        </w:rPr>
        <w:t>9 au 12 mai 2016</w:t>
      </w:r>
    </w:p>
    <w:p w:rsidR="00445F6D" w:rsidRDefault="00445F6D" w:rsidP="00445F6D">
      <w:pPr>
        <w:spacing w:after="120"/>
        <w:rPr>
          <w:sz w:val="28"/>
          <w:lang w:val="fr-FR"/>
        </w:rPr>
      </w:pPr>
      <w:r>
        <w:rPr>
          <w:sz w:val="28"/>
          <w:lang w:val="fr-FR"/>
        </w:rPr>
        <w:t>Table des matières</w:t>
      </w:r>
    </w:p>
    <w:p w:rsidR="00445F6D" w:rsidRDefault="00445F6D" w:rsidP="00445F6D">
      <w:pPr>
        <w:tabs>
          <w:tab w:val="right" w:pos="8929"/>
          <w:tab w:val="right" w:pos="9638"/>
        </w:tabs>
        <w:spacing w:after="120"/>
        <w:ind w:left="283"/>
        <w:rPr>
          <w:lang w:val="fr-FR"/>
        </w:rPr>
      </w:pPr>
      <w:r>
        <w:rPr>
          <w:i/>
          <w:sz w:val="18"/>
          <w:lang w:val="fr-FR"/>
        </w:rPr>
        <w:tab/>
        <w:t>Paragraphes</w:t>
      </w:r>
      <w:r>
        <w:rPr>
          <w:i/>
          <w:sz w:val="18"/>
          <w:lang w:val="fr-FR"/>
        </w:rPr>
        <w:tab/>
        <w:t>Page</w:t>
      </w:r>
    </w:p>
    <w:p w:rsidR="00445F6D" w:rsidRPr="00144F2B" w:rsidRDefault="00445F6D" w:rsidP="00445F6D">
      <w:pPr>
        <w:tabs>
          <w:tab w:val="right" w:pos="850"/>
          <w:tab w:val="left" w:pos="1190"/>
          <w:tab w:val="left" w:pos="1559"/>
          <w:tab w:val="left" w:pos="1984"/>
          <w:tab w:val="left" w:leader="dot" w:pos="7654"/>
          <w:tab w:val="right" w:pos="8929"/>
          <w:tab w:val="right" w:pos="9638"/>
        </w:tabs>
        <w:spacing w:after="120"/>
      </w:pPr>
      <w:r>
        <w:tab/>
        <w:t>I.</w:t>
      </w:r>
      <w:r>
        <w:tab/>
        <w:t>Participation</w:t>
      </w:r>
      <w:r>
        <w:tab/>
      </w:r>
      <w:r>
        <w:tab/>
      </w:r>
      <w:r w:rsidRPr="001B507C">
        <w:t>1-5</w:t>
      </w:r>
      <w:r w:rsidRPr="001B507C">
        <w:tab/>
      </w:r>
      <w:r w:rsidR="00A3503B">
        <w:t>3</w:t>
      </w:r>
    </w:p>
    <w:p w:rsidR="00445F6D" w:rsidRPr="00144F2B" w:rsidRDefault="00445F6D" w:rsidP="00445F6D">
      <w:pPr>
        <w:tabs>
          <w:tab w:val="right" w:pos="850"/>
          <w:tab w:val="left" w:pos="1204"/>
          <w:tab w:val="left" w:pos="1559"/>
          <w:tab w:val="left" w:pos="1984"/>
          <w:tab w:val="left" w:leader="dot" w:pos="7654"/>
          <w:tab w:val="right" w:pos="8929"/>
          <w:tab w:val="right" w:pos="9638"/>
        </w:tabs>
        <w:spacing w:after="120"/>
      </w:pPr>
      <w:r w:rsidRPr="00144F2B">
        <w:tab/>
        <w:t>II.</w:t>
      </w:r>
      <w:r w:rsidRPr="00144F2B">
        <w:tab/>
      </w:r>
      <w:r w:rsidRPr="00183CEF">
        <w:t>Ouverture de la session</w:t>
      </w:r>
      <w:r>
        <w:tab/>
      </w:r>
      <w:r>
        <w:tab/>
      </w:r>
      <w:r w:rsidRPr="001B507C">
        <w:t>6</w:t>
      </w:r>
      <w:r>
        <w:t>-8</w:t>
      </w:r>
      <w:r w:rsidRPr="001B507C">
        <w:tab/>
      </w:r>
      <w:r w:rsidR="00A3503B">
        <w:t>3</w:t>
      </w:r>
    </w:p>
    <w:p w:rsidR="00445F6D" w:rsidRDefault="00445F6D" w:rsidP="00445F6D">
      <w:pPr>
        <w:tabs>
          <w:tab w:val="right" w:pos="850"/>
          <w:tab w:val="left" w:pos="1984"/>
          <w:tab w:val="left" w:leader="dot" w:pos="7654"/>
          <w:tab w:val="right" w:pos="8929"/>
          <w:tab w:val="right" w:pos="9638"/>
        </w:tabs>
        <w:spacing w:after="120"/>
        <w:ind w:left="1200" w:hanging="600"/>
      </w:pPr>
      <w:r>
        <w:t>III.</w:t>
      </w:r>
      <w:r>
        <w:tab/>
      </w:r>
      <w:r>
        <w:tab/>
      </w:r>
      <w:r w:rsidRPr="00C71525">
        <w:t>Adoption de l</w:t>
      </w:r>
      <w:r>
        <w:t>’</w:t>
      </w:r>
      <w:r w:rsidRPr="00C71525">
        <w:t>ordre du jour (point 1 de l</w:t>
      </w:r>
      <w:r>
        <w:t>’</w:t>
      </w:r>
      <w:r w:rsidRPr="00C71525">
        <w:t>o</w:t>
      </w:r>
      <w:r>
        <w:t>rdre du jour)</w:t>
      </w:r>
      <w:r>
        <w:rPr>
          <w:lang w:val="fr-FR"/>
        </w:rPr>
        <w:tab/>
      </w:r>
      <w:r>
        <w:rPr>
          <w:lang w:val="fr-FR"/>
        </w:rPr>
        <w:tab/>
        <w:t>9</w:t>
      </w:r>
      <w:r w:rsidRPr="001B507C">
        <w:rPr>
          <w:lang w:val="fr-FR"/>
        </w:rPr>
        <w:tab/>
      </w:r>
      <w:r w:rsidR="00A3503B">
        <w:rPr>
          <w:lang w:val="fr-FR"/>
        </w:rPr>
        <w:t>3</w:t>
      </w:r>
    </w:p>
    <w:p w:rsidR="00445F6D" w:rsidRDefault="00445F6D" w:rsidP="00445F6D">
      <w:pPr>
        <w:tabs>
          <w:tab w:val="right" w:pos="850"/>
          <w:tab w:val="left" w:pos="1984"/>
          <w:tab w:val="left" w:leader="dot" w:pos="7654"/>
          <w:tab w:val="right" w:pos="8929"/>
          <w:tab w:val="right" w:pos="9638"/>
        </w:tabs>
        <w:spacing w:after="120"/>
        <w:ind w:left="1200" w:hanging="600"/>
      </w:pPr>
      <w:r w:rsidRPr="00144F2B">
        <w:t>I</w:t>
      </w:r>
      <w:r>
        <w:t>V</w:t>
      </w:r>
      <w:r w:rsidRPr="00144F2B">
        <w:t>.</w:t>
      </w:r>
      <w:r w:rsidRPr="00144F2B">
        <w:tab/>
      </w:r>
      <w:r w:rsidR="004224BB" w:rsidRPr="005B2C1D">
        <w:t>Soixante-</w:t>
      </w:r>
      <w:r w:rsidR="004224BB">
        <w:t>dix-huitième</w:t>
      </w:r>
      <w:r w:rsidRPr="005B2C1D">
        <w:t xml:space="preserve"> session du Comité des transports </w:t>
      </w:r>
      <w:proofErr w:type="gramStart"/>
      <w:r w:rsidRPr="005B2C1D">
        <w:t>intérieurs</w:t>
      </w:r>
      <w:proofErr w:type="gramEnd"/>
      <w:r>
        <w:br/>
      </w:r>
      <w:r w:rsidRPr="005B2C1D">
        <w:t>(point 2 de l</w:t>
      </w:r>
      <w:r>
        <w:t>’</w:t>
      </w:r>
      <w:r w:rsidRPr="005B2C1D">
        <w:t>ordre du jour)</w:t>
      </w:r>
      <w:r>
        <w:tab/>
      </w:r>
      <w:r>
        <w:tab/>
        <w:t>10</w:t>
      </w:r>
      <w:r w:rsidRPr="001B507C">
        <w:tab/>
      </w:r>
      <w:r w:rsidR="00A3503B">
        <w:t>4</w:t>
      </w:r>
    </w:p>
    <w:p w:rsidR="00445F6D" w:rsidRDefault="00445F6D" w:rsidP="00445F6D">
      <w:pPr>
        <w:tabs>
          <w:tab w:val="right" w:pos="850"/>
          <w:tab w:val="left" w:pos="1984"/>
          <w:tab w:val="left" w:leader="dot" w:pos="7654"/>
          <w:tab w:val="right" w:pos="8929"/>
          <w:tab w:val="right" w:pos="9638"/>
        </w:tabs>
        <w:spacing w:after="120"/>
        <w:ind w:left="1200" w:hanging="600"/>
      </w:pPr>
      <w:r>
        <w:t>V.</w:t>
      </w:r>
      <w:r>
        <w:tab/>
      </w:r>
      <w:r>
        <w:tab/>
      </w:r>
      <w:r w:rsidRPr="005B2C1D">
        <w:t>État de l</w:t>
      </w:r>
      <w:r>
        <w:t>’</w:t>
      </w:r>
      <w:r w:rsidRPr="005B2C1D">
        <w:t xml:space="preserve">Accord européen relatif au transport international </w:t>
      </w:r>
      <w:r>
        <w:br/>
      </w:r>
      <w:r w:rsidRPr="005B2C1D">
        <w:t xml:space="preserve">des marchandises dangereuses par route (ADR) et </w:t>
      </w:r>
      <w:r>
        <w:br/>
      </w:r>
      <w:r w:rsidRPr="005B2C1D">
        <w:t>questions connexes (point 3 de l</w:t>
      </w:r>
      <w:r>
        <w:t>’</w:t>
      </w:r>
      <w:r w:rsidRPr="005B2C1D">
        <w:t>ordre du jour)</w:t>
      </w:r>
      <w:r>
        <w:tab/>
      </w:r>
      <w:r>
        <w:tab/>
        <w:t>11</w:t>
      </w:r>
      <w:r w:rsidRPr="001B507C">
        <w:tab/>
      </w:r>
      <w:r w:rsidR="00A3503B">
        <w:t>4</w:t>
      </w:r>
    </w:p>
    <w:p w:rsidR="00445F6D" w:rsidRDefault="00445F6D" w:rsidP="00445F6D">
      <w:pPr>
        <w:tabs>
          <w:tab w:val="right" w:pos="850"/>
          <w:tab w:val="left" w:pos="1984"/>
          <w:tab w:val="left" w:leader="dot" w:pos="7654"/>
          <w:tab w:val="right" w:pos="8929"/>
          <w:tab w:val="right" w:pos="9638"/>
        </w:tabs>
        <w:spacing w:after="120"/>
        <w:ind w:left="1200" w:hanging="600"/>
      </w:pPr>
      <w:r w:rsidRPr="00DF3E0D">
        <w:t>VI.</w:t>
      </w:r>
      <w:r w:rsidRPr="00DF3E0D">
        <w:tab/>
      </w:r>
      <w:r w:rsidRPr="00787CF7">
        <w:rPr>
          <w:lang w:val="fr-FR"/>
        </w:rPr>
        <w:t>Interprétation de l’ADR</w:t>
      </w:r>
      <w:r>
        <w:rPr>
          <w:lang w:val="fr-FR"/>
        </w:rPr>
        <w:t xml:space="preserve"> </w:t>
      </w:r>
      <w:r w:rsidRPr="005B2C1D">
        <w:t xml:space="preserve">(point </w:t>
      </w:r>
      <w:r>
        <w:t>4</w:t>
      </w:r>
      <w:r w:rsidRPr="005B2C1D">
        <w:t xml:space="preserve"> de l</w:t>
      </w:r>
      <w:r>
        <w:t>’</w:t>
      </w:r>
      <w:r w:rsidRPr="005B2C1D">
        <w:t>ordre du jour)</w:t>
      </w:r>
      <w:r>
        <w:tab/>
      </w:r>
      <w:r>
        <w:tab/>
        <w:t>12-15</w:t>
      </w:r>
      <w:r w:rsidRPr="001B507C">
        <w:tab/>
      </w:r>
      <w:r w:rsidR="00A3503B">
        <w:t>4</w:t>
      </w:r>
    </w:p>
    <w:p w:rsidR="00445F6D" w:rsidRDefault="00445F6D" w:rsidP="00445F6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A</w:t>
      </w:r>
      <w:r w:rsidRPr="00AF7A57">
        <w:rPr>
          <w:lang w:val="fr-FR"/>
        </w:rPr>
        <w:t>.</w:t>
      </w:r>
      <w:r w:rsidRPr="00AF7A57">
        <w:rPr>
          <w:lang w:val="fr-FR"/>
        </w:rPr>
        <w:tab/>
      </w:r>
      <w:r>
        <w:t>Chargement en commun des explosifs et des détonateurs</w:t>
      </w:r>
      <w:r w:rsidRPr="00AF7A57">
        <w:rPr>
          <w:lang w:val="fr-FR"/>
        </w:rPr>
        <w:tab/>
      </w:r>
      <w:r w:rsidRPr="00AF7A57">
        <w:rPr>
          <w:lang w:val="fr-FR"/>
        </w:rPr>
        <w:tab/>
      </w:r>
      <w:r>
        <w:rPr>
          <w:lang w:val="fr-FR"/>
        </w:rPr>
        <w:t>12-14</w:t>
      </w:r>
      <w:r w:rsidRPr="001B507C">
        <w:rPr>
          <w:lang w:val="fr-FR"/>
        </w:rPr>
        <w:tab/>
      </w:r>
      <w:r w:rsidR="00A3503B">
        <w:rPr>
          <w:lang w:val="fr-FR"/>
        </w:rPr>
        <w:t>4</w:t>
      </w:r>
    </w:p>
    <w:p w:rsidR="00445F6D" w:rsidRDefault="00445F6D" w:rsidP="00445F6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AF7A57">
        <w:rPr>
          <w:lang w:val="fr-FR"/>
        </w:rPr>
        <w:tab/>
      </w:r>
      <w:r w:rsidRPr="00AF7A57">
        <w:rPr>
          <w:lang w:val="fr-FR"/>
        </w:rPr>
        <w:tab/>
      </w:r>
      <w:r>
        <w:rPr>
          <w:lang w:val="fr-FR"/>
        </w:rPr>
        <w:t>B</w:t>
      </w:r>
      <w:r w:rsidRPr="00AF7A57">
        <w:rPr>
          <w:lang w:val="fr-FR"/>
        </w:rPr>
        <w:t>.</w:t>
      </w:r>
      <w:r w:rsidRPr="00AF7A57">
        <w:rPr>
          <w:lang w:val="fr-FR"/>
        </w:rPr>
        <w:tab/>
      </w:r>
      <w:r>
        <w:t>Prescription supplémentaire S21</w:t>
      </w:r>
      <w:r w:rsidRPr="00AF7A57">
        <w:rPr>
          <w:lang w:val="fr-FR"/>
        </w:rPr>
        <w:tab/>
      </w:r>
      <w:r w:rsidRPr="00AF7A57">
        <w:rPr>
          <w:lang w:val="fr-FR"/>
        </w:rPr>
        <w:tab/>
      </w:r>
      <w:r w:rsidRPr="001B507C">
        <w:rPr>
          <w:lang w:val="fr-FR"/>
        </w:rPr>
        <w:t>15</w:t>
      </w:r>
      <w:r w:rsidRPr="001B507C">
        <w:rPr>
          <w:lang w:val="fr-FR"/>
        </w:rPr>
        <w:tab/>
      </w:r>
      <w:r w:rsidR="00A3503B">
        <w:rPr>
          <w:lang w:val="fr-FR"/>
        </w:rPr>
        <w:t>5</w:t>
      </w:r>
    </w:p>
    <w:p w:rsidR="00445F6D" w:rsidRDefault="00445F6D" w:rsidP="00445F6D">
      <w:pPr>
        <w:tabs>
          <w:tab w:val="right" w:pos="850"/>
          <w:tab w:val="left" w:pos="1134"/>
          <w:tab w:val="left" w:pos="1984"/>
          <w:tab w:val="left" w:leader="dot" w:pos="7654"/>
          <w:tab w:val="right" w:pos="8929"/>
          <w:tab w:val="right" w:pos="9638"/>
        </w:tabs>
        <w:spacing w:after="120"/>
        <w:ind w:left="1134" w:hanging="1134"/>
      </w:pPr>
      <w:r>
        <w:rPr>
          <w:lang w:val="fr-FR"/>
        </w:rPr>
        <w:tab/>
      </w:r>
      <w:r>
        <w:t>VII.</w:t>
      </w:r>
      <w:r>
        <w:tab/>
      </w:r>
      <w:r w:rsidRPr="005B2C1D">
        <w:t>Travaux de la Réunion commune RID/A</w:t>
      </w:r>
      <w:r>
        <w:t>DR/</w:t>
      </w:r>
      <w:proofErr w:type="gramStart"/>
      <w:r>
        <w:t>ADN</w:t>
      </w:r>
      <w:proofErr w:type="gramEnd"/>
      <w:r>
        <w:br/>
      </w:r>
      <w:r w:rsidRPr="005B2C1D">
        <w:t>(point 5 de l</w:t>
      </w:r>
      <w:r>
        <w:t>’</w:t>
      </w:r>
      <w:r w:rsidRPr="005B2C1D">
        <w:t>ordre du jour)</w:t>
      </w:r>
      <w:r>
        <w:tab/>
      </w:r>
      <w:r>
        <w:tab/>
        <w:t>16-18</w:t>
      </w:r>
      <w:r>
        <w:tab/>
      </w:r>
      <w:r w:rsidR="00A3503B">
        <w:t>5</w:t>
      </w:r>
    </w:p>
    <w:p w:rsidR="00445F6D" w:rsidRDefault="00445F6D" w:rsidP="002701A6">
      <w:pPr>
        <w:tabs>
          <w:tab w:val="left" w:leader="dot" w:pos="7654"/>
          <w:tab w:val="right" w:pos="8929"/>
          <w:tab w:val="right" w:pos="9638"/>
        </w:tabs>
        <w:spacing w:after="120"/>
        <w:ind w:left="1134" w:hanging="1134"/>
        <w:rPr>
          <w:lang w:val="fr-FR"/>
        </w:rPr>
      </w:pPr>
      <w:r w:rsidRPr="00AF7A57">
        <w:rPr>
          <w:lang w:val="fr-FR"/>
        </w:rPr>
        <w:tab/>
      </w:r>
      <w:r w:rsidR="002701A6" w:rsidRPr="003659AC">
        <w:t>Amendements proposés par l</w:t>
      </w:r>
      <w:r w:rsidR="002701A6">
        <w:t>a Réunion commune à sa session</w:t>
      </w:r>
      <w:r w:rsidR="002701A6">
        <w:br/>
      </w:r>
      <w:r w:rsidR="002701A6" w:rsidRPr="003659AC">
        <w:t xml:space="preserve">de printemps </w:t>
      </w:r>
      <w:r w:rsidR="002701A6">
        <w:t>2016</w:t>
      </w:r>
      <w:r w:rsidRPr="00AF7A57">
        <w:rPr>
          <w:lang w:val="fr-FR"/>
        </w:rPr>
        <w:tab/>
      </w:r>
      <w:r w:rsidRPr="00AF7A57">
        <w:rPr>
          <w:lang w:val="fr-FR"/>
        </w:rPr>
        <w:tab/>
      </w:r>
      <w:r>
        <w:rPr>
          <w:lang w:val="fr-FR"/>
        </w:rPr>
        <w:t>16-18</w:t>
      </w:r>
      <w:r w:rsidRPr="001B507C">
        <w:rPr>
          <w:lang w:val="fr-FR"/>
        </w:rPr>
        <w:tab/>
      </w:r>
      <w:r w:rsidR="002701A6">
        <w:rPr>
          <w:lang w:val="fr-FR"/>
        </w:rPr>
        <w:t>5</w:t>
      </w:r>
    </w:p>
    <w:p w:rsidR="00445F6D" w:rsidRDefault="00445F6D" w:rsidP="002146A9">
      <w:pPr>
        <w:tabs>
          <w:tab w:val="right" w:pos="850"/>
          <w:tab w:val="left" w:pos="1134"/>
          <w:tab w:val="left" w:pos="1984"/>
          <w:tab w:val="left" w:leader="dot" w:pos="7654"/>
          <w:tab w:val="right" w:pos="8929"/>
          <w:tab w:val="right" w:pos="9638"/>
        </w:tabs>
        <w:spacing w:after="120"/>
        <w:ind w:left="1134" w:hanging="1134"/>
        <w:rPr>
          <w:lang w:val="fr-FR"/>
        </w:rPr>
      </w:pPr>
      <w:r>
        <w:rPr>
          <w:lang w:val="fr-FR"/>
        </w:rPr>
        <w:tab/>
      </w:r>
      <w:r w:rsidRPr="008E380C">
        <w:t>VII</w:t>
      </w:r>
      <w:r>
        <w:t>I</w:t>
      </w:r>
      <w:r w:rsidRPr="008E380C">
        <w:t>.</w:t>
      </w:r>
      <w:r w:rsidRPr="008E380C">
        <w:tab/>
      </w:r>
      <w:r w:rsidRPr="006615B4">
        <w:rPr>
          <w:lang w:val="fr-FR"/>
        </w:rPr>
        <w:t>Propositions d'amendement aux annexes A et B de l'ADR</w:t>
      </w:r>
      <w:r>
        <w:rPr>
          <w:lang w:val="fr-FR"/>
        </w:rPr>
        <w:t xml:space="preserve"> </w:t>
      </w:r>
      <w:r>
        <w:rPr>
          <w:lang w:val="fr-FR"/>
        </w:rPr>
        <w:br/>
        <w:t>(point 6 de l’ordre du jour)</w:t>
      </w:r>
      <w:r>
        <w:rPr>
          <w:lang w:val="fr-FR"/>
        </w:rPr>
        <w:tab/>
      </w:r>
      <w:r>
        <w:rPr>
          <w:lang w:val="fr-FR"/>
        </w:rPr>
        <w:tab/>
      </w:r>
      <w:r w:rsidR="002146A9">
        <w:rPr>
          <w:lang w:val="fr-FR"/>
        </w:rPr>
        <w:t>19-46</w:t>
      </w:r>
      <w:r w:rsidR="002146A9">
        <w:rPr>
          <w:lang w:val="fr-FR"/>
        </w:rPr>
        <w:tab/>
      </w:r>
      <w:r w:rsidR="002701A6">
        <w:rPr>
          <w:lang w:val="fr-FR"/>
        </w:rPr>
        <w:t>5</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sidRPr="004B4555">
        <w:rPr>
          <w:lang w:val="fr-FR"/>
        </w:rPr>
        <w:tab/>
      </w:r>
      <w:r>
        <w:rPr>
          <w:lang w:val="fr-FR"/>
        </w:rPr>
        <w:t>A</w:t>
      </w:r>
      <w:r w:rsidRPr="004B4555">
        <w:rPr>
          <w:lang w:val="fr-FR"/>
        </w:rPr>
        <w:t>.</w:t>
      </w:r>
      <w:r w:rsidRPr="004B4555">
        <w:rPr>
          <w:lang w:val="fr-FR"/>
        </w:rPr>
        <w:tab/>
      </w:r>
      <w:r w:rsidRPr="006615B4">
        <w:rPr>
          <w:lang w:val="fr-FR"/>
        </w:rPr>
        <w:t>Construction et agrément des véhicules</w:t>
      </w:r>
      <w:r>
        <w:rPr>
          <w:lang w:val="fr-FR"/>
        </w:rPr>
        <w:tab/>
      </w:r>
      <w:r>
        <w:rPr>
          <w:lang w:val="fr-FR"/>
        </w:rPr>
        <w:tab/>
        <w:t>19-21</w:t>
      </w:r>
      <w:r>
        <w:rPr>
          <w:lang w:val="fr-FR"/>
        </w:rPr>
        <w:tab/>
      </w:r>
      <w:r w:rsidR="002701A6">
        <w:rPr>
          <w:lang w:val="fr-FR"/>
        </w:rPr>
        <w:t>5</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r>
      <w:r w:rsidRPr="002146A9">
        <w:rPr>
          <w:lang w:val="fr-FR"/>
        </w:rPr>
        <w:t>1.</w:t>
      </w:r>
      <w:r w:rsidRPr="002146A9">
        <w:rPr>
          <w:lang w:val="fr-FR"/>
        </w:rPr>
        <w:tab/>
        <w:t>Mesure transitoire pour la conformité au Règlement ECE No 34</w:t>
      </w:r>
      <w:r>
        <w:rPr>
          <w:lang w:val="fr-FR"/>
        </w:rPr>
        <w:tab/>
      </w:r>
      <w:r>
        <w:rPr>
          <w:lang w:val="fr-FR"/>
        </w:rPr>
        <w:tab/>
        <w:t>19</w:t>
      </w:r>
      <w:r>
        <w:rPr>
          <w:lang w:val="fr-FR"/>
        </w:rPr>
        <w:tab/>
      </w:r>
      <w:r w:rsidR="002701A6">
        <w:rPr>
          <w:lang w:val="fr-FR"/>
        </w:rPr>
        <w:t>5</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t>2</w:t>
      </w:r>
      <w:r w:rsidRPr="004B4555">
        <w:rPr>
          <w:lang w:val="fr-FR"/>
        </w:rPr>
        <w:t>.</w:t>
      </w:r>
      <w:r w:rsidRPr="004B4555">
        <w:rPr>
          <w:lang w:val="fr-FR"/>
        </w:rPr>
        <w:tab/>
      </w:r>
      <w:r>
        <w:rPr>
          <w:lang w:val="fr-FR"/>
        </w:rPr>
        <w:t>Proposition d’amendement au 9.7.3</w:t>
      </w:r>
      <w:r>
        <w:rPr>
          <w:lang w:val="fr-FR"/>
        </w:rPr>
        <w:tab/>
      </w:r>
      <w:r>
        <w:rPr>
          <w:lang w:val="fr-FR"/>
        </w:rPr>
        <w:tab/>
        <w:t>20-21</w:t>
      </w:r>
      <w:r>
        <w:rPr>
          <w:lang w:val="fr-FR"/>
        </w:rPr>
        <w:tab/>
      </w:r>
      <w:r w:rsidR="002701A6">
        <w:rPr>
          <w:lang w:val="fr-FR"/>
        </w:rPr>
        <w:t>5</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t>B</w:t>
      </w:r>
      <w:r w:rsidRPr="004B4555">
        <w:rPr>
          <w:lang w:val="fr-FR"/>
        </w:rPr>
        <w:t>.</w:t>
      </w:r>
      <w:r w:rsidRPr="004B4555">
        <w:rPr>
          <w:lang w:val="fr-FR"/>
        </w:rPr>
        <w:tab/>
      </w:r>
      <w:r w:rsidRPr="006615B4">
        <w:rPr>
          <w:lang w:val="fr-FR"/>
        </w:rPr>
        <w:t>Propositions diverses</w:t>
      </w:r>
      <w:r>
        <w:rPr>
          <w:lang w:val="fr-FR"/>
        </w:rPr>
        <w:tab/>
      </w:r>
      <w:r>
        <w:rPr>
          <w:lang w:val="fr-FR"/>
        </w:rPr>
        <w:tab/>
        <w:t>22-46</w:t>
      </w:r>
      <w:r>
        <w:rPr>
          <w:lang w:val="fr-FR"/>
        </w:rPr>
        <w:tab/>
        <w:t>5</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lastRenderedPageBreak/>
        <w:tab/>
      </w:r>
      <w:r>
        <w:rPr>
          <w:lang w:val="fr-FR"/>
        </w:rPr>
        <w:tab/>
      </w:r>
      <w:r>
        <w:rPr>
          <w:lang w:val="fr-FR"/>
        </w:rPr>
        <w:tab/>
        <w:t>1</w:t>
      </w:r>
      <w:r w:rsidRPr="004B4555">
        <w:rPr>
          <w:lang w:val="fr-FR"/>
        </w:rPr>
        <w:t>.</w:t>
      </w:r>
      <w:r>
        <w:rPr>
          <w:lang w:val="fr-FR"/>
        </w:rPr>
        <w:tab/>
        <w:t>Amendements à la sous-section 1.4.2.2</w:t>
      </w:r>
      <w:r>
        <w:rPr>
          <w:lang w:val="fr-FR"/>
        </w:rPr>
        <w:tab/>
      </w:r>
      <w:r>
        <w:rPr>
          <w:lang w:val="fr-FR"/>
        </w:rPr>
        <w:tab/>
        <w:t>22</w:t>
      </w:r>
      <w:r>
        <w:rPr>
          <w:lang w:val="fr-FR"/>
        </w:rPr>
        <w:tab/>
      </w:r>
      <w:r w:rsidR="002701A6">
        <w:rPr>
          <w:lang w:val="fr-FR"/>
        </w:rPr>
        <w:t>6</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t>2</w:t>
      </w:r>
      <w:r w:rsidRPr="004B4555">
        <w:rPr>
          <w:lang w:val="fr-FR"/>
        </w:rPr>
        <w:t>.</w:t>
      </w:r>
      <w:r w:rsidRPr="004B4555">
        <w:rPr>
          <w:lang w:val="fr-FR"/>
        </w:rPr>
        <w:tab/>
      </w:r>
      <w:r>
        <w:rPr>
          <w:lang w:val="fr-FR"/>
        </w:rPr>
        <w:t>Disposition spéciale 664</w:t>
      </w:r>
      <w:r>
        <w:rPr>
          <w:lang w:val="fr-FR"/>
        </w:rPr>
        <w:tab/>
      </w:r>
      <w:r>
        <w:rPr>
          <w:lang w:val="fr-FR"/>
        </w:rPr>
        <w:tab/>
        <w:t>23-24</w:t>
      </w:r>
      <w:r>
        <w:rPr>
          <w:lang w:val="fr-FR"/>
        </w:rPr>
        <w:tab/>
      </w:r>
      <w:r w:rsidR="002701A6">
        <w:rPr>
          <w:lang w:val="fr-FR"/>
        </w:rPr>
        <w:t>6</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t>3</w:t>
      </w:r>
      <w:r w:rsidRPr="004B4555">
        <w:rPr>
          <w:lang w:val="fr-FR"/>
        </w:rPr>
        <w:t>.</w:t>
      </w:r>
      <w:r w:rsidRPr="004B4555">
        <w:rPr>
          <w:lang w:val="fr-FR"/>
        </w:rPr>
        <w:tab/>
      </w:r>
      <w:r>
        <w:rPr>
          <w:lang w:val="fr-FR"/>
        </w:rPr>
        <w:t>Proposition de modification des 1.1.3.6.4 et 5.4.1.1.1 f)</w:t>
      </w:r>
      <w:r>
        <w:rPr>
          <w:lang w:val="fr-FR"/>
        </w:rPr>
        <w:tab/>
      </w:r>
      <w:r>
        <w:rPr>
          <w:lang w:val="fr-FR"/>
        </w:rPr>
        <w:tab/>
        <w:t>25</w:t>
      </w:r>
      <w:r>
        <w:rPr>
          <w:lang w:val="fr-FR"/>
        </w:rPr>
        <w:tab/>
      </w:r>
      <w:r w:rsidR="002701A6">
        <w:rPr>
          <w:lang w:val="fr-FR"/>
        </w:rPr>
        <w:t>6</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r>
      <w:r w:rsidRPr="002146A9">
        <w:rPr>
          <w:lang w:val="fr-FR"/>
        </w:rPr>
        <w:t>4.</w:t>
      </w:r>
      <w:r w:rsidRPr="002146A9">
        <w:rPr>
          <w:lang w:val="fr-FR"/>
        </w:rPr>
        <w:tab/>
        <w:t xml:space="preserve">Codes de restriction en tunnel pour les rubriques des véhicules, </w:t>
      </w:r>
      <w:r>
        <w:rPr>
          <w:lang w:val="fr-FR"/>
        </w:rPr>
        <w:br/>
      </w:r>
      <w:r>
        <w:rPr>
          <w:lang w:val="fr-FR"/>
        </w:rPr>
        <w:tab/>
      </w:r>
      <w:r w:rsidRPr="002146A9">
        <w:rPr>
          <w:lang w:val="fr-FR"/>
        </w:rPr>
        <w:t>moteurs et machines, Nos ONU 3166, 3171, 3528, 3529 et 3530,</w:t>
      </w:r>
      <w:r>
        <w:rPr>
          <w:lang w:val="fr-FR"/>
        </w:rPr>
        <w:br/>
      </w:r>
      <w:r>
        <w:rPr>
          <w:lang w:val="fr-FR"/>
        </w:rPr>
        <w:tab/>
      </w:r>
      <w:r w:rsidRPr="002146A9">
        <w:rPr>
          <w:lang w:val="fr-FR"/>
        </w:rPr>
        <w:t xml:space="preserve"> qui ne sont pas exemptés</w:t>
      </w:r>
      <w:r>
        <w:rPr>
          <w:lang w:val="fr-FR"/>
        </w:rPr>
        <w:tab/>
      </w:r>
      <w:r>
        <w:rPr>
          <w:lang w:val="fr-FR"/>
        </w:rPr>
        <w:tab/>
        <w:t>26-27</w:t>
      </w:r>
      <w:r>
        <w:rPr>
          <w:lang w:val="fr-FR"/>
        </w:rPr>
        <w:tab/>
      </w:r>
      <w:r w:rsidR="002701A6">
        <w:rPr>
          <w:lang w:val="fr-FR"/>
        </w:rPr>
        <w:t>6</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r>
      <w:r w:rsidRPr="002146A9">
        <w:rPr>
          <w:lang w:val="fr-FR"/>
        </w:rPr>
        <w:t>5.</w:t>
      </w:r>
      <w:r w:rsidRPr="002146A9">
        <w:rPr>
          <w:lang w:val="fr-FR"/>
        </w:rPr>
        <w:tab/>
        <w:t xml:space="preserve">Possibilité d’utilisation de procédures électroniques pour l’examen </w:t>
      </w:r>
      <w:r>
        <w:rPr>
          <w:lang w:val="fr-FR"/>
        </w:rPr>
        <w:br/>
      </w:r>
      <w:r>
        <w:rPr>
          <w:lang w:val="fr-FR"/>
        </w:rPr>
        <w:tab/>
      </w:r>
      <w:r w:rsidRPr="002146A9">
        <w:rPr>
          <w:lang w:val="fr-FR"/>
        </w:rPr>
        <w:t>des conducteurs de véhicules ADR</w:t>
      </w:r>
      <w:r>
        <w:rPr>
          <w:lang w:val="fr-FR"/>
        </w:rPr>
        <w:tab/>
      </w:r>
      <w:r>
        <w:rPr>
          <w:lang w:val="fr-FR"/>
        </w:rPr>
        <w:tab/>
        <w:t>28</w:t>
      </w:r>
      <w:r>
        <w:rPr>
          <w:lang w:val="fr-FR"/>
        </w:rPr>
        <w:tab/>
      </w:r>
      <w:r w:rsidR="002701A6">
        <w:rPr>
          <w:lang w:val="fr-FR"/>
        </w:rPr>
        <w:t>7</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r>
      <w:r w:rsidRPr="002146A9">
        <w:rPr>
          <w:lang w:val="fr-FR"/>
        </w:rPr>
        <w:t>6.</w:t>
      </w:r>
      <w:r w:rsidRPr="002146A9">
        <w:rPr>
          <w:lang w:val="fr-FR"/>
        </w:rPr>
        <w:tab/>
        <w:t>Versions nationales des consignes écrites</w:t>
      </w:r>
      <w:r>
        <w:rPr>
          <w:lang w:val="fr-FR"/>
        </w:rPr>
        <w:tab/>
      </w:r>
      <w:r>
        <w:rPr>
          <w:lang w:val="fr-FR"/>
        </w:rPr>
        <w:tab/>
        <w:t>29-31</w:t>
      </w:r>
      <w:r>
        <w:rPr>
          <w:lang w:val="fr-FR"/>
        </w:rPr>
        <w:tab/>
      </w:r>
      <w:r w:rsidR="002701A6">
        <w:rPr>
          <w:lang w:val="fr-FR"/>
        </w:rPr>
        <w:t>7</w:t>
      </w:r>
    </w:p>
    <w:p w:rsidR="002146A9" w:rsidRDefault="002146A9"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2146A9">
        <w:rPr>
          <w:lang w:val="fr-FR"/>
        </w:rPr>
        <w:tab/>
      </w:r>
      <w:r w:rsidRPr="002146A9">
        <w:rPr>
          <w:lang w:val="fr-FR"/>
        </w:rPr>
        <w:tab/>
      </w:r>
      <w:r w:rsidRPr="002146A9">
        <w:rPr>
          <w:lang w:val="fr-FR"/>
        </w:rPr>
        <w:tab/>
        <w:t>7.</w:t>
      </w:r>
      <w:r w:rsidRPr="002146A9">
        <w:rPr>
          <w:lang w:val="fr-FR"/>
        </w:rPr>
        <w:tab/>
        <w:t>Amendements à la section 5.4.3, consignes écrites</w:t>
      </w:r>
      <w:r>
        <w:rPr>
          <w:lang w:val="fr-FR"/>
        </w:rPr>
        <w:tab/>
      </w:r>
      <w:r>
        <w:rPr>
          <w:lang w:val="fr-FR"/>
        </w:rPr>
        <w:tab/>
      </w:r>
      <w:r w:rsidR="00113838">
        <w:rPr>
          <w:lang w:val="fr-FR"/>
        </w:rPr>
        <w:t>32</w:t>
      </w:r>
      <w:r w:rsidR="00113838">
        <w:rPr>
          <w:lang w:val="fr-FR"/>
        </w:rPr>
        <w:tab/>
      </w:r>
      <w:r w:rsidR="002701A6">
        <w:rPr>
          <w:lang w:val="fr-FR"/>
        </w:rPr>
        <w:t>7</w:t>
      </w:r>
    </w:p>
    <w:p w:rsidR="00113838" w:rsidRDefault="00113838" w:rsidP="002146A9">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113838">
        <w:rPr>
          <w:lang w:val="fr-FR"/>
        </w:rPr>
        <w:tab/>
      </w:r>
      <w:r w:rsidRPr="00113838">
        <w:rPr>
          <w:lang w:val="fr-FR"/>
        </w:rPr>
        <w:tab/>
      </w:r>
      <w:r w:rsidRPr="00113838">
        <w:rPr>
          <w:lang w:val="fr-FR"/>
        </w:rPr>
        <w:tab/>
        <w:t>8.</w:t>
      </w:r>
      <w:r w:rsidRPr="00113838">
        <w:rPr>
          <w:lang w:val="fr-FR"/>
        </w:rPr>
        <w:tab/>
        <w:t>Modifications concernant la version française de l’ADR</w:t>
      </w:r>
      <w:r>
        <w:rPr>
          <w:lang w:val="fr-FR"/>
        </w:rPr>
        <w:tab/>
      </w:r>
      <w:r>
        <w:rPr>
          <w:lang w:val="fr-FR"/>
        </w:rPr>
        <w:tab/>
        <w:t>33</w:t>
      </w:r>
      <w:r>
        <w:rPr>
          <w:lang w:val="fr-FR"/>
        </w:rPr>
        <w:tab/>
      </w:r>
      <w:r w:rsidR="002701A6">
        <w:rPr>
          <w:lang w:val="fr-FR"/>
        </w:rPr>
        <w:t>7</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r>
      <w:r w:rsidRPr="00113838">
        <w:rPr>
          <w:lang w:val="fr-FR"/>
        </w:rPr>
        <w:t>9.</w:t>
      </w:r>
      <w:r w:rsidRPr="00113838">
        <w:rPr>
          <w:lang w:val="fr-FR"/>
        </w:rPr>
        <w:tab/>
        <w:t>Modifications concernant les matières radioactives</w:t>
      </w:r>
      <w:r>
        <w:rPr>
          <w:lang w:val="fr-FR"/>
        </w:rPr>
        <w:tab/>
      </w:r>
      <w:r>
        <w:rPr>
          <w:lang w:val="fr-FR"/>
        </w:rPr>
        <w:tab/>
        <w:t>34-36</w:t>
      </w:r>
      <w:r>
        <w:rPr>
          <w:lang w:val="fr-FR"/>
        </w:rPr>
        <w:tab/>
      </w:r>
      <w:r w:rsidR="002701A6">
        <w:rPr>
          <w:lang w:val="fr-FR"/>
        </w:rPr>
        <w:t>7</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r>
      <w:r w:rsidRPr="00113838">
        <w:rPr>
          <w:lang w:val="fr-FR"/>
        </w:rPr>
        <w:t>10.</w:t>
      </w:r>
      <w:r w:rsidRPr="00113838">
        <w:rPr>
          <w:lang w:val="fr-FR"/>
        </w:rPr>
        <w:tab/>
        <w:t>Correction au tableau 3 de l’instruction d’emballage P200</w:t>
      </w:r>
      <w:r>
        <w:rPr>
          <w:lang w:val="fr-FR"/>
        </w:rPr>
        <w:tab/>
      </w:r>
      <w:r>
        <w:rPr>
          <w:lang w:val="fr-FR"/>
        </w:rPr>
        <w:tab/>
        <w:t>37</w:t>
      </w:r>
      <w:r>
        <w:rPr>
          <w:lang w:val="fr-FR"/>
        </w:rPr>
        <w:tab/>
      </w:r>
      <w:r w:rsidR="002701A6">
        <w:rPr>
          <w:lang w:val="fr-FR"/>
        </w:rPr>
        <w:t>8</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113838">
        <w:rPr>
          <w:lang w:val="fr-FR"/>
        </w:rPr>
        <w:tab/>
      </w:r>
      <w:r w:rsidRPr="00113838">
        <w:rPr>
          <w:lang w:val="fr-FR"/>
        </w:rPr>
        <w:tab/>
      </w:r>
      <w:r>
        <w:rPr>
          <w:lang w:val="fr-FR"/>
        </w:rPr>
        <w:tab/>
      </w:r>
      <w:r w:rsidRPr="00113838">
        <w:rPr>
          <w:lang w:val="fr-FR"/>
        </w:rPr>
        <w:t>11.</w:t>
      </w:r>
      <w:r w:rsidRPr="00113838">
        <w:rPr>
          <w:lang w:val="fr-FR"/>
        </w:rPr>
        <w:tab/>
        <w:t>Référence aux normes EN ISO 10297:2014 et EN ISO 14246 :2014</w:t>
      </w:r>
      <w:r>
        <w:rPr>
          <w:lang w:val="fr-FR"/>
        </w:rPr>
        <w:tab/>
      </w:r>
      <w:r>
        <w:rPr>
          <w:lang w:val="fr-FR"/>
        </w:rPr>
        <w:tab/>
        <w:t>38</w:t>
      </w:r>
      <w:r>
        <w:rPr>
          <w:lang w:val="fr-FR"/>
        </w:rPr>
        <w:tab/>
      </w:r>
      <w:r w:rsidR="002701A6">
        <w:rPr>
          <w:lang w:val="fr-FR"/>
        </w:rPr>
        <w:t>8</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r>
      <w:r w:rsidRPr="00113838">
        <w:rPr>
          <w:lang w:val="fr-FR"/>
        </w:rPr>
        <w:t>12.</w:t>
      </w:r>
      <w:r w:rsidRPr="00113838">
        <w:rPr>
          <w:lang w:val="fr-FR"/>
        </w:rPr>
        <w:tab/>
        <w:t>Limites de quantités pour l’application de l’exemption du 1.1.3.2 a)</w:t>
      </w:r>
      <w:r>
        <w:rPr>
          <w:lang w:val="fr-FR"/>
        </w:rPr>
        <w:tab/>
      </w:r>
      <w:r>
        <w:rPr>
          <w:lang w:val="fr-FR"/>
        </w:rPr>
        <w:tab/>
        <w:t>39-41</w:t>
      </w:r>
      <w:r>
        <w:rPr>
          <w:lang w:val="fr-FR"/>
        </w:rPr>
        <w:tab/>
      </w:r>
      <w:r w:rsidR="002701A6">
        <w:rPr>
          <w:lang w:val="fr-FR"/>
        </w:rPr>
        <w:t>8</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t>13</w:t>
      </w:r>
      <w:r w:rsidRPr="00B3449E">
        <w:rPr>
          <w:lang w:val="fr-FR"/>
        </w:rPr>
        <w:t>.</w:t>
      </w:r>
      <w:r w:rsidRPr="00B3449E">
        <w:rPr>
          <w:lang w:val="fr-FR"/>
        </w:rPr>
        <w:tab/>
      </w:r>
      <w:r>
        <w:rPr>
          <w:lang w:val="fr-FR"/>
        </w:rPr>
        <w:t>Transport du charbon en vrac</w:t>
      </w:r>
      <w:r>
        <w:rPr>
          <w:lang w:val="fr-FR"/>
        </w:rPr>
        <w:tab/>
      </w:r>
      <w:r>
        <w:rPr>
          <w:lang w:val="fr-FR"/>
        </w:rPr>
        <w:tab/>
        <w:t>42-43</w:t>
      </w:r>
      <w:r>
        <w:rPr>
          <w:lang w:val="fr-FR"/>
        </w:rPr>
        <w:tab/>
      </w:r>
      <w:r w:rsidR="002701A6">
        <w:rPr>
          <w:lang w:val="fr-FR"/>
        </w:rPr>
        <w:t>8</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B3449E">
        <w:rPr>
          <w:lang w:val="fr-FR"/>
        </w:rPr>
        <w:tab/>
      </w:r>
      <w:r>
        <w:rPr>
          <w:lang w:val="fr-FR"/>
        </w:rPr>
        <w:tab/>
      </w:r>
      <w:r>
        <w:rPr>
          <w:lang w:val="fr-FR"/>
        </w:rPr>
        <w:tab/>
        <w:t>14</w:t>
      </w:r>
      <w:r w:rsidRPr="00B3449E">
        <w:rPr>
          <w:lang w:val="fr-FR"/>
        </w:rPr>
        <w:t>.</w:t>
      </w:r>
      <w:r w:rsidRPr="00B3449E">
        <w:rPr>
          <w:lang w:val="fr-FR"/>
        </w:rPr>
        <w:tab/>
      </w:r>
      <w:r>
        <w:rPr>
          <w:lang w:val="fr-FR"/>
        </w:rPr>
        <w:t xml:space="preserve">Mesure transitoire pour le transport de véhicules contenant des batteries </w:t>
      </w:r>
      <w:r>
        <w:rPr>
          <w:lang w:val="fr-FR"/>
        </w:rPr>
        <w:br/>
      </w:r>
      <w:r w:rsidR="007B0520">
        <w:rPr>
          <w:lang w:val="fr-FR"/>
        </w:rPr>
        <w:tab/>
      </w:r>
      <w:r>
        <w:rPr>
          <w:lang w:val="fr-FR"/>
        </w:rPr>
        <w:t>au lithium non conformes au 2.2.9.1.7</w:t>
      </w:r>
      <w:r>
        <w:rPr>
          <w:lang w:val="fr-FR"/>
        </w:rPr>
        <w:tab/>
      </w:r>
      <w:r>
        <w:rPr>
          <w:lang w:val="fr-FR"/>
        </w:rPr>
        <w:tab/>
        <w:t>44</w:t>
      </w:r>
      <w:r>
        <w:rPr>
          <w:lang w:val="fr-FR"/>
        </w:rPr>
        <w:tab/>
      </w:r>
      <w:r w:rsidR="002701A6">
        <w:rPr>
          <w:lang w:val="fr-FR"/>
        </w:rPr>
        <w:t>9</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Pr>
          <w:lang w:val="fr-FR"/>
        </w:rPr>
        <w:tab/>
        <w:t>15</w:t>
      </w:r>
      <w:r w:rsidRPr="00B3449E">
        <w:rPr>
          <w:lang w:val="fr-FR"/>
        </w:rPr>
        <w:t>.</w:t>
      </w:r>
      <w:r w:rsidRPr="00B3449E">
        <w:rPr>
          <w:lang w:val="fr-FR"/>
        </w:rPr>
        <w:tab/>
      </w:r>
      <w:r>
        <w:rPr>
          <w:lang w:val="fr-FR"/>
        </w:rPr>
        <w:t>Disposition spéciale 376</w:t>
      </w:r>
      <w:r>
        <w:rPr>
          <w:lang w:val="fr-FR"/>
        </w:rPr>
        <w:tab/>
      </w:r>
      <w:r>
        <w:rPr>
          <w:lang w:val="fr-FR"/>
        </w:rPr>
        <w:tab/>
        <w:t>45-46</w:t>
      </w:r>
      <w:r>
        <w:rPr>
          <w:lang w:val="fr-FR"/>
        </w:rPr>
        <w:tab/>
      </w:r>
      <w:r w:rsidR="002701A6">
        <w:rPr>
          <w:lang w:val="fr-FR"/>
        </w:rPr>
        <w:t>9</w:t>
      </w:r>
    </w:p>
    <w:p w:rsidR="00113838" w:rsidRDefault="00113838" w:rsidP="00113838">
      <w:pPr>
        <w:tabs>
          <w:tab w:val="right" w:pos="850"/>
          <w:tab w:val="left" w:pos="1134"/>
          <w:tab w:val="left" w:pos="1984"/>
          <w:tab w:val="left" w:leader="dot" w:pos="7654"/>
          <w:tab w:val="right" w:pos="8929"/>
          <w:tab w:val="right" w:pos="9638"/>
        </w:tabs>
        <w:spacing w:after="120"/>
        <w:ind w:left="1134" w:hanging="1134"/>
      </w:pPr>
      <w:r w:rsidRPr="00DF4D2A">
        <w:rPr>
          <w:b/>
          <w:sz w:val="28"/>
        </w:rPr>
        <w:tab/>
      </w:r>
      <w:r w:rsidRPr="00113838">
        <w:t>IX.</w:t>
      </w:r>
      <w:r w:rsidRPr="00113838">
        <w:tab/>
        <w:t xml:space="preserve">Programme de travail (point 7 de l’ordre du jour) </w:t>
      </w:r>
      <w:r>
        <w:tab/>
      </w:r>
      <w:r>
        <w:tab/>
        <w:t>47</w:t>
      </w:r>
      <w:r>
        <w:tab/>
      </w:r>
      <w:r w:rsidR="002701A6">
        <w:t>9</w:t>
      </w:r>
    </w:p>
    <w:p w:rsidR="00113838" w:rsidRDefault="00113838" w:rsidP="00113838">
      <w:pPr>
        <w:tabs>
          <w:tab w:val="right" w:pos="850"/>
          <w:tab w:val="left" w:pos="1134"/>
          <w:tab w:val="left" w:pos="1984"/>
          <w:tab w:val="left" w:leader="dot" w:pos="7654"/>
          <w:tab w:val="right" w:pos="8929"/>
          <w:tab w:val="right" w:pos="9638"/>
        </w:tabs>
        <w:spacing w:after="120"/>
        <w:ind w:left="1134" w:hanging="1134"/>
      </w:pPr>
      <w:r>
        <w:tab/>
      </w:r>
      <w:r w:rsidRPr="00113838">
        <w:t>X.</w:t>
      </w:r>
      <w:r w:rsidRPr="00113838">
        <w:tab/>
        <w:t xml:space="preserve">Questions diverses (point 8 de l’ordre du jour) </w:t>
      </w:r>
      <w:r>
        <w:tab/>
      </w:r>
      <w:r>
        <w:tab/>
        <w:t>48-59</w:t>
      </w:r>
      <w:r>
        <w:tab/>
      </w:r>
      <w:r w:rsidR="002701A6">
        <w:t>9</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r>
      <w:r w:rsidRPr="00113838">
        <w:rPr>
          <w:lang w:val="fr-FR"/>
        </w:rPr>
        <w:t>A.</w:t>
      </w:r>
      <w:r w:rsidRPr="00113838">
        <w:rPr>
          <w:lang w:val="fr-FR"/>
        </w:rPr>
        <w:tab/>
        <w:t xml:space="preserve">Allumage </w:t>
      </w:r>
      <w:r>
        <w:rPr>
          <w:lang w:val="fr-FR"/>
        </w:rPr>
        <w:t>automatique des feux de croisement</w:t>
      </w:r>
      <w:r>
        <w:rPr>
          <w:lang w:val="fr-FR"/>
        </w:rPr>
        <w:tab/>
      </w:r>
      <w:r>
        <w:rPr>
          <w:lang w:val="fr-FR"/>
        </w:rPr>
        <w:tab/>
        <w:t>48</w:t>
      </w:r>
      <w:r>
        <w:rPr>
          <w:lang w:val="fr-FR"/>
        </w:rPr>
        <w:tab/>
      </w:r>
      <w:r w:rsidR="002701A6">
        <w:rPr>
          <w:lang w:val="fr-FR"/>
        </w:rPr>
        <w:t>9</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r>
      <w:r>
        <w:t>B.</w:t>
      </w:r>
      <w:r>
        <w:tab/>
        <w:t>Amendements pour l’édition 2017 de l’ADR</w:t>
      </w:r>
      <w:r>
        <w:tab/>
      </w:r>
      <w:r>
        <w:tab/>
        <w:t>49-50</w:t>
      </w:r>
      <w:r>
        <w:tab/>
      </w:r>
      <w:r w:rsidR="002701A6">
        <w:t>9</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r>
      <w:r>
        <w:t>C.</w:t>
      </w:r>
      <w:r>
        <w:tab/>
        <w:t>Questionnaire sur les coordonnées des autorités compétentes</w:t>
      </w:r>
      <w:r>
        <w:tab/>
      </w:r>
      <w:r>
        <w:tab/>
        <w:t>51</w:t>
      </w:r>
      <w:r>
        <w:tab/>
      </w:r>
      <w:r w:rsidR="002701A6">
        <w:t>10</w:t>
      </w:r>
    </w:p>
    <w:p w:rsidR="00113838" w:rsidRDefault="00113838" w:rsidP="00113838">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r>
      <w:r w:rsidRPr="00113838">
        <w:t xml:space="preserve">Véhicules équipés de systèmes d’échappement EURO 6 opérant </w:t>
      </w:r>
      <w:r>
        <w:br/>
      </w:r>
      <w:r w:rsidRPr="00113838">
        <w:t>dans les zones où peuvent se former des atmosphères explosives</w:t>
      </w:r>
      <w:r>
        <w:tab/>
      </w:r>
      <w:r>
        <w:tab/>
        <w:t>52-53</w:t>
      </w:r>
      <w:r>
        <w:tab/>
      </w:r>
      <w:r w:rsidR="002701A6">
        <w:t>10</w:t>
      </w:r>
    </w:p>
    <w:p w:rsidR="00027862" w:rsidRDefault="00027862" w:rsidP="00027862">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t>E.</w:t>
      </w:r>
      <w:r>
        <w:tab/>
      </w:r>
      <w:r>
        <w:rPr>
          <w:lang w:val="fr-FR"/>
        </w:rPr>
        <w:t>Groupe de travail informel sur les questions éditoriales</w:t>
      </w:r>
      <w:r>
        <w:rPr>
          <w:lang w:val="fr-FR"/>
        </w:rPr>
        <w:tab/>
      </w:r>
      <w:r>
        <w:rPr>
          <w:lang w:val="fr-FR"/>
        </w:rPr>
        <w:tab/>
        <w:t>54-55</w:t>
      </w:r>
      <w:r>
        <w:rPr>
          <w:lang w:val="fr-FR"/>
        </w:rPr>
        <w:tab/>
      </w:r>
      <w:r w:rsidR="002701A6">
        <w:rPr>
          <w:lang w:val="fr-FR"/>
        </w:rPr>
        <w:t>10</w:t>
      </w:r>
    </w:p>
    <w:p w:rsidR="00027862" w:rsidRDefault="00027862" w:rsidP="00027862">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r>
      <w:r w:rsidRPr="00027862">
        <w:t>Accident de transport de marchandises dangereuses</w:t>
      </w:r>
      <w:r>
        <w:tab/>
      </w:r>
      <w:r>
        <w:tab/>
        <w:t>56-57</w:t>
      </w:r>
      <w:r>
        <w:tab/>
        <w:t>1</w:t>
      </w:r>
      <w:r w:rsidR="002701A6">
        <w:t>1</w:t>
      </w:r>
    </w:p>
    <w:p w:rsidR="00027862" w:rsidRDefault="00027862" w:rsidP="00027862">
      <w:pPr>
        <w:tabs>
          <w:tab w:val="right" w:pos="850"/>
          <w:tab w:val="left" w:pos="1134"/>
          <w:tab w:val="left" w:pos="1559"/>
          <w:tab w:val="left" w:pos="1984"/>
          <w:tab w:val="left" w:leader="dot" w:pos="7654"/>
          <w:tab w:val="right" w:pos="8929"/>
          <w:tab w:val="right" w:pos="9638"/>
        </w:tabs>
        <w:spacing w:after="120"/>
        <w:ind w:left="1559" w:hanging="1559"/>
      </w:pPr>
      <w:r>
        <w:tab/>
      </w:r>
      <w:r>
        <w:tab/>
        <w:t>G.</w:t>
      </w:r>
      <w:r>
        <w:tab/>
      </w:r>
      <w:r w:rsidRPr="00027862">
        <w:t xml:space="preserve">Procédure à suivre </w:t>
      </w:r>
      <w:r w:rsidRPr="00B50186">
        <w:t>pour la communication des accords multilatéraux</w:t>
      </w:r>
      <w:r>
        <w:tab/>
      </w:r>
      <w:r>
        <w:tab/>
        <w:t>58-59</w:t>
      </w:r>
      <w:r>
        <w:tab/>
        <w:t>1</w:t>
      </w:r>
      <w:r w:rsidR="002701A6">
        <w:t>1</w:t>
      </w:r>
    </w:p>
    <w:p w:rsidR="00027862" w:rsidRDefault="00027862" w:rsidP="00027862">
      <w:pPr>
        <w:tabs>
          <w:tab w:val="right" w:pos="850"/>
          <w:tab w:val="left" w:pos="1134"/>
          <w:tab w:val="left" w:pos="1984"/>
          <w:tab w:val="left" w:leader="dot" w:pos="7654"/>
          <w:tab w:val="right" w:pos="8929"/>
          <w:tab w:val="right" w:pos="9638"/>
        </w:tabs>
        <w:spacing w:after="120"/>
        <w:ind w:left="1134" w:hanging="1134"/>
      </w:pPr>
      <w:r>
        <w:rPr>
          <w:lang w:val="fr-FR"/>
        </w:rPr>
        <w:tab/>
      </w:r>
      <w:r w:rsidRPr="00027862">
        <w:t>XI.</w:t>
      </w:r>
      <w:r w:rsidRPr="00027862">
        <w:tab/>
        <w:t xml:space="preserve">Adoption du rapport (point </w:t>
      </w:r>
      <w:r w:rsidR="004A4829">
        <w:t>9</w:t>
      </w:r>
      <w:r w:rsidRPr="00027862">
        <w:t xml:space="preserve"> de l’ordre du jour)</w:t>
      </w:r>
      <w:r>
        <w:tab/>
      </w:r>
      <w:r>
        <w:tab/>
        <w:t>60</w:t>
      </w:r>
      <w:r>
        <w:tab/>
        <w:t>1</w:t>
      </w:r>
      <w:r w:rsidR="002701A6">
        <w:t>1</w:t>
      </w:r>
    </w:p>
    <w:p w:rsidR="00027862" w:rsidRDefault="00027862" w:rsidP="00027862">
      <w:pPr>
        <w:pStyle w:val="HChG"/>
      </w:pPr>
      <w:r w:rsidRPr="00A72FF5">
        <w:t>Annexes</w:t>
      </w:r>
    </w:p>
    <w:p w:rsidR="00027862" w:rsidRDefault="00027862" w:rsidP="00027862">
      <w:pPr>
        <w:tabs>
          <w:tab w:val="right" w:pos="850"/>
          <w:tab w:val="left" w:pos="1134"/>
          <w:tab w:val="left" w:pos="1984"/>
          <w:tab w:val="left" w:leader="dot" w:pos="7654"/>
          <w:tab w:val="right" w:pos="8929"/>
          <w:tab w:val="right" w:pos="9638"/>
        </w:tabs>
        <w:spacing w:after="120"/>
        <w:ind w:left="1134" w:hanging="1134"/>
      </w:pPr>
      <w:r>
        <w:tab/>
        <w:t>I.</w:t>
      </w:r>
      <w:r>
        <w:tab/>
        <w:t xml:space="preserve">Projet d’amendements aux annexes A et B de l’ADR adopté par le Groupe de travail </w:t>
      </w:r>
      <w:r>
        <w:br/>
        <w:t>pour entrée en vigueur le 1</w:t>
      </w:r>
      <w:r w:rsidRPr="003760F8">
        <w:rPr>
          <w:vertAlign w:val="superscript"/>
        </w:rPr>
        <w:t>er</w:t>
      </w:r>
      <w:r>
        <w:t xml:space="preserve"> janvier 2017</w:t>
      </w:r>
      <w:r>
        <w:tab/>
      </w:r>
      <w:r>
        <w:tab/>
      </w:r>
      <w:r>
        <w:tab/>
        <w:t>1</w:t>
      </w:r>
      <w:r w:rsidR="002701A6">
        <w:t>2</w:t>
      </w:r>
    </w:p>
    <w:p w:rsidR="00027862" w:rsidRDefault="00027862" w:rsidP="00027862">
      <w:pPr>
        <w:tabs>
          <w:tab w:val="right" w:pos="850"/>
          <w:tab w:val="left" w:pos="1134"/>
          <w:tab w:val="left" w:pos="1984"/>
          <w:tab w:val="left" w:leader="dot" w:pos="7654"/>
          <w:tab w:val="right" w:pos="8929"/>
          <w:tab w:val="right" w:pos="9638"/>
        </w:tabs>
        <w:spacing w:after="120"/>
        <w:ind w:left="1134" w:hanging="1134"/>
      </w:pPr>
      <w:r>
        <w:tab/>
        <w:t>II</w:t>
      </w:r>
      <w:r>
        <w:tab/>
        <w:t xml:space="preserve">Projet d’amendements aux annexes A et B de l’ADR adopté par le Groupe de travail </w:t>
      </w:r>
      <w:r>
        <w:br/>
        <w:t>pour entrée en vigueur le 1</w:t>
      </w:r>
      <w:r w:rsidRPr="003760F8">
        <w:rPr>
          <w:vertAlign w:val="superscript"/>
        </w:rPr>
        <w:t>er</w:t>
      </w:r>
      <w:r>
        <w:t xml:space="preserve"> janvier 2019</w:t>
      </w:r>
      <w:r>
        <w:tab/>
      </w:r>
      <w:r>
        <w:tab/>
      </w:r>
      <w:r>
        <w:tab/>
        <w:t>1</w:t>
      </w:r>
      <w:r w:rsidR="002701A6">
        <w:t>3</w:t>
      </w:r>
    </w:p>
    <w:p w:rsidR="0090466B" w:rsidRDefault="0090466B">
      <w:pPr>
        <w:suppressAutoHyphens w:val="0"/>
        <w:spacing w:line="240" w:lineRule="auto"/>
        <w:rPr>
          <w:i/>
          <w:iCs/>
          <w:u w:val="single"/>
        </w:rPr>
      </w:pPr>
      <w:r>
        <w:rPr>
          <w:i/>
          <w:iCs/>
          <w:u w:val="single"/>
        </w:rPr>
        <w:br w:type="page"/>
      </w:r>
    </w:p>
    <w:p w:rsidR="00F91484" w:rsidRPr="00DD5A00" w:rsidRDefault="00F91484" w:rsidP="00F91484">
      <w:pPr>
        <w:pStyle w:val="HChG"/>
        <w:rPr>
          <w:lang w:val="fr-FR"/>
        </w:rPr>
      </w:pPr>
      <w:r>
        <w:rPr>
          <w:lang w:val="fr-FR"/>
        </w:rPr>
        <w:lastRenderedPageBreak/>
        <w:tab/>
      </w:r>
      <w:r w:rsidRPr="00DD5A00">
        <w:rPr>
          <w:lang w:val="fr-FR"/>
        </w:rPr>
        <w:t>I.</w:t>
      </w:r>
      <w:r w:rsidRPr="00DD5A00">
        <w:rPr>
          <w:lang w:val="fr-FR"/>
        </w:rPr>
        <w:tab/>
        <w:t>Participation</w:t>
      </w:r>
    </w:p>
    <w:p w:rsidR="00F91484" w:rsidRDefault="00F91484" w:rsidP="00F91484">
      <w:pPr>
        <w:pStyle w:val="SingleTxtG"/>
      </w:pPr>
      <w:r w:rsidRPr="005A592F">
        <w:t>1.</w:t>
      </w:r>
      <w:r w:rsidRPr="005A592F">
        <w:tab/>
        <w:t xml:space="preserve">Le Groupe de travail des transports de marchandises dangereuses a tenu sa </w:t>
      </w:r>
      <w:r w:rsidRPr="005A592F">
        <w:rPr>
          <w:lang w:val="fr-FR"/>
        </w:rPr>
        <w:t>100</w:t>
      </w:r>
      <w:r>
        <w:rPr>
          <w:vertAlign w:val="superscript"/>
          <w:lang w:val="fr-FR"/>
        </w:rPr>
        <w:t>e</w:t>
      </w:r>
      <w:r w:rsidRPr="005A592F">
        <w:t xml:space="preserve"> session du 9 au </w:t>
      </w:r>
      <w:r>
        <w:t>12</w:t>
      </w:r>
      <w:r w:rsidRPr="005A592F">
        <w:t> mai 2016 sous la présidence de M. J. A. Franco (Portugal) et la vice-présidence de M</w:t>
      </w:r>
      <w:r w:rsidRPr="005A592F">
        <w:rPr>
          <w:vertAlign w:val="superscript"/>
        </w:rPr>
        <w:t>me</w:t>
      </w:r>
      <w:r w:rsidRPr="005A592F">
        <w:t> A. </w:t>
      </w:r>
      <w:proofErr w:type="spellStart"/>
      <w:r w:rsidRPr="005A592F">
        <w:t>Roumier</w:t>
      </w:r>
      <w:proofErr w:type="spellEnd"/>
      <w:r w:rsidRPr="005A592F">
        <w:t xml:space="preserve"> (France).</w:t>
      </w:r>
    </w:p>
    <w:p w:rsidR="00F91484" w:rsidRPr="005A592F" w:rsidRDefault="00F91484" w:rsidP="00F91484">
      <w:pPr>
        <w:pStyle w:val="SingleTxtG"/>
      </w:pPr>
      <w:r w:rsidRPr="005A592F">
        <w:t>2.</w:t>
      </w:r>
      <w:r w:rsidRPr="005A592F">
        <w:tab/>
        <w:t xml:space="preserve">Ont pris part à ses travaux des représentants des pays </w:t>
      </w:r>
      <w:proofErr w:type="gramStart"/>
      <w:r w:rsidRPr="005A592F">
        <w:t>suivants:</w:t>
      </w:r>
      <w:proofErr w:type="gramEnd"/>
      <w:r w:rsidRPr="005A592F">
        <w:t xml:space="preserve"> Allemagne, Autriche, Belgique, Danemark, Espagne, Fédération de Russie, Finlande, France, Hongrie, </w:t>
      </w:r>
      <w:r>
        <w:t>Italie</w:t>
      </w:r>
      <w:r w:rsidRPr="005A592F">
        <w:t>, Lettonie, Luxembourg, Norvège, Pays-Bas, Pologne, Portugal, République tchèque, Roumanie, Royaume-Uni, Slovaquie, Suède, Suisse</w:t>
      </w:r>
      <w:r>
        <w:t xml:space="preserve"> et</w:t>
      </w:r>
      <w:r w:rsidRPr="005A592F">
        <w:t xml:space="preserve"> Turquie.</w:t>
      </w:r>
    </w:p>
    <w:p w:rsidR="00F91484" w:rsidRPr="005A592F" w:rsidRDefault="00F91484" w:rsidP="00F91484">
      <w:pPr>
        <w:pStyle w:val="SingleTxtG"/>
      </w:pPr>
      <w:r w:rsidRPr="005A592F">
        <w:t>3.</w:t>
      </w:r>
      <w:r w:rsidRPr="005A592F">
        <w:tab/>
        <w:t>L’Union européenne était représentée.</w:t>
      </w:r>
    </w:p>
    <w:p w:rsidR="00F91484" w:rsidRPr="005A592F" w:rsidRDefault="00F91484" w:rsidP="00F91484">
      <w:pPr>
        <w:pStyle w:val="SingleTxtG"/>
      </w:pPr>
      <w:r w:rsidRPr="005A592F">
        <w:t>4.</w:t>
      </w:r>
      <w:r w:rsidRPr="005A592F">
        <w:tab/>
        <w:t xml:space="preserve">L’organisation intergouvernementale suivante était </w:t>
      </w:r>
      <w:proofErr w:type="gramStart"/>
      <w:r w:rsidRPr="005A592F">
        <w:t>représentée:</w:t>
      </w:r>
      <w:proofErr w:type="gramEnd"/>
      <w:r w:rsidRPr="005A592F">
        <w:t xml:space="preserve"> Organisation intergouvernementale pour les transports internationaux ferroviaires (OTIF).</w:t>
      </w:r>
    </w:p>
    <w:p w:rsidR="00F91484" w:rsidRPr="005A592F" w:rsidRDefault="00F91484" w:rsidP="00F91484">
      <w:pPr>
        <w:pStyle w:val="SingleTxtG"/>
        <w:rPr>
          <w:lang w:val="fr-FR"/>
        </w:rPr>
      </w:pPr>
      <w:r w:rsidRPr="005A592F">
        <w:t>5.</w:t>
      </w:r>
      <w:r w:rsidRPr="005A592F">
        <w:tab/>
      </w:r>
      <w:r w:rsidRPr="005A592F">
        <w:rPr>
          <w:lang w:val="fr-FR"/>
        </w:rPr>
        <w:t xml:space="preserve">Les organisations non gouvernementales suivantes étaient </w:t>
      </w:r>
      <w:proofErr w:type="gramStart"/>
      <w:r w:rsidRPr="005A592F">
        <w:rPr>
          <w:lang w:val="fr-FR"/>
        </w:rPr>
        <w:t>représentées:</w:t>
      </w:r>
      <w:proofErr w:type="gramEnd"/>
      <w:r w:rsidRPr="005A592F">
        <w:rPr>
          <w:bCs/>
          <w:lang w:val="fr-FR"/>
        </w:rPr>
        <w:t xml:space="preserve"> </w:t>
      </w:r>
      <w:r w:rsidRPr="005A592F">
        <w:t xml:space="preserve">l'Association européenne du charbon et du lignite (EURACOAL), </w:t>
      </w:r>
      <w:r w:rsidRPr="005A592F">
        <w:rPr>
          <w:lang w:val="fr-FR"/>
        </w:rPr>
        <w:t xml:space="preserve">l’Association européenne des gaz de pétrole liquéfiés (AEGPL), la Conférence européenne des négociants en combustibles et carburants </w:t>
      </w:r>
      <w:r w:rsidRPr="005A592F">
        <w:rPr>
          <w:bCs/>
          <w:lang w:val="fr-FR"/>
        </w:rPr>
        <w:t>(CENCC),</w:t>
      </w:r>
      <w:r w:rsidRPr="005A592F">
        <w:rPr>
          <w:lang w:val="fr-FR"/>
        </w:rPr>
        <w:t xml:space="preserve"> l’Organisation internationale des constructeurs automobiles (OICA), l’Union internationale des transports routiers (IRU),</w:t>
      </w:r>
      <w:r w:rsidRPr="005A592F">
        <w:t xml:space="preserve"> </w:t>
      </w:r>
      <w:r w:rsidRPr="005A592F">
        <w:rPr>
          <w:lang w:val="fr-FR"/>
        </w:rPr>
        <w:t xml:space="preserve">International Association for Natural </w:t>
      </w:r>
      <w:proofErr w:type="spellStart"/>
      <w:r w:rsidRPr="005A592F">
        <w:rPr>
          <w:lang w:val="fr-FR"/>
        </w:rPr>
        <w:t>Gas</w:t>
      </w:r>
      <w:proofErr w:type="spellEnd"/>
      <w:r w:rsidRPr="005A592F">
        <w:rPr>
          <w:lang w:val="fr-FR"/>
        </w:rPr>
        <w:t xml:space="preserve"> </w:t>
      </w:r>
      <w:proofErr w:type="spellStart"/>
      <w:r w:rsidRPr="005A592F">
        <w:rPr>
          <w:lang w:val="fr-FR"/>
        </w:rPr>
        <w:t>Vehicles</w:t>
      </w:r>
      <w:proofErr w:type="spellEnd"/>
      <w:r w:rsidRPr="005A592F">
        <w:rPr>
          <w:lang w:val="fr-FR"/>
        </w:rPr>
        <w:t xml:space="preserve"> (NGV Global)</w:t>
      </w:r>
      <w:r w:rsidRPr="005A592F">
        <w:rPr>
          <w:bCs/>
          <w:lang w:val="fr-FR"/>
        </w:rPr>
        <w:t>.</w:t>
      </w:r>
    </w:p>
    <w:p w:rsidR="00F91484" w:rsidRPr="00183CEF" w:rsidRDefault="00F91484" w:rsidP="00F91484">
      <w:pPr>
        <w:pStyle w:val="HChG"/>
      </w:pPr>
      <w:r>
        <w:tab/>
      </w:r>
      <w:r w:rsidRPr="00183CEF">
        <w:t>II.</w:t>
      </w:r>
      <w:r w:rsidRPr="00183CEF">
        <w:tab/>
        <w:t>Ouverture de la session</w:t>
      </w:r>
    </w:p>
    <w:p w:rsidR="00F91484" w:rsidRPr="001A0C10" w:rsidRDefault="00F91484" w:rsidP="00F91484">
      <w:pPr>
        <w:pStyle w:val="SingleTxtG"/>
        <w:tabs>
          <w:tab w:val="left" w:pos="1418"/>
        </w:tabs>
        <w:ind w:left="3119" w:hanging="1985"/>
        <w:jc w:val="left"/>
      </w:pPr>
      <w:r>
        <w:rPr>
          <w:i/>
        </w:rPr>
        <w:t xml:space="preserve">Document </w:t>
      </w:r>
      <w:proofErr w:type="gramStart"/>
      <w:r>
        <w:rPr>
          <w:i/>
        </w:rPr>
        <w:t>informel</w:t>
      </w:r>
      <w:r w:rsidRPr="00FC75FF">
        <w:t>:</w:t>
      </w:r>
      <w:proofErr w:type="gramEnd"/>
      <w:r>
        <w:tab/>
        <w:t>INF.11 (Secrétariat).</w:t>
      </w:r>
    </w:p>
    <w:p w:rsidR="00F91484" w:rsidRDefault="00F91484" w:rsidP="00F91484">
      <w:pPr>
        <w:pStyle w:val="SingleTxtG"/>
      </w:pPr>
      <w:r>
        <w:t>6.</w:t>
      </w:r>
      <w:r>
        <w:tab/>
      </w:r>
      <w:r w:rsidRPr="005A592F">
        <w:t>Après avoir souhaité la bienvenue aux participants, M</w:t>
      </w:r>
      <w:r w:rsidRPr="005A592F">
        <w:rPr>
          <w:vertAlign w:val="superscript"/>
        </w:rPr>
        <w:t>me</w:t>
      </w:r>
      <w:r w:rsidRPr="005A592F">
        <w:t xml:space="preserve"> Eva Molnar, Directrice de la Division des transports </w:t>
      </w:r>
      <w:r>
        <w:t xml:space="preserve">durables </w:t>
      </w:r>
      <w:r w:rsidRPr="005A592F">
        <w:t xml:space="preserve">de la Commission économique pour l’Europe (CEE), </w:t>
      </w:r>
      <w:r>
        <w:t>a informé le Groupe de travail des</w:t>
      </w:r>
      <w:r w:rsidRPr="00726856">
        <w:t xml:space="preserve"> préparatifs en cours pour le soixante-dixième anniversaire du </w:t>
      </w:r>
      <w:r w:rsidRPr="005B2C1D">
        <w:t>Comité des transports intérieurs</w:t>
      </w:r>
      <w:r w:rsidRPr="00726856">
        <w:t xml:space="preserve"> </w:t>
      </w:r>
      <w:r>
        <w:t>(</w:t>
      </w:r>
      <w:r w:rsidRPr="00726856">
        <w:t>CTI</w:t>
      </w:r>
      <w:r>
        <w:t>)</w:t>
      </w:r>
      <w:r w:rsidRPr="00726856">
        <w:t xml:space="preserve"> en 2017</w:t>
      </w:r>
      <w:r>
        <w:t xml:space="preserve"> et notamment la frise historique reprenant les réalisations emblématiques liées au transport et aux travaux du CTI.</w:t>
      </w:r>
    </w:p>
    <w:p w:rsidR="00F91484" w:rsidRDefault="00F91484" w:rsidP="00F91484">
      <w:pPr>
        <w:pStyle w:val="SingleTxtG"/>
      </w:pPr>
      <w:r>
        <w:t>7.</w:t>
      </w:r>
      <w:r>
        <w:tab/>
        <w:t xml:space="preserve">L'Envoyé spécial du Secrétaire général des Nations Unies pour la sécurité routière, M. Jean Todt, s’est ensuite adressé au Groupe de travail. Il a notamment présenté la résolution sur la sécurité routière adoptée par l'Assemblée générale. Il a encouragé le Groupe de travail à continuer à promouvoir et à faciliter l'adhésion à l'ADR auprès des pays non membres de la Commission </w:t>
      </w:r>
      <w:r w:rsidRPr="00726856">
        <w:t>économique pour l’Europe</w:t>
      </w:r>
      <w:r>
        <w:t xml:space="preserve"> et l’a assuré de son soutien à cet égard. </w:t>
      </w:r>
    </w:p>
    <w:p w:rsidR="00F91484" w:rsidRDefault="00F91484" w:rsidP="00F91484">
      <w:pPr>
        <w:pStyle w:val="SingleTxtG"/>
      </w:pPr>
      <w:r>
        <w:t>8.</w:t>
      </w:r>
      <w:r>
        <w:tab/>
        <w:t>À l’occasion de la 100</w:t>
      </w:r>
      <w:r>
        <w:rPr>
          <w:vertAlign w:val="superscript"/>
        </w:rPr>
        <w:t>e</w:t>
      </w:r>
      <w:r>
        <w:t xml:space="preserve"> session du Groupe de travail, le Président du Groupe de travail a notamment souhaité remercier l’OTIF, l’Union européenne et les organisations représentant les transporteurs routiers, le secteur de la chimie, de la pétrochimie et des gaz et l’industrie automobile pour leur longue et fructueuse coopération.</w:t>
      </w:r>
    </w:p>
    <w:p w:rsidR="00F91484" w:rsidRPr="00C71525" w:rsidRDefault="00F91484" w:rsidP="00F91484">
      <w:pPr>
        <w:pStyle w:val="HChG"/>
      </w:pPr>
      <w:r>
        <w:tab/>
      </w:r>
      <w:r w:rsidRPr="00C71525">
        <w:t>III.</w:t>
      </w:r>
      <w:r w:rsidRPr="00C71525">
        <w:tab/>
        <w:t>Adoption de l</w:t>
      </w:r>
      <w:r>
        <w:t>’</w:t>
      </w:r>
      <w:r w:rsidRPr="00C71525">
        <w:t>ordre du jour (point 1 de l</w:t>
      </w:r>
      <w:r>
        <w:t>’</w:t>
      </w:r>
      <w:r w:rsidRPr="00C71525">
        <w:t>o</w:t>
      </w:r>
      <w:r>
        <w:t>rdre du jour)</w:t>
      </w:r>
    </w:p>
    <w:p w:rsidR="00F91484" w:rsidRDefault="00F91484" w:rsidP="00F91484">
      <w:pPr>
        <w:pStyle w:val="SingleTxtG"/>
        <w:tabs>
          <w:tab w:val="left" w:pos="1418"/>
        </w:tabs>
        <w:ind w:left="3119" w:hanging="1985"/>
        <w:jc w:val="left"/>
      </w:pPr>
      <w:proofErr w:type="gramStart"/>
      <w:r>
        <w:rPr>
          <w:i/>
        </w:rPr>
        <w:t>Documents</w:t>
      </w:r>
      <w:r w:rsidRPr="00FC75FF">
        <w:t>:</w:t>
      </w:r>
      <w:proofErr w:type="gramEnd"/>
      <w:r>
        <w:tab/>
        <w:t>ECE/TRANS/WP.15/232 et Add.1 (Secrétariat).</w:t>
      </w:r>
    </w:p>
    <w:p w:rsidR="00F91484" w:rsidRPr="001A0C10" w:rsidRDefault="00F91484" w:rsidP="00F91484">
      <w:pPr>
        <w:pStyle w:val="SingleTxtG"/>
        <w:tabs>
          <w:tab w:val="left" w:pos="1418"/>
        </w:tabs>
        <w:ind w:left="3119" w:hanging="1985"/>
        <w:jc w:val="left"/>
      </w:pPr>
      <w:r>
        <w:rPr>
          <w:i/>
        </w:rPr>
        <w:t xml:space="preserve">Documents </w:t>
      </w:r>
      <w:proofErr w:type="gramStart"/>
      <w:r>
        <w:rPr>
          <w:i/>
        </w:rPr>
        <w:t>informels</w:t>
      </w:r>
      <w:r w:rsidRPr="00FC75FF">
        <w:t>:</w:t>
      </w:r>
      <w:proofErr w:type="gramEnd"/>
      <w:r>
        <w:tab/>
        <w:t>INF.1, INF.2/Rev.1 et INF.23 (Secrétariat).</w:t>
      </w:r>
    </w:p>
    <w:p w:rsidR="00F91484" w:rsidRDefault="00F91484" w:rsidP="00F91484">
      <w:pPr>
        <w:pStyle w:val="SingleTxtG"/>
      </w:pPr>
      <w:r>
        <w:t>9.</w:t>
      </w:r>
      <w:r>
        <w:tab/>
      </w:r>
      <w:r w:rsidRPr="0054289D">
        <w:rPr>
          <w:bCs/>
          <w:szCs w:val="24"/>
          <w:lang w:val="fr-FR"/>
        </w:rPr>
        <w:t>Le Groupe de travail a adopté l’ordre du jour provisoire préparé par le secrétariat, tel que modifié par le document informel INF.2</w:t>
      </w:r>
      <w:r>
        <w:rPr>
          <w:bCs/>
          <w:szCs w:val="24"/>
          <w:lang w:val="fr-FR"/>
        </w:rPr>
        <w:t>/Rev.1</w:t>
      </w:r>
      <w:r w:rsidRPr="0054289D">
        <w:rPr>
          <w:bCs/>
          <w:szCs w:val="24"/>
          <w:lang w:val="fr-FR"/>
        </w:rPr>
        <w:t xml:space="preserve"> pour tenir compte des documents informels INF.1 à INF.</w:t>
      </w:r>
      <w:r>
        <w:rPr>
          <w:bCs/>
          <w:szCs w:val="24"/>
          <w:lang w:val="fr-FR"/>
        </w:rPr>
        <w:t>31</w:t>
      </w:r>
      <w:r w:rsidRPr="0054289D">
        <w:rPr>
          <w:bCs/>
          <w:szCs w:val="24"/>
          <w:lang w:val="fr-FR"/>
        </w:rPr>
        <w:t>.</w:t>
      </w:r>
    </w:p>
    <w:p w:rsidR="00F91484" w:rsidRPr="007C0178" w:rsidRDefault="00F91484" w:rsidP="00F91484">
      <w:pPr>
        <w:pStyle w:val="HChG"/>
      </w:pPr>
      <w:r>
        <w:lastRenderedPageBreak/>
        <w:tab/>
      </w:r>
      <w:r w:rsidRPr="003659AC">
        <w:t>IV.</w:t>
      </w:r>
      <w:r w:rsidRPr="003659AC">
        <w:tab/>
      </w:r>
      <w:r w:rsidR="004A4829" w:rsidRPr="005B2C1D">
        <w:t>Soixante-</w:t>
      </w:r>
      <w:r w:rsidR="004A4829">
        <w:t>dix-huitième</w:t>
      </w:r>
      <w:r w:rsidRPr="005B2C1D">
        <w:t xml:space="preserve"> session du Comité des transports intérieurs (point 2 de l</w:t>
      </w:r>
      <w:r>
        <w:t>’</w:t>
      </w:r>
      <w:r w:rsidRPr="005B2C1D">
        <w:t>ordre du jour)</w:t>
      </w:r>
    </w:p>
    <w:p w:rsidR="00F91484" w:rsidRPr="001A0C10" w:rsidRDefault="00F91484" w:rsidP="00F91484">
      <w:pPr>
        <w:pStyle w:val="SingleTxtG"/>
        <w:tabs>
          <w:tab w:val="left" w:pos="1418"/>
        </w:tabs>
        <w:ind w:left="3119" w:hanging="1985"/>
        <w:jc w:val="left"/>
      </w:pPr>
      <w:r>
        <w:rPr>
          <w:i/>
        </w:rPr>
        <w:t xml:space="preserve">Document </w:t>
      </w:r>
      <w:proofErr w:type="gramStart"/>
      <w:r>
        <w:rPr>
          <w:i/>
        </w:rPr>
        <w:t>informel</w:t>
      </w:r>
      <w:r w:rsidRPr="00FC75FF">
        <w:t>:</w:t>
      </w:r>
      <w:proofErr w:type="gramEnd"/>
      <w:r>
        <w:tab/>
        <w:t>CTI No. 14 (2016) de la soixante-dix-huitième session du Comité des transports intérieurs (Secrétariat).</w:t>
      </w:r>
    </w:p>
    <w:p w:rsidR="00F91484" w:rsidRDefault="00F91484" w:rsidP="00F91484">
      <w:pPr>
        <w:pStyle w:val="SingleTxtG"/>
      </w:pPr>
      <w:r>
        <w:t>10.</w:t>
      </w:r>
      <w:r>
        <w:tab/>
        <w:t>Le secrétariat a informé le Groupe de travail des résultats pertinents de la dernière session du Comité des transports intérieurs (</w:t>
      </w:r>
      <w:r w:rsidRPr="005A592F">
        <w:t>23-26 février 2016</w:t>
      </w:r>
      <w:r>
        <w:t>). Le Groupe de travail a noté avec satisfaction que le Comité avait approuvé son programme de travail et son plan d’évaluation pour l’exercice biennal 2016-2017 ainsi que la publication, par le secrétariat, des textes consolidés de l’ADR et de l’ADN tels qu’ils seront amendés le 1</w:t>
      </w:r>
      <w:r w:rsidRPr="003760F8">
        <w:rPr>
          <w:vertAlign w:val="superscript"/>
        </w:rPr>
        <w:t>er</w:t>
      </w:r>
      <w:r w:rsidRPr="00713A93">
        <w:t xml:space="preserve"> </w:t>
      </w:r>
      <w:r>
        <w:t>janvier 2017.</w:t>
      </w:r>
    </w:p>
    <w:p w:rsidR="00F91484" w:rsidRPr="007C0178" w:rsidRDefault="00F91484" w:rsidP="00F91484">
      <w:pPr>
        <w:pStyle w:val="HChG"/>
      </w:pPr>
      <w:r>
        <w:tab/>
      </w:r>
      <w:r w:rsidRPr="003659AC">
        <w:t>V.</w:t>
      </w:r>
      <w:r w:rsidRPr="003659AC">
        <w:tab/>
      </w:r>
      <w:r w:rsidRPr="005B2C1D">
        <w:t>État de l</w:t>
      </w:r>
      <w:r>
        <w:t>’</w:t>
      </w:r>
      <w:r w:rsidRPr="005B2C1D">
        <w:t>Accord européen relatif au transport international des marchandises dangereuses par route (ADR) et questions connexes (point 3 de l</w:t>
      </w:r>
      <w:r>
        <w:t>’</w:t>
      </w:r>
      <w:r w:rsidRPr="005B2C1D">
        <w:t>ordre du jour)</w:t>
      </w:r>
    </w:p>
    <w:p w:rsidR="00F91484" w:rsidRPr="00FC75FF" w:rsidRDefault="00F91484" w:rsidP="00F91484">
      <w:pPr>
        <w:pStyle w:val="SingleTxtG"/>
        <w:tabs>
          <w:tab w:val="left" w:pos="1418"/>
        </w:tabs>
        <w:ind w:left="3119" w:hanging="1985"/>
        <w:jc w:val="left"/>
        <w:rPr>
          <w:i/>
        </w:rPr>
      </w:pPr>
      <w:r>
        <w:rPr>
          <w:i/>
        </w:rPr>
        <w:t xml:space="preserve">Documents </w:t>
      </w:r>
      <w:proofErr w:type="gramStart"/>
      <w:r>
        <w:rPr>
          <w:i/>
        </w:rPr>
        <w:t>informels</w:t>
      </w:r>
      <w:r w:rsidRPr="00FC75FF">
        <w:t>:</w:t>
      </w:r>
      <w:proofErr w:type="gramEnd"/>
      <w:r>
        <w:tab/>
        <w:t>INF.13 et INF.14 (Secrétariat).</w:t>
      </w:r>
    </w:p>
    <w:p w:rsidR="00F91484" w:rsidRDefault="00F91484" w:rsidP="00F91484">
      <w:pPr>
        <w:pStyle w:val="SingleTxtG"/>
      </w:pPr>
      <w:r>
        <w:t>11.</w:t>
      </w:r>
      <w:r>
        <w:tab/>
        <w:t xml:space="preserve">Le Groupe de travail a noté qu’il n’y avait pas de nouvelles parties contractantes à l’ADR. </w:t>
      </w:r>
      <w:proofErr w:type="gramStart"/>
      <w:r>
        <w:t>Le Groupe de travail s’est félicité de l’adhésion de la Serbie et de la Turquie au Protocole portant modification des articles 1 a), 14 1) et 14 3) b) de l’ADR, et a encouragé les 13 pays  qui n’avaient pas encore déposé l’instrument juridique nécessaire pour que le Protocole entre en vigueur (</w:t>
      </w:r>
      <w:r w:rsidRPr="009110C3">
        <w:t xml:space="preserve">Azerbaïdjan, </w:t>
      </w:r>
      <w:proofErr w:type="spellStart"/>
      <w:r w:rsidRPr="009110C3">
        <w:t>Bélarus</w:t>
      </w:r>
      <w:proofErr w:type="spellEnd"/>
      <w:r w:rsidRPr="009110C3">
        <w:t>, Bosnie-Herzégovine, Croatie, ex-République yougoslave de Macédoine, Islande, Kazakhstan, Malte, Maroc, Monténégro, Tadjikistan, Tunisie, et Ukraine</w:t>
      </w:r>
      <w:r>
        <w:t>) à prendre les mesures nécessaires pour ratifier le Protocole ou y adhérer, afin qu’il puisse prendre effet.</w:t>
      </w:r>
      <w:proofErr w:type="gramEnd"/>
    </w:p>
    <w:p w:rsidR="00F91484" w:rsidRDefault="00F91484" w:rsidP="00F91484">
      <w:pPr>
        <w:pStyle w:val="HChG"/>
      </w:pPr>
      <w:r>
        <w:tab/>
        <w:t>VI.</w:t>
      </w:r>
      <w:r>
        <w:tab/>
      </w:r>
      <w:r w:rsidRPr="00787CF7">
        <w:rPr>
          <w:lang w:val="fr-FR"/>
        </w:rPr>
        <w:t>Interprétation de l’ADR</w:t>
      </w:r>
      <w:r>
        <w:rPr>
          <w:lang w:val="fr-FR"/>
        </w:rPr>
        <w:t xml:space="preserve"> </w:t>
      </w:r>
      <w:r w:rsidRPr="005B2C1D">
        <w:t xml:space="preserve">(point </w:t>
      </w:r>
      <w:r>
        <w:t>4</w:t>
      </w:r>
      <w:r w:rsidRPr="005B2C1D">
        <w:t xml:space="preserve"> de l</w:t>
      </w:r>
      <w:r>
        <w:t>’</w:t>
      </w:r>
      <w:r w:rsidRPr="005B2C1D">
        <w:t>ordre du jour)</w:t>
      </w:r>
    </w:p>
    <w:p w:rsidR="00F91484" w:rsidRDefault="00F91484" w:rsidP="00F91484">
      <w:pPr>
        <w:pStyle w:val="H1G"/>
      </w:pPr>
      <w:r>
        <w:tab/>
      </w:r>
      <w:r w:rsidRPr="003659AC">
        <w:t>A.</w:t>
      </w:r>
      <w:r w:rsidRPr="003659AC">
        <w:tab/>
      </w:r>
      <w:r>
        <w:t>Chargement en commun des explosifs et des détonateurs</w:t>
      </w:r>
    </w:p>
    <w:p w:rsidR="00F91484" w:rsidRDefault="00F91484" w:rsidP="00F91484">
      <w:pPr>
        <w:pStyle w:val="SingleTxtG"/>
        <w:tabs>
          <w:tab w:val="left" w:pos="1418"/>
        </w:tabs>
        <w:ind w:left="3119" w:hanging="1985"/>
        <w:jc w:val="left"/>
      </w:pPr>
      <w:r>
        <w:rPr>
          <w:i/>
        </w:rPr>
        <w:t xml:space="preserve">Documents </w:t>
      </w:r>
      <w:proofErr w:type="gramStart"/>
      <w:r>
        <w:rPr>
          <w:i/>
        </w:rPr>
        <w:t>informels</w:t>
      </w:r>
      <w:r>
        <w:t>:</w:t>
      </w:r>
      <w:proofErr w:type="gramEnd"/>
      <w:r>
        <w:tab/>
        <w:t>INF.5 (Suède), INF.21 (Finlande)</w:t>
      </w:r>
    </w:p>
    <w:p w:rsidR="00F91484" w:rsidRDefault="00F91484" w:rsidP="00F91484">
      <w:pPr>
        <w:pStyle w:val="SingleTxtG"/>
      </w:pPr>
      <w:r>
        <w:t>12.</w:t>
      </w:r>
      <w:r>
        <w:tab/>
      </w:r>
      <w:r>
        <w:rPr>
          <w:lang w:val="fr-FR"/>
        </w:rPr>
        <w:t>Il n’y a pas eu de consensus sur la question de l’interprétation de l’expression «</w:t>
      </w:r>
      <w:r w:rsidRPr="004613BE">
        <w:t>no danger of transmission</w:t>
      </w:r>
      <w:r>
        <w:rPr>
          <w:lang w:val="fr-FR"/>
        </w:rPr>
        <w:t xml:space="preserve">» dans la version anglaise de l’ADR. Certaines délégations considéraient que les colis contenant des objets du groupe de compatibilité B chargés en commun avec des matières ou objets du groupe de compatibilité D devaient être </w:t>
      </w:r>
      <w:r w:rsidRPr="004613BE">
        <w:t>séparés de façon à empêcher</w:t>
      </w:r>
      <w:r>
        <w:t xml:space="preserve"> strictement tout risque de transmission d’une détonation même si la probabilité d’un tel évènement reste très faible. D’autres délégations considéraient qu’il fallait tenir compte de la probabilité et d’un niveau de risque acceptable pour l’agrément des systèmes de séparation. Le Groupe de travail a noté que le texte français ne faisait pas mention de la notion de danger et que des critères de séparation différents étaient appliqués au niveau national.</w:t>
      </w:r>
    </w:p>
    <w:p w:rsidR="00F91484" w:rsidRDefault="00F91484" w:rsidP="00F91484">
      <w:pPr>
        <w:pStyle w:val="SingleTxtG"/>
      </w:pPr>
      <w:r>
        <w:t>13.</w:t>
      </w:r>
      <w:r>
        <w:tab/>
        <w:t xml:space="preserve">La représentante de la Suède a indiqué que la Suède était en train de développer une méthode de séparation similaire à celle applicable en Finlande et présentée dans le document informel INF.21. </w:t>
      </w:r>
    </w:p>
    <w:p w:rsidR="00F91484" w:rsidRDefault="00F91484" w:rsidP="00F91484">
      <w:pPr>
        <w:pStyle w:val="SingleTxtG"/>
      </w:pPr>
      <w:r>
        <w:t>14.</w:t>
      </w:r>
      <w:r>
        <w:tab/>
        <w:t>Toute proposition de modification du 7.5.2.2 devrait être présentée à la Réunion commune en prenant en considération les dispositions nationales déjà appliquées.</w:t>
      </w:r>
    </w:p>
    <w:p w:rsidR="00F91484" w:rsidRDefault="00F91484" w:rsidP="00F91484">
      <w:pPr>
        <w:pStyle w:val="H1G"/>
      </w:pPr>
      <w:r>
        <w:lastRenderedPageBreak/>
        <w:tab/>
        <w:t>B</w:t>
      </w:r>
      <w:r w:rsidRPr="003659AC">
        <w:t>.</w:t>
      </w:r>
      <w:r w:rsidRPr="003659AC">
        <w:tab/>
      </w:r>
      <w:r>
        <w:t>Prescription supplémentaire S21</w:t>
      </w:r>
    </w:p>
    <w:p w:rsidR="00F91484" w:rsidRDefault="00F91484" w:rsidP="00F91484">
      <w:pPr>
        <w:pStyle w:val="SingleTxtG"/>
        <w:tabs>
          <w:tab w:val="left" w:pos="1418"/>
        </w:tabs>
        <w:ind w:left="3119" w:hanging="1985"/>
        <w:jc w:val="left"/>
      </w:pPr>
      <w:r>
        <w:rPr>
          <w:i/>
        </w:rPr>
        <w:t xml:space="preserve">Document </w:t>
      </w:r>
      <w:proofErr w:type="gramStart"/>
      <w:r>
        <w:rPr>
          <w:i/>
        </w:rPr>
        <w:t>informel</w:t>
      </w:r>
      <w:r w:rsidRPr="003B3CD8">
        <w:t>:</w:t>
      </w:r>
      <w:proofErr w:type="gramEnd"/>
      <w:r w:rsidRPr="003B3CD8">
        <w:tab/>
        <w:t>INF.22 (Finlande)</w:t>
      </w:r>
    </w:p>
    <w:p w:rsidR="00F91484" w:rsidRDefault="00F91484" w:rsidP="00F91484">
      <w:pPr>
        <w:pStyle w:val="SingleTxtG"/>
      </w:pPr>
      <w:r>
        <w:t>15.</w:t>
      </w:r>
      <w:r>
        <w:tab/>
        <w:t xml:space="preserve">Plusieurs délégations souhaitaient avoir plus de temps pour étudier la demande de la Finlande sur la nécessité de modifier la limite de </w:t>
      </w:r>
      <w:r w:rsidRPr="00805E98">
        <w:t xml:space="preserve">débit de dose </w:t>
      </w:r>
      <w:r>
        <w:t>de</w:t>
      </w:r>
      <w:r w:rsidRPr="00805E98">
        <w:t xml:space="preserve"> 5 </w:t>
      </w:r>
      <w:r w:rsidRPr="00805E98">
        <w:sym w:font="Symbol" w:char="F06D"/>
      </w:r>
      <w:r w:rsidRPr="00805E98">
        <w:t xml:space="preserve">Sv/h </w:t>
      </w:r>
      <w:r>
        <w:t xml:space="preserve">pour l’application des prescriptions relatives à </w:t>
      </w:r>
      <w:r w:rsidR="00A264FA">
        <w:t xml:space="preserve">la </w:t>
      </w:r>
      <w:r>
        <w:t>surveillance des</w:t>
      </w:r>
      <w:r w:rsidRPr="00805E98">
        <w:t xml:space="preserve"> véhicule</w:t>
      </w:r>
      <w:r>
        <w:t>s, notamment pour tenir compte des prescriptions en matière de sûreté. Les délégations qui le souhaitent pourront transmettre leurs remarques à la représentante de la Finlande.</w:t>
      </w:r>
    </w:p>
    <w:p w:rsidR="00F91484" w:rsidRPr="007C0178" w:rsidRDefault="00F91484" w:rsidP="00F91484">
      <w:pPr>
        <w:pStyle w:val="HChG"/>
      </w:pPr>
      <w:r>
        <w:tab/>
        <w:t>VII.</w:t>
      </w:r>
      <w:r>
        <w:tab/>
      </w:r>
      <w:r w:rsidRPr="005B2C1D">
        <w:t>Travaux de la Réunion commune RID/A</w:t>
      </w:r>
      <w:r>
        <w:t>DR/</w:t>
      </w:r>
      <w:proofErr w:type="gramStart"/>
      <w:r>
        <w:t>ADN</w:t>
      </w:r>
      <w:proofErr w:type="gramEnd"/>
      <w:r>
        <w:br/>
      </w:r>
      <w:r w:rsidRPr="005B2C1D">
        <w:t>(point 5 de l</w:t>
      </w:r>
      <w:r>
        <w:t>’</w:t>
      </w:r>
      <w:r w:rsidRPr="005B2C1D">
        <w:t>ordre du jour)</w:t>
      </w:r>
    </w:p>
    <w:p w:rsidR="00F91484" w:rsidRPr="003659AC" w:rsidRDefault="00F91484" w:rsidP="00F91484">
      <w:pPr>
        <w:pStyle w:val="H1G"/>
      </w:pPr>
      <w:r>
        <w:tab/>
      </w:r>
      <w:r w:rsidR="00A3503B">
        <w:tab/>
      </w:r>
      <w:r w:rsidRPr="003659AC">
        <w:t>Amendements proposés par l</w:t>
      </w:r>
      <w:r>
        <w:t>a Réunion commune à sa session</w:t>
      </w:r>
      <w:r>
        <w:br/>
      </w:r>
      <w:r w:rsidRPr="003659AC">
        <w:t xml:space="preserve">de printemps </w:t>
      </w:r>
      <w:r>
        <w:t>2016</w:t>
      </w:r>
    </w:p>
    <w:p w:rsidR="00F91484" w:rsidRDefault="00F91484" w:rsidP="00F91484">
      <w:pPr>
        <w:pStyle w:val="SingleTxtG"/>
        <w:ind w:left="3119" w:hanging="1985"/>
        <w:jc w:val="left"/>
      </w:pPr>
      <w:proofErr w:type="gramStart"/>
      <w:r w:rsidRPr="003659AC">
        <w:rPr>
          <w:i/>
        </w:rPr>
        <w:t>Document</w:t>
      </w:r>
      <w:r>
        <w:rPr>
          <w:i/>
        </w:rPr>
        <w:t>s</w:t>
      </w:r>
      <w:r>
        <w:t>:</w:t>
      </w:r>
      <w:proofErr w:type="gramEnd"/>
      <w:r>
        <w:tab/>
        <w:t>ECE/TRANS/WP.15/AC.1/142 et Add.1 et 2.</w:t>
      </w:r>
    </w:p>
    <w:p w:rsidR="00F91484" w:rsidRDefault="00F91484" w:rsidP="00F91484">
      <w:pPr>
        <w:pStyle w:val="SingleTxtG"/>
        <w:tabs>
          <w:tab w:val="left" w:pos="1418"/>
        </w:tabs>
        <w:ind w:left="3119" w:hanging="1985"/>
        <w:jc w:val="left"/>
      </w:pPr>
      <w:r>
        <w:rPr>
          <w:i/>
        </w:rPr>
        <w:t xml:space="preserve">Document </w:t>
      </w:r>
      <w:proofErr w:type="gramStart"/>
      <w:r>
        <w:rPr>
          <w:i/>
        </w:rPr>
        <w:t>informel</w:t>
      </w:r>
      <w:r>
        <w:t>:</w:t>
      </w:r>
      <w:proofErr w:type="gramEnd"/>
      <w:r>
        <w:tab/>
        <w:t xml:space="preserve">INF.3 (Secrétariat) </w:t>
      </w:r>
    </w:p>
    <w:p w:rsidR="00F91484" w:rsidRDefault="00F91484" w:rsidP="00F91484">
      <w:pPr>
        <w:pStyle w:val="SingleTxtG"/>
      </w:pPr>
      <w:r>
        <w:t>16.</w:t>
      </w:r>
      <w:r>
        <w:tab/>
        <w:t>Le Groupe de travail a examiné les amendements et corrections figurant aux sections I et II du document INF.3. Les amendements ont été adoptés pour entrée en vigueur le 1</w:t>
      </w:r>
      <w:r w:rsidRPr="005C55D2">
        <w:rPr>
          <w:vertAlign w:val="superscript"/>
        </w:rPr>
        <w:t>er</w:t>
      </w:r>
      <w:r>
        <w:t> janvier 2017, sous réserve de quelques modifications (voir annexe</w:t>
      </w:r>
      <w:r w:rsidR="002D22BF">
        <w:t xml:space="preserve"> I). </w:t>
      </w:r>
      <w:r>
        <w:t>Le Groupe de travail a noté que ces modifications seraient également portées à l’attention du Comité d’experts du RID à sa prochaine session.</w:t>
      </w:r>
    </w:p>
    <w:p w:rsidR="00F91484" w:rsidRDefault="00F91484" w:rsidP="00F91484">
      <w:pPr>
        <w:pStyle w:val="ParNoG"/>
        <w:numPr>
          <w:ilvl w:val="0"/>
          <w:numId w:val="0"/>
        </w:numPr>
        <w:tabs>
          <w:tab w:val="left" w:pos="708"/>
        </w:tabs>
        <w:ind w:left="1134"/>
      </w:pPr>
      <w:r>
        <w:t>17.</w:t>
      </w:r>
      <w:r>
        <w:tab/>
        <w:t>Le Groupe de travail a noté que certaines références à des normes avaient été laissées entre crochets dans le document informel INF.3 parce que les normes visées devaient être disponibles en juin 2016. Il a décidé d’inclure les références à la norme EN 14025:2013+</w:t>
      </w:r>
      <w:proofErr w:type="gramStart"/>
      <w:r>
        <w:t>A1:</w:t>
      </w:r>
      <w:proofErr w:type="gramEnd"/>
      <w:r>
        <w:t xml:space="preserve">2016 en tant que textes adoptés (c’est-à-dire sans crochets) dans le document ECE/TRANS/WP.15/231/Add.1 (voir annexe </w:t>
      </w:r>
      <w:r w:rsidR="007E100C">
        <w:t xml:space="preserve">I). </w:t>
      </w:r>
      <w:r>
        <w:t xml:space="preserve">Dans le cas où cette norme ne serait pas disponible à temps, il appartiendrait au secrétariat d’établir un rectificatif au document ECE/TRANS/WP.15/231/Add.1 dans lequel ces références seraient supprimées. </w:t>
      </w:r>
    </w:p>
    <w:p w:rsidR="00F91484" w:rsidRDefault="00F91484" w:rsidP="00F91484">
      <w:pPr>
        <w:pStyle w:val="ParNoG"/>
        <w:numPr>
          <w:ilvl w:val="0"/>
          <w:numId w:val="0"/>
        </w:numPr>
        <w:tabs>
          <w:tab w:val="left" w:pos="708"/>
        </w:tabs>
        <w:ind w:left="1134"/>
      </w:pPr>
      <w:r>
        <w:t>18.</w:t>
      </w:r>
      <w:r>
        <w:tab/>
        <w:t xml:space="preserve">La référence à la norme EN </w:t>
      </w:r>
      <w:proofErr w:type="gramStart"/>
      <w:r>
        <w:t>14595:</w:t>
      </w:r>
      <w:proofErr w:type="gramEnd"/>
      <w:r>
        <w:t xml:space="preserve">2016 a été adoptée pour entrée en vigueur </w:t>
      </w:r>
      <w:r w:rsidRPr="001D7ABB">
        <w:t>le 1</w:t>
      </w:r>
      <w:r w:rsidRPr="001D7ABB">
        <w:rPr>
          <w:vertAlign w:val="superscript"/>
        </w:rPr>
        <w:t>er</w:t>
      </w:r>
      <w:r w:rsidRPr="001D7ABB">
        <w:t xml:space="preserve"> janvier </w:t>
      </w:r>
      <w:r>
        <w:t xml:space="preserve">2019 suite à la confirmation par le CEN que cette norme ne serait pas disponible à temps pour être intégrée à l’ADR 2017 (voir annexe </w:t>
      </w:r>
      <w:r w:rsidR="007E100C">
        <w:t>II).</w:t>
      </w:r>
    </w:p>
    <w:p w:rsidR="00F91484" w:rsidRPr="008E380C" w:rsidRDefault="00F91484" w:rsidP="00F91484">
      <w:pPr>
        <w:pStyle w:val="HChG"/>
      </w:pPr>
      <w:r>
        <w:tab/>
      </w:r>
      <w:r w:rsidRPr="008E380C">
        <w:t>VII</w:t>
      </w:r>
      <w:r>
        <w:t>I</w:t>
      </w:r>
      <w:r w:rsidRPr="008E380C">
        <w:t>.</w:t>
      </w:r>
      <w:r w:rsidRPr="008E380C">
        <w:tab/>
      </w:r>
      <w:r w:rsidRPr="006615B4">
        <w:rPr>
          <w:lang w:val="fr-FR"/>
        </w:rPr>
        <w:t>Propositions d'amendement aux annexes A et B de l'ADR</w:t>
      </w:r>
      <w:r>
        <w:rPr>
          <w:lang w:val="fr-FR"/>
        </w:rPr>
        <w:t xml:space="preserve"> (point 6 de l’ordre du jour)</w:t>
      </w:r>
    </w:p>
    <w:p w:rsidR="00F91484" w:rsidRPr="004B4555" w:rsidRDefault="00F91484" w:rsidP="00F91484">
      <w:pPr>
        <w:pStyle w:val="H1G"/>
        <w:spacing w:before="240"/>
        <w:rPr>
          <w:lang w:val="fr-FR"/>
        </w:rPr>
      </w:pPr>
      <w:r w:rsidRPr="004B4555">
        <w:rPr>
          <w:lang w:val="fr-FR"/>
        </w:rPr>
        <w:tab/>
      </w:r>
      <w:r>
        <w:rPr>
          <w:lang w:val="fr-FR"/>
        </w:rPr>
        <w:t>A</w:t>
      </w:r>
      <w:r w:rsidRPr="004B4555">
        <w:rPr>
          <w:lang w:val="fr-FR"/>
        </w:rPr>
        <w:t>.</w:t>
      </w:r>
      <w:r w:rsidRPr="004B4555">
        <w:rPr>
          <w:lang w:val="fr-FR"/>
        </w:rPr>
        <w:tab/>
      </w:r>
      <w:r w:rsidRPr="006615B4">
        <w:rPr>
          <w:lang w:val="fr-FR"/>
        </w:rPr>
        <w:t>Construction et agrément des véhicules</w:t>
      </w:r>
    </w:p>
    <w:p w:rsidR="00F91484" w:rsidRDefault="00F91484" w:rsidP="00F91484">
      <w:pPr>
        <w:pStyle w:val="H23G"/>
        <w:rPr>
          <w:lang w:val="fr-FR"/>
        </w:rPr>
      </w:pPr>
      <w:r w:rsidRPr="004B4555">
        <w:rPr>
          <w:lang w:val="fr-FR"/>
        </w:rPr>
        <w:tab/>
      </w:r>
      <w:r>
        <w:rPr>
          <w:lang w:val="fr-FR"/>
        </w:rPr>
        <w:t>1</w:t>
      </w:r>
      <w:r w:rsidRPr="004B4555">
        <w:rPr>
          <w:lang w:val="fr-FR"/>
        </w:rPr>
        <w:t>.</w:t>
      </w:r>
      <w:r w:rsidRPr="004B4555">
        <w:rPr>
          <w:lang w:val="fr-FR"/>
        </w:rPr>
        <w:tab/>
      </w:r>
      <w:r>
        <w:rPr>
          <w:lang w:val="fr-FR"/>
        </w:rPr>
        <w:t>Mesure transitoire pour la conformité au Règlement ECE No 34</w:t>
      </w:r>
    </w:p>
    <w:p w:rsidR="00F91484" w:rsidRPr="0054289D" w:rsidRDefault="00F91484" w:rsidP="00F91484">
      <w:pPr>
        <w:pStyle w:val="SingleTxtG"/>
        <w:tabs>
          <w:tab w:val="left" w:pos="3100"/>
        </w:tabs>
        <w:rPr>
          <w:lang w:val="fr-FR"/>
        </w:rPr>
      </w:pPr>
      <w:r>
        <w:rPr>
          <w:i/>
          <w:lang w:val="fr-FR"/>
        </w:rPr>
        <w:t xml:space="preserve">Document </w:t>
      </w:r>
      <w:proofErr w:type="gramStart"/>
      <w:r>
        <w:rPr>
          <w:i/>
          <w:lang w:val="fr-FR"/>
        </w:rPr>
        <w:t>informel</w:t>
      </w:r>
      <w:r w:rsidRPr="0054289D">
        <w:rPr>
          <w:lang w:val="fr-FR"/>
        </w:rPr>
        <w:t>:</w:t>
      </w:r>
      <w:proofErr w:type="gramEnd"/>
      <w:r w:rsidRPr="0054289D">
        <w:rPr>
          <w:lang w:val="fr-FR"/>
        </w:rPr>
        <w:t xml:space="preserve"> </w:t>
      </w:r>
      <w:r w:rsidRPr="0054289D">
        <w:rPr>
          <w:lang w:val="fr-FR"/>
        </w:rPr>
        <w:tab/>
        <w:t>INF.</w:t>
      </w:r>
      <w:r>
        <w:rPr>
          <w:lang w:val="fr-FR"/>
        </w:rPr>
        <w:t>7</w:t>
      </w:r>
      <w:r w:rsidRPr="0054289D">
        <w:rPr>
          <w:lang w:val="fr-FR"/>
        </w:rPr>
        <w:t xml:space="preserve"> (</w:t>
      </w:r>
      <w:r>
        <w:rPr>
          <w:lang w:val="fr-FR"/>
        </w:rPr>
        <w:t>France</w:t>
      </w:r>
      <w:r w:rsidRPr="0054289D">
        <w:rPr>
          <w:lang w:val="fr-FR"/>
        </w:rPr>
        <w:t>)</w:t>
      </w:r>
    </w:p>
    <w:p w:rsidR="00F91484" w:rsidRDefault="00F91484" w:rsidP="00F91484">
      <w:pPr>
        <w:pStyle w:val="ParNoG"/>
        <w:numPr>
          <w:ilvl w:val="0"/>
          <w:numId w:val="0"/>
        </w:numPr>
        <w:tabs>
          <w:tab w:val="left" w:pos="708"/>
        </w:tabs>
        <w:ind w:left="1134"/>
      </w:pPr>
      <w:r>
        <w:t>19.</w:t>
      </w:r>
      <w:r>
        <w:tab/>
        <w:t xml:space="preserve">Le Groupe de travail a adopté la proposition de la France d’étendre la durée d’application de la mesure transitoire 1.6.5.16. Cet amendement sera ajouté </w:t>
      </w:r>
      <w:r w:rsidRPr="001D7ABB">
        <w:t>à la liste des amendements pour entrée en vigueur le 1</w:t>
      </w:r>
      <w:r w:rsidRPr="001D7ABB">
        <w:rPr>
          <w:vertAlign w:val="superscript"/>
        </w:rPr>
        <w:t>er</w:t>
      </w:r>
      <w:r w:rsidRPr="001D7ABB">
        <w:t xml:space="preserve"> janvier </w:t>
      </w:r>
      <w:r>
        <w:t>2017 (voir annexe</w:t>
      </w:r>
      <w:r w:rsidR="00B402D7">
        <w:t xml:space="preserve"> I). </w:t>
      </w:r>
    </w:p>
    <w:p w:rsidR="00A346BD" w:rsidRDefault="00A346BD" w:rsidP="00A346BD">
      <w:pPr>
        <w:pStyle w:val="H23G"/>
        <w:rPr>
          <w:lang w:val="fr-FR"/>
        </w:rPr>
      </w:pPr>
      <w:r w:rsidRPr="004B4555">
        <w:rPr>
          <w:lang w:val="fr-FR"/>
        </w:rPr>
        <w:tab/>
      </w:r>
      <w:r>
        <w:rPr>
          <w:lang w:val="fr-FR"/>
        </w:rPr>
        <w:t>2</w:t>
      </w:r>
      <w:r w:rsidRPr="004B4555">
        <w:rPr>
          <w:lang w:val="fr-FR"/>
        </w:rPr>
        <w:t>.</w:t>
      </w:r>
      <w:r w:rsidRPr="004B4555">
        <w:rPr>
          <w:lang w:val="fr-FR"/>
        </w:rPr>
        <w:tab/>
      </w:r>
      <w:r>
        <w:rPr>
          <w:lang w:val="fr-FR"/>
        </w:rPr>
        <w:t>Proposition d’amendement au 9.7.3</w:t>
      </w:r>
    </w:p>
    <w:p w:rsidR="00A346BD" w:rsidRDefault="00A346BD" w:rsidP="00A346BD">
      <w:pPr>
        <w:pStyle w:val="SingleTxtG"/>
        <w:tabs>
          <w:tab w:val="left" w:pos="2410"/>
        </w:tabs>
        <w:rPr>
          <w:lang w:val="fr-FR"/>
        </w:rPr>
      </w:pPr>
      <w:proofErr w:type="gramStart"/>
      <w:r>
        <w:rPr>
          <w:i/>
          <w:lang w:val="fr-FR"/>
        </w:rPr>
        <w:t>Document</w:t>
      </w:r>
      <w:r w:rsidRPr="0054289D">
        <w:rPr>
          <w:lang w:val="fr-FR"/>
        </w:rPr>
        <w:t>:</w:t>
      </w:r>
      <w:proofErr w:type="gramEnd"/>
      <w:r w:rsidRPr="0054289D">
        <w:rPr>
          <w:lang w:val="fr-FR"/>
        </w:rPr>
        <w:t xml:space="preserve"> </w:t>
      </w:r>
      <w:r w:rsidRPr="0054289D">
        <w:rPr>
          <w:lang w:val="fr-FR"/>
        </w:rPr>
        <w:tab/>
      </w:r>
      <w:r>
        <w:rPr>
          <w:lang w:val="fr-FR"/>
        </w:rPr>
        <w:t>ECE/TRANS/WP.15/AC.1/142/Add.2</w:t>
      </w:r>
      <w:r w:rsidRPr="0054289D">
        <w:rPr>
          <w:lang w:val="fr-FR"/>
        </w:rPr>
        <w:t xml:space="preserve"> (</w:t>
      </w:r>
      <w:r>
        <w:rPr>
          <w:lang w:val="fr-FR"/>
        </w:rPr>
        <w:t>Secrétariat</w:t>
      </w:r>
      <w:r w:rsidRPr="0054289D">
        <w:rPr>
          <w:lang w:val="fr-FR"/>
        </w:rPr>
        <w:t>)</w:t>
      </w:r>
    </w:p>
    <w:p w:rsidR="00A346BD" w:rsidRDefault="00A346BD" w:rsidP="00A346BD">
      <w:pPr>
        <w:pStyle w:val="SingleTxtG"/>
        <w:tabs>
          <w:tab w:val="left" w:pos="3100"/>
        </w:tabs>
        <w:rPr>
          <w:lang w:val="fr-FR"/>
        </w:rPr>
      </w:pPr>
      <w:r>
        <w:rPr>
          <w:i/>
          <w:lang w:val="fr-FR"/>
        </w:rPr>
        <w:lastRenderedPageBreak/>
        <w:t xml:space="preserve">Document </w:t>
      </w:r>
      <w:proofErr w:type="gramStart"/>
      <w:r>
        <w:rPr>
          <w:i/>
          <w:lang w:val="fr-FR"/>
        </w:rPr>
        <w:t>informel</w:t>
      </w:r>
      <w:r w:rsidRPr="0054289D">
        <w:rPr>
          <w:lang w:val="fr-FR"/>
        </w:rPr>
        <w:t>:</w:t>
      </w:r>
      <w:proofErr w:type="gramEnd"/>
      <w:r w:rsidRPr="0054289D">
        <w:rPr>
          <w:lang w:val="fr-FR"/>
        </w:rPr>
        <w:t xml:space="preserve"> </w:t>
      </w:r>
      <w:r w:rsidRPr="0054289D">
        <w:rPr>
          <w:lang w:val="fr-FR"/>
        </w:rPr>
        <w:tab/>
        <w:t>INF.</w:t>
      </w:r>
      <w:r>
        <w:rPr>
          <w:lang w:val="fr-FR"/>
        </w:rPr>
        <w:t>27</w:t>
      </w:r>
      <w:r w:rsidRPr="0054289D">
        <w:rPr>
          <w:lang w:val="fr-FR"/>
        </w:rPr>
        <w:t xml:space="preserve"> (</w:t>
      </w:r>
      <w:r>
        <w:rPr>
          <w:lang w:val="fr-FR"/>
        </w:rPr>
        <w:t>Secrétariat</w:t>
      </w:r>
      <w:r w:rsidRPr="0054289D">
        <w:rPr>
          <w:lang w:val="fr-FR"/>
        </w:rPr>
        <w:t>)</w:t>
      </w:r>
    </w:p>
    <w:p w:rsidR="00A346BD" w:rsidRDefault="00294669" w:rsidP="00A346BD">
      <w:pPr>
        <w:spacing w:after="120"/>
        <w:ind w:left="1134" w:right="1134"/>
        <w:jc w:val="both"/>
      </w:pPr>
      <w:r>
        <w:rPr>
          <w:lang w:val="fr-FR"/>
        </w:rPr>
        <w:t>20</w:t>
      </w:r>
      <w:r w:rsidR="00A346BD">
        <w:rPr>
          <w:lang w:val="fr-FR"/>
        </w:rPr>
        <w:t>.</w:t>
      </w:r>
      <w:r w:rsidR="00A346BD">
        <w:rPr>
          <w:lang w:val="fr-FR"/>
        </w:rPr>
        <w:tab/>
        <w:t xml:space="preserve">Le Groupe de travail a noté que le </w:t>
      </w:r>
      <w:r w:rsidR="00A346BD" w:rsidRPr="001816D2">
        <w:t>Groupe de travail sur les citernes</w:t>
      </w:r>
      <w:r w:rsidR="00A346BD">
        <w:t xml:space="preserve"> de la Réunion commune avait requis son avis sur la proposition 2 de la Norvège dans le document ECE/TRANS/WP.15/AC.1/2016/11 soumis à la session de mars 2016.</w:t>
      </w:r>
    </w:p>
    <w:p w:rsidR="00A346BD" w:rsidRPr="0054289D" w:rsidRDefault="00294669" w:rsidP="00A346BD">
      <w:pPr>
        <w:spacing w:after="120"/>
        <w:ind w:left="1134" w:right="1134"/>
        <w:jc w:val="both"/>
        <w:rPr>
          <w:lang w:val="fr-FR"/>
        </w:rPr>
      </w:pPr>
      <w:r>
        <w:t>21</w:t>
      </w:r>
      <w:r w:rsidR="00A346BD">
        <w:t>.</w:t>
      </w:r>
      <w:r w:rsidR="00A346BD">
        <w:tab/>
        <w:t xml:space="preserve">Ce point sera ajouté à l’ordre du jour de la prochaine session. </w:t>
      </w:r>
    </w:p>
    <w:p w:rsidR="00F91484" w:rsidRPr="004B4555" w:rsidRDefault="00F91484" w:rsidP="00F91484">
      <w:pPr>
        <w:pStyle w:val="H1G"/>
        <w:spacing w:before="240"/>
        <w:rPr>
          <w:lang w:val="fr-FR"/>
        </w:rPr>
      </w:pPr>
      <w:r w:rsidRPr="004B4555">
        <w:rPr>
          <w:lang w:val="fr-FR"/>
        </w:rPr>
        <w:tab/>
      </w:r>
      <w:r>
        <w:rPr>
          <w:lang w:val="fr-FR"/>
        </w:rPr>
        <w:t>B</w:t>
      </w:r>
      <w:r w:rsidRPr="004B4555">
        <w:rPr>
          <w:lang w:val="fr-FR"/>
        </w:rPr>
        <w:t>.</w:t>
      </w:r>
      <w:r w:rsidRPr="004B4555">
        <w:rPr>
          <w:lang w:val="fr-FR"/>
        </w:rPr>
        <w:tab/>
      </w:r>
      <w:r w:rsidRPr="006615B4">
        <w:rPr>
          <w:lang w:val="fr-FR"/>
        </w:rPr>
        <w:t>Propositions diverses</w:t>
      </w:r>
    </w:p>
    <w:p w:rsidR="00F91484" w:rsidRPr="004B4555" w:rsidRDefault="00F91484" w:rsidP="00F91484">
      <w:pPr>
        <w:pStyle w:val="H23G"/>
        <w:rPr>
          <w:lang w:val="fr-FR"/>
        </w:rPr>
      </w:pPr>
      <w:r w:rsidRPr="004B4555">
        <w:rPr>
          <w:lang w:val="fr-FR"/>
        </w:rPr>
        <w:tab/>
      </w:r>
      <w:r>
        <w:rPr>
          <w:lang w:val="fr-FR"/>
        </w:rPr>
        <w:t>1</w:t>
      </w:r>
      <w:r w:rsidRPr="004B4555">
        <w:rPr>
          <w:lang w:val="fr-FR"/>
        </w:rPr>
        <w:t>.</w:t>
      </w:r>
      <w:r w:rsidRPr="004B4555">
        <w:rPr>
          <w:lang w:val="fr-FR"/>
        </w:rPr>
        <w:tab/>
      </w:r>
      <w:r>
        <w:rPr>
          <w:lang w:val="fr-FR"/>
        </w:rPr>
        <w:t>Amendements à la sous-section 1.4.2.2</w:t>
      </w:r>
    </w:p>
    <w:p w:rsidR="00F91484" w:rsidRDefault="00F91484" w:rsidP="00F91484">
      <w:pPr>
        <w:pStyle w:val="SingleTxtG"/>
        <w:spacing w:before="120"/>
        <w:jc w:val="left"/>
      </w:pPr>
      <w:proofErr w:type="gramStart"/>
      <w:r w:rsidRPr="008E380C">
        <w:rPr>
          <w:i/>
        </w:rPr>
        <w:t>Document:</w:t>
      </w:r>
      <w:proofErr w:type="gramEnd"/>
      <w:r w:rsidRPr="008E380C">
        <w:rPr>
          <w:i/>
        </w:rPr>
        <w:t xml:space="preserve"> </w:t>
      </w:r>
      <w:r w:rsidRPr="008E380C">
        <w:rPr>
          <w:i/>
        </w:rPr>
        <w:tab/>
      </w:r>
      <w:r>
        <w:t>ECE/TRANS/WP.15/2016/1</w:t>
      </w:r>
      <w:r w:rsidRPr="008E380C">
        <w:t xml:space="preserve"> (</w:t>
      </w:r>
      <w:r>
        <w:t>Roumanie</w:t>
      </w:r>
      <w:r w:rsidRPr="008E380C">
        <w:t>)</w:t>
      </w:r>
    </w:p>
    <w:p w:rsidR="00F91484" w:rsidRDefault="00F91484" w:rsidP="00F91484">
      <w:pPr>
        <w:pStyle w:val="SingleTxtG"/>
        <w:tabs>
          <w:tab w:val="left" w:pos="3100"/>
        </w:tabs>
        <w:rPr>
          <w:lang w:val="fr-FR"/>
        </w:rPr>
      </w:pPr>
      <w:r>
        <w:rPr>
          <w:i/>
          <w:lang w:val="fr-FR"/>
        </w:rPr>
        <w:t xml:space="preserve">Document </w:t>
      </w:r>
      <w:proofErr w:type="gramStart"/>
      <w:r>
        <w:rPr>
          <w:i/>
          <w:lang w:val="fr-FR"/>
        </w:rPr>
        <w:t>informel</w:t>
      </w:r>
      <w:r w:rsidRPr="0054289D">
        <w:rPr>
          <w:lang w:val="fr-FR"/>
        </w:rPr>
        <w:t>:</w:t>
      </w:r>
      <w:proofErr w:type="gramEnd"/>
      <w:r w:rsidRPr="0054289D">
        <w:rPr>
          <w:lang w:val="fr-FR"/>
        </w:rPr>
        <w:t xml:space="preserve"> </w:t>
      </w:r>
      <w:r w:rsidRPr="0054289D">
        <w:rPr>
          <w:lang w:val="fr-FR"/>
        </w:rPr>
        <w:tab/>
        <w:t>INF.</w:t>
      </w:r>
      <w:r>
        <w:rPr>
          <w:lang w:val="fr-FR"/>
        </w:rPr>
        <w:t>15</w:t>
      </w:r>
      <w:r w:rsidRPr="0054289D">
        <w:rPr>
          <w:lang w:val="fr-FR"/>
        </w:rPr>
        <w:t xml:space="preserve"> (</w:t>
      </w:r>
      <w:r>
        <w:rPr>
          <w:lang w:val="fr-FR"/>
        </w:rPr>
        <w:t>Secrétariat</w:t>
      </w:r>
      <w:r w:rsidRPr="0054289D">
        <w:rPr>
          <w:lang w:val="fr-FR"/>
        </w:rPr>
        <w:t>)</w:t>
      </w:r>
    </w:p>
    <w:p w:rsidR="00F91484" w:rsidRDefault="00294669" w:rsidP="00F91484">
      <w:pPr>
        <w:pStyle w:val="ParNoG"/>
        <w:numPr>
          <w:ilvl w:val="0"/>
          <w:numId w:val="0"/>
        </w:numPr>
        <w:tabs>
          <w:tab w:val="left" w:pos="708"/>
        </w:tabs>
        <w:ind w:left="1134"/>
      </w:pPr>
      <w:r>
        <w:t>22</w:t>
      </w:r>
      <w:r w:rsidR="00F91484">
        <w:t>.</w:t>
      </w:r>
      <w:r w:rsidR="00F91484">
        <w:tab/>
        <w:t xml:space="preserve">Après discussion, le représentant de la Roumanie a retiré sa proposition visant à améliorer le texte, à l’exception de l’amendement visant à remplacer «véhicule» par «unité de transport» au 1.4.2.2 g) qui a été adopté pour </w:t>
      </w:r>
      <w:r w:rsidR="00F91484" w:rsidRPr="001D7ABB">
        <w:t>entrée en vigueur le 1</w:t>
      </w:r>
      <w:r w:rsidR="00F91484" w:rsidRPr="003760F8">
        <w:rPr>
          <w:vertAlign w:val="superscript"/>
        </w:rPr>
        <w:t>er</w:t>
      </w:r>
      <w:r w:rsidR="00F91484" w:rsidRPr="001D7ABB">
        <w:t xml:space="preserve"> janvier </w:t>
      </w:r>
      <w:r w:rsidR="00F91484">
        <w:t>2017</w:t>
      </w:r>
      <w:r w:rsidR="00F91484" w:rsidRPr="00C745EB">
        <w:t xml:space="preserve"> </w:t>
      </w:r>
      <w:r w:rsidR="00F91484">
        <w:t>(voir annexe</w:t>
      </w:r>
      <w:r w:rsidR="00B402D7">
        <w:t xml:space="preserve"> I).</w:t>
      </w:r>
    </w:p>
    <w:p w:rsidR="00F91484" w:rsidRPr="004B4555" w:rsidRDefault="00F91484" w:rsidP="00F91484">
      <w:pPr>
        <w:pStyle w:val="H23G"/>
        <w:rPr>
          <w:lang w:val="fr-FR"/>
        </w:rPr>
      </w:pPr>
      <w:r w:rsidRPr="004B4555">
        <w:rPr>
          <w:lang w:val="fr-FR"/>
        </w:rPr>
        <w:tab/>
      </w:r>
      <w:r>
        <w:rPr>
          <w:lang w:val="fr-FR"/>
        </w:rPr>
        <w:t>2</w:t>
      </w:r>
      <w:r w:rsidRPr="004B4555">
        <w:rPr>
          <w:lang w:val="fr-FR"/>
        </w:rPr>
        <w:t>.</w:t>
      </w:r>
      <w:r w:rsidRPr="004B4555">
        <w:rPr>
          <w:lang w:val="fr-FR"/>
        </w:rPr>
        <w:tab/>
      </w:r>
      <w:r>
        <w:rPr>
          <w:lang w:val="fr-FR"/>
        </w:rPr>
        <w:t>Disposition spéciale 664</w:t>
      </w:r>
    </w:p>
    <w:p w:rsidR="00F91484" w:rsidRDefault="00F91484" w:rsidP="00F91484">
      <w:pPr>
        <w:pStyle w:val="SingleTxtG"/>
        <w:spacing w:before="120"/>
        <w:jc w:val="left"/>
      </w:pPr>
      <w:proofErr w:type="gramStart"/>
      <w:r w:rsidRPr="008E380C">
        <w:rPr>
          <w:i/>
        </w:rPr>
        <w:t>Document:</w:t>
      </w:r>
      <w:proofErr w:type="gramEnd"/>
      <w:r w:rsidRPr="008E380C">
        <w:rPr>
          <w:i/>
        </w:rPr>
        <w:t xml:space="preserve"> </w:t>
      </w:r>
      <w:r w:rsidRPr="008E380C">
        <w:rPr>
          <w:i/>
        </w:rPr>
        <w:tab/>
      </w:r>
      <w:r>
        <w:t>ECE/TRANS/WP.15/2016/2</w:t>
      </w:r>
      <w:r w:rsidRPr="008E380C">
        <w:t xml:space="preserve"> (</w:t>
      </w:r>
      <w:r>
        <w:t>Suisse</w:t>
      </w:r>
      <w:r w:rsidRPr="008E380C">
        <w:t>)</w:t>
      </w:r>
    </w:p>
    <w:p w:rsidR="00F91484" w:rsidRPr="001D7ABB" w:rsidRDefault="00294669" w:rsidP="00F91484">
      <w:pPr>
        <w:pStyle w:val="ParNoG"/>
        <w:numPr>
          <w:ilvl w:val="0"/>
          <w:numId w:val="0"/>
        </w:numPr>
        <w:tabs>
          <w:tab w:val="left" w:pos="708"/>
        </w:tabs>
        <w:ind w:left="1134"/>
      </w:pPr>
      <w:r>
        <w:t>23</w:t>
      </w:r>
      <w:r w:rsidR="00F91484">
        <w:t>.</w:t>
      </w:r>
      <w:r w:rsidR="00F91484">
        <w:tab/>
        <w:t>La proposition visant à modifier l’alinéa e) de la disposition spéciale 664 figurant au paragraphe 9 du document ECE/TRANS/WP.15/2016/2</w:t>
      </w:r>
      <w:r w:rsidR="00F91484" w:rsidRPr="008E380C">
        <w:t xml:space="preserve"> </w:t>
      </w:r>
      <w:r w:rsidR="00F91484">
        <w:t xml:space="preserve">a été adoptée avec une modification éditoriale pour la version anglaise. Cet amendement sera ajouté </w:t>
      </w:r>
      <w:r w:rsidR="00F91484" w:rsidRPr="001D7ABB">
        <w:t>à la liste des amendements pour entrée en vigueur le 1</w:t>
      </w:r>
      <w:r w:rsidR="00F91484" w:rsidRPr="003760F8">
        <w:rPr>
          <w:vertAlign w:val="superscript"/>
        </w:rPr>
        <w:t>er</w:t>
      </w:r>
      <w:r w:rsidR="00F91484" w:rsidRPr="001D7ABB">
        <w:t xml:space="preserve"> janvier </w:t>
      </w:r>
      <w:r w:rsidR="00F91484">
        <w:t>2017 (voir annexe</w:t>
      </w:r>
      <w:r w:rsidR="00B402D7">
        <w:t xml:space="preserve"> I). </w:t>
      </w:r>
    </w:p>
    <w:p w:rsidR="00F91484" w:rsidRDefault="00294669" w:rsidP="00F91484">
      <w:pPr>
        <w:pStyle w:val="ParNoG"/>
        <w:numPr>
          <w:ilvl w:val="0"/>
          <w:numId w:val="0"/>
        </w:numPr>
        <w:tabs>
          <w:tab w:val="left" w:pos="708"/>
        </w:tabs>
        <w:ind w:left="1134"/>
      </w:pPr>
      <w:r>
        <w:t>24</w:t>
      </w:r>
      <w:r w:rsidR="00F91484">
        <w:t>.</w:t>
      </w:r>
      <w:r w:rsidR="00F91484">
        <w:tab/>
        <w:t>La proposition visant à modifier la mesure transitoire 1.6.3.44 figurant au paragraphe 10 du document ECE/TRANS/WP.15/2016/2, mise aux voix, n’a pas été adoptée.</w:t>
      </w:r>
    </w:p>
    <w:p w:rsidR="00F91484" w:rsidRPr="004B4555" w:rsidRDefault="00F91484" w:rsidP="00F91484">
      <w:pPr>
        <w:pStyle w:val="H23G"/>
        <w:rPr>
          <w:lang w:val="fr-FR"/>
        </w:rPr>
      </w:pPr>
      <w:r w:rsidRPr="004B4555">
        <w:rPr>
          <w:lang w:val="fr-FR"/>
        </w:rPr>
        <w:tab/>
      </w:r>
      <w:r>
        <w:rPr>
          <w:lang w:val="fr-FR"/>
        </w:rPr>
        <w:t>3</w:t>
      </w:r>
      <w:r w:rsidRPr="004B4555">
        <w:rPr>
          <w:lang w:val="fr-FR"/>
        </w:rPr>
        <w:t>.</w:t>
      </w:r>
      <w:r w:rsidRPr="004B4555">
        <w:rPr>
          <w:lang w:val="fr-FR"/>
        </w:rPr>
        <w:tab/>
      </w:r>
      <w:r>
        <w:rPr>
          <w:lang w:val="fr-FR"/>
        </w:rPr>
        <w:t>Proposition de modification des 1.1.3.6.4 et 5.4.1.1.1 f)</w:t>
      </w:r>
    </w:p>
    <w:p w:rsidR="00F91484" w:rsidRDefault="00F91484" w:rsidP="00F91484">
      <w:pPr>
        <w:pStyle w:val="SingleTxtG"/>
        <w:spacing w:before="120"/>
        <w:jc w:val="left"/>
      </w:pPr>
      <w:proofErr w:type="gramStart"/>
      <w:r w:rsidRPr="008E380C">
        <w:rPr>
          <w:i/>
        </w:rPr>
        <w:t>Document:</w:t>
      </w:r>
      <w:proofErr w:type="gramEnd"/>
      <w:r w:rsidRPr="008E380C">
        <w:rPr>
          <w:i/>
        </w:rPr>
        <w:t xml:space="preserve"> </w:t>
      </w:r>
      <w:r w:rsidRPr="008E380C">
        <w:rPr>
          <w:i/>
        </w:rPr>
        <w:tab/>
      </w:r>
      <w:r>
        <w:t>ECE/TRANS/WP.15/2016/3</w:t>
      </w:r>
      <w:r w:rsidRPr="008E380C">
        <w:t xml:space="preserve"> (</w:t>
      </w:r>
      <w:r>
        <w:t>IRU</w:t>
      </w:r>
      <w:r w:rsidRPr="008E380C">
        <w:t>)</w:t>
      </w:r>
    </w:p>
    <w:p w:rsidR="00F91484" w:rsidRDefault="00F91484" w:rsidP="00F91484">
      <w:pPr>
        <w:pStyle w:val="SingleTxtG"/>
        <w:tabs>
          <w:tab w:val="left" w:pos="3100"/>
        </w:tabs>
        <w:rPr>
          <w:lang w:val="fr-FR"/>
        </w:rPr>
      </w:pPr>
      <w:r>
        <w:rPr>
          <w:i/>
          <w:lang w:val="fr-FR"/>
        </w:rPr>
        <w:t xml:space="preserve">Document </w:t>
      </w:r>
      <w:proofErr w:type="gramStart"/>
      <w:r>
        <w:rPr>
          <w:i/>
          <w:lang w:val="fr-FR"/>
        </w:rPr>
        <w:t>informel</w:t>
      </w:r>
      <w:r w:rsidRPr="0054289D">
        <w:rPr>
          <w:lang w:val="fr-FR"/>
        </w:rPr>
        <w:t>:</w:t>
      </w:r>
      <w:proofErr w:type="gramEnd"/>
      <w:r w:rsidRPr="0054289D">
        <w:rPr>
          <w:lang w:val="fr-FR"/>
        </w:rPr>
        <w:t xml:space="preserve"> </w:t>
      </w:r>
      <w:r w:rsidRPr="0054289D">
        <w:rPr>
          <w:lang w:val="fr-FR"/>
        </w:rPr>
        <w:tab/>
        <w:t>INF.</w:t>
      </w:r>
      <w:r>
        <w:rPr>
          <w:lang w:val="fr-FR"/>
        </w:rPr>
        <w:t>24</w:t>
      </w:r>
      <w:r w:rsidRPr="0054289D">
        <w:rPr>
          <w:lang w:val="fr-FR"/>
        </w:rPr>
        <w:t xml:space="preserve"> (</w:t>
      </w:r>
      <w:r>
        <w:rPr>
          <w:lang w:val="fr-FR"/>
        </w:rPr>
        <w:t>Suède</w:t>
      </w:r>
      <w:r w:rsidRPr="0054289D">
        <w:rPr>
          <w:lang w:val="fr-FR"/>
        </w:rPr>
        <w:t>)</w:t>
      </w:r>
    </w:p>
    <w:p w:rsidR="00F91484" w:rsidRDefault="00294669" w:rsidP="00F91484">
      <w:pPr>
        <w:pStyle w:val="ParNoG"/>
        <w:numPr>
          <w:ilvl w:val="0"/>
          <w:numId w:val="0"/>
        </w:numPr>
        <w:tabs>
          <w:tab w:val="left" w:pos="708"/>
        </w:tabs>
        <w:ind w:left="1134"/>
      </w:pPr>
      <w:r>
        <w:t>25</w:t>
      </w:r>
      <w:r w:rsidR="00F91484">
        <w:t>.</w:t>
      </w:r>
      <w:r w:rsidR="00F91484">
        <w:tab/>
        <w:t>Après discussion, i</w:t>
      </w:r>
      <w:r w:rsidR="00F91484" w:rsidRPr="00C27B50">
        <w:t>l est appar</w:t>
      </w:r>
      <w:r w:rsidR="00F91484">
        <w:t>u que l</w:t>
      </w:r>
      <w:r w:rsidR="00F91484" w:rsidRPr="00C27B50">
        <w:t xml:space="preserve">es propositions de </w:t>
      </w:r>
      <w:r w:rsidR="00F91484">
        <w:t>l’IRU et de la Suède</w:t>
      </w:r>
      <w:r w:rsidR="00F91484" w:rsidRPr="00C27B50">
        <w:t xml:space="preserve"> visant à </w:t>
      </w:r>
      <w:r w:rsidR="00F91484" w:rsidRPr="007903C2">
        <w:t>simplifier le 1.1.3.6.4 et les informations qui y sont relatives dans le document de transport</w:t>
      </w:r>
      <w:r w:rsidR="00F91484" w:rsidRPr="00C27B50">
        <w:t xml:space="preserve"> dem</w:t>
      </w:r>
      <w:r w:rsidR="00F91484">
        <w:t>andaient davantage de réflexion. Le représentant de l’IRU présentera u</w:t>
      </w:r>
      <w:r w:rsidR="00F91484" w:rsidRPr="00C27B50">
        <w:t xml:space="preserve">n nouveau document à la prochaine session pour tenir compte des diverses interventions. </w:t>
      </w:r>
      <w:r w:rsidR="00F91484">
        <w:t>Les délégations qui le souhaitent pourront transmettre leurs commentaires par écrit au représentant de l’IRU.</w:t>
      </w:r>
    </w:p>
    <w:p w:rsidR="00625A9B" w:rsidRPr="00B3449E" w:rsidRDefault="00625A9B" w:rsidP="00625A9B">
      <w:pPr>
        <w:keepNext/>
        <w:keepLines/>
        <w:tabs>
          <w:tab w:val="right" w:pos="851"/>
        </w:tabs>
        <w:spacing w:before="240" w:after="120" w:line="240" w:lineRule="exact"/>
        <w:ind w:left="1134" w:right="1134" w:hanging="1134"/>
        <w:rPr>
          <w:b/>
          <w:lang w:val="fr-FR"/>
        </w:rPr>
      </w:pPr>
      <w:r w:rsidRPr="00B3449E">
        <w:rPr>
          <w:b/>
          <w:lang w:val="fr-FR"/>
        </w:rPr>
        <w:tab/>
        <w:t>4.</w:t>
      </w:r>
      <w:r w:rsidRPr="00B3449E">
        <w:rPr>
          <w:b/>
          <w:lang w:val="fr-FR"/>
        </w:rPr>
        <w:tab/>
        <w:t>Codes de restriction en tunnel pour les rubriques des véhicules, moteurs et machines, Nos ONU 3166, 3171, 3528, 3529 et 3530, qui ne sont pas exemptés</w:t>
      </w:r>
    </w:p>
    <w:p w:rsidR="00625A9B" w:rsidRPr="00B3449E" w:rsidRDefault="00625A9B" w:rsidP="00625A9B">
      <w:pPr>
        <w:spacing w:before="120" w:after="120"/>
        <w:ind w:left="1134" w:right="1134"/>
      </w:pPr>
      <w:proofErr w:type="gramStart"/>
      <w:r>
        <w:rPr>
          <w:i/>
        </w:rPr>
        <w:t>Document:</w:t>
      </w:r>
      <w:proofErr w:type="gramEnd"/>
      <w:r w:rsidRPr="00B3449E">
        <w:rPr>
          <w:i/>
        </w:rPr>
        <w:tab/>
      </w:r>
      <w:r>
        <w:rPr>
          <w:i/>
        </w:rPr>
        <w:tab/>
      </w:r>
      <w:r>
        <w:rPr>
          <w:i/>
        </w:rPr>
        <w:tab/>
      </w:r>
      <w:r w:rsidRPr="00B3449E">
        <w:t>ECE/TRANS/WP.15/2016/4 (Suisse)</w:t>
      </w:r>
    </w:p>
    <w:p w:rsidR="00625A9B" w:rsidRPr="00B3449E" w:rsidRDefault="00625A9B" w:rsidP="00625A9B">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ab/>
      </w:r>
      <w:r w:rsidRPr="00B3449E">
        <w:rPr>
          <w:lang w:val="fr-FR"/>
        </w:rPr>
        <w:t>INF.8 (</w:t>
      </w:r>
      <w:r w:rsidRPr="00B3449E">
        <w:t>Suisse</w:t>
      </w:r>
      <w:r w:rsidRPr="00B3449E">
        <w:rPr>
          <w:lang w:val="fr-FR"/>
        </w:rPr>
        <w:t>)</w:t>
      </w:r>
    </w:p>
    <w:p w:rsidR="00625A9B" w:rsidRDefault="00294669" w:rsidP="00625A9B">
      <w:pPr>
        <w:spacing w:after="120"/>
        <w:ind w:left="1134" w:right="1134"/>
        <w:jc w:val="both"/>
      </w:pPr>
      <w:r>
        <w:t>26</w:t>
      </w:r>
      <w:r w:rsidR="00625A9B">
        <w:t>.</w:t>
      </w:r>
      <w:r w:rsidR="00625A9B">
        <w:tab/>
        <w:t>Le représentant de</w:t>
      </w:r>
      <w:r w:rsidR="00625A9B" w:rsidRPr="00B3449E">
        <w:t xml:space="preserve"> la Suisse</w:t>
      </w:r>
      <w:r w:rsidR="00625A9B">
        <w:t xml:space="preserve"> a présenté sa proposition te</w:t>
      </w:r>
      <w:r w:rsidR="00625A9B" w:rsidRPr="00B3449E">
        <w:t xml:space="preserve">lle que modifiée dans le document informel INF.8 pour tenir compte des décisions de la Réunion commune </w:t>
      </w:r>
      <w:r w:rsidR="00625A9B" w:rsidRPr="00B3449E">
        <w:rPr>
          <w:szCs w:val="24"/>
        </w:rPr>
        <w:t>de ne pas prévoir de catégories de transport ni de codes tunnels pour les Nos. ONU 3166 et 3171.</w:t>
      </w:r>
    </w:p>
    <w:p w:rsidR="00625A9B" w:rsidRPr="00B3449E" w:rsidRDefault="00294669" w:rsidP="00625A9B">
      <w:pPr>
        <w:spacing w:after="120"/>
        <w:ind w:left="1134" w:right="1134"/>
        <w:jc w:val="both"/>
      </w:pPr>
      <w:r>
        <w:t>27</w:t>
      </w:r>
      <w:r w:rsidR="00625A9B">
        <w:t>.</w:t>
      </w:r>
      <w:r w:rsidR="00625A9B">
        <w:tab/>
        <w:t xml:space="preserve">Le Groupe de travail a noté que des discussions relatives à la disposition spéciale 363 auront lieu à la prochaine session du </w:t>
      </w:r>
      <w:r w:rsidR="00625A9B">
        <w:rPr>
          <w:lang w:val="fr-FR"/>
        </w:rPr>
        <w:t xml:space="preserve">Sous-Comité </w:t>
      </w:r>
      <w:r w:rsidR="00625A9B">
        <w:t xml:space="preserve">d’experts du transport des marchandises dangereuses de l’ONU et que les points abordés concerneront notamment </w:t>
      </w:r>
      <w:r w:rsidR="00625A9B" w:rsidRPr="00B3449E">
        <w:t xml:space="preserve">la </w:t>
      </w:r>
      <w:r w:rsidR="00625A9B" w:rsidRPr="00B3449E">
        <w:lastRenderedPageBreak/>
        <w:t xml:space="preserve">question de savoir si la disposition spéciale 363 </w:t>
      </w:r>
      <w:r w:rsidR="00625A9B">
        <w:t>exempte</w:t>
      </w:r>
      <w:r w:rsidR="00625A9B" w:rsidRPr="00B3449E">
        <w:t xml:space="preserve"> tous les cas possibles</w:t>
      </w:r>
      <w:r w:rsidR="00625A9B">
        <w:t xml:space="preserve"> de transport de </w:t>
      </w:r>
      <w:r w:rsidR="00625A9B" w:rsidRPr="00B3449E">
        <w:t>véhicules, moteurs et machines</w:t>
      </w:r>
      <w:r w:rsidR="00625A9B">
        <w:t xml:space="preserve">. En conséquence le Groupe de travail a décidé de reporter la discussion sur le document informel INF.8 à la prochaine session, à la lumière </w:t>
      </w:r>
      <w:r w:rsidR="00625A9B" w:rsidRPr="00B3449E">
        <w:t xml:space="preserve">des résultats des discussions qui auront lieu au </w:t>
      </w:r>
      <w:r w:rsidR="00625A9B">
        <w:rPr>
          <w:lang w:val="fr-FR"/>
        </w:rPr>
        <w:t>Sous-Comité</w:t>
      </w:r>
      <w:r w:rsidR="00625A9B" w:rsidRPr="00B3449E">
        <w:t>.</w:t>
      </w:r>
    </w:p>
    <w:p w:rsidR="00625A9B" w:rsidRPr="00B3449E" w:rsidRDefault="00625A9B" w:rsidP="00625A9B">
      <w:pPr>
        <w:keepNext/>
        <w:keepLines/>
        <w:tabs>
          <w:tab w:val="right" w:pos="851"/>
        </w:tabs>
        <w:spacing w:before="240" w:after="120" w:line="240" w:lineRule="exact"/>
        <w:ind w:left="1134" w:right="1134" w:hanging="1134"/>
        <w:rPr>
          <w:b/>
          <w:lang w:val="fr-FR"/>
        </w:rPr>
      </w:pPr>
      <w:r w:rsidRPr="00B3449E">
        <w:rPr>
          <w:b/>
          <w:lang w:val="fr-FR"/>
        </w:rPr>
        <w:tab/>
        <w:t>5.</w:t>
      </w:r>
      <w:r w:rsidRPr="00B3449E">
        <w:rPr>
          <w:b/>
          <w:lang w:val="fr-FR"/>
        </w:rPr>
        <w:tab/>
        <w:t>Possibilité d’utilisation de procédures électroniques pour l’examen des conducteurs de véhicules ADR</w:t>
      </w:r>
    </w:p>
    <w:p w:rsidR="00625A9B" w:rsidRPr="00B3449E" w:rsidRDefault="00625A9B" w:rsidP="00625A9B">
      <w:pPr>
        <w:spacing w:before="120" w:after="120"/>
        <w:ind w:left="1134" w:right="1134"/>
        <w:jc w:val="both"/>
        <w:rPr>
          <w:lang w:val="fr-FR"/>
        </w:rPr>
      </w:pPr>
      <w:proofErr w:type="gramStart"/>
      <w:r>
        <w:rPr>
          <w:i/>
          <w:lang w:val="fr-FR"/>
        </w:rPr>
        <w:t>Document:</w:t>
      </w:r>
      <w:proofErr w:type="gramEnd"/>
      <w:r>
        <w:rPr>
          <w:i/>
          <w:lang w:val="fr-FR"/>
        </w:rPr>
        <w:tab/>
      </w:r>
      <w:r>
        <w:rPr>
          <w:i/>
          <w:lang w:val="fr-FR"/>
        </w:rPr>
        <w:tab/>
      </w:r>
      <w:r>
        <w:rPr>
          <w:i/>
          <w:lang w:val="fr-FR"/>
        </w:rPr>
        <w:tab/>
      </w:r>
      <w:r w:rsidRPr="00B3449E">
        <w:t>ECE/TRANS/WP.15/2016/</w:t>
      </w:r>
      <w:r w:rsidRPr="00B3449E">
        <w:rPr>
          <w:lang w:val="fr-FR"/>
        </w:rPr>
        <w:t>6 (Allemagne)</w:t>
      </w:r>
    </w:p>
    <w:p w:rsidR="00625A9B" w:rsidRPr="00B3449E" w:rsidRDefault="00294669" w:rsidP="00625A9B">
      <w:pPr>
        <w:spacing w:after="120"/>
        <w:ind w:left="1134" w:right="1134"/>
        <w:jc w:val="both"/>
        <w:rPr>
          <w:lang w:val="fr-FR"/>
        </w:rPr>
      </w:pPr>
      <w:r>
        <w:rPr>
          <w:lang w:val="fr-FR"/>
        </w:rPr>
        <w:t>28</w:t>
      </w:r>
      <w:r w:rsidR="00625A9B">
        <w:rPr>
          <w:lang w:val="fr-FR"/>
        </w:rPr>
        <w:t>.</w:t>
      </w:r>
      <w:r w:rsidR="00625A9B">
        <w:rPr>
          <w:lang w:val="fr-FR"/>
        </w:rPr>
        <w:tab/>
      </w:r>
      <w:r w:rsidR="00625A9B" w:rsidRPr="00B3449E">
        <w:rPr>
          <w:lang w:val="fr-FR"/>
        </w:rPr>
        <w:t>Mise aux voix, la proposition a été adoptée pour entrée en vigueur au 1</w:t>
      </w:r>
      <w:r w:rsidR="00625A9B" w:rsidRPr="00B3449E">
        <w:rPr>
          <w:vertAlign w:val="superscript"/>
          <w:lang w:val="fr-FR"/>
        </w:rPr>
        <w:t>er</w:t>
      </w:r>
      <w:r w:rsidR="00625A9B" w:rsidRPr="00B3449E">
        <w:rPr>
          <w:lang w:val="fr-FR"/>
        </w:rPr>
        <w:t xml:space="preserve"> janvier 2017 (voir annexe</w:t>
      </w:r>
      <w:r w:rsidR="00B402D7">
        <w:rPr>
          <w:lang w:val="fr-FR"/>
        </w:rPr>
        <w:t xml:space="preserve"> I</w:t>
      </w:r>
      <w:r w:rsidR="00B402D7" w:rsidRPr="00B3449E">
        <w:rPr>
          <w:lang w:val="fr-FR"/>
        </w:rPr>
        <w:t>).</w:t>
      </w:r>
    </w:p>
    <w:p w:rsidR="00625A9B" w:rsidRPr="00B3449E" w:rsidRDefault="00625A9B" w:rsidP="00625A9B">
      <w:pPr>
        <w:keepNext/>
        <w:keepLines/>
        <w:tabs>
          <w:tab w:val="right" w:pos="851"/>
        </w:tabs>
        <w:spacing w:before="240" w:after="120" w:line="240" w:lineRule="exact"/>
        <w:ind w:left="1134" w:right="1134" w:hanging="1134"/>
        <w:rPr>
          <w:b/>
          <w:lang w:val="fr-FR"/>
        </w:rPr>
      </w:pPr>
      <w:r w:rsidRPr="00B3449E">
        <w:rPr>
          <w:b/>
          <w:lang w:val="fr-FR"/>
        </w:rPr>
        <w:tab/>
        <w:t>6.</w:t>
      </w:r>
      <w:r w:rsidRPr="00B3449E">
        <w:rPr>
          <w:b/>
          <w:lang w:val="fr-FR"/>
        </w:rPr>
        <w:tab/>
        <w:t>Versions nationales des consignes écrites</w:t>
      </w:r>
    </w:p>
    <w:p w:rsidR="00625A9B" w:rsidRPr="00B3449E" w:rsidRDefault="00625A9B" w:rsidP="00625A9B">
      <w:pPr>
        <w:spacing w:before="120" w:after="120"/>
        <w:ind w:left="1134" w:right="1134"/>
        <w:jc w:val="both"/>
        <w:rPr>
          <w:lang w:val="fr-FR"/>
        </w:rPr>
      </w:pPr>
      <w:proofErr w:type="gramStart"/>
      <w:r>
        <w:rPr>
          <w:i/>
          <w:lang w:val="fr-FR"/>
        </w:rPr>
        <w:t>Document:</w:t>
      </w:r>
      <w:proofErr w:type="gramEnd"/>
      <w:r>
        <w:rPr>
          <w:i/>
          <w:lang w:val="fr-FR"/>
        </w:rPr>
        <w:tab/>
      </w:r>
      <w:r>
        <w:rPr>
          <w:i/>
          <w:lang w:val="fr-FR"/>
        </w:rPr>
        <w:tab/>
      </w:r>
      <w:r>
        <w:rPr>
          <w:i/>
          <w:lang w:val="fr-FR"/>
        </w:rPr>
        <w:tab/>
      </w:r>
      <w:r w:rsidRPr="00B3449E">
        <w:t>ECE/TRANS/WP.15/2016/</w:t>
      </w:r>
      <w:r w:rsidRPr="00B3449E">
        <w:rPr>
          <w:lang w:val="fr-FR"/>
        </w:rPr>
        <w:t>8 (Président du Groupe de travail)</w:t>
      </w:r>
    </w:p>
    <w:p w:rsidR="00625A9B" w:rsidRDefault="00294669" w:rsidP="00625A9B">
      <w:pPr>
        <w:spacing w:after="120"/>
        <w:ind w:left="1134" w:right="1134"/>
        <w:jc w:val="both"/>
        <w:rPr>
          <w:lang w:val="fr-FR"/>
        </w:rPr>
      </w:pPr>
      <w:r>
        <w:rPr>
          <w:lang w:val="fr-FR"/>
        </w:rPr>
        <w:t>29</w:t>
      </w:r>
      <w:r w:rsidR="00625A9B">
        <w:rPr>
          <w:lang w:val="fr-FR"/>
        </w:rPr>
        <w:t>.</w:t>
      </w:r>
      <w:r w:rsidR="00625A9B">
        <w:rPr>
          <w:lang w:val="fr-FR"/>
        </w:rPr>
        <w:tab/>
      </w:r>
      <w:r w:rsidR="00625A9B" w:rsidRPr="00B3449E">
        <w:rPr>
          <w:lang w:val="fr-FR"/>
        </w:rPr>
        <w:t xml:space="preserve">La proposition </w:t>
      </w:r>
      <w:r w:rsidR="00625A9B">
        <w:rPr>
          <w:lang w:val="fr-FR"/>
        </w:rPr>
        <w:t xml:space="preserve">d’ajouter, dans l’ADR, </w:t>
      </w:r>
      <w:r w:rsidR="00625A9B">
        <w:t xml:space="preserve">une obligation pour les </w:t>
      </w:r>
      <w:r w:rsidR="00625A9B">
        <w:rPr>
          <w:rFonts w:ascii="TimesNewRomanPSMT" w:hAnsi="TimesNewRomanPSMT" w:cs="TimesNewRomanPSMT"/>
          <w:lang w:val="fr-FR" w:eastAsia="fr-FR"/>
        </w:rPr>
        <w:t xml:space="preserve">Parties contractantes de fournir au secrétariat de la CEE-ONU </w:t>
      </w:r>
      <w:r w:rsidR="00625A9B" w:rsidRPr="00E6063E">
        <w:rPr>
          <w:rFonts w:ascii="TimesNewRomanPSMT" w:hAnsi="TimesNewRomanPSMT" w:cs="TimesNewRomanPSMT"/>
          <w:lang w:val="fr-FR" w:eastAsia="fr-FR"/>
        </w:rPr>
        <w:t>leurs traductions officielles du modèle de consignes écrites</w:t>
      </w:r>
      <w:r w:rsidR="00625A9B">
        <w:rPr>
          <w:rFonts w:ascii="TimesNewRomanPSMT" w:hAnsi="TimesNewRomanPSMT" w:cs="TimesNewRomanPSMT"/>
          <w:lang w:val="fr-FR" w:eastAsia="fr-FR"/>
        </w:rPr>
        <w:t xml:space="preserve"> afin que le secrétariat les mette à disposition de toutes les Parties contractantes </w:t>
      </w:r>
      <w:r w:rsidR="00625A9B" w:rsidRPr="00B3449E">
        <w:rPr>
          <w:lang w:val="fr-FR"/>
        </w:rPr>
        <w:t>a été adoptée</w:t>
      </w:r>
      <w:r w:rsidR="00625A9B">
        <w:rPr>
          <w:lang w:val="fr-FR"/>
        </w:rPr>
        <w:t>,</w:t>
      </w:r>
      <w:r w:rsidR="00625A9B" w:rsidRPr="00B3449E">
        <w:rPr>
          <w:lang w:val="fr-FR"/>
        </w:rPr>
        <w:t xml:space="preserve"> avec des modifications éditoriales</w:t>
      </w:r>
      <w:r w:rsidR="00625A9B">
        <w:rPr>
          <w:lang w:val="fr-FR"/>
        </w:rPr>
        <w:t>,</w:t>
      </w:r>
      <w:r w:rsidR="00625A9B" w:rsidRPr="00B3449E">
        <w:rPr>
          <w:lang w:val="fr-FR"/>
        </w:rPr>
        <w:t xml:space="preserve"> pour entrée en vigueur au 1</w:t>
      </w:r>
      <w:r w:rsidR="00625A9B" w:rsidRPr="00B3449E">
        <w:rPr>
          <w:vertAlign w:val="superscript"/>
          <w:lang w:val="fr-FR"/>
        </w:rPr>
        <w:t>er</w:t>
      </w:r>
      <w:r w:rsidR="00625A9B" w:rsidRPr="00B3449E">
        <w:rPr>
          <w:lang w:val="fr-FR"/>
        </w:rPr>
        <w:t xml:space="preserve"> janvier 2017 (voir annexe</w:t>
      </w:r>
      <w:r w:rsidR="00B402D7">
        <w:rPr>
          <w:lang w:val="fr-FR"/>
        </w:rPr>
        <w:t xml:space="preserve"> I</w:t>
      </w:r>
      <w:r w:rsidR="00B402D7" w:rsidRPr="00B3449E">
        <w:rPr>
          <w:lang w:val="fr-FR"/>
        </w:rPr>
        <w:t>).</w:t>
      </w:r>
    </w:p>
    <w:p w:rsidR="00625A9B" w:rsidRPr="00B3449E" w:rsidRDefault="00294669" w:rsidP="00625A9B">
      <w:pPr>
        <w:spacing w:after="120"/>
        <w:ind w:left="1134" w:right="1134"/>
        <w:jc w:val="both"/>
        <w:rPr>
          <w:lang w:val="fr-FR"/>
        </w:rPr>
      </w:pPr>
      <w:r>
        <w:rPr>
          <w:lang w:val="fr-FR"/>
        </w:rPr>
        <w:t>30</w:t>
      </w:r>
      <w:r w:rsidR="00625A9B">
        <w:rPr>
          <w:lang w:val="fr-FR"/>
        </w:rPr>
        <w:t>.</w:t>
      </w:r>
      <w:r w:rsidR="00625A9B">
        <w:rPr>
          <w:lang w:val="fr-FR"/>
        </w:rPr>
        <w:tab/>
        <w:t>Après discussion, le Groupe de travail est convenu de ne pas préciser de délai dans l’ADR pour l’envoi des mises à jour des consignes écrites.</w:t>
      </w:r>
    </w:p>
    <w:p w:rsidR="00625A9B" w:rsidRPr="00B3449E" w:rsidRDefault="00294669" w:rsidP="00625A9B">
      <w:pPr>
        <w:spacing w:after="120"/>
        <w:ind w:left="1134" w:right="1134"/>
        <w:jc w:val="both"/>
        <w:rPr>
          <w:lang w:val="fr-FR"/>
        </w:rPr>
      </w:pPr>
      <w:r>
        <w:rPr>
          <w:lang w:val="fr-FR"/>
        </w:rPr>
        <w:t>31</w:t>
      </w:r>
      <w:r w:rsidR="00625A9B">
        <w:rPr>
          <w:lang w:val="fr-FR"/>
        </w:rPr>
        <w:t>.</w:t>
      </w:r>
      <w:r w:rsidR="00625A9B">
        <w:rPr>
          <w:lang w:val="fr-FR"/>
        </w:rPr>
        <w:tab/>
      </w:r>
      <w:r w:rsidR="00625A9B" w:rsidRPr="00B3449E">
        <w:rPr>
          <w:lang w:val="fr-FR"/>
        </w:rPr>
        <w:t xml:space="preserve">Le Groupe de travail est </w:t>
      </w:r>
      <w:r w:rsidR="00625A9B">
        <w:rPr>
          <w:lang w:val="fr-FR"/>
        </w:rPr>
        <w:t>cependant</w:t>
      </w:r>
      <w:r w:rsidR="00625A9B" w:rsidRPr="00B3449E">
        <w:rPr>
          <w:lang w:val="fr-FR"/>
        </w:rPr>
        <w:t xml:space="preserve"> convenu que les Parties contractantes à l'ADR devraient transmettre au secrétariat, au plus vite et si possible avant le 1</w:t>
      </w:r>
      <w:r w:rsidR="00625A9B" w:rsidRPr="00B3449E">
        <w:rPr>
          <w:vertAlign w:val="superscript"/>
          <w:lang w:val="fr-FR"/>
        </w:rPr>
        <w:t>er</w:t>
      </w:r>
      <w:r w:rsidR="00625A9B" w:rsidRPr="00B3449E">
        <w:rPr>
          <w:lang w:val="fr-FR"/>
        </w:rPr>
        <w:t xml:space="preserve"> juillet 2017, leurs traductions officielles du modèle de consignes écrites présenté au 5.4.3.4 de l’ADR en vigueur au 1</w:t>
      </w:r>
      <w:r w:rsidR="00625A9B" w:rsidRPr="00B3449E">
        <w:rPr>
          <w:vertAlign w:val="superscript"/>
          <w:lang w:val="fr-FR"/>
        </w:rPr>
        <w:t>er</w:t>
      </w:r>
      <w:r w:rsidR="00625A9B" w:rsidRPr="00B3449E">
        <w:rPr>
          <w:lang w:val="fr-FR"/>
        </w:rPr>
        <w:t xml:space="preserve"> janvier 2017 pour diffusion par l'intermédiaire du site internet de la CEE-ONU.</w:t>
      </w:r>
    </w:p>
    <w:p w:rsidR="00625A9B" w:rsidRPr="00B3449E" w:rsidRDefault="00625A9B" w:rsidP="00625A9B">
      <w:pPr>
        <w:keepNext/>
        <w:keepLines/>
        <w:tabs>
          <w:tab w:val="right" w:pos="851"/>
        </w:tabs>
        <w:spacing w:before="240" w:after="120" w:line="240" w:lineRule="exact"/>
        <w:ind w:left="1134" w:right="1134" w:hanging="1134"/>
        <w:rPr>
          <w:b/>
          <w:lang w:val="fr-FR"/>
        </w:rPr>
      </w:pPr>
      <w:r w:rsidRPr="00B3449E">
        <w:rPr>
          <w:b/>
          <w:lang w:val="fr-FR"/>
        </w:rPr>
        <w:tab/>
        <w:t>7.</w:t>
      </w:r>
      <w:r w:rsidRPr="00B3449E">
        <w:rPr>
          <w:b/>
          <w:lang w:val="fr-FR"/>
        </w:rPr>
        <w:tab/>
        <w:t>Amendements à la section 5.4.3, consignes écrites</w:t>
      </w:r>
    </w:p>
    <w:p w:rsidR="00625A9B" w:rsidRPr="00B3449E" w:rsidRDefault="00625A9B" w:rsidP="00625A9B">
      <w:pPr>
        <w:spacing w:before="120" w:after="120"/>
        <w:ind w:left="1134" w:right="1134"/>
        <w:jc w:val="both"/>
        <w:rPr>
          <w:lang w:val="fr-FR"/>
        </w:rPr>
      </w:pPr>
      <w:proofErr w:type="gramStart"/>
      <w:r>
        <w:rPr>
          <w:i/>
          <w:lang w:val="fr-FR"/>
        </w:rPr>
        <w:t>Document</w:t>
      </w:r>
      <w:r w:rsidR="002E0A08">
        <w:rPr>
          <w:i/>
          <w:lang w:val="fr-FR"/>
        </w:rPr>
        <w:t>:</w:t>
      </w:r>
      <w:proofErr w:type="gramEnd"/>
      <w:r>
        <w:rPr>
          <w:i/>
          <w:lang w:val="fr-FR"/>
        </w:rPr>
        <w:tab/>
      </w:r>
      <w:r>
        <w:rPr>
          <w:i/>
          <w:lang w:val="fr-FR"/>
        </w:rPr>
        <w:tab/>
      </w:r>
      <w:r>
        <w:rPr>
          <w:i/>
          <w:lang w:val="fr-FR"/>
        </w:rPr>
        <w:tab/>
      </w:r>
      <w:r w:rsidRPr="00B3449E">
        <w:t>ECE/TRANS/WP.15/2016/</w:t>
      </w:r>
      <w:r w:rsidRPr="00B3449E">
        <w:rPr>
          <w:lang w:val="fr-FR"/>
        </w:rPr>
        <w:t>9 (Suède)</w:t>
      </w:r>
    </w:p>
    <w:p w:rsidR="00625A9B" w:rsidRDefault="00625A9B" w:rsidP="00625A9B">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ab/>
      </w:r>
      <w:r w:rsidRPr="00B3449E">
        <w:rPr>
          <w:lang w:val="fr-FR"/>
        </w:rPr>
        <w:t>INF.9 (</w:t>
      </w:r>
      <w:r w:rsidRPr="00B3449E">
        <w:t>Roumanie</w:t>
      </w:r>
      <w:r w:rsidRPr="00B3449E">
        <w:rPr>
          <w:lang w:val="fr-FR"/>
        </w:rPr>
        <w:t>)</w:t>
      </w:r>
    </w:p>
    <w:p w:rsidR="00625A9B" w:rsidRPr="00B3449E" w:rsidRDefault="00294669" w:rsidP="00625A9B">
      <w:pPr>
        <w:spacing w:after="120"/>
        <w:ind w:left="1134" w:right="1134"/>
        <w:jc w:val="both"/>
        <w:rPr>
          <w:lang w:val="fr-FR"/>
        </w:rPr>
      </w:pPr>
      <w:r>
        <w:rPr>
          <w:lang w:val="fr-FR"/>
        </w:rPr>
        <w:t>32</w:t>
      </w:r>
      <w:r w:rsidR="00625A9B">
        <w:rPr>
          <w:lang w:val="fr-FR"/>
        </w:rPr>
        <w:t>.</w:t>
      </w:r>
      <w:r w:rsidR="00625A9B">
        <w:rPr>
          <w:lang w:val="fr-FR"/>
        </w:rPr>
        <w:tab/>
      </w:r>
      <w:r w:rsidR="00625A9B" w:rsidRPr="00B3449E">
        <w:rPr>
          <w:lang w:val="fr-FR"/>
        </w:rPr>
        <w:t>Mise au</w:t>
      </w:r>
      <w:r w:rsidR="00625A9B">
        <w:rPr>
          <w:lang w:val="fr-FR"/>
        </w:rPr>
        <w:t>x</w:t>
      </w:r>
      <w:r w:rsidR="00625A9B" w:rsidRPr="00B3449E">
        <w:rPr>
          <w:lang w:val="fr-FR"/>
        </w:rPr>
        <w:t xml:space="preserve"> voix, </w:t>
      </w:r>
      <w:r w:rsidR="00625A9B">
        <w:rPr>
          <w:lang w:val="fr-FR"/>
        </w:rPr>
        <w:t xml:space="preserve">la proposition de la Suède </w:t>
      </w:r>
      <w:r w:rsidR="00625A9B" w:rsidRPr="00B3449E">
        <w:rPr>
          <w:lang w:val="fr-FR"/>
        </w:rPr>
        <w:t>d’inclure</w:t>
      </w:r>
      <w:r w:rsidR="00625A9B">
        <w:rPr>
          <w:lang w:val="fr-FR"/>
        </w:rPr>
        <w:t xml:space="preserve"> une</w:t>
      </w:r>
      <w:r w:rsidR="00625A9B" w:rsidRPr="00B3449E">
        <w:rPr>
          <w:lang w:val="fr-FR"/>
        </w:rPr>
        <w:t xml:space="preserve"> </w:t>
      </w:r>
      <w:r w:rsidR="00625A9B" w:rsidRPr="00C83D9E">
        <w:rPr>
          <w:lang w:val="fr-FR"/>
        </w:rPr>
        <w:t xml:space="preserve">référence à la section 8.1.4, moyens d’extinction d’incendie, </w:t>
      </w:r>
      <w:r w:rsidR="00625A9B" w:rsidRPr="00B3449E">
        <w:rPr>
          <w:lang w:val="fr-FR"/>
        </w:rPr>
        <w:t>dans les consignes</w:t>
      </w:r>
      <w:r w:rsidR="00625A9B">
        <w:rPr>
          <w:lang w:val="fr-FR"/>
        </w:rPr>
        <w:t xml:space="preserve"> écrites n’a pas été </w:t>
      </w:r>
      <w:r w:rsidR="00625A9B" w:rsidRPr="00B3449E">
        <w:rPr>
          <w:lang w:val="fr-FR"/>
        </w:rPr>
        <w:t>adopté</w:t>
      </w:r>
      <w:r w:rsidR="00625A9B">
        <w:rPr>
          <w:lang w:val="fr-FR"/>
        </w:rPr>
        <w:t>e</w:t>
      </w:r>
      <w:r w:rsidR="00625A9B" w:rsidRPr="00B3449E">
        <w:rPr>
          <w:lang w:val="fr-FR"/>
        </w:rPr>
        <w:t>.</w:t>
      </w:r>
      <w:r w:rsidR="00625A9B">
        <w:rPr>
          <w:lang w:val="fr-FR"/>
        </w:rPr>
        <w:t xml:space="preserve"> La proposition remaniée par la Roumanie dans le document informel INF.9 n’a pas reçu d’appui.</w:t>
      </w:r>
    </w:p>
    <w:p w:rsidR="00625A9B" w:rsidRPr="00B3449E" w:rsidRDefault="00625A9B" w:rsidP="00625A9B">
      <w:pPr>
        <w:keepNext/>
        <w:keepLines/>
        <w:tabs>
          <w:tab w:val="right" w:pos="851"/>
        </w:tabs>
        <w:spacing w:before="240" w:after="120" w:line="240" w:lineRule="exact"/>
        <w:ind w:left="1134" w:right="1134" w:hanging="1134"/>
        <w:rPr>
          <w:b/>
          <w:lang w:val="fr-FR"/>
        </w:rPr>
      </w:pPr>
      <w:r w:rsidRPr="00B3449E">
        <w:rPr>
          <w:b/>
          <w:lang w:val="fr-FR"/>
        </w:rPr>
        <w:tab/>
        <w:t>8.</w:t>
      </w:r>
      <w:r w:rsidRPr="00B3449E">
        <w:rPr>
          <w:b/>
          <w:lang w:val="fr-FR"/>
        </w:rPr>
        <w:tab/>
        <w:t>Modifications concernant la version française de l’ADR</w:t>
      </w:r>
    </w:p>
    <w:p w:rsidR="00625A9B" w:rsidRPr="00B3449E" w:rsidRDefault="00625A9B" w:rsidP="00625A9B">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ab/>
      </w:r>
      <w:r w:rsidRPr="00B3449E">
        <w:rPr>
          <w:lang w:val="fr-FR"/>
        </w:rPr>
        <w:t>INF.17 (</w:t>
      </w:r>
      <w:r w:rsidRPr="00B3449E">
        <w:t>France</w:t>
      </w:r>
      <w:r w:rsidRPr="00B3449E">
        <w:rPr>
          <w:lang w:val="fr-FR"/>
        </w:rPr>
        <w:t>)</w:t>
      </w:r>
    </w:p>
    <w:p w:rsidR="00625A9B" w:rsidRDefault="00294669" w:rsidP="00625A9B">
      <w:pPr>
        <w:spacing w:after="120"/>
        <w:ind w:left="1134" w:right="1134"/>
        <w:jc w:val="both"/>
        <w:rPr>
          <w:lang w:val="fr-FR"/>
        </w:rPr>
      </w:pPr>
      <w:r>
        <w:rPr>
          <w:lang w:val="fr-FR"/>
        </w:rPr>
        <w:t>33</w:t>
      </w:r>
      <w:r w:rsidR="00625A9B">
        <w:rPr>
          <w:lang w:val="fr-FR"/>
        </w:rPr>
        <w:t>.</w:t>
      </w:r>
      <w:r w:rsidR="00625A9B">
        <w:rPr>
          <w:lang w:val="fr-FR"/>
        </w:rPr>
        <w:tab/>
        <w:t xml:space="preserve">Le groupe de travail a adopté, avec une correction, les modifications relatives à la version française de l’ADR proposées dans le document informel INF.17, </w:t>
      </w:r>
      <w:r w:rsidR="00625A9B" w:rsidRPr="00B3449E">
        <w:rPr>
          <w:lang w:val="fr-FR"/>
        </w:rPr>
        <w:t>pour entrée en vigueur au 1</w:t>
      </w:r>
      <w:r w:rsidR="00625A9B" w:rsidRPr="00B3449E">
        <w:rPr>
          <w:vertAlign w:val="superscript"/>
          <w:lang w:val="fr-FR"/>
        </w:rPr>
        <w:t>er</w:t>
      </w:r>
      <w:r w:rsidR="00625A9B" w:rsidRPr="00B3449E">
        <w:rPr>
          <w:lang w:val="fr-FR"/>
        </w:rPr>
        <w:t xml:space="preserve"> janvier 2017 (voir annexe</w:t>
      </w:r>
      <w:r w:rsidR="00B402D7">
        <w:rPr>
          <w:lang w:val="fr-FR"/>
        </w:rPr>
        <w:t xml:space="preserve"> I</w:t>
      </w:r>
      <w:r w:rsidR="00B402D7" w:rsidRPr="00B3449E">
        <w:rPr>
          <w:lang w:val="fr-FR"/>
        </w:rPr>
        <w:t>).</w:t>
      </w:r>
    </w:p>
    <w:p w:rsidR="00A346BD" w:rsidRPr="00B3449E" w:rsidRDefault="00A346BD" w:rsidP="00A346BD">
      <w:pPr>
        <w:keepNext/>
        <w:keepLines/>
        <w:tabs>
          <w:tab w:val="right" w:pos="851"/>
        </w:tabs>
        <w:spacing w:before="240" w:after="120" w:line="240" w:lineRule="exact"/>
        <w:ind w:left="1134" w:right="1134" w:hanging="1134"/>
        <w:rPr>
          <w:b/>
          <w:lang w:val="fr-FR"/>
        </w:rPr>
      </w:pPr>
      <w:r w:rsidRPr="00B3449E">
        <w:rPr>
          <w:b/>
          <w:lang w:val="fr-FR"/>
        </w:rPr>
        <w:tab/>
      </w:r>
      <w:r>
        <w:rPr>
          <w:b/>
          <w:lang w:val="fr-FR"/>
        </w:rPr>
        <w:t>9</w:t>
      </w:r>
      <w:r w:rsidRPr="00B3449E">
        <w:rPr>
          <w:b/>
          <w:lang w:val="fr-FR"/>
        </w:rPr>
        <w:t>.</w:t>
      </w:r>
      <w:r w:rsidRPr="00B3449E">
        <w:rPr>
          <w:b/>
          <w:lang w:val="fr-FR"/>
        </w:rPr>
        <w:tab/>
        <w:t xml:space="preserve">Modifications concernant </w:t>
      </w:r>
      <w:r>
        <w:rPr>
          <w:b/>
          <w:lang w:val="fr-FR"/>
        </w:rPr>
        <w:t>les matières radioactives</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ab/>
      </w:r>
      <w:r w:rsidRPr="00B3449E">
        <w:rPr>
          <w:lang w:val="fr-FR"/>
        </w:rPr>
        <w:t>INF.</w:t>
      </w:r>
      <w:r>
        <w:rPr>
          <w:lang w:val="fr-FR"/>
        </w:rPr>
        <w:t>18</w:t>
      </w:r>
      <w:r w:rsidRPr="00B3449E">
        <w:rPr>
          <w:lang w:val="fr-FR"/>
        </w:rPr>
        <w:t xml:space="preserve"> (</w:t>
      </w:r>
      <w:r>
        <w:t>Secrétariat</w:t>
      </w:r>
      <w:r w:rsidRPr="00B3449E">
        <w:rPr>
          <w:lang w:val="fr-FR"/>
        </w:rPr>
        <w:t>)</w:t>
      </w:r>
    </w:p>
    <w:p w:rsidR="00A346BD" w:rsidRDefault="00A346BD" w:rsidP="00A346BD">
      <w:pPr>
        <w:spacing w:after="120"/>
        <w:ind w:left="1134" w:right="1134"/>
        <w:jc w:val="both"/>
        <w:rPr>
          <w:lang w:val="fr-FR"/>
        </w:rPr>
      </w:pPr>
      <w:r>
        <w:rPr>
          <w:lang w:val="fr-FR"/>
        </w:rPr>
        <w:t>34.</w:t>
      </w:r>
      <w:r>
        <w:rPr>
          <w:lang w:val="fr-FR"/>
        </w:rPr>
        <w:tab/>
        <w:t xml:space="preserve">Le Groupe de travail a adopté les modifications proposées dans le document informel INF.18 visant à corriger dans l’ADR des références croisées et à assurer la cohérence avec le Règlement de transport des matières radioactives de l’AIEA, </w:t>
      </w:r>
      <w:r w:rsidRPr="00B3449E">
        <w:rPr>
          <w:lang w:val="fr-FR"/>
        </w:rPr>
        <w:t>pour entrée en vigueur au 1</w:t>
      </w:r>
      <w:r w:rsidRPr="00B3449E">
        <w:rPr>
          <w:vertAlign w:val="superscript"/>
          <w:lang w:val="fr-FR"/>
        </w:rPr>
        <w:t>er</w:t>
      </w:r>
      <w:r w:rsidRPr="00B3449E">
        <w:rPr>
          <w:lang w:val="fr-FR"/>
        </w:rPr>
        <w:t xml:space="preserve"> janvier 2017 (voir annexe</w:t>
      </w:r>
      <w:r w:rsidR="00B402D7">
        <w:rPr>
          <w:lang w:val="fr-FR"/>
        </w:rPr>
        <w:t xml:space="preserve"> I</w:t>
      </w:r>
      <w:r w:rsidR="00B402D7" w:rsidRPr="00B3449E">
        <w:rPr>
          <w:lang w:val="fr-FR"/>
        </w:rPr>
        <w:t>).</w:t>
      </w:r>
    </w:p>
    <w:p w:rsidR="00A346BD" w:rsidRDefault="00A346BD" w:rsidP="00A346BD">
      <w:pPr>
        <w:spacing w:after="120"/>
        <w:ind w:left="1134" w:right="1134"/>
        <w:jc w:val="both"/>
      </w:pPr>
      <w:r>
        <w:rPr>
          <w:lang w:val="fr-FR"/>
        </w:rPr>
        <w:lastRenderedPageBreak/>
        <w:t>35.</w:t>
      </w:r>
      <w:r>
        <w:rPr>
          <w:lang w:val="fr-FR"/>
        </w:rPr>
        <w:tab/>
        <w:t xml:space="preserve">Ces modifications seront portées à la connaissance de l’AIEA. Certaines de ces modifications concernent également le Règlement type et seront proposées au Sous-Comité </w:t>
      </w:r>
      <w:r>
        <w:t>d’experts du transport des marchandises dangereuses de l’ONU à sa prochaine session.</w:t>
      </w:r>
    </w:p>
    <w:p w:rsidR="00A346BD" w:rsidRDefault="00A346BD" w:rsidP="00A346BD">
      <w:pPr>
        <w:spacing w:after="120"/>
        <w:ind w:left="1134" w:right="1134"/>
        <w:jc w:val="both"/>
        <w:rPr>
          <w:lang w:val="fr-FR"/>
        </w:rPr>
      </w:pPr>
      <w:r>
        <w:t>36.</w:t>
      </w:r>
      <w:r>
        <w:tab/>
        <w:t xml:space="preserve">Le Groupe de travail a noté que le terme </w:t>
      </w:r>
      <w:r>
        <w:rPr>
          <w:lang w:val="fr-FR"/>
        </w:rPr>
        <w:t xml:space="preserve">«cote» est utilisé plusieurs fois dans le chapitre 6.4 dans des paragraphes qui proviennent de l’harmonisation avec le Règlement type et le Règlement de transport des matières radioactives de l’AIEA. </w:t>
      </w:r>
      <w:r>
        <w:t xml:space="preserve">Le Groupe de travail a adopté la proposition verbale de la France de supprimer les amendements à la version </w:t>
      </w:r>
      <w:r w:rsidRPr="000A011C">
        <w:t xml:space="preserve">française des </w:t>
      </w:r>
      <w:r w:rsidRPr="000A011C">
        <w:rPr>
          <w:lang w:val="fr-FR"/>
        </w:rPr>
        <w:t>6.4.23.12 et 6.4.23.16 figurant dans le</w:t>
      </w:r>
      <w:r w:rsidRPr="00294669">
        <w:rPr>
          <w:lang w:val="fr-FR"/>
        </w:rPr>
        <w:t xml:space="preserve"> document ECE/TRANS/WP.15/231 en</w:t>
      </w:r>
      <w:r>
        <w:rPr>
          <w:lang w:val="fr-FR"/>
        </w:rPr>
        <w:t xml:space="preserve"> attendant une vérification plus détaillée de l’utilisation de ce terme dans les différents Règlements </w:t>
      </w:r>
      <w:r w:rsidRPr="00B3449E">
        <w:rPr>
          <w:lang w:val="fr-FR"/>
        </w:rPr>
        <w:t>(voir annexe</w:t>
      </w:r>
      <w:r w:rsidR="00B402D7">
        <w:rPr>
          <w:lang w:val="fr-FR"/>
        </w:rPr>
        <w:t xml:space="preserve"> I</w:t>
      </w:r>
      <w:r w:rsidR="00B402D7" w:rsidRPr="00B3449E">
        <w:rPr>
          <w:lang w:val="fr-FR"/>
        </w:rPr>
        <w:t>).</w:t>
      </w:r>
    </w:p>
    <w:p w:rsidR="00A346BD" w:rsidRDefault="00A346BD" w:rsidP="00A346BD">
      <w:pPr>
        <w:keepNext/>
        <w:keepLines/>
        <w:tabs>
          <w:tab w:val="right" w:pos="851"/>
        </w:tabs>
        <w:spacing w:before="240" w:after="120" w:line="240" w:lineRule="exact"/>
        <w:ind w:left="1134" w:right="1134" w:hanging="1134"/>
        <w:rPr>
          <w:b/>
          <w:lang w:val="fr-FR"/>
        </w:rPr>
      </w:pPr>
      <w:r w:rsidRPr="00B3449E">
        <w:rPr>
          <w:b/>
          <w:lang w:val="fr-FR"/>
        </w:rPr>
        <w:tab/>
      </w:r>
      <w:r>
        <w:rPr>
          <w:b/>
          <w:lang w:val="fr-FR"/>
        </w:rPr>
        <w:t>10</w:t>
      </w:r>
      <w:r w:rsidRPr="00B3449E">
        <w:rPr>
          <w:b/>
          <w:lang w:val="fr-FR"/>
        </w:rPr>
        <w:t>.</w:t>
      </w:r>
      <w:r w:rsidRPr="00B3449E">
        <w:rPr>
          <w:b/>
          <w:lang w:val="fr-FR"/>
        </w:rPr>
        <w:tab/>
      </w:r>
      <w:r>
        <w:rPr>
          <w:b/>
          <w:lang w:val="fr-FR"/>
        </w:rPr>
        <w:t>Correction au tableau 3 de l’instruction d’emballage P200</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ab/>
      </w:r>
      <w:r w:rsidRPr="00B3449E">
        <w:rPr>
          <w:lang w:val="fr-FR"/>
        </w:rPr>
        <w:t>INF.</w:t>
      </w:r>
      <w:r>
        <w:rPr>
          <w:lang w:val="fr-FR"/>
        </w:rPr>
        <w:t>19</w:t>
      </w:r>
      <w:r w:rsidRPr="00B3449E">
        <w:rPr>
          <w:lang w:val="fr-FR"/>
        </w:rPr>
        <w:t xml:space="preserve"> (</w:t>
      </w:r>
      <w:r>
        <w:t>France</w:t>
      </w:r>
      <w:r w:rsidRPr="00B3449E">
        <w:rPr>
          <w:lang w:val="fr-FR"/>
        </w:rPr>
        <w:t>)</w:t>
      </w:r>
    </w:p>
    <w:p w:rsidR="00A346BD" w:rsidRDefault="00A346BD" w:rsidP="00A346BD">
      <w:pPr>
        <w:spacing w:after="120"/>
        <w:ind w:left="1134" w:right="1134"/>
        <w:jc w:val="both"/>
        <w:rPr>
          <w:lang w:val="fr-FR"/>
        </w:rPr>
      </w:pPr>
      <w:r>
        <w:t>37.</w:t>
      </w:r>
      <w:r>
        <w:tab/>
        <w:t>Le Groupe de travail a adopté la proposition de la France de supprimer la référence au No ONU 1790 dans le tableau 3 de l’instruction d’emballage P200 dans un souci de cohérence avec les informations du tableau A du chapitre 3.2 et dans un souci d’harmonisation avec la version française du RID et avec le Règlement type. Cette modification a été adoptée en tant qu’amendement</w:t>
      </w:r>
      <w:r>
        <w:rPr>
          <w:lang w:val="fr-FR"/>
        </w:rPr>
        <w:t xml:space="preserve"> </w:t>
      </w:r>
      <w:r w:rsidRPr="00B3449E">
        <w:rPr>
          <w:lang w:val="fr-FR"/>
        </w:rPr>
        <w:t>pour entrée en vigueur au 1</w:t>
      </w:r>
      <w:r w:rsidRPr="00B3449E">
        <w:rPr>
          <w:vertAlign w:val="superscript"/>
          <w:lang w:val="fr-FR"/>
        </w:rPr>
        <w:t>er</w:t>
      </w:r>
      <w:r w:rsidRPr="00B3449E">
        <w:rPr>
          <w:lang w:val="fr-FR"/>
        </w:rPr>
        <w:t xml:space="preserve"> janvier 2017</w:t>
      </w:r>
      <w:r>
        <w:rPr>
          <w:lang w:val="fr-FR"/>
        </w:rPr>
        <w:t xml:space="preserve"> </w:t>
      </w:r>
      <w:r w:rsidRPr="00B3449E">
        <w:rPr>
          <w:lang w:val="fr-FR"/>
        </w:rPr>
        <w:t>(voir annexe</w:t>
      </w:r>
      <w:r w:rsidR="00B402D7">
        <w:rPr>
          <w:lang w:val="fr-FR"/>
        </w:rPr>
        <w:t xml:space="preserve"> I</w:t>
      </w:r>
      <w:r w:rsidR="00B402D7" w:rsidRPr="00B3449E">
        <w:rPr>
          <w:lang w:val="fr-FR"/>
        </w:rPr>
        <w:t>).</w:t>
      </w:r>
    </w:p>
    <w:p w:rsidR="00A346BD" w:rsidRDefault="00A346BD" w:rsidP="00A346BD">
      <w:pPr>
        <w:keepNext/>
        <w:keepLines/>
        <w:tabs>
          <w:tab w:val="right" w:pos="851"/>
        </w:tabs>
        <w:spacing w:before="240" w:after="120" w:line="240" w:lineRule="exact"/>
        <w:ind w:left="1134" w:right="1134" w:hanging="1134"/>
        <w:rPr>
          <w:b/>
          <w:lang w:val="fr-FR"/>
        </w:rPr>
      </w:pPr>
      <w:r w:rsidRPr="00B3449E">
        <w:rPr>
          <w:b/>
          <w:lang w:val="fr-FR"/>
        </w:rPr>
        <w:tab/>
      </w:r>
      <w:r>
        <w:rPr>
          <w:b/>
          <w:lang w:val="fr-FR"/>
        </w:rPr>
        <w:t>11</w:t>
      </w:r>
      <w:r w:rsidRPr="00B3449E">
        <w:rPr>
          <w:b/>
          <w:lang w:val="fr-FR"/>
        </w:rPr>
        <w:t>.</w:t>
      </w:r>
      <w:r w:rsidRPr="00B3449E">
        <w:rPr>
          <w:b/>
          <w:lang w:val="fr-FR"/>
        </w:rPr>
        <w:tab/>
      </w:r>
      <w:r>
        <w:rPr>
          <w:b/>
          <w:lang w:val="fr-FR"/>
        </w:rPr>
        <w:t>Référence aux normes EN ISO 10297:2014 et EN ISO 14246 :2014</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ab/>
      </w:r>
      <w:r w:rsidRPr="00B3449E">
        <w:rPr>
          <w:lang w:val="fr-FR"/>
        </w:rPr>
        <w:t>INF.</w:t>
      </w:r>
      <w:r>
        <w:rPr>
          <w:lang w:val="fr-FR"/>
        </w:rPr>
        <w:t>26</w:t>
      </w:r>
      <w:r w:rsidRPr="00B3449E">
        <w:rPr>
          <w:lang w:val="fr-FR"/>
        </w:rPr>
        <w:t xml:space="preserve"> (</w:t>
      </w:r>
      <w:r>
        <w:t>France</w:t>
      </w:r>
      <w:r w:rsidRPr="00B3449E">
        <w:rPr>
          <w:lang w:val="fr-FR"/>
        </w:rPr>
        <w:t>)</w:t>
      </w:r>
    </w:p>
    <w:p w:rsidR="00A346BD" w:rsidRDefault="00A346BD" w:rsidP="00A346BD">
      <w:pPr>
        <w:spacing w:after="120"/>
        <w:ind w:left="1134" w:right="1134"/>
        <w:jc w:val="both"/>
        <w:rPr>
          <w:lang w:val="fr-FR"/>
        </w:rPr>
      </w:pPr>
      <w:r>
        <w:rPr>
          <w:lang w:val="fr-FR"/>
        </w:rPr>
        <w:t>38.</w:t>
      </w:r>
      <w:r>
        <w:rPr>
          <w:lang w:val="fr-FR"/>
        </w:rPr>
        <w:tab/>
        <w:t>Le Groupe de travail a confirmé qu’il avait déjà approuvé la référence à ces normes à sa quatre-vi</w:t>
      </w:r>
      <w:r w:rsidR="001F4739">
        <w:rPr>
          <w:lang w:val="fr-FR"/>
        </w:rPr>
        <w:t>ngt-seizième session (mai 2014)</w:t>
      </w:r>
      <w:r>
        <w:rPr>
          <w:lang w:val="fr-FR"/>
        </w:rPr>
        <w:t xml:space="preserve"> et que ces normes n’avaient pas pu être ajoutées dans l’ADR 2015 car elles n’avaient pas été publiées à temps. Le Groupe de travail a adopté la proposition de la France de les ajouter dans l’édition qui entrera en vigueur au </w:t>
      </w:r>
      <w:r w:rsidRPr="00B3449E">
        <w:rPr>
          <w:lang w:val="fr-FR"/>
        </w:rPr>
        <w:t>1</w:t>
      </w:r>
      <w:r w:rsidRPr="00B3449E">
        <w:rPr>
          <w:vertAlign w:val="superscript"/>
          <w:lang w:val="fr-FR"/>
        </w:rPr>
        <w:t>er</w:t>
      </w:r>
      <w:r w:rsidRPr="00B3449E">
        <w:rPr>
          <w:lang w:val="fr-FR"/>
        </w:rPr>
        <w:t xml:space="preserve"> janvier 2017</w:t>
      </w:r>
      <w:r>
        <w:rPr>
          <w:lang w:val="fr-FR"/>
        </w:rPr>
        <w:t xml:space="preserve"> </w:t>
      </w:r>
      <w:r w:rsidRPr="00B3449E">
        <w:rPr>
          <w:lang w:val="fr-FR"/>
        </w:rPr>
        <w:t>(voir annexe</w:t>
      </w:r>
      <w:r w:rsidR="00B402D7">
        <w:rPr>
          <w:lang w:val="fr-FR"/>
        </w:rPr>
        <w:t xml:space="preserve"> I</w:t>
      </w:r>
      <w:r w:rsidR="00B402D7" w:rsidRPr="00B3449E">
        <w:rPr>
          <w:lang w:val="fr-FR"/>
        </w:rPr>
        <w:t>).</w:t>
      </w:r>
    </w:p>
    <w:p w:rsidR="00A346BD" w:rsidRDefault="00A346BD" w:rsidP="00A346BD">
      <w:pPr>
        <w:keepNext/>
        <w:keepLines/>
        <w:tabs>
          <w:tab w:val="right" w:pos="851"/>
        </w:tabs>
        <w:spacing w:before="240" w:after="120" w:line="240" w:lineRule="exact"/>
        <w:ind w:left="1134" w:right="1134" w:hanging="1134"/>
        <w:rPr>
          <w:b/>
          <w:lang w:val="fr-FR"/>
        </w:rPr>
      </w:pPr>
      <w:r w:rsidRPr="00B3449E">
        <w:rPr>
          <w:b/>
          <w:lang w:val="fr-FR"/>
        </w:rPr>
        <w:tab/>
      </w:r>
      <w:r>
        <w:rPr>
          <w:b/>
          <w:lang w:val="fr-FR"/>
        </w:rPr>
        <w:t>12</w:t>
      </w:r>
      <w:r w:rsidRPr="00B3449E">
        <w:rPr>
          <w:b/>
          <w:lang w:val="fr-FR"/>
        </w:rPr>
        <w:t>.</w:t>
      </w:r>
      <w:r w:rsidRPr="00B3449E">
        <w:rPr>
          <w:b/>
          <w:lang w:val="fr-FR"/>
        </w:rPr>
        <w:tab/>
      </w:r>
      <w:r w:rsidRPr="00532CBE">
        <w:rPr>
          <w:b/>
          <w:lang w:val="fr-FR"/>
        </w:rPr>
        <w:t xml:space="preserve">Limites de quantités pour l’application de l’exemption du 1.1.3.2 a) </w:t>
      </w:r>
    </w:p>
    <w:p w:rsidR="00A346BD" w:rsidRDefault="00A346BD" w:rsidP="00A346BD">
      <w:pPr>
        <w:pStyle w:val="SingleTxtG"/>
        <w:tabs>
          <w:tab w:val="left" w:pos="2410"/>
        </w:tabs>
        <w:rPr>
          <w:lang w:val="fr-FR"/>
        </w:rPr>
      </w:pPr>
      <w:proofErr w:type="gramStart"/>
      <w:r>
        <w:rPr>
          <w:i/>
          <w:lang w:val="fr-FR"/>
        </w:rPr>
        <w:t>Document</w:t>
      </w:r>
      <w:r w:rsidRPr="0054289D">
        <w:rPr>
          <w:lang w:val="fr-FR"/>
        </w:rPr>
        <w:t>:</w:t>
      </w:r>
      <w:proofErr w:type="gramEnd"/>
      <w:r w:rsidRPr="0054289D">
        <w:rPr>
          <w:lang w:val="fr-FR"/>
        </w:rPr>
        <w:t xml:space="preserve"> </w:t>
      </w:r>
      <w:r w:rsidRPr="0054289D">
        <w:rPr>
          <w:lang w:val="fr-FR"/>
        </w:rPr>
        <w:tab/>
      </w:r>
      <w:r>
        <w:rPr>
          <w:lang w:val="fr-FR"/>
        </w:rPr>
        <w:tab/>
        <w:t>ECE/TRANS/WP.15/2016/7</w:t>
      </w:r>
      <w:r w:rsidRPr="0054289D">
        <w:rPr>
          <w:lang w:val="fr-FR"/>
        </w:rPr>
        <w:t xml:space="preserve"> (</w:t>
      </w:r>
      <w:r>
        <w:rPr>
          <w:lang w:val="fr-FR"/>
        </w:rPr>
        <w:t>Allemagne</w:t>
      </w:r>
      <w:r w:rsidRPr="0054289D">
        <w:rPr>
          <w:lang w:val="fr-FR"/>
        </w:rPr>
        <w:t>)</w:t>
      </w:r>
    </w:p>
    <w:p w:rsidR="00A346BD" w:rsidRPr="00B3449E" w:rsidRDefault="00A346BD" w:rsidP="00A346BD">
      <w:pPr>
        <w:tabs>
          <w:tab w:val="left" w:pos="3100"/>
        </w:tabs>
        <w:spacing w:after="120"/>
        <w:ind w:left="1134" w:right="1134"/>
        <w:jc w:val="both"/>
        <w:rPr>
          <w:lang w:val="fr-FR"/>
        </w:rPr>
      </w:pPr>
      <w:r w:rsidRPr="00B3449E">
        <w:rPr>
          <w:i/>
          <w:lang w:val="fr-FR"/>
        </w:rPr>
        <w:t>Document</w:t>
      </w:r>
      <w:r>
        <w:rPr>
          <w:i/>
          <w:lang w:val="fr-FR"/>
        </w:rPr>
        <w:t>s</w:t>
      </w:r>
      <w:r w:rsidRPr="00B3449E">
        <w:rPr>
          <w:i/>
          <w:lang w:val="fr-FR"/>
        </w:rPr>
        <w:t xml:space="preserve"> </w:t>
      </w:r>
      <w:proofErr w:type="gramStart"/>
      <w:r w:rsidRPr="00B3449E">
        <w:rPr>
          <w:i/>
          <w:lang w:val="fr-FR"/>
        </w:rPr>
        <w:t>informel</w:t>
      </w:r>
      <w:r>
        <w:rPr>
          <w:i/>
          <w:lang w:val="fr-FR"/>
        </w:rPr>
        <w:t>s</w:t>
      </w:r>
      <w:r>
        <w:rPr>
          <w:lang w:val="fr-FR"/>
        </w:rPr>
        <w:t>:</w:t>
      </w:r>
      <w:proofErr w:type="gramEnd"/>
      <w:r w:rsidRPr="00B3449E">
        <w:rPr>
          <w:lang w:val="fr-FR"/>
        </w:rPr>
        <w:tab/>
      </w:r>
      <w:r>
        <w:rPr>
          <w:lang w:val="fr-FR"/>
        </w:rPr>
        <w:tab/>
      </w:r>
      <w:r w:rsidRPr="00B3449E">
        <w:rPr>
          <w:lang w:val="fr-FR"/>
        </w:rPr>
        <w:t>INF.</w:t>
      </w:r>
      <w:r>
        <w:rPr>
          <w:lang w:val="fr-FR"/>
        </w:rPr>
        <w:t>16</w:t>
      </w:r>
      <w:r w:rsidRPr="00B3449E">
        <w:rPr>
          <w:lang w:val="fr-FR"/>
        </w:rPr>
        <w:t xml:space="preserve"> (</w:t>
      </w:r>
      <w:r w:rsidRPr="00D20A7E">
        <w:t>Suisse</w:t>
      </w:r>
      <w:r w:rsidRPr="00B3449E">
        <w:rPr>
          <w:lang w:val="fr-FR"/>
        </w:rPr>
        <w:t>)</w:t>
      </w:r>
      <w:r>
        <w:rPr>
          <w:lang w:val="fr-FR"/>
        </w:rPr>
        <w:t xml:space="preserve">, INF.29 (AEGPL et NGV Global), </w:t>
      </w:r>
      <w:r w:rsidR="00EF6964">
        <w:rPr>
          <w:lang w:val="fr-FR"/>
        </w:rPr>
        <w:br/>
      </w:r>
      <w:r w:rsidR="00EF6964">
        <w:rPr>
          <w:lang w:val="fr-FR"/>
        </w:rPr>
        <w:tab/>
      </w:r>
      <w:r w:rsidR="00EF6964">
        <w:rPr>
          <w:lang w:val="fr-FR"/>
        </w:rPr>
        <w:tab/>
      </w:r>
      <w:r>
        <w:rPr>
          <w:lang w:val="fr-FR"/>
        </w:rPr>
        <w:t>INF.30 (Allemagne), INF.31 (Allemagne)</w:t>
      </w:r>
    </w:p>
    <w:p w:rsidR="00A346BD" w:rsidRDefault="00294669" w:rsidP="00A346BD">
      <w:pPr>
        <w:spacing w:after="120"/>
        <w:ind w:left="1134" w:right="1134"/>
        <w:jc w:val="both"/>
        <w:rPr>
          <w:lang w:val="fr-FR"/>
        </w:rPr>
      </w:pPr>
      <w:r>
        <w:rPr>
          <w:lang w:val="fr-FR"/>
        </w:rPr>
        <w:t>39</w:t>
      </w:r>
      <w:r w:rsidR="00A346BD">
        <w:rPr>
          <w:lang w:val="fr-FR"/>
        </w:rPr>
        <w:t>.</w:t>
      </w:r>
      <w:r w:rsidR="00A346BD">
        <w:rPr>
          <w:lang w:val="fr-FR"/>
        </w:rPr>
        <w:tab/>
        <w:t xml:space="preserve">Après de longues discussions sur la rédaction du texte, le Président a indiqué qu’il allait mettre la proposition remaniée, telle que figurant dans le document informel INF.31, aux voix. </w:t>
      </w:r>
    </w:p>
    <w:p w:rsidR="00A346BD" w:rsidRDefault="00294669" w:rsidP="00A346BD">
      <w:pPr>
        <w:spacing w:after="120"/>
        <w:ind w:left="1134" w:right="1134"/>
        <w:jc w:val="both"/>
        <w:rPr>
          <w:lang w:val="fr-FR"/>
        </w:rPr>
      </w:pPr>
      <w:r>
        <w:rPr>
          <w:lang w:val="fr-FR"/>
        </w:rPr>
        <w:t>40</w:t>
      </w:r>
      <w:r w:rsidR="00A346BD">
        <w:rPr>
          <w:lang w:val="fr-FR"/>
        </w:rPr>
        <w:t>.</w:t>
      </w:r>
      <w:r w:rsidR="00A346BD">
        <w:rPr>
          <w:lang w:val="fr-FR"/>
        </w:rPr>
        <w:tab/>
        <w:t>Le représentant des Pays-Bas a indiqué qu’il était opposé à l’adoption de ce texte car il estimait que les capacités des réservoirs qui seraient exemptées par ce texte étaient bien trop élevées. Les représentants de la France et de la Roumanie ont partagé cet avis. La représentante de la Suède estimait également que les capacités proposées étaient trop élevées, mais a indiqué qu’elle voterait en faveur du texte proposé car elle préférait un texte fixant une limite supérieure à un texte ne fixant aucune limite.</w:t>
      </w:r>
    </w:p>
    <w:p w:rsidR="00A346BD" w:rsidRDefault="00294669" w:rsidP="00A346BD">
      <w:pPr>
        <w:spacing w:after="120"/>
        <w:ind w:left="1134" w:right="1134"/>
        <w:jc w:val="both"/>
        <w:rPr>
          <w:lang w:val="fr-FR"/>
        </w:rPr>
      </w:pPr>
      <w:r>
        <w:rPr>
          <w:lang w:val="fr-FR"/>
        </w:rPr>
        <w:t>41</w:t>
      </w:r>
      <w:r w:rsidR="00A346BD">
        <w:rPr>
          <w:lang w:val="fr-FR"/>
        </w:rPr>
        <w:t>.</w:t>
      </w:r>
      <w:r w:rsidR="00A346BD">
        <w:rPr>
          <w:lang w:val="fr-FR"/>
        </w:rPr>
        <w:tab/>
        <w:t>Le texte mis aux voix a été adopté à une large majorité pour entrée en vigueur au 1</w:t>
      </w:r>
      <w:r w:rsidR="00A346BD" w:rsidRPr="00C11BF9">
        <w:rPr>
          <w:vertAlign w:val="superscript"/>
          <w:lang w:val="fr-FR"/>
        </w:rPr>
        <w:t>er</w:t>
      </w:r>
      <w:r w:rsidR="00A346BD">
        <w:rPr>
          <w:lang w:val="fr-FR"/>
        </w:rPr>
        <w:t xml:space="preserve"> janvier 2017 </w:t>
      </w:r>
      <w:r w:rsidR="00A346BD" w:rsidRPr="00B3449E">
        <w:rPr>
          <w:lang w:val="fr-FR"/>
        </w:rPr>
        <w:t>(voir annexe</w:t>
      </w:r>
      <w:r w:rsidR="00B402D7">
        <w:rPr>
          <w:lang w:val="fr-FR"/>
        </w:rPr>
        <w:t xml:space="preserve"> I</w:t>
      </w:r>
      <w:r w:rsidR="00B402D7" w:rsidRPr="00B3449E">
        <w:rPr>
          <w:lang w:val="fr-FR"/>
        </w:rPr>
        <w:t>).</w:t>
      </w:r>
    </w:p>
    <w:p w:rsidR="00A346BD" w:rsidRDefault="00A346BD" w:rsidP="00A346BD">
      <w:pPr>
        <w:pStyle w:val="H23G"/>
        <w:rPr>
          <w:lang w:val="fr-FR"/>
        </w:rPr>
      </w:pPr>
      <w:r w:rsidRPr="00B3449E">
        <w:rPr>
          <w:lang w:val="fr-FR"/>
        </w:rPr>
        <w:tab/>
      </w:r>
      <w:r>
        <w:rPr>
          <w:lang w:val="fr-FR"/>
        </w:rPr>
        <w:t>13</w:t>
      </w:r>
      <w:r w:rsidRPr="00B3449E">
        <w:rPr>
          <w:lang w:val="fr-FR"/>
        </w:rPr>
        <w:t>.</w:t>
      </w:r>
      <w:r w:rsidRPr="00B3449E">
        <w:rPr>
          <w:lang w:val="fr-FR"/>
        </w:rPr>
        <w:tab/>
      </w:r>
      <w:r>
        <w:rPr>
          <w:lang w:val="fr-FR"/>
        </w:rPr>
        <w:t xml:space="preserve"> Transport du charbon en vrac</w:t>
      </w:r>
    </w:p>
    <w:p w:rsidR="00A346BD" w:rsidRDefault="00A346BD" w:rsidP="00A346BD">
      <w:pPr>
        <w:pStyle w:val="SingleTxtG"/>
        <w:tabs>
          <w:tab w:val="left" w:pos="2410"/>
        </w:tabs>
        <w:rPr>
          <w:lang w:val="fr-FR"/>
        </w:rPr>
      </w:pPr>
      <w:proofErr w:type="gramStart"/>
      <w:r>
        <w:rPr>
          <w:i/>
          <w:lang w:val="fr-FR"/>
        </w:rPr>
        <w:t>Document</w:t>
      </w:r>
      <w:r w:rsidRPr="0054289D">
        <w:rPr>
          <w:lang w:val="fr-FR"/>
        </w:rPr>
        <w:t>:</w:t>
      </w:r>
      <w:proofErr w:type="gramEnd"/>
      <w:r w:rsidRPr="0054289D">
        <w:rPr>
          <w:lang w:val="fr-FR"/>
        </w:rPr>
        <w:t xml:space="preserve"> </w:t>
      </w:r>
      <w:r w:rsidRPr="0054289D">
        <w:rPr>
          <w:lang w:val="fr-FR"/>
        </w:rPr>
        <w:tab/>
      </w:r>
      <w:r>
        <w:rPr>
          <w:lang w:val="fr-FR"/>
        </w:rPr>
        <w:tab/>
        <w:t>ECE/TRANS/WP.15/2016/5</w:t>
      </w:r>
      <w:r w:rsidRPr="0054289D">
        <w:rPr>
          <w:lang w:val="fr-FR"/>
        </w:rPr>
        <w:t xml:space="preserve"> (</w:t>
      </w:r>
      <w:r>
        <w:rPr>
          <w:lang w:val="fr-FR"/>
        </w:rPr>
        <w:t>EURACOAL</w:t>
      </w:r>
      <w:r w:rsidRPr="0054289D">
        <w:rPr>
          <w:lang w:val="fr-FR"/>
        </w:rPr>
        <w:t>)</w:t>
      </w:r>
    </w:p>
    <w:p w:rsidR="00A346BD" w:rsidRPr="00754C98" w:rsidRDefault="00294669" w:rsidP="00A346BD">
      <w:pPr>
        <w:pStyle w:val="SingleTxtG"/>
      </w:pPr>
      <w:r>
        <w:lastRenderedPageBreak/>
        <w:t>42</w:t>
      </w:r>
      <w:r w:rsidR="00A346BD" w:rsidRPr="00754C98">
        <w:t>.</w:t>
      </w:r>
      <w:r w:rsidR="00A346BD" w:rsidRPr="00754C98">
        <w:tab/>
        <w:t xml:space="preserve">La proposition a été modifiée oralement en session pour exclure du champ d’application de l’exemption les formes pulvérisées de charbon. </w:t>
      </w:r>
    </w:p>
    <w:p w:rsidR="00A346BD" w:rsidRPr="00F01B8E" w:rsidRDefault="00294669" w:rsidP="00A346BD">
      <w:pPr>
        <w:pStyle w:val="SingleTxtG"/>
      </w:pPr>
      <w:r>
        <w:t>43</w:t>
      </w:r>
      <w:r w:rsidR="00A346BD" w:rsidRPr="00F01B8E">
        <w:t>.</w:t>
      </w:r>
      <w:r w:rsidR="00A346BD" w:rsidRPr="00F01B8E">
        <w:tab/>
        <w:t>Mise aux voix, la proposition a été adoptée pour entrée en vigueur au 1</w:t>
      </w:r>
      <w:r w:rsidR="00A346BD" w:rsidRPr="003760F8">
        <w:rPr>
          <w:vertAlign w:val="superscript"/>
        </w:rPr>
        <w:t>er</w:t>
      </w:r>
      <w:r w:rsidR="00A346BD" w:rsidRPr="00F01B8E">
        <w:t xml:space="preserve"> janvier 2017 (voir annexe</w:t>
      </w:r>
      <w:r w:rsidR="006F19D6">
        <w:t xml:space="preserve"> I</w:t>
      </w:r>
      <w:r w:rsidR="006F19D6" w:rsidRPr="00F01B8E">
        <w:t>).</w:t>
      </w:r>
    </w:p>
    <w:p w:rsidR="00A346BD" w:rsidRDefault="00A346BD" w:rsidP="00A346BD">
      <w:pPr>
        <w:pStyle w:val="H23G"/>
        <w:rPr>
          <w:lang w:val="fr-FR"/>
        </w:rPr>
      </w:pPr>
      <w:r w:rsidRPr="00B3449E">
        <w:rPr>
          <w:lang w:val="fr-FR"/>
        </w:rPr>
        <w:tab/>
      </w:r>
      <w:r>
        <w:rPr>
          <w:lang w:val="fr-FR"/>
        </w:rPr>
        <w:t>14</w:t>
      </w:r>
      <w:r w:rsidRPr="00B3449E">
        <w:rPr>
          <w:lang w:val="fr-FR"/>
        </w:rPr>
        <w:t>.</w:t>
      </w:r>
      <w:r w:rsidRPr="00B3449E">
        <w:rPr>
          <w:lang w:val="fr-FR"/>
        </w:rPr>
        <w:tab/>
      </w:r>
      <w:r>
        <w:rPr>
          <w:lang w:val="fr-FR"/>
        </w:rPr>
        <w:t>Mesure transitoire pour le transport de véhicules contenant des batteries au lithium non conformes au 2.2.9.1.7</w:t>
      </w:r>
    </w:p>
    <w:p w:rsidR="00A346BD" w:rsidRDefault="00A346BD" w:rsidP="00A346BD">
      <w:pPr>
        <w:pStyle w:val="SingleTxtG"/>
        <w:tabs>
          <w:tab w:val="left" w:pos="2410"/>
        </w:tabs>
        <w:rPr>
          <w:lang w:val="fr-FR"/>
        </w:rPr>
      </w:pPr>
      <w:r>
        <w:rPr>
          <w:i/>
          <w:lang w:val="fr-FR"/>
        </w:rPr>
        <w:t xml:space="preserve">Document </w:t>
      </w:r>
      <w:proofErr w:type="gramStart"/>
      <w:r>
        <w:rPr>
          <w:i/>
          <w:lang w:val="fr-FR"/>
        </w:rPr>
        <w:t>informel</w:t>
      </w:r>
      <w:r w:rsidRPr="0054289D">
        <w:rPr>
          <w:lang w:val="fr-FR"/>
        </w:rPr>
        <w:t>:</w:t>
      </w:r>
      <w:proofErr w:type="gramEnd"/>
      <w:r w:rsidRPr="0054289D">
        <w:rPr>
          <w:lang w:val="fr-FR"/>
        </w:rPr>
        <w:t xml:space="preserve"> </w:t>
      </w:r>
      <w:r w:rsidRPr="0054289D">
        <w:rPr>
          <w:lang w:val="fr-FR"/>
        </w:rPr>
        <w:tab/>
      </w:r>
      <w:r>
        <w:rPr>
          <w:lang w:val="fr-FR"/>
        </w:rPr>
        <w:tab/>
        <w:t>INF.10 (Suisse)</w:t>
      </w:r>
    </w:p>
    <w:p w:rsidR="00A346BD" w:rsidRPr="00F01B8E" w:rsidRDefault="00294669" w:rsidP="00A346BD">
      <w:pPr>
        <w:pStyle w:val="SingleTxtG"/>
      </w:pPr>
      <w:r>
        <w:t>44</w:t>
      </w:r>
      <w:r w:rsidR="00A346BD" w:rsidRPr="00F01B8E">
        <w:t>.</w:t>
      </w:r>
      <w:r w:rsidR="00A346BD" w:rsidRPr="00F01B8E">
        <w:tab/>
        <w:t>Mise aux voix, la proposition a été adoptée avec quelques modifications pour entrée en vigueur au 1</w:t>
      </w:r>
      <w:r w:rsidR="00A346BD" w:rsidRPr="003760F8">
        <w:rPr>
          <w:vertAlign w:val="superscript"/>
        </w:rPr>
        <w:t>er</w:t>
      </w:r>
      <w:r w:rsidR="00A346BD" w:rsidRPr="00F01B8E">
        <w:t xml:space="preserve"> janvier 2017 (voir annexe</w:t>
      </w:r>
      <w:r w:rsidR="006F19D6">
        <w:t xml:space="preserve"> I</w:t>
      </w:r>
      <w:r w:rsidR="006F19D6" w:rsidRPr="00F01B8E">
        <w:t>).</w:t>
      </w:r>
    </w:p>
    <w:p w:rsidR="00A346BD" w:rsidRDefault="00A346BD" w:rsidP="00A346BD">
      <w:pPr>
        <w:pStyle w:val="H23G"/>
        <w:rPr>
          <w:lang w:val="fr-FR"/>
        </w:rPr>
      </w:pPr>
      <w:r w:rsidRPr="00B3449E">
        <w:rPr>
          <w:lang w:val="fr-FR"/>
        </w:rPr>
        <w:tab/>
      </w:r>
      <w:r>
        <w:rPr>
          <w:lang w:val="fr-FR"/>
        </w:rPr>
        <w:t>15</w:t>
      </w:r>
      <w:r w:rsidRPr="00B3449E">
        <w:rPr>
          <w:lang w:val="fr-FR"/>
        </w:rPr>
        <w:t>.</w:t>
      </w:r>
      <w:r w:rsidRPr="00B3449E">
        <w:rPr>
          <w:lang w:val="fr-FR"/>
        </w:rPr>
        <w:tab/>
      </w:r>
      <w:r>
        <w:rPr>
          <w:lang w:val="fr-FR"/>
        </w:rPr>
        <w:t>Disposition spéciale 376</w:t>
      </w:r>
    </w:p>
    <w:p w:rsidR="00A346BD" w:rsidRPr="00F01B8E" w:rsidRDefault="00A346BD" w:rsidP="00A346BD">
      <w:pPr>
        <w:pStyle w:val="SingleTxtG"/>
        <w:spacing w:line="200" w:lineRule="atLeast"/>
      </w:pPr>
      <w:r w:rsidRPr="009E1470">
        <w:rPr>
          <w:i/>
        </w:rPr>
        <w:t xml:space="preserve">Document </w:t>
      </w:r>
      <w:proofErr w:type="gramStart"/>
      <w:r w:rsidRPr="009E1470">
        <w:rPr>
          <w:i/>
        </w:rPr>
        <w:t>informel:</w:t>
      </w:r>
      <w:proofErr w:type="gramEnd"/>
      <w:r w:rsidRPr="00F01B8E">
        <w:t xml:space="preserve"> </w:t>
      </w:r>
      <w:r w:rsidRPr="00F01B8E">
        <w:tab/>
      </w:r>
      <w:r w:rsidRPr="00F01B8E">
        <w:tab/>
        <w:t>INF.</w:t>
      </w:r>
      <w:r>
        <w:t>12</w:t>
      </w:r>
      <w:r w:rsidRPr="00F01B8E">
        <w:t xml:space="preserve"> (Suisse)</w:t>
      </w:r>
    </w:p>
    <w:p w:rsidR="00A346BD" w:rsidRPr="00F01B8E" w:rsidRDefault="00294669" w:rsidP="00A346BD">
      <w:pPr>
        <w:pStyle w:val="SingleTxtG"/>
      </w:pPr>
      <w:r>
        <w:t>45</w:t>
      </w:r>
      <w:r w:rsidR="00A346BD" w:rsidRPr="00F01B8E">
        <w:t>.</w:t>
      </w:r>
      <w:r w:rsidR="00A346BD" w:rsidRPr="00F01B8E">
        <w:tab/>
        <w:t>Mise aux voix, la proposition figurant au paragraphe 7 du document informel INF.</w:t>
      </w:r>
      <w:r w:rsidR="00A346BD">
        <w:t>12</w:t>
      </w:r>
      <w:r w:rsidR="00A346BD" w:rsidRPr="00F01B8E">
        <w:t xml:space="preserve"> et visant à spécifier que la catégorie de transport 0 s’applique pour les piles et batteries endommagées devant être transportées dans les conditions approuvées par l’autorité compétente, a été</w:t>
      </w:r>
      <w:r w:rsidR="00A346BD">
        <w:t xml:space="preserve"> adoptée</w:t>
      </w:r>
      <w:r w:rsidR="00A346BD" w:rsidRPr="00F01B8E">
        <w:t xml:space="preserve"> pour entrée en vigueur au 1</w:t>
      </w:r>
      <w:r w:rsidR="00A346BD" w:rsidRPr="003760F8">
        <w:rPr>
          <w:vertAlign w:val="superscript"/>
        </w:rPr>
        <w:t>er</w:t>
      </w:r>
      <w:r w:rsidR="00A346BD" w:rsidRPr="00F01B8E">
        <w:t xml:space="preserve"> janvier 2017 (voir annexe</w:t>
      </w:r>
      <w:r w:rsidR="000A011C">
        <w:t> </w:t>
      </w:r>
      <w:r w:rsidR="006F19D6">
        <w:t>I</w:t>
      </w:r>
      <w:r w:rsidR="006F19D6" w:rsidRPr="00F01B8E">
        <w:t>).</w:t>
      </w:r>
    </w:p>
    <w:p w:rsidR="00A346BD" w:rsidRPr="00F01B8E" w:rsidRDefault="00294669" w:rsidP="00A346BD">
      <w:pPr>
        <w:pStyle w:val="SingleTxtG"/>
      </w:pPr>
      <w:r>
        <w:t>46</w:t>
      </w:r>
      <w:r w:rsidR="00A346BD" w:rsidRPr="00F01B8E">
        <w:t>.</w:t>
      </w:r>
      <w:r w:rsidR="00A346BD" w:rsidRPr="00F01B8E">
        <w:tab/>
        <w:t>Mise aux voix, la proposition de modification du 8.6.3.1 figurant au paragraphe 10 n’a pas été adoptée.</w:t>
      </w:r>
    </w:p>
    <w:p w:rsidR="00A346BD" w:rsidRPr="00B3449E" w:rsidRDefault="00A346BD" w:rsidP="00A346BD">
      <w:pPr>
        <w:keepNext/>
        <w:keepLines/>
        <w:tabs>
          <w:tab w:val="right" w:pos="851"/>
        </w:tabs>
        <w:spacing w:before="360" w:after="240" w:line="300" w:lineRule="exact"/>
        <w:ind w:left="1134" w:right="1134" w:hanging="1134"/>
        <w:rPr>
          <w:b/>
          <w:sz w:val="28"/>
        </w:rPr>
      </w:pPr>
      <w:r w:rsidRPr="00DF4D2A">
        <w:rPr>
          <w:b/>
          <w:sz w:val="28"/>
        </w:rPr>
        <w:tab/>
      </w:r>
      <w:r>
        <w:rPr>
          <w:b/>
          <w:sz w:val="28"/>
        </w:rPr>
        <w:t>IX</w:t>
      </w:r>
      <w:r w:rsidRPr="00B3449E">
        <w:rPr>
          <w:b/>
          <w:sz w:val="28"/>
        </w:rPr>
        <w:t>.</w:t>
      </w:r>
      <w:r w:rsidRPr="00B3449E">
        <w:rPr>
          <w:b/>
          <w:sz w:val="28"/>
        </w:rPr>
        <w:tab/>
      </w:r>
      <w:r w:rsidRPr="004276DE">
        <w:rPr>
          <w:b/>
          <w:sz w:val="28"/>
          <w:lang w:val="fr-FR"/>
        </w:rPr>
        <w:t>Programme de travail</w:t>
      </w:r>
      <w:r w:rsidRPr="00B3449E">
        <w:rPr>
          <w:b/>
          <w:sz w:val="28"/>
          <w:lang w:val="fr-FR"/>
        </w:rPr>
        <w:t xml:space="preserve"> (point </w:t>
      </w:r>
      <w:r>
        <w:rPr>
          <w:b/>
          <w:sz w:val="28"/>
          <w:lang w:val="fr-FR"/>
        </w:rPr>
        <w:t>7</w:t>
      </w:r>
      <w:r w:rsidRPr="00B3449E">
        <w:rPr>
          <w:b/>
          <w:sz w:val="28"/>
          <w:lang w:val="fr-FR"/>
        </w:rPr>
        <w:t xml:space="preserve"> de l’ordre du jour) </w:t>
      </w:r>
    </w:p>
    <w:p w:rsidR="00A346BD" w:rsidRDefault="00294669" w:rsidP="00A346BD">
      <w:pPr>
        <w:pStyle w:val="ParNoG"/>
        <w:numPr>
          <w:ilvl w:val="0"/>
          <w:numId w:val="0"/>
        </w:numPr>
        <w:tabs>
          <w:tab w:val="left" w:pos="708"/>
        </w:tabs>
        <w:ind w:left="1134"/>
      </w:pPr>
      <w:r>
        <w:t>47</w:t>
      </w:r>
      <w:r w:rsidR="00A346BD">
        <w:t>.</w:t>
      </w:r>
      <w:r w:rsidR="00A346BD">
        <w:tab/>
        <w:t>La 101</w:t>
      </w:r>
      <w:r w:rsidR="00A346BD" w:rsidRPr="007A51F3">
        <w:rPr>
          <w:vertAlign w:val="superscript"/>
        </w:rPr>
        <w:t>e</w:t>
      </w:r>
      <w:r w:rsidR="00A346BD">
        <w:t xml:space="preserve"> du Groupe de travail a été programmée du 8 au 11 novembre 2016. Les points de l’ordre du jour pour cette prochaine session seront les mêmes que pour la 100</w:t>
      </w:r>
      <w:r w:rsidR="00A346BD" w:rsidRPr="007A51F3">
        <w:rPr>
          <w:vertAlign w:val="superscript"/>
        </w:rPr>
        <w:t>e</w:t>
      </w:r>
      <w:r w:rsidR="00A346BD">
        <w:t xml:space="preserve"> session, plus un point pour l’élection du Bureau. Le point de l’ordre du jour relatif à l’interprétation sera discuté après les points relatifs aux travaux de la réunion commune et aux propositions d’amendements aux annexes A et B de l’ADR.</w:t>
      </w:r>
    </w:p>
    <w:p w:rsidR="00A346BD" w:rsidRPr="00B3449E" w:rsidRDefault="00A346BD" w:rsidP="00A346BD">
      <w:pPr>
        <w:keepNext/>
        <w:keepLines/>
        <w:tabs>
          <w:tab w:val="right" w:pos="851"/>
        </w:tabs>
        <w:spacing w:before="360" w:after="240" w:line="300" w:lineRule="exact"/>
        <w:ind w:left="1134" w:right="1134" w:hanging="1134"/>
        <w:rPr>
          <w:b/>
          <w:sz w:val="28"/>
        </w:rPr>
      </w:pPr>
      <w:r w:rsidRPr="00DF4D2A">
        <w:rPr>
          <w:b/>
          <w:sz w:val="28"/>
        </w:rPr>
        <w:tab/>
      </w:r>
      <w:r>
        <w:rPr>
          <w:b/>
          <w:sz w:val="28"/>
        </w:rPr>
        <w:t>X</w:t>
      </w:r>
      <w:r w:rsidRPr="00B3449E">
        <w:rPr>
          <w:b/>
          <w:sz w:val="28"/>
        </w:rPr>
        <w:t>.</w:t>
      </w:r>
      <w:r w:rsidRPr="00B3449E">
        <w:rPr>
          <w:b/>
          <w:sz w:val="28"/>
        </w:rPr>
        <w:tab/>
      </w:r>
      <w:r w:rsidRPr="004276DE">
        <w:rPr>
          <w:b/>
          <w:sz w:val="28"/>
          <w:lang w:val="fr-FR"/>
        </w:rPr>
        <w:t>Questions diverses</w:t>
      </w:r>
      <w:r w:rsidRPr="00B3449E">
        <w:rPr>
          <w:b/>
          <w:sz w:val="28"/>
          <w:lang w:val="fr-FR"/>
        </w:rPr>
        <w:t xml:space="preserve"> (point </w:t>
      </w:r>
      <w:r>
        <w:rPr>
          <w:b/>
          <w:sz w:val="28"/>
          <w:lang w:val="fr-FR"/>
        </w:rPr>
        <w:t>8</w:t>
      </w:r>
      <w:r w:rsidRPr="00B3449E">
        <w:rPr>
          <w:b/>
          <w:sz w:val="28"/>
          <w:lang w:val="fr-FR"/>
        </w:rPr>
        <w:t xml:space="preserve"> de l’ordre du jour) </w:t>
      </w:r>
    </w:p>
    <w:p w:rsidR="00A346BD" w:rsidRDefault="00A346BD" w:rsidP="00A346BD">
      <w:pPr>
        <w:pStyle w:val="H23G"/>
      </w:pPr>
      <w:r>
        <w:tab/>
        <w:t>A.</w:t>
      </w:r>
      <w:r>
        <w:tab/>
        <w:t xml:space="preserve">Allumage </w:t>
      </w:r>
      <w:r>
        <w:rPr>
          <w:lang w:val="fr-FR"/>
        </w:rPr>
        <w:t>automatique des feux de croisement</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ab/>
      </w:r>
      <w:r w:rsidRPr="00B3449E">
        <w:rPr>
          <w:lang w:val="fr-FR"/>
        </w:rPr>
        <w:t>INF.</w:t>
      </w:r>
      <w:r>
        <w:rPr>
          <w:lang w:val="fr-FR"/>
        </w:rPr>
        <w:t>28</w:t>
      </w:r>
      <w:r w:rsidRPr="00B3449E">
        <w:rPr>
          <w:lang w:val="fr-FR"/>
        </w:rPr>
        <w:t xml:space="preserve"> (</w:t>
      </w:r>
      <w:r>
        <w:t>OICA</w:t>
      </w:r>
      <w:r w:rsidRPr="00B3449E">
        <w:rPr>
          <w:lang w:val="fr-FR"/>
        </w:rPr>
        <w:t>)</w:t>
      </w:r>
    </w:p>
    <w:p w:rsidR="00A346BD" w:rsidRDefault="00294669" w:rsidP="00A346BD">
      <w:pPr>
        <w:pStyle w:val="SingleTxtG"/>
        <w:rPr>
          <w:lang w:val="fr-FR"/>
        </w:rPr>
      </w:pPr>
      <w:r>
        <w:rPr>
          <w:lang w:val="fr-FR"/>
        </w:rPr>
        <w:t>48</w:t>
      </w:r>
      <w:r w:rsidR="00A346BD">
        <w:rPr>
          <w:lang w:val="fr-FR"/>
        </w:rPr>
        <w:t>.</w:t>
      </w:r>
      <w:r w:rsidR="00A346BD">
        <w:rPr>
          <w:lang w:val="fr-FR"/>
        </w:rPr>
        <w:tab/>
        <w:t xml:space="preserve">Le représentant de l’OICA a soulevé une éventuelle contradiction entre les règles applicables sur les sites pétroliers et les prescriptions du Règlement ECE No 48 concernant l’allumage automatique des feux de croisement. Il a souhaité présenter ce point au Groupe de travail car les représentants des industries concernées ne participent pas au </w:t>
      </w:r>
      <w:r w:rsidR="00A346BD" w:rsidRPr="00923C13">
        <w:rPr>
          <w:lang w:val="fr-FR"/>
        </w:rPr>
        <w:t>Groupe de travail de l’éclairage et de la signalisation lumineuse</w:t>
      </w:r>
      <w:r w:rsidR="00A346BD">
        <w:rPr>
          <w:lang w:val="fr-FR"/>
        </w:rPr>
        <w:t xml:space="preserve"> du </w:t>
      </w:r>
      <w:r w:rsidR="00A346BD" w:rsidRPr="00923C13">
        <w:rPr>
          <w:lang w:val="fr-FR"/>
        </w:rPr>
        <w:t>Forum mondial de l’harmonisation des Règlements concernant les véhicules</w:t>
      </w:r>
      <w:r w:rsidR="00A346BD">
        <w:rPr>
          <w:lang w:val="fr-FR"/>
        </w:rPr>
        <w:t xml:space="preserve"> (WP.29). Le Groupe de travail a pris note des préoccupations formulées et a confirmé que les représentants des industries chimique et pétrolière devraient être consultés. </w:t>
      </w:r>
    </w:p>
    <w:p w:rsidR="00A346BD" w:rsidRDefault="00A346BD" w:rsidP="00A346BD">
      <w:pPr>
        <w:pStyle w:val="H23G"/>
      </w:pPr>
      <w:r>
        <w:tab/>
        <w:t>B.</w:t>
      </w:r>
      <w:r>
        <w:tab/>
        <w:t>Amendements pour l’édition 2017 de l’ADR</w:t>
      </w:r>
    </w:p>
    <w:p w:rsidR="00A346BD" w:rsidRDefault="00294669" w:rsidP="00A346BD">
      <w:pPr>
        <w:pStyle w:val="ParNoG"/>
        <w:numPr>
          <w:ilvl w:val="0"/>
          <w:numId w:val="0"/>
        </w:numPr>
        <w:tabs>
          <w:tab w:val="left" w:pos="708"/>
        </w:tabs>
        <w:ind w:left="1134"/>
      </w:pPr>
      <w:r>
        <w:t>49</w:t>
      </w:r>
      <w:r w:rsidR="00A346BD">
        <w:t>.</w:t>
      </w:r>
      <w:r w:rsidR="00A346BD">
        <w:tab/>
        <w:t>Les amendements adoptés lors de sessions précédentes pour entrée en vigueur au 1</w:t>
      </w:r>
      <w:r w:rsidR="00A346BD">
        <w:rPr>
          <w:vertAlign w:val="superscript"/>
        </w:rPr>
        <w:t>er</w:t>
      </w:r>
      <w:r w:rsidR="00A346BD">
        <w:t> janvier 2017 ont déjà été diffusés dans le document ECE/TRANS/WP.15/231. Le Groupe de travail a prié le secrétariat de diffuser ceux adoptés à la 100</w:t>
      </w:r>
      <w:r w:rsidR="00A346BD" w:rsidRPr="006768C7">
        <w:rPr>
          <w:vertAlign w:val="superscript"/>
        </w:rPr>
        <w:t>e</w:t>
      </w:r>
      <w:r w:rsidR="00A346BD">
        <w:t xml:space="preserve"> session et dont l’entrée en vigueur est prévue également le 1</w:t>
      </w:r>
      <w:r w:rsidR="00A346BD">
        <w:rPr>
          <w:vertAlign w:val="superscript"/>
        </w:rPr>
        <w:t>er</w:t>
      </w:r>
      <w:r w:rsidR="00A346BD">
        <w:t xml:space="preserve"> janvier 2017 sous la forme d’un rectificatif </w:t>
      </w:r>
      <w:r w:rsidR="00A346BD">
        <w:lastRenderedPageBreak/>
        <w:t>(ECE/TRANS/WP.15/231/Corr.1) pour ceux qui modifient les amendements précédemment adoptés, et d’un additif (ECE/TRANS/WP.15/231/Add.1) pour les nouveaux amendements.</w:t>
      </w:r>
    </w:p>
    <w:p w:rsidR="00A346BD" w:rsidRDefault="00294669" w:rsidP="00A346BD">
      <w:pPr>
        <w:pStyle w:val="ParNoG"/>
        <w:numPr>
          <w:ilvl w:val="0"/>
          <w:numId w:val="0"/>
        </w:numPr>
        <w:tabs>
          <w:tab w:val="left" w:pos="708"/>
        </w:tabs>
        <w:ind w:left="1134"/>
      </w:pPr>
      <w:r>
        <w:t>50</w:t>
      </w:r>
      <w:r w:rsidR="00A346BD">
        <w:t>.</w:t>
      </w:r>
      <w:r w:rsidR="00A346BD">
        <w:tab/>
        <w:t>Le Président a été invité à transmettre l’ensemble des amendements au Secrétaire général par l’intermédiaire de son gouvernement, de sorte qu’ils puissent être notifiés aux Parties contractantes à l’ADR le 1</w:t>
      </w:r>
      <w:r w:rsidR="00A346BD">
        <w:rPr>
          <w:vertAlign w:val="superscript"/>
        </w:rPr>
        <w:t>er</w:t>
      </w:r>
      <w:r w:rsidR="00A346BD">
        <w:t xml:space="preserve"> juillet 2016 pour acceptation conformément à la procédure énoncée à l’article 14 de l’ADR.</w:t>
      </w:r>
    </w:p>
    <w:p w:rsidR="00A346BD" w:rsidRPr="00D20A7E" w:rsidRDefault="00A346BD" w:rsidP="00A346BD">
      <w:pPr>
        <w:pStyle w:val="H1G"/>
      </w:pPr>
      <w:r>
        <w:tab/>
        <w:t>C.</w:t>
      </w:r>
      <w:r>
        <w:tab/>
        <w:t>Questionnaire sur les coordonnées des autorités compétentes</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INF.25 (Secrétariat)</w:t>
      </w:r>
    </w:p>
    <w:p w:rsidR="00A346BD" w:rsidRDefault="00294669" w:rsidP="00A346BD">
      <w:pPr>
        <w:pStyle w:val="SingleTxtG"/>
        <w:rPr>
          <w:lang w:val="fr-FR"/>
        </w:rPr>
      </w:pPr>
      <w:proofErr w:type="gramStart"/>
      <w:r>
        <w:rPr>
          <w:lang w:val="fr-FR"/>
        </w:rPr>
        <w:t>51</w:t>
      </w:r>
      <w:r w:rsidR="00A346BD">
        <w:rPr>
          <w:lang w:val="fr-FR"/>
        </w:rPr>
        <w:t>.</w:t>
      </w:r>
      <w:r w:rsidR="00A346BD">
        <w:rPr>
          <w:lang w:val="fr-FR"/>
        </w:rPr>
        <w:tab/>
        <w:t xml:space="preserve">Un membre du secrétariat a rappelé que, </w:t>
      </w:r>
      <w:r w:rsidR="00A346BD" w:rsidRPr="00D20A7E">
        <w:rPr>
          <w:lang w:val="fr-FR"/>
        </w:rPr>
        <w:t>conformément aux dispositions du paragraphe 1 de la section B de la résolution 2015/7</w:t>
      </w:r>
      <w:r w:rsidR="009E1470">
        <w:rPr>
          <w:lang w:val="fr-FR"/>
        </w:rPr>
        <w:t xml:space="preserve"> du Conseil économique et social de l’ONU</w:t>
      </w:r>
      <w:r w:rsidR="00A346BD" w:rsidRPr="00D20A7E">
        <w:rPr>
          <w:lang w:val="fr-FR"/>
        </w:rPr>
        <w:t xml:space="preserve">, tous les Etats membres des Nations Unies </w:t>
      </w:r>
      <w:r w:rsidR="00A346BD">
        <w:rPr>
          <w:lang w:val="fr-FR"/>
        </w:rPr>
        <w:t>devraient transmettre au secrétariat</w:t>
      </w:r>
      <w:r w:rsidR="00A346BD" w:rsidRPr="00D20A7E">
        <w:rPr>
          <w:lang w:val="fr-FR"/>
        </w:rPr>
        <w:t xml:space="preserve"> les coordonnées </w:t>
      </w:r>
      <w:r w:rsidR="00A346BD">
        <w:rPr>
          <w:lang w:val="fr-FR"/>
        </w:rPr>
        <w:t>des</w:t>
      </w:r>
      <w:r w:rsidR="00A346BD" w:rsidRPr="00D20A7E">
        <w:rPr>
          <w:lang w:val="fr-FR"/>
        </w:rPr>
        <w:t xml:space="preserve"> autorités compétentes chargées de faire respecter la réglementation nationale applicable au transport des marchandises dangereuses et des autorités compétentes chargées d’approuver, au nom de l’Ét</w:t>
      </w:r>
      <w:r w:rsidR="00A346BD">
        <w:rPr>
          <w:lang w:val="fr-FR"/>
        </w:rPr>
        <w:t>at, l’apposition de marques «UN</w:t>
      </w:r>
      <w:r w:rsidR="00A346BD" w:rsidRPr="00D20A7E">
        <w:rPr>
          <w:lang w:val="fr-FR"/>
        </w:rPr>
        <w:t>» sur les emballages, les récipients à pression, les conteneurs pour vrac et les citernes mobiles.</w:t>
      </w:r>
      <w:proofErr w:type="gramEnd"/>
      <w:r w:rsidR="00A346BD" w:rsidRPr="00D20A7E">
        <w:rPr>
          <w:lang w:val="fr-FR"/>
        </w:rPr>
        <w:t xml:space="preserve"> </w:t>
      </w:r>
      <w:r w:rsidR="00A346BD">
        <w:rPr>
          <w:lang w:val="fr-FR"/>
        </w:rPr>
        <w:t>L</w:t>
      </w:r>
      <w:r w:rsidR="00A346BD" w:rsidRPr="00D20A7E">
        <w:rPr>
          <w:lang w:val="fr-FR"/>
        </w:rPr>
        <w:t xml:space="preserve">es </w:t>
      </w:r>
      <w:r w:rsidR="00A346BD">
        <w:rPr>
          <w:lang w:val="fr-FR"/>
        </w:rPr>
        <w:t>pays Parties contractantes à l’ADR</w:t>
      </w:r>
      <w:r w:rsidR="00A346BD" w:rsidRPr="00D20A7E">
        <w:rPr>
          <w:lang w:val="fr-FR"/>
        </w:rPr>
        <w:t xml:space="preserve"> qui ne l’ont pas encore fait </w:t>
      </w:r>
      <w:r w:rsidR="00A346BD">
        <w:rPr>
          <w:lang w:val="fr-FR"/>
        </w:rPr>
        <w:t xml:space="preserve">ont été invités </w:t>
      </w:r>
      <w:r w:rsidR="00A346BD" w:rsidRPr="00D20A7E">
        <w:rPr>
          <w:lang w:val="fr-FR"/>
        </w:rPr>
        <w:t xml:space="preserve">à fournir </w:t>
      </w:r>
      <w:r w:rsidR="00A346BD">
        <w:rPr>
          <w:lang w:val="fr-FR"/>
        </w:rPr>
        <w:t xml:space="preserve">rapidement </w:t>
      </w:r>
      <w:r w:rsidR="00A346BD" w:rsidRPr="00D20A7E">
        <w:rPr>
          <w:lang w:val="fr-FR"/>
        </w:rPr>
        <w:t>au secréta</w:t>
      </w:r>
      <w:r w:rsidR="00A346BD">
        <w:rPr>
          <w:lang w:val="fr-FR"/>
        </w:rPr>
        <w:t>riat les informations demandées en suivant la procédure décrite dans le document informel INF.25.</w:t>
      </w:r>
    </w:p>
    <w:p w:rsidR="00A346BD" w:rsidRPr="00D20A7E" w:rsidRDefault="00A346BD" w:rsidP="00A346BD">
      <w:pPr>
        <w:pStyle w:val="H1G"/>
      </w:pPr>
      <w:r>
        <w:tab/>
        <w:t>D.</w:t>
      </w:r>
      <w:r>
        <w:tab/>
      </w:r>
      <w:r>
        <w:rPr>
          <w:lang w:val="fr-FR"/>
        </w:rPr>
        <w:t>Véhicules équipés de systèmes d’échappement EURO 6 opérant dans les zones où peuvent se former des atmosphères explosives</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INF.4 (AEGPL)</w:t>
      </w:r>
    </w:p>
    <w:p w:rsidR="00A346BD" w:rsidRDefault="00294669" w:rsidP="00A346BD">
      <w:pPr>
        <w:pStyle w:val="SingleTxtG"/>
        <w:rPr>
          <w:lang w:val="fr-FR"/>
        </w:rPr>
      </w:pPr>
      <w:r>
        <w:rPr>
          <w:lang w:val="fr-FR"/>
        </w:rPr>
        <w:t>52</w:t>
      </w:r>
      <w:r w:rsidR="00A346BD">
        <w:rPr>
          <w:lang w:val="fr-FR"/>
        </w:rPr>
        <w:t>.</w:t>
      </w:r>
      <w:r w:rsidR="00A346BD">
        <w:rPr>
          <w:lang w:val="fr-FR"/>
        </w:rPr>
        <w:tab/>
        <w:t>Le Groupe de travail a noté les préoccupations de l’AEGPL en ce qui concerne les risques pouvant être associés à l’utilisation de véhicules équipés de systèmes d’échappement EURO 6 dans les zones où peuvent se former des atmosphères explosives.</w:t>
      </w:r>
    </w:p>
    <w:p w:rsidR="00A346BD" w:rsidRDefault="00294669" w:rsidP="00A346BD">
      <w:pPr>
        <w:pStyle w:val="SingleTxtG"/>
        <w:rPr>
          <w:lang w:val="fr-FR"/>
        </w:rPr>
      </w:pPr>
      <w:r>
        <w:rPr>
          <w:lang w:val="fr-FR"/>
        </w:rPr>
        <w:t>53</w:t>
      </w:r>
      <w:r w:rsidR="00A346BD">
        <w:rPr>
          <w:lang w:val="fr-FR"/>
        </w:rPr>
        <w:t>.</w:t>
      </w:r>
      <w:r w:rsidR="00A346BD">
        <w:rPr>
          <w:lang w:val="fr-FR"/>
        </w:rPr>
        <w:tab/>
        <w:t>Le Groupe de travail est convenu que ce sujet mérite son attention et qu’il conviendra d’y revenir dans l’avenir.</w:t>
      </w:r>
    </w:p>
    <w:p w:rsidR="00A346BD" w:rsidRPr="00D20A7E" w:rsidRDefault="00A346BD" w:rsidP="00A346BD">
      <w:pPr>
        <w:pStyle w:val="H1G"/>
      </w:pPr>
      <w:r>
        <w:tab/>
        <w:t>E.</w:t>
      </w:r>
      <w:r>
        <w:tab/>
      </w:r>
      <w:r>
        <w:rPr>
          <w:lang w:val="fr-FR"/>
        </w:rPr>
        <w:t>Groupe de travail informel sur les questions éditoriales</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INF.6 (Royaume-Uni)</w:t>
      </w:r>
    </w:p>
    <w:p w:rsidR="00A346BD" w:rsidRDefault="00294669" w:rsidP="00A346BD">
      <w:pPr>
        <w:pStyle w:val="SingleTxtG"/>
      </w:pPr>
      <w:r>
        <w:t>54</w:t>
      </w:r>
      <w:r w:rsidR="00A346BD">
        <w:t>.</w:t>
      </w:r>
      <w:r w:rsidR="00A346BD">
        <w:tab/>
      </w:r>
      <w:r w:rsidR="00A346BD" w:rsidRPr="00E65E52">
        <w:t>Le Groupe de travail a noté avec intérêt la proposition du Royaume-Uni de confier l'examen des questions de rédact</w:t>
      </w:r>
      <w:r w:rsidR="00A346BD">
        <w:t xml:space="preserve">ion relatives à la langue à </w:t>
      </w:r>
      <w:r w:rsidR="00A346BD" w:rsidRPr="00E65E52">
        <w:t xml:space="preserve">un groupe de travail informel pour éviter de longues discussions en séance plénière sur les questions </w:t>
      </w:r>
      <w:r w:rsidR="00A346BD">
        <w:t>non-substantielles</w:t>
      </w:r>
      <w:r w:rsidR="00A346BD" w:rsidRPr="00E65E52">
        <w:t>.</w:t>
      </w:r>
      <w:r w:rsidR="00A346BD">
        <w:t xml:space="preserve"> Il a été relevé toutefois que les questions éditoriales ont parfois des incidences sur le fond, et que la version des annexes de l’ADR faisant foi du point de vue juridique est la version française.</w:t>
      </w:r>
    </w:p>
    <w:p w:rsidR="00A346BD" w:rsidRPr="00754C98" w:rsidRDefault="00294669" w:rsidP="00A346BD">
      <w:pPr>
        <w:pStyle w:val="SingleTxtG"/>
      </w:pPr>
      <w:r>
        <w:t>55</w:t>
      </w:r>
      <w:r w:rsidR="00A346BD" w:rsidRPr="00754C98">
        <w:t>.</w:t>
      </w:r>
      <w:r w:rsidR="00A346BD" w:rsidRPr="00754C98">
        <w:tab/>
        <w:t xml:space="preserve">Le Groupe de travail a invité le représentant du Royaume-Uni à présenter une proposition formelle </w:t>
      </w:r>
      <w:r w:rsidR="00A346BD">
        <w:t>à</w:t>
      </w:r>
      <w:r w:rsidR="00A346BD" w:rsidRPr="00754C98">
        <w:t xml:space="preserve"> </w:t>
      </w:r>
      <w:r w:rsidR="00112077">
        <w:t xml:space="preserve">la </w:t>
      </w:r>
      <w:r w:rsidR="00A346BD" w:rsidRPr="00754C98">
        <w:t>prochaine session de la Réunion commune.</w:t>
      </w:r>
      <w:r w:rsidR="00A346BD">
        <w:t xml:space="preserve"> Il a été suggéré que si un groupe informel devait être formé, il conviendrait de prévoir un mandat et des procédures de travail. </w:t>
      </w:r>
      <w:r w:rsidR="00A346BD" w:rsidRPr="00754C98">
        <w:t>Les délégations qui le souhaiteraient sont invitées à transmettre leurs commentaires et suggestions au représentant du Royaume-Uni avant le 20 juin 2016 pour tenir compte des délais de soumission des documents officiels pour la Réunion commune.</w:t>
      </w:r>
    </w:p>
    <w:p w:rsidR="00A346BD" w:rsidRPr="00D20A7E" w:rsidRDefault="00A346BD" w:rsidP="00A346BD">
      <w:pPr>
        <w:pStyle w:val="H1G"/>
      </w:pPr>
      <w:r>
        <w:lastRenderedPageBreak/>
        <w:tab/>
        <w:t>F.</w:t>
      </w:r>
      <w:r>
        <w:tab/>
      </w:r>
      <w:r>
        <w:rPr>
          <w:lang w:val="fr-FR"/>
        </w:rPr>
        <w:t>Accident de transport de marchandises dangereuses</w:t>
      </w:r>
    </w:p>
    <w:p w:rsidR="00A346BD" w:rsidRPr="00B3449E" w:rsidRDefault="00A346BD" w:rsidP="00A346BD">
      <w:pPr>
        <w:tabs>
          <w:tab w:val="left" w:pos="3100"/>
        </w:tabs>
        <w:spacing w:after="120"/>
        <w:ind w:left="1134" w:right="1134"/>
        <w:jc w:val="both"/>
        <w:rPr>
          <w:lang w:val="fr-FR"/>
        </w:rPr>
      </w:pPr>
      <w:r w:rsidRPr="00B3449E">
        <w:rPr>
          <w:i/>
          <w:lang w:val="fr-FR"/>
        </w:rPr>
        <w:t xml:space="preserve">Document </w:t>
      </w:r>
      <w:proofErr w:type="gramStart"/>
      <w:r w:rsidRPr="00B3449E">
        <w:rPr>
          <w:i/>
          <w:lang w:val="fr-FR"/>
        </w:rPr>
        <w:t>informel</w:t>
      </w:r>
      <w:r>
        <w:rPr>
          <w:lang w:val="fr-FR"/>
        </w:rPr>
        <w:t>:</w:t>
      </w:r>
      <w:proofErr w:type="gramEnd"/>
      <w:r w:rsidRPr="00B3449E">
        <w:rPr>
          <w:lang w:val="fr-FR"/>
        </w:rPr>
        <w:tab/>
      </w:r>
      <w:r>
        <w:rPr>
          <w:lang w:val="fr-FR"/>
        </w:rPr>
        <w:t>INF.20 (France)</w:t>
      </w:r>
    </w:p>
    <w:p w:rsidR="00A346BD" w:rsidRDefault="00294669" w:rsidP="00A346BD">
      <w:pPr>
        <w:pStyle w:val="SingleTxtG"/>
      </w:pPr>
      <w:r>
        <w:t>56</w:t>
      </w:r>
      <w:r w:rsidR="00A346BD">
        <w:t>.</w:t>
      </w:r>
      <w:r w:rsidR="00A346BD">
        <w:tab/>
        <w:t xml:space="preserve">La représentante de la France a informé le Groupe de travail sur les circonstances et conséquences d’un accident concernant un transport de bouteilles de gaz qui avait eu lieu en France. </w:t>
      </w:r>
    </w:p>
    <w:p w:rsidR="00A346BD" w:rsidRDefault="00294669" w:rsidP="00A346BD">
      <w:pPr>
        <w:pStyle w:val="SingleTxtG"/>
      </w:pPr>
      <w:r>
        <w:t>57</w:t>
      </w:r>
      <w:r w:rsidR="00A346BD">
        <w:t>.</w:t>
      </w:r>
      <w:r w:rsidR="00A346BD">
        <w:tab/>
        <w:t>Le Groupe de travail a noté les pistes proposées par la France afin d’éviter la répétition d’un tel évènement et est convenu de poursuivre l’étude de ces questions. L’éventualité de requérir des systèmes de détection de surchauffe des essieux ou de surveillance de la pression</w:t>
      </w:r>
      <w:r w:rsidR="00A346BD" w:rsidRPr="00624473">
        <w:t xml:space="preserve"> </w:t>
      </w:r>
      <w:r w:rsidR="00A346BD">
        <w:t xml:space="preserve">des pneumatiques pourra être étudiée en collaboration avec le </w:t>
      </w:r>
      <w:r w:rsidR="003D2AE1">
        <w:t>WP.29</w:t>
      </w:r>
      <w:r w:rsidR="00A346BD">
        <w:t xml:space="preserve">. </w:t>
      </w:r>
    </w:p>
    <w:p w:rsidR="00A346BD" w:rsidRPr="00D20A7E" w:rsidRDefault="00A346BD" w:rsidP="00A346BD">
      <w:pPr>
        <w:pStyle w:val="H1G"/>
      </w:pPr>
      <w:r>
        <w:tab/>
        <w:t>G.</w:t>
      </w:r>
      <w:r>
        <w:tab/>
      </w:r>
      <w:r>
        <w:rPr>
          <w:lang w:val="fr-FR"/>
        </w:rPr>
        <w:t xml:space="preserve">Procédure à suivre </w:t>
      </w:r>
      <w:r w:rsidRPr="00B50186">
        <w:t>pour la communication des accords multilatéraux</w:t>
      </w:r>
    </w:p>
    <w:p w:rsidR="00A346BD" w:rsidRDefault="00294669" w:rsidP="00A346BD">
      <w:pPr>
        <w:pStyle w:val="SingleTxtG"/>
      </w:pPr>
      <w:r>
        <w:t>58</w:t>
      </w:r>
      <w:r w:rsidR="00A346BD">
        <w:t>.</w:t>
      </w:r>
      <w:r w:rsidR="00A346BD">
        <w:tab/>
        <w:t xml:space="preserve"> Suite à une question du représentant de la Suisse, un membre du secrétariat a rappelé que le Groupe de travail avait adopté une procédure </w:t>
      </w:r>
      <w:r w:rsidR="00A346BD" w:rsidRPr="00B50186">
        <w:t>à suivre pour la communication des accords multilatéraux conclus selon la section 1.5.1 de l'ADR</w:t>
      </w:r>
      <w:r w:rsidR="00A346BD">
        <w:t>.</w:t>
      </w:r>
      <w:r w:rsidR="00A346BD" w:rsidRPr="00F01B8E">
        <w:t xml:space="preserve"> </w:t>
      </w:r>
      <w:r w:rsidR="00A346BD">
        <w:t>Selon cette procédure, un pays initiateur d’un accord multilatéral doit transmettre le projet d’accord au secrétariat avant que celui-ci ne soit diffusé aux autres Parties contractantes de l’ADR.</w:t>
      </w:r>
    </w:p>
    <w:p w:rsidR="00A346BD" w:rsidRDefault="00294669" w:rsidP="00A346BD">
      <w:pPr>
        <w:pStyle w:val="SingleTxtG"/>
      </w:pPr>
      <w:r>
        <w:t>59</w:t>
      </w:r>
      <w:r w:rsidR="00A346BD">
        <w:t>.</w:t>
      </w:r>
      <w:r w:rsidR="00A346BD">
        <w:tab/>
        <w:t xml:space="preserve">Cette procédure est reproduite sur la page des accords multilatéraux de l’ADR sur le site internet de la CEE-ONU ainsi qu’en annexe II de la Feuille de route pour la mise en œuvre de l’ADR. </w:t>
      </w:r>
    </w:p>
    <w:p w:rsidR="00A346BD" w:rsidRPr="005915A5" w:rsidRDefault="00A346BD" w:rsidP="00A346BD">
      <w:pPr>
        <w:pStyle w:val="HChG"/>
        <w:rPr>
          <w:lang w:val="fr-FR"/>
        </w:rPr>
      </w:pPr>
      <w:r>
        <w:rPr>
          <w:lang w:val="fr-FR"/>
        </w:rPr>
        <w:tab/>
        <w:t>XI</w:t>
      </w:r>
      <w:r w:rsidRPr="005915A5">
        <w:rPr>
          <w:lang w:val="fr-FR"/>
        </w:rPr>
        <w:t>.</w:t>
      </w:r>
      <w:r w:rsidRPr="005915A5">
        <w:rPr>
          <w:lang w:val="fr-FR"/>
        </w:rPr>
        <w:tab/>
        <w:t xml:space="preserve">Adoption du rapport (point </w:t>
      </w:r>
      <w:r w:rsidR="00112077">
        <w:rPr>
          <w:lang w:val="fr-FR"/>
        </w:rPr>
        <w:t>9</w:t>
      </w:r>
      <w:bookmarkStart w:id="0" w:name="_GoBack"/>
      <w:bookmarkEnd w:id="0"/>
      <w:r w:rsidRPr="005915A5">
        <w:rPr>
          <w:lang w:val="fr-FR"/>
        </w:rPr>
        <w:t xml:space="preserve"> de l’ordre du jour)</w:t>
      </w:r>
    </w:p>
    <w:p w:rsidR="00A346BD" w:rsidRDefault="00294669" w:rsidP="00A346BD">
      <w:pPr>
        <w:pStyle w:val="SingleTxtG"/>
        <w:rPr>
          <w:lang w:val="fr-FR"/>
        </w:rPr>
      </w:pPr>
      <w:r>
        <w:rPr>
          <w:lang w:val="fr-FR"/>
        </w:rPr>
        <w:t>60</w:t>
      </w:r>
      <w:r w:rsidR="00A346BD" w:rsidRPr="005915A5">
        <w:rPr>
          <w:lang w:val="fr-FR"/>
        </w:rPr>
        <w:t>.</w:t>
      </w:r>
      <w:r w:rsidR="00A346BD" w:rsidRPr="005915A5">
        <w:rPr>
          <w:lang w:val="fr-FR"/>
        </w:rPr>
        <w:tab/>
        <w:t xml:space="preserve">Le Groupe de travail a adopté le rapport sur sa </w:t>
      </w:r>
      <w:r w:rsidR="00A346BD">
        <w:rPr>
          <w:lang w:val="fr-FR"/>
        </w:rPr>
        <w:t>100</w:t>
      </w:r>
      <w:r w:rsidR="00A346BD" w:rsidRPr="00F41DE2">
        <w:rPr>
          <w:vertAlign w:val="superscript"/>
          <w:lang w:val="fr-FR"/>
        </w:rPr>
        <w:t>e</w:t>
      </w:r>
      <w:r w:rsidR="00A346BD" w:rsidRPr="005915A5">
        <w:rPr>
          <w:lang w:val="fr-FR"/>
        </w:rPr>
        <w:t xml:space="preserve"> session et ses annexes sur la base d'un projet établi par le secrétariat.</w:t>
      </w:r>
    </w:p>
    <w:p w:rsidR="008A3975" w:rsidRDefault="008A3975" w:rsidP="00A346BD">
      <w:pPr>
        <w:pStyle w:val="SingleTxtG"/>
        <w:rPr>
          <w:lang w:val="fr-FR"/>
        </w:rPr>
      </w:pPr>
    </w:p>
    <w:p w:rsidR="00A346BD" w:rsidRPr="00A346BD" w:rsidRDefault="00A346BD" w:rsidP="00625A9B">
      <w:pPr>
        <w:spacing w:after="120"/>
        <w:ind w:left="1134" w:right="1134"/>
        <w:jc w:val="both"/>
        <w:rPr>
          <w:lang w:val="fr-FR"/>
        </w:rPr>
      </w:pPr>
    </w:p>
    <w:p w:rsidR="00392706" w:rsidRDefault="00392706">
      <w:pPr>
        <w:suppressAutoHyphens w:val="0"/>
        <w:spacing w:line="240" w:lineRule="auto"/>
        <w:rPr>
          <w:b/>
          <w:sz w:val="28"/>
        </w:rPr>
      </w:pPr>
      <w:r>
        <w:br w:type="page"/>
      </w:r>
    </w:p>
    <w:p w:rsidR="0090466B" w:rsidRDefault="0090466B" w:rsidP="0090466B">
      <w:pPr>
        <w:pStyle w:val="HChG"/>
      </w:pPr>
      <w:r>
        <w:lastRenderedPageBreak/>
        <w:t>Annexe I</w:t>
      </w:r>
    </w:p>
    <w:p w:rsidR="0090466B" w:rsidRDefault="0090466B" w:rsidP="0090466B">
      <w:pPr>
        <w:pStyle w:val="H1G"/>
      </w:pPr>
      <w:r>
        <w:tab/>
      </w:r>
      <w:r>
        <w:tab/>
        <w:t>Projet d’amendements aux annexes A et B de l’ADR adopté par le Groupe de travail pour entrée en vigueur le 1</w:t>
      </w:r>
      <w:r w:rsidRPr="003760F8">
        <w:rPr>
          <w:vertAlign w:val="superscript"/>
        </w:rPr>
        <w:t>er</w:t>
      </w:r>
      <w:r>
        <w:t xml:space="preserve"> janvier 2017</w:t>
      </w:r>
    </w:p>
    <w:p w:rsidR="0090466B" w:rsidRDefault="0090466B" w:rsidP="0090466B">
      <w:pPr>
        <w:pStyle w:val="SingleTxtG"/>
        <w:ind w:firstLine="567"/>
      </w:pPr>
      <w:r>
        <w:t>Les amendements adoptés modifient ou complètent les amendements adoptés à la session précédente (voir ECE/TRANS/WP.15/231). Ils ont été mis à disposition en cours de session sous les cotes ECE/TRANS/WP.15/</w:t>
      </w:r>
      <w:r w:rsidR="00C22C01">
        <w:t>2016</w:t>
      </w:r>
      <w:r>
        <w:t>/CRP.2 et Adds.1-4.</w:t>
      </w:r>
    </w:p>
    <w:p w:rsidR="0090466B" w:rsidRDefault="0090466B" w:rsidP="0090466B">
      <w:pPr>
        <w:pStyle w:val="SingleTxtG"/>
        <w:ind w:firstLine="567"/>
      </w:pPr>
      <w:r>
        <w:t>Les amendements qui modifient ceux précédemment adoptés sont reproduits dans le document ECE/TRANS/WP.15/</w:t>
      </w:r>
      <w:r w:rsidR="00C22C01">
        <w:t>231</w:t>
      </w:r>
      <w:r>
        <w:t>/Corr.1.</w:t>
      </w:r>
    </w:p>
    <w:p w:rsidR="0090466B" w:rsidRDefault="0090466B" w:rsidP="0090466B">
      <w:pPr>
        <w:pStyle w:val="SingleTxtG"/>
        <w:ind w:firstLine="567"/>
      </w:pPr>
      <w:r>
        <w:t>Les nouveaux amendements sont reproduits dans le document ECE/TRANS/WP.15/</w:t>
      </w:r>
      <w:r w:rsidR="00C22C01">
        <w:t>231</w:t>
      </w:r>
      <w:r>
        <w:t>/Add.1.</w:t>
      </w:r>
    </w:p>
    <w:p w:rsidR="0090466B" w:rsidRDefault="0090466B" w:rsidP="0090466B">
      <w:pPr>
        <w:pStyle w:val="HChG"/>
      </w:pPr>
      <w:r>
        <w:br w:type="page"/>
      </w:r>
      <w:r>
        <w:lastRenderedPageBreak/>
        <w:t>Annexe II</w:t>
      </w:r>
    </w:p>
    <w:p w:rsidR="0090466B" w:rsidRDefault="0090466B" w:rsidP="0090466B">
      <w:pPr>
        <w:pStyle w:val="H1G"/>
      </w:pPr>
      <w:r>
        <w:tab/>
      </w:r>
      <w:r>
        <w:tab/>
        <w:t>Projet d’amendements aux annexes A et B de l’ADR adopté par le Groupe de travail pour entrée en vigueur le 1</w:t>
      </w:r>
      <w:r w:rsidRPr="003760F8">
        <w:rPr>
          <w:vertAlign w:val="superscript"/>
        </w:rPr>
        <w:t>er</w:t>
      </w:r>
      <w:r>
        <w:t xml:space="preserve"> janvier </w:t>
      </w:r>
      <w:r w:rsidR="00830A56">
        <w:t>2019</w:t>
      </w:r>
    </w:p>
    <w:p w:rsidR="00D65A2C" w:rsidRDefault="00D65A2C" w:rsidP="00D65A2C">
      <w:pPr>
        <w:tabs>
          <w:tab w:val="left" w:pos="1418"/>
        </w:tabs>
        <w:spacing w:before="120" w:after="120"/>
        <w:ind w:left="1134" w:right="1134"/>
        <w:jc w:val="both"/>
        <w:rPr>
          <w:lang w:val="fr-FR"/>
        </w:rPr>
      </w:pPr>
      <w:r>
        <w:rPr>
          <w:lang w:val="fr-FR"/>
        </w:rPr>
        <w:t>6.8.2.6.1</w:t>
      </w:r>
      <w:r>
        <w:rPr>
          <w:lang w:val="fr-FR"/>
        </w:rPr>
        <w:tab/>
      </w:r>
      <w:r>
        <w:rPr>
          <w:rFonts w:cs="Arial"/>
          <w:szCs w:val="22"/>
          <w:lang w:val="fr-FR"/>
        </w:rPr>
        <w:t>Dans</w:t>
      </w:r>
      <w:r>
        <w:rPr>
          <w:lang w:val="fr-FR"/>
        </w:rPr>
        <w:t xml:space="preserve"> le </w:t>
      </w:r>
      <w:proofErr w:type="gramStart"/>
      <w:r>
        <w:rPr>
          <w:lang w:val="fr-FR"/>
        </w:rPr>
        <w:t>tableau:</w:t>
      </w:r>
      <w:proofErr w:type="gramEnd"/>
    </w:p>
    <w:p w:rsidR="00D65A2C" w:rsidRDefault="00D65A2C" w:rsidP="00D65A2C">
      <w:pPr>
        <w:spacing w:before="120" w:after="120"/>
        <w:ind w:left="1134"/>
        <w:rPr>
          <w:lang w:val="fr-FR"/>
        </w:rPr>
      </w:pPr>
      <w:r>
        <w:rPr>
          <w:lang w:val="fr-FR"/>
        </w:rPr>
        <w:t>–</w:t>
      </w:r>
      <w:r>
        <w:rPr>
          <w:lang w:val="fr-FR"/>
        </w:rPr>
        <w:tab/>
        <w:t>Pour la norme «EN 14595:2005», dans la colonne (4), remplacer «Jusqu’à nouvel ordre» par «Entre le 1</w:t>
      </w:r>
      <w:r w:rsidRPr="003760F8">
        <w:rPr>
          <w:vertAlign w:val="superscript"/>
          <w:lang w:val="fr-FR"/>
        </w:rPr>
        <w:t>er</w:t>
      </w:r>
      <w:r>
        <w:rPr>
          <w:lang w:val="fr-FR"/>
        </w:rPr>
        <w:t xml:space="preserve"> janvier 2007 et le 31 décembre 2018».</w:t>
      </w:r>
    </w:p>
    <w:p w:rsidR="00D65A2C" w:rsidRDefault="00D65A2C" w:rsidP="00D65A2C">
      <w:pPr>
        <w:spacing w:before="120" w:after="120"/>
        <w:ind w:left="1134"/>
        <w:rPr>
          <w:lang w:val="fr-FR"/>
        </w:rPr>
      </w:pPr>
      <w:r>
        <w:rPr>
          <w:lang w:val="fr-FR"/>
        </w:rPr>
        <w:t>–</w:t>
      </w:r>
      <w:r>
        <w:rPr>
          <w:lang w:val="fr-FR"/>
        </w:rPr>
        <w:tab/>
        <w:t xml:space="preserve">Après la norme «EN 14595:2005», insérer la nouvelle norme </w:t>
      </w:r>
      <w:proofErr w:type="gramStart"/>
      <w:r>
        <w:rPr>
          <w:lang w:val="fr-FR"/>
        </w:rPr>
        <w:t>suivante:</w:t>
      </w:r>
      <w:proofErr w:type="gramEnd"/>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969"/>
        <w:gridCol w:w="1012"/>
        <w:gridCol w:w="956"/>
        <w:gridCol w:w="664"/>
      </w:tblGrid>
      <w:tr w:rsidR="00D65A2C" w:rsidTr="00445F6D">
        <w:tc>
          <w:tcPr>
            <w:tcW w:w="1679" w:type="dxa"/>
            <w:tcBorders>
              <w:top w:val="single" w:sz="4" w:space="0" w:color="auto"/>
              <w:left w:val="single" w:sz="4" w:space="0" w:color="auto"/>
              <w:bottom w:val="single" w:sz="4" w:space="0" w:color="auto"/>
              <w:right w:val="single" w:sz="4" w:space="0" w:color="auto"/>
            </w:tcBorders>
            <w:hideMark/>
          </w:tcPr>
          <w:p w:rsidR="00D65A2C" w:rsidRDefault="00D65A2C" w:rsidP="00445F6D">
            <w:pPr>
              <w:tabs>
                <w:tab w:val="left" w:pos="1418"/>
              </w:tabs>
              <w:rPr>
                <w:rFonts w:cs="Arial"/>
                <w:lang w:val="fr-FR"/>
              </w:rPr>
            </w:pPr>
            <w:r>
              <w:rPr>
                <w:rFonts w:cs="Arial"/>
                <w:bCs/>
                <w:szCs w:val="22"/>
                <w:lang w:val="fr-FR"/>
              </w:rPr>
              <w:t>EN </w:t>
            </w:r>
            <w:proofErr w:type="gramStart"/>
            <w:r>
              <w:rPr>
                <w:rFonts w:cs="Arial"/>
                <w:bCs/>
                <w:szCs w:val="22"/>
                <w:lang w:val="fr-FR"/>
              </w:rPr>
              <w:t>14595:</w:t>
            </w:r>
            <w:proofErr w:type="gramEnd"/>
            <w:r>
              <w:rPr>
                <w:rFonts w:cs="Arial"/>
                <w:bCs/>
                <w:szCs w:val="22"/>
                <w:lang w:val="fr-FR"/>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D65A2C" w:rsidRDefault="00D65A2C" w:rsidP="00445F6D">
            <w:pPr>
              <w:rPr>
                <w:rFonts w:cs="Arial"/>
                <w:lang w:val="fr-FR"/>
              </w:rPr>
            </w:pPr>
            <w:r>
              <w:rPr>
                <w:rFonts w:cs="Arial"/>
                <w:lang w:val="fr-FR"/>
              </w:rPr>
              <w:t>Citernes destinées au transport de matières dangereuses - Équipement de service pour citernes - Dispositif de respiration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D65A2C" w:rsidRDefault="00D65A2C" w:rsidP="00445F6D">
            <w:pPr>
              <w:rPr>
                <w:rFonts w:cs="Arial"/>
                <w:lang w:val="fr-FR"/>
              </w:rPr>
            </w:pPr>
            <w:r>
              <w:rPr>
                <w:rFonts w:cs="Arial"/>
                <w:lang w:val="fr-FR"/>
              </w:rPr>
              <w:t>6.8.2.2 et 6.8.2.4.1</w:t>
            </w:r>
          </w:p>
        </w:tc>
        <w:tc>
          <w:tcPr>
            <w:tcW w:w="956" w:type="dxa"/>
            <w:tcBorders>
              <w:top w:val="single" w:sz="4" w:space="0" w:color="auto"/>
              <w:left w:val="single" w:sz="4" w:space="0" w:color="auto"/>
              <w:bottom w:val="single" w:sz="4" w:space="0" w:color="auto"/>
              <w:right w:val="single" w:sz="4" w:space="0" w:color="auto"/>
            </w:tcBorders>
            <w:vAlign w:val="center"/>
            <w:hideMark/>
          </w:tcPr>
          <w:p w:rsidR="00D65A2C" w:rsidRDefault="00D65A2C" w:rsidP="00445F6D">
            <w:pPr>
              <w:jc w:val="center"/>
              <w:rPr>
                <w:rFonts w:cs="Arial"/>
                <w:lang w:val="fr-FR"/>
              </w:rPr>
            </w:pPr>
            <w:r>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D65A2C" w:rsidRDefault="00D65A2C" w:rsidP="00445F6D">
            <w:pPr>
              <w:widowControl w:val="0"/>
              <w:rPr>
                <w:rFonts w:cs="Arial"/>
                <w:sz w:val="18"/>
                <w:szCs w:val="18"/>
                <w:lang w:val="fr-FR"/>
              </w:rPr>
            </w:pPr>
          </w:p>
        </w:tc>
      </w:tr>
    </w:tbl>
    <w:p w:rsidR="00D65A2C" w:rsidRDefault="00D65A2C" w:rsidP="00D65A2C">
      <w:pPr>
        <w:pStyle w:val="SingleTxtG"/>
        <w:rPr>
          <w:i/>
        </w:rPr>
      </w:pPr>
      <w:r w:rsidRPr="00695F8F">
        <w:rPr>
          <w:i/>
        </w:rPr>
        <w:t xml:space="preserve">(Document de </w:t>
      </w:r>
      <w:proofErr w:type="gramStart"/>
      <w:r w:rsidRPr="00695F8F">
        <w:rPr>
          <w:i/>
        </w:rPr>
        <w:t>référence:</w:t>
      </w:r>
      <w:proofErr w:type="gramEnd"/>
      <w:r w:rsidRPr="00695F8F">
        <w:rPr>
          <w:i/>
        </w:rPr>
        <w:t xml:space="preserve"> document informel INF.3, partie II)</w:t>
      </w:r>
    </w:p>
    <w:p w:rsidR="00117CD8" w:rsidRPr="00117CD8" w:rsidRDefault="00117CD8" w:rsidP="00117CD8">
      <w:pPr>
        <w:pStyle w:val="SingleTxtG"/>
        <w:spacing w:before="240" w:after="0"/>
        <w:jc w:val="center"/>
        <w:rPr>
          <w:i/>
          <w:iCs/>
          <w:u w:val="single"/>
        </w:rPr>
      </w:pPr>
      <w:r>
        <w:rPr>
          <w:i/>
          <w:iCs/>
          <w:u w:val="single"/>
        </w:rPr>
        <w:tab/>
      </w:r>
      <w:r>
        <w:rPr>
          <w:i/>
          <w:iCs/>
          <w:u w:val="single"/>
        </w:rPr>
        <w:tab/>
      </w:r>
      <w:r>
        <w:rPr>
          <w:i/>
          <w:iCs/>
          <w:u w:val="single"/>
        </w:rPr>
        <w:tab/>
      </w:r>
    </w:p>
    <w:sectPr w:rsidR="00117CD8" w:rsidRPr="00117CD8" w:rsidSect="009864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0F" w:rsidRDefault="00C9360F"/>
  </w:endnote>
  <w:endnote w:type="continuationSeparator" w:id="0">
    <w:p w:rsidR="00C9360F" w:rsidRDefault="00C9360F"/>
  </w:endnote>
  <w:endnote w:type="continuationNotice" w:id="1">
    <w:p w:rsidR="00C9360F" w:rsidRDefault="00C936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F2" w:rsidRPr="009864BF" w:rsidRDefault="007915D5" w:rsidP="009864BF">
    <w:pPr>
      <w:pStyle w:val="Pieddepage"/>
      <w:tabs>
        <w:tab w:val="right" w:pos="9638"/>
      </w:tabs>
      <w:rPr>
        <w:sz w:val="18"/>
      </w:rPr>
    </w:pPr>
    <w:r w:rsidRPr="009864BF">
      <w:rPr>
        <w:b/>
        <w:sz w:val="18"/>
      </w:rPr>
      <w:fldChar w:fldCharType="begin"/>
    </w:r>
    <w:r w:rsidR="000A62F2" w:rsidRPr="009864BF">
      <w:rPr>
        <w:b/>
        <w:sz w:val="18"/>
      </w:rPr>
      <w:instrText xml:space="preserve"> PAGE  \* MERGEFORMAT </w:instrText>
    </w:r>
    <w:r w:rsidRPr="009864BF">
      <w:rPr>
        <w:b/>
        <w:sz w:val="18"/>
      </w:rPr>
      <w:fldChar w:fldCharType="separate"/>
    </w:r>
    <w:r w:rsidR="008E3D95">
      <w:rPr>
        <w:b/>
        <w:noProof/>
        <w:sz w:val="18"/>
      </w:rPr>
      <w:t>12</w:t>
    </w:r>
    <w:r w:rsidRPr="009864BF">
      <w:rPr>
        <w:b/>
        <w:sz w:val="18"/>
      </w:rPr>
      <w:fldChar w:fldCharType="end"/>
    </w:r>
    <w:r w:rsidR="000A62F2">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F2" w:rsidRPr="009864BF" w:rsidRDefault="000A62F2" w:rsidP="009864BF">
    <w:pPr>
      <w:pStyle w:val="Pieddepage"/>
      <w:tabs>
        <w:tab w:val="right" w:pos="9638"/>
      </w:tabs>
      <w:rPr>
        <w:sz w:val="18"/>
      </w:rPr>
    </w:pPr>
    <w:r>
      <w:tab/>
    </w:r>
    <w:r w:rsidR="007915D5" w:rsidRPr="009864BF">
      <w:rPr>
        <w:b/>
        <w:sz w:val="18"/>
      </w:rPr>
      <w:fldChar w:fldCharType="begin"/>
    </w:r>
    <w:r w:rsidRPr="009864BF">
      <w:rPr>
        <w:b/>
        <w:sz w:val="18"/>
      </w:rPr>
      <w:instrText xml:space="preserve"> PAGE  \* MERGEFORMAT </w:instrText>
    </w:r>
    <w:r w:rsidR="007915D5" w:rsidRPr="009864BF">
      <w:rPr>
        <w:b/>
        <w:sz w:val="18"/>
      </w:rPr>
      <w:fldChar w:fldCharType="separate"/>
    </w:r>
    <w:r w:rsidR="008E3D95">
      <w:rPr>
        <w:b/>
        <w:noProof/>
        <w:sz w:val="18"/>
      </w:rPr>
      <w:t>13</w:t>
    </w:r>
    <w:r w:rsidR="007915D5" w:rsidRPr="009864BF">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0F" w:rsidRPr="00D27D5E" w:rsidRDefault="00C9360F" w:rsidP="00D27D5E">
      <w:pPr>
        <w:tabs>
          <w:tab w:val="right" w:pos="2155"/>
        </w:tabs>
        <w:spacing w:after="80"/>
        <w:ind w:left="680"/>
        <w:rPr>
          <w:u w:val="single"/>
        </w:rPr>
      </w:pPr>
      <w:r>
        <w:rPr>
          <w:u w:val="single"/>
        </w:rPr>
        <w:tab/>
      </w:r>
    </w:p>
  </w:footnote>
  <w:footnote w:type="continuationSeparator" w:id="0">
    <w:p w:rsidR="00C9360F" w:rsidRPr="00A80554" w:rsidRDefault="00C9360F" w:rsidP="00A80554">
      <w:pPr>
        <w:tabs>
          <w:tab w:val="left" w:pos="2155"/>
        </w:tabs>
        <w:spacing w:after="80"/>
        <w:ind w:left="680"/>
        <w:rPr>
          <w:u w:val="single"/>
        </w:rPr>
      </w:pPr>
      <w:r w:rsidRPr="00A80554">
        <w:rPr>
          <w:u w:val="single"/>
        </w:rPr>
        <w:tab/>
      </w:r>
    </w:p>
  </w:footnote>
  <w:footnote w:type="continuationNotice" w:id="1">
    <w:p w:rsidR="00C9360F" w:rsidRDefault="00C936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F2" w:rsidRPr="009864BF" w:rsidRDefault="000A62F2">
    <w:pPr>
      <w:pStyle w:val="En-tte"/>
    </w:pPr>
    <w:r>
      <w:t>ECE/TRANS/WP.15/233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F2" w:rsidRPr="009864BF" w:rsidRDefault="000A62F2" w:rsidP="009864BF">
    <w:pPr>
      <w:pStyle w:val="En-tte"/>
      <w:jc w:val="right"/>
    </w:pPr>
    <w:r>
      <w:t>ECE/TRANS/WP.15/233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67897"/>
    <w:multiLevelType w:val="hybridMultilevel"/>
    <w:tmpl w:val="20523D60"/>
    <w:lvl w:ilvl="0" w:tplc="173822CA">
      <w:start w:val="1"/>
      <w:numFmt w:val="bullet"/>
      <w:lvlText w:val=""/>
      <w:lvlJc w:val="left"/>
      <w:pPr>
        <w:tabs>
          <w:tab w:val="num" w:pos="284"/>
        </w:tabs>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70F52D7"/>
    <w:multiLevelType w:val="hybridMultilevel"/>
    <w:tmpl w:val="9064D886"/>
    <w:lvl w:ilvl="0" w:tplc="57BEADE6">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001"/>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rsids>
    <w:rsidRoot w:val="00374DA6"/>
    <w:rsid w:val="0001006F"/>
    <w:rsid w:val="00013D7C"/>
    <w:rsid w:val="00016AC5"/>
    <w:rsid w:val="0002540D"/>
    <w:rsid w:val="00027862"/>
    <w:rsid w:val="00030ADE"/>
    <w:rsid w:val="000312C0"/>
    <w:rsid w:val="000419DB"/>
    <w:rsid w:val="00052613"/>
    <w:rsid w:val="0009473E"/>
    <w:rsid w:val="000964C7"/>
    <w:rsid w:val="000A011C"/>
    <w:rsid w:val="000A30A9"/>
    <w:rsid w:val="000A62F2"/>
    <w:rsid w:val="000A7986"/>
    <w:rsid w:val="000B34CA"/>
    <w:rsid w:val="000C055A"/>
    <w:rsid w:val="000C49C9"/>
    <w:rsid w:val="000E13F7"/>
    <w:rsid w:val="000F41F2"/>
    <w:rsid w:val="001006A1"/>
    <w:rsid w:val="00107469"/>
    <w:rsid w:val="00112077"/>
    <w:rsid w:val="00113838"/>
    <w:rsid w:val="00117CD8"/>
    <w:rsid w:val="00135C0D"/>
    <w:rsid w:val="001473EA"/>
    <w:rsid w:val="00147FEC"/>
    <w:rsid w:val="00154636"/>
    <w:rsid w:val="00160540"/>
    <w:rsid w:val="00161E56"/>
    <w:rsid w:val="0017182C"/>
    <w:rsid w:val="00174DD1"/>
    <w:rsid w:val="00177007"/>
    <w:rsid w:val="00181F8C"/>
    <w:rsid w:val="00186EE9"/>
    <w:rsid w:val="00192EEB"/>
    <w:rsid w:val="001A20FB"/>
    <w:rsid w:val="001B6F40"/>
    <w:rsid w:val="001C59F6"/>
    <w:rsid w:val="001D7F8A"/>
    <w:rsid w:val="001E3FEB"/>
    <w:rsid w:val="001E4A02"/>
    <w:rsid w:val="001E6D5E"/>
    <w:rsid w:val="001F4739"/>
    <w:rsid w:val="002146A9"/>
    <w:rsid w:val="00223B89"/>
    <w:rsid w:val="00225A8C"/>
    <w:rsid w:val="00232C61"/>
    <w:rsid w:val="00253E10"/>
    <w:rsid w:val="002659F1"/>
    <w:rsid w:val="002701A6"/>
    <w:rsid w:val="00271C7C"/>
    <w:rsid w:val="00287E79"/>
    <w:rsid w:val="002928F9"/>
    <w:rsid w:val="00294669"/>
    <w:rsid w:val="002A5D07"/>
    <w:rsid w:val="002A7BA7"/>
    <w:rsid w:val="002A7DEA"/>
    <w:rsid w:val="002D22BF"/>
    <w:rsid w:val="002E0A08"/>
    <w:rsid w:val="002E2C91"/>
    <w:rsid w:val="002E5A22"/>
    <w:rsid w:val="002F3B03"/>
    <w:rsid w:val="003016B7"/>
    <w:rsid w:val="00330F9C"/>
    <w:rsid w:val="00333EBE"/>
    <w:rsid w:val="00340C35"/>
    <w:rsid w:val="00341810"/>
    <w:rsid w:val="003515AA"/>
    <w:rsid w:val="00354182"/>
    <w:rsid w:val="00367E36"/>
    <w:rsid w:val="00367E6A"/>
    <w:rsid w:val="00370E0F"/>
    <w:rsid w:val="00374106"/>
    <w:rsid w:val="00374DA6"/>
    <w:rsid w:val="003760F8"/>
    <w:rsid w:val="00392706"/>
    <w:rsid w:val="003976D5"/>
    <w:rsid w:val="003A5415"/>
    <w:rsid w:val="003B33A7"/>
    <w:rsid w:val="003B48E3"/>
    <w:rsid w:val="003B646B"/>
    <w:rsid w:val="003D1DF3"/>
    <w:rsid w:val="003D2AE1"/>
    <w:rsid w:val="003D46A7"/>
    <w:rsid w:val="003D6C68"/>
    <w:rsid w:val="003D76E4"/>
    <w:rsid w:val="00407CE5"/>
    <w:rsid w:val="00414425"/>
    <w:rsid w:val="004159D0"/>
    <w:rsid w:val="004224BB"/>
    <w:rsid w:val="004249E7"/>
    <w:rsid w:val="00426DA1"/>
    <w:rsid w:val="004332D1"/>
    <w:rsid w:val="00434168"/>
    <w:rsid w:val="0043648C"/>
    <w:rsid w:val="00445F6D"/>
    <w:rsid w:val="00475B53"/>
    <w:rsid w:val="00497A70"/>
    <w:rsid w:val="004A4829"/>
    <w:rsid w:val="004A521D"/>
    <w:rsid w:val="004C270A"/>
    <w:rsid w:val="004D2E43"/>
    <w:rsid w:val="004D53B7"/>
    <w:rsid w:val="004E315A"/>
    <w:rsid w:val="004E4695"/>
    <w:rsid w:val="00500684"/>
    <w:rsid w:val="00532CBE"/>
    <w:rsid w:val="00543D5E"/>
    <w:rsid w:val="00552647"/>
    <w:rsid w:val="00566F74"/>
    <w:rsid w:val="00571F41"/>
    <w:rsid w:val="0057577A"/>
    <w:rsid w:val="0058171D"/>
    <w:rsid w:val="0059410B"/>
    <w:rsid w:val="00595BE4"/>
    <w:rsid w:val="005970B3"/>
    <w:rsid w:val="005B738F"/>
    <w:rsid w:val="005B76A3"/>
    <w:rsid w:val="005E261B"/>
    <w:rsid w:val="005E5D1F"/>
    <w:rsid w:val="00603391"/>
    <w:rsid w:val="006049FD"/>
    <w:rsid w:val="00610954"/>
    <w:rsid w:val="00611D43"/>
    <w:rsid w:val="00612D48"/>
    <w:rsid w:val="00614EFC"/>
    <w:rsid w:val="00616B45"/>
    <w:rsid w:val="00625A9B"/>
    <w:rsid w:val="00630D9B"/>
    <w:rsid w:val="00631953"/>
    <w:rsid w:val="006371F6"/>
    <w:rsid w:val="00642849"/>
    <w:rsid w:val="006439EC"/>
    <w:rsid w:val="00657968"/>
    <w:rsid w:val="00657AA5"/>
    <w:rsid w:val="00665611"/>
    <w:rsid w:val="006973AE"/>
    <w:rsid w:val="006A047B"/>
    <w:rsid w:val="006B4590"/>
    <w:rsid w:val="006C340C"/>
    <w:rsid w:val="006E5FC7"/>
    <w:rsid w:val="006F19D6"/>
    <w:rsid w:val="006F5AD2"/>
    <w:rsid w:val="006F7F34"/>
    <w:rsid w:val="00700B01"/>
    <w:rsid w:val="0070347C"/>
    <w:rsid w:val="00713A93"/>
    <w:rsid w:val="007154B4"/>
    <w:rsid w:val="007176C1"/>
    <w:rsid w:val="007219A9"/>
    <w:rsid w:val="007348C1"/>
    <w:rsid w:val="00751F6C"/>
    <w:rsid w:val="00783F37"/>
    <w:rsid w:val="00790F2F"/>
    <w:rsid w:val="007915D5"/>
    <w:rsid w:val="007A6076"/>
    <w:rsid w:val="007B0520"/>
    <w:rsid w:val="007B44BB"/>
    <w:rsid w:val="007B5E84"/>
    <w:rsid w:val="007E100C"/>
    <w:rsid w:val="007E1CE0"/>
    <w:rsid w:val="007F55CB"/>
    <w:rsid w:val="00807AE7"/>
    <w:rsid w:val="00812C1A"/>
    <w:rsid w:val="00814F45"/>
    <w:rsid w:val="00830A56"/>
    <w:rsid w:val="008317F6"/>
    <w:rsid w:val="00834D3A"/>
    <w:rsid w:val="00844750"/>
    <w:rsid w:val="0088735F"/>
    <w:rsid w:val="008A3975"/>
    <w:rsid w:val="008B44C4"/>
    <w:rsid w:val="008B7879"/>
    <w:rsid w:val="008C2211"/>
    <w:rsid w:val="008D3919"/>
    <w:rsid w:val="008E3D95"/>
    <w:rsid w:val="008E7778"/>
    <w:rsid w:val="008E7FAE"/>
    <w:rsid w:val="009009FB"/>
    <w:rsid w:val="0090466B"/>
    <w:rsid w:val="00911BF7"/>
    <w:rsid w:val="009158CE"/>
    <w:rsid w:val="00925B3F"/>
    <w:rsid w:val="00926E87"/>
    <w:rsid w:val="00952FDB"/>
    <w:rsid w:val="00977EC8"/>
    <w:rsid w:val="00984E98"/>
    <w:rsid w:val="009864BF"/>
    <w:rsid w:val="00994F5B"/>
    <w:rsid w:val="009B18A3"/>
    <w:rsid w:val="009B5F95"/>
    <w:rsid w:val="009C40C7"/>
    <w:rsid w:val="009D3A8C"/>
    <w:rsid w:val="009D737B"/>
    <w:rsid w:val="009D7CD2"/>
    <w:rsid w:val="009E01B8"/>
    <w:rsid w:val="009E0F1E"/>
    <w:rsid w:val="009E1470"/>
    <w:rsid w:val="009E7956"/>
    <w:rsid w:val="00A1547F"/>
    <w:rsid w:val="00A21EDE"/>
    <w:rsid w:val="00A2492E"/>
    <w:rsid w:val="00A264FA"/>
    <w:rsid w:val="00A31F07"/>
    <w:rsid w:val="00A346BD"/>
    <w:rsid w:val="00A34F4A"/>
    <w:rsid w:val="00A3503B"/>
    <w:rsid w:val="00A3510A"/>
    <w:rsid w:val="00A41235"/>
    <w:rsid w:val="00A70163"/>
    <w:rsid w:val="00A80554"/>
    <w:rsid w:val="00AA72C3"/>
    <w:rsid w:val="00AC67A1"/>
    <w:rsid w:val="00AC7977"/>
    <w:rsid w:val="00AD3C97"/>
    <w:rsid w:val="00AD4B6D"/>
    <w:rsid w:val="00AD6B55"/>
    <w:rsid w:val="00AE1C41"/>
    <w:rsid w:val="00AE352C"/>
    <w:rsid w:val="00AF5FC8"/>
    <w:rsid w:val="00B04977"/>
    <w:rsid w:val="00B16896"/>
    <w:rsid w:val="00B3116D"/>
    <w:rsid w:val="00B32E2D"/>
    <w:rsid w:val="00B402D7"/>
    <w:rsid w:val="00B42ED4"/>
    <w:rsid w:val="00B4466B"/>
    <w:rsid w:val="00B61990"/>
    <w:rsid w:val="00B6602A"/>
    <w:rsid w:val="00B85D99"/>
    <w:rsid w:val="00B931D6"/>
    <w:rsid w:val="00B93E72"/>
    <w:rsid w:val="00B94939"/>
    <w:rsid w:val="00B97237"/>
    <w:rsid w:val="00BA5114"/>
    <w:rsid w:val="00BB61F2"/>
    <w:rsid w:val="00BC15C3"/>
    <w:rsid w:val="00BE3F8F"/>
    <w:rsid w:val="00BF0556"/>
    <w:rsid w:val="00BF06B0"/>
    <w:rsid w:val="00C02497"/>
    <w:rsid w:val="00C027DB"/>
    <w:rsid w:val="00C22C01"/>
    <w:rsid w:val="00C24B53"/>
    <w:rsid w:val="00C261F8"/>
    <w:rsid w:val="00C30120"/>
    <w:rsid w:val="00C33100"/>
    <w:rsid w:val="00C63BD0"/>
    <w:rsid w:val="00C6788B"/>
    <w:rsid w:val="00C9178E"/>
    <w:rsid w:val="00C9360F"/>
    <w:rsid w:val="00C940E9"/>
    <w:rsid w:val="00CA184E"/>
    <w:rsid w:val="00CA2573"/>
    <w:rsid w:val="00CB6267"/>
    <w:rsid w:val="00CD1A71"/>
    <w:rsid w:val="00CD1FBB"/>
    <w:rsid w:val="00CD5DC2"/>
    <w:rsid w:val="00CE4E32"/>
    <w:rsid w:val="00D016B5"/>
    <w:rsid w:val="00D034F1"/>
    <w:rsid w:val="00D11B17"/>
    <w:rsid w:val="00D27D5E"/>
    <w:rsid w:val="00D57931"/>
    <w:rsid w:val="00D60301"/>
    <w:rsid w:val="00D65A2C"/>
    <w:rsid w:val="00D70209"/>
    <w:rsid w:val="00D80A05"/>
    <w:rsid w:val="00D81DF1"/>
    <w:rsid w:val="00DA4B98"/>
    <w:rsid w:val="00DA57D4"/>
    <w:rsid w:val="00DB4793"/>
    <w:rsid w:val="00DE01E3"/>
    <w:rsid w:val="00DE6D90"/>
    <w:rsid w:val="00DF002F"/>
    <w:rsid w:val="00DF1C6A"/>
    <w:rsid w:val="00DF77A2"/>
    <w:rsid w:val="00E0244D"/>
    <w:rsid w:val="00E04873"/>
    <w:rsid w:val="00E05FE2"/>
    <w:rsid w:val="00E15C12"/>
    <w:rsid w:val="00E55D71"/>
    <w:rsid w:val="00E6624F"/>
    <w:rsid w:val="00E8142E"/>
    <w:rsid w:val="00E81E94"/>
    <w:rsid w:val="00E82607"/>
    <w:rsid w:val="00E9548B"/>
    <w:rsid w:val="00EA31C2"/>
    <w:rsid w:val="00EA6DEC"/>
    <w:rsid w:val="00EE08A7"/>
    <w:rsid w:val="00EE2A23"/>
    <w:rsid w:val="00EE2EA3"/>
    <w:rsid w:val="00EF6964"/>
    <w:rsid w:val="00F01516"/>
    <w:rsid w:val="00F11CCC"/>
    <w:rsid w:val="00F37CB1"/>
    <w:rsid w:val="00F41DBC"/>
    <w:rsid w:val="00F45602"/>
    <w:rsid w:val="00F47547"/>
    <w:rsid w:val="00F57129"/>
    <w:rsid w:val="00F62B2F"/>
    <w:rsid w:val="00F70CE8"/>
    <w:rsid w:val="00F74A1C"/>
    <w:rsid w:val="00F77A13"/>
    <w:rsid w:val="00F91484"/>
    <w:rsid w:val="00FA5A79"/>
    <w:rsid w:val="00FA6422"/>
    <w:rsid w:val="00FB00CB"/>
    <w:rsid w:val="00FB0BFE"/>
    <w:rsid w:val="00FB4C51"/>
    <w:rsid w:val="00FD5619"/>
    <w:rsid w:val="00FE5980"/>
    <w:rsid w:val="00FF1D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uiPriority w:val="9"/>
    <w:qFormat/>
    <w:rsid w:val="000964C7"/>
    <w:pPr>
      <w:keepNext/>
      <w:keepLines/>
      <w:spacing w:after="0" w:line="240" w:lineRule="auto"/>
      <w:ind w:right="0"/>
      <w:jc w:val="left"/>
      <w:outlineLvl w:val="0"/>
    </w:pPr>
  </w:style>
  <w:style w:type="paragraph" w:styleId="Titre2">
    <w:name w:val="heading 2"/>
    <w:basedOn w:val="Normal"/>
    <w:next w:val="Normal"/>
    <w:uiPriority w:val="9"/>
    <w:qFormat/>
    <w:rsid w:val="000964C7"/>
    <w:pPr>
      <w:outlineLvl w:val="1"/>
    </w:pPr>
  </w:style>
  <w:style w:type="paragraph" w:styleId="Titre3">
    <w:name w:val="heading 3"/>
    <w:basedOn w:val="Normal"/>
    <w:next w:val="Normal"/>
    <w:uiPriority w:val="9"/>
    <w:qFormat/>
    <w:rsid w:val="000964C7"/>
    <w:pPr>
      <w:outlineLvl w:val="2"/>
    </w:pPr>
  </w:style>
  <w:style w:type="paragraph" w:styleId="Titre4">
    <w:name w:val="heading 4"/>
    <w:basedOn w:val="Normal"/>
    <w:next w:val="Normal"/>
    <w:uiPriority w:val="9"/>
    <w:qFormat/>
    <w:rsid w:val="000964C7"/>
    <w:pPr>
      <w:outlineLvl w:val="3"/>
    </w:pPr>
  </w:style>
  <w:style w:type="paragraph" w:styleId="Titre5">
    <w:name w:val="heading 5"/>
    <w:basedOn w:val="Normal"/>
    <w:next w:val="Normal"/>
    <w:uiPriority w:val="9"/>
    <w:qFormat/>
    <w:rsid w:val="000964C7"/>
    <w:pPr>
      <w:outlineLvl w:val="4"/>
    </w:pPr>
  </w:style>
  <w:style w:type="paragraph" w:styleId="Titre6">
    <w:name w:val="heading 6"/>
    <w:basedOn w:val="Normal"/>
    <w:next w:val="Normal"/>
    <w:uiPriority w:val="9"/>
    <w:qFormat/>
    <w:rsid w:val="000964C7"/>
    <w:pPr>
      <w:outlineLvl w:val="5"/>
    </w:pPr>
  </w:style>
  <w:style w:type="paragraph" w:styleId="Titre7">
    <w:name w:val="heading 7"/>
    <w:basedOn w:val="Normal"/>
    <w:next w:val="Normal"/>
    <w:link w:val="Titre7Car"/>
    <w:uiPriority w:val="9"/>
    <w:qFormat/>
    <w:rsid w:val="000964C7"/>
    <w:pPr>
      <w:outlineLvl w:val="6"/>
    </w:pPr>
  </w:style>
  <w:style w:type="paragraph" w:styleId="Titre8">
    <w:name w:val="heading 8"/>
    <w:basedOn w:val="Normal"/>
    <w:next w:val="Normal"/>
    <w:uiPriority w:val="9"/>
    <w:qFormat/>
    <w:rsid w:val="000964C7"/>
    <w:pPr>
      <w:outlineLvl w:val="7"/>
    </w:pPr>
  </w:style>
  <w:style w:type="paragraph" w:styleId="Titre9">
    <w:name w:val="heading 9"/>
    <w:basedOn w:val="Normal"/>
    <w:next w:val="Normal"/>
    <w:uiPriority w:val="9"/>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Footnote Reference/,4_GR"/>
    <w:basedOn w:val="Policepardfaut"/>
    <w:uiPriority w:val="99"/>
    <w:rsid w:val="000964C7"/>
    <w:rPr>
      <w:rFonts w:ascii="Times New Roman" w:hAnsi="Times New Roman"/>
      <w:sz w:val="18"/>
      <w:vertAlign w:val="superscript"/>
      <w:lang w:val="fr-CH"/>
    </w:rPr>
  </w:style>
  <w:style w:type="character" w:styleId="Appeldenotedefin">
    <w:name w:val="endnote reference"/>
    <w:aliases w:val="1_G"/>
    <w:basedOn w:val="Appelnotedebasdep"/>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5_GR"/>
    <w:basedOn w:val="Normal"/>
    <w:link w:val="NotedebasdepageCar"/>
    <w:uiPriority w:val="99"/>
    <w:qFormat/>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basedOn w:val="Policepardfaut"/>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semiHidden/>
    <w:rsid w:val="000964C7"/>
    <w:rPr>
      <w:color w:val="auto"/>
      <w:u w:val="none"/>
    </w:rPr>
  </w:style>
  <w:style w:type="character" w:styleId="Lienhypertextesuivivisit">
    <w:name w:val="FollowedHyperlink"/>
    <w:basedOn w:val="Policepardfaut"/>
    <w:semiHidden/>
    <w:rsid w:val="000964C7"/>
    <w:rPr>
      <w:color w:val="auto"/>
      <w:u w:val="none"/>
    </w:rPr>
  </w:style>
  <w:style w:type="character" w:customStyle="1" w:styleId="SingleTxtGCar">
    <w:name w:val="_ Single Txt_G Car"/>
    <w:link w:val="SingleTxtG"/>
    <w:rsid w:val="00CE4E32"/>
    <w:rPr>
      <w:lang w:val="fr-CH" w:eastAsia="en-US"/>
    </w:rPr>
  </w:style>
  <w:style w:type="character" w:customStyle="1" w:styleId="H1GChar">
    <w:name w:val="_ H_1_G Char"/>
    <w:link w:val="H1G"/>
    <w:rsid w:val="00CE4E32"/>
    <w:rPr>
      <w:b/>
      <w:sz w:val="24"/>
      <w:lang w:val="fr-CH" w:eastAsia="en-US"/>
    </w:rPr>
  </w:style>
  <w:style w:type="character" w:customStyle="1" w:styleId="HChGChar">
    <w:name w:val="_ H _Ch_G Char"/>
    <w:link w:val="HChG"/>
    <w:uiPriority w:val="99"/>
    <w:rsid w:val="00CE4E32"/>
    <w:rPr>
      <w:b/>
      <w:sz w:val="28"/>
      <w:lang w:val="fr-CH" w:eastAsia="en-US"/>
    </w:rPr>
  </w:style>
  <w:style w:type="character" w:customStyle="1" w:styleId="H23GChar">
    <w:name w:val="_ H_2/3_G Char"/>
    <w:link w:val="H23G"/>
    <w:rsid w:val="00C63BD0"/>
    <w:rPr>
      <w:b/>
      <w:lang w:val="fr-CH" w:eastAsia="en-US"/>
    </w:rPr>
  </w:style>
  <w:style w:type="character" w:customStyle="1" w:styleId="SingleTxtGChar">
    <w:name w:val="_ Single Txt_G Char"/>
    <w:rsid w:val="00107469"/>
    <w:rPr>
      <w:lang w:val="fr-CH" w:eastAsia="en-US"/>
    </w:rPr>
  </w:style>
  <w:style w:type="paragraph" w:customStyle="1" w:styleId="SingleTxt">
    <w:name w:val="__Single Txt"/>
    <w:basedOn w:val="Normal"/>
    <w:qFormat/>
    <w:rsid w:val="000947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styleId="Accentuation">
    <w:name w:val="Emphasis"/>
    <w:qFormat/>
    <w:rsid w:val="0009473E"/>
    <w:rPr>
      <w:i/>
      <w:iCs/>
    </w:rPr>
  </w:style>
  <w:style w:type="character" w:customStyle="1" w:styleId="Titre7Car">
    <w:name w:val="Titre 7 Car"/>
    <w:link w:val="Titre7"/>
    <w:uiPriority w:val="9"/>
    <w:rsid w:val="0009473E"/>
    <w:rPr>
      <w:lang w:val="fr-CH" w:eastAsia="en-US"/>
    </w:rPr>
  </w:style>
  <w:style w:type="paragraph" w:customStyle="1" w:styleId="Bullet1">
    <w:name w:val="Bullet 1"/>
    <w:basedOn w:val="Normal"/>
    <w:uiPriority w:val="99"/>
    <w:qFormat/>
    <w:rsid w:val="007B5E84"/>
    <w:pPr>
      <w:numPr>
        <w:numId w:val="4"/>
      </w:numPr>
      <w:suppressAutoHyphens w:val="0"/>
      <w:spacing w:after="120" w:line="240" w:lineRule="exact"/>
      <w:ind w:left="1743" w:right="1267" w:hanging="130"/>
      <w:jc w:val="both"/>
    </w:pPr>
    <w:rPr>
      <w:rFonts w:eastAsiaTheme="minorHAnsi"/>
      <w:spacing w:val="4"/>
      <w:w w:val="103"/>
      <w:kern w:val="14"/>
      <w:szCs w:val="22"/>
      <w:lang w:val="fr-CA"/>
    </w:rPr>
  </w:style>
  <w:style w:type="character" w:customStyle="1" w:styleId="NotedebasdepageCar">
    <w:name w:val="Note de bas de page Car"/>
    <w:aliases w:val="5_G Car,5_GR Car"/>
    <w:basedOn w:val="Policepardfaut"/>
    <w:link w:val="Notedebasdepage"/>
    <w:uiPriority w:val="99"/>
    <w:locked/>
    <w:rsid w:val="00C02497"/>
    <w:rPr>
      <w:sz w:val="18"/>
      <w:lang w:val="fr-CH" w:eastAsia="en-US"/>
    </w:rPr>
  </w:style>
  <w:style w:type="paragraph" w:customStyle="1" w:styleId="H23">
    <w:name w:val="_ H_2/3"/>
    <w:basedOn w:val="Normal"/>
    <w:next w:val="SingleTxt"/>
    <w:qFormat/>
    <w:rsid w:val="00EE08A7"/>
    <w:pPr>
      <w:keepNext/>
      <w:keepLines/>
      <w:spacing w:line="240" w:lineRule="exact"/>
      <w:outlineLvl w:val="1"/>
    </w:pPr>
    <w:rPr>
      <w:rFonts w:eastAsia="Calibri"/>
      <w:b/>
      <w:spacing w:val="2"/>
      <w:w w:val="103"/>
      <w:kern w:val="14"/>
      <w:szCs w:val="22"/>
      <w:lang w:val="fr-CA"/>
    </w:rPr>
  </w:style>
  <w:style w:type="character" w:styleId="Marquedecommentaire">
    <w:name w:val="annotation reference"/>
    <w:basedOn w:val="Policepardfaut"/>
    <w:rsid w:val="006973AE"/>
    <w:rPr>
      <w:sz w:val="16"/>
      <w:szCs w:val="16"/>
    </w:rPr>
  </w:style>
  <w:style w:type="paragraph" w:styleId="Commentaire">
    <w:name w:val="annotation text"/>
    <w:basedOn w:val="Normal"/>
    <w:link w:val="CommentaireCar"/>
    <w:rsid w:val="006973AE"/>
    <w:pPr>
      <w:spacing w:line="240" w:lineRule="auto"/>
    </w:pPr>
  </w:style>
  <w:style w:type="character" w:customStyle="1" w:styleId="CommentaireCar">
    <w:name w:val="Commentaire Car"/>
    <w:basedOn w:val="Policepardfaut"/>
    <w:link w:val="Commentaire"/>
    <w:rsid w:val="006973AE"/>
    <w:rPr>
      <w:lang w:val="fr-CH" w:eastAsia="en-US"/>
    </w:rPr>
  </w:style>
  <w:style w:type="paragraph" w:styleId="Objetducommentaire">
    <w:name w:val="annotation subject"/>
    <w:basedOn w:val="Commentaire"/>
    <w:next w:val="Commentaire"/>
    <w:link w:val="ObjetducommentaireCar"/>
    <w:rsid w:val="006973AE"/>
    <w:rPr>
      <w:b/>
      <w:bCs/>
    </w:rPr>
  </w:style>
  <w:style w:type="character" w:customStyle="1" w:styleId="ObjetducommentaireCar">
    <w:name w:val="Objet du commentaire Car"/>
    <w:basedOn w:val="CommentaireCar"/>
    <w:link w:val="Objetducommentaire"/>
    <w:rsid w:val="006973AE"/>
    <w:rPr>
      <w:b/>
      <w:bCs/>
      <w:lang w:val="fr-CH" w:eastAsia="en-US"/>
    </w:rPr>
  </w:style>
  <w:style w:type="paragraph" w:styleId="Rvision">
    <w:name w:val="Revision"/>
    <w:hidden/>
    <w:uiPriority w:val="99"/>
    <w:semiHidden/>
    <w:rsid w:val="006973AE"/>
    <w:rPr>
      <w:lang w:val="fr-CH" w:eastAsia="en-US"/>
    </w:rPr>
  </w:style>
  <w:style w:type="paragraph" w:styleId="Textedebulles">
    <w:name w:val="Balloon Text"/>
    <w:basedOn w:val="Normal"/>
    <w:link w:val="TextedebullesCar"/>
    <w:rsid w:val="006973A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973AE"/>
    <w:rPr>
      <w:rFonts w:ascii="Tahoma" w:hAnsi="Tahoma" w:cs="Tahoma"/>
      <w:sz w:val="16"/>
      <w:szCs w:val="16"/>
      <w:lang w:val="fr-CH" w:eastAsia="en-US"/>
    </w:rPr>
  </w:style>
  <w:style w:type="paragraph" w:customStyle="1" w:styleId="H1">
    <w:name w:val="_ H_1"/>
    <w:basedOn w:val="Normal"/>
    <w:next w:val="Normal"/>
    <w:qFormat/>
    <w:rsid w:val="00117CD8"/>
    <w:pPr>
      <w:keepNext/>
      <w:keepLines/>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117CD8"/>
    <w:pPr>
      <w:spacing w:line="300" w:lineRule="exact"/>
    </w:pPr>
    <w:rPr>
      <w:spacing w:val="-2"/>
      <w:sz w:val="28"/>
    </w:rPr>
  </w:style>
  <w:style w:type="character" w:customStyle="1" w:styleId="H4GChar">
    <w:name w:val="_ H_4_G Char"/>
    <w:link w:val="H4G"/>
    <w:rsid w:val="00117CD8"/>
    <w:rPr>
      <w:i/>
      <w:lang w:val="fr-CH" w:eastAsia="en-US"/>
    </w:rPr>
  </w:style>
  <w:style w:type="paragraph" w:customStyle="1" w:styleId="ParNoG">
    <w:name w:val="_ParNo_G"/>
    <w:basedOn w:val="SingleTxtG"/>
    <w:link w:val="ParNoGCar"/>
    <w:rsid w:val="00F91484"/>
    <w:pPr>
      <w:numPr>
        <w:numId w:val="8"/>
      </w:numPr>
    </w:pPr>
  </w:style>
  <w:style w:type="character" w:customStyle="1" w:styleId="ParNoGCar">
    <w:name w:val="_ParNo_G Car"/>
    <w:link w:val="ParNoG"/>
    <w:locked/>
    <w:rsid w:val="00F91484"/>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uiPriority w:val="9"/>
    <w:qFormat/>
    <w:rsid w:val="000964C7"/>
    <w:pPr>
      <w:keepNext/>
      <w:keepLines/>
      <w:spacing w:after="0" w:line="240" w:lineRule="auto"/>
      <w:ind w:right="0"/>
      <w:jc w:val="left"/>
      <w:outlineLvl w:val="0"/>
    </w:pPr>
  </w:style>
  <w:style w:type="paragraph" w:styleId="Titre2">
    <w:name w:val="heading 2"/>
    <w:basedOn w:val="Normal"/>
    <w:next w:val="Normal"/>
    <w:uiPriority w:val="9"/>
    <w:qFormat/>
    <w:rsid w:val="000964C7"/>
    <w:pPr>
      <w:outlineLvl w:val="1"/>
    </w:pPr>
  </w:style>
  <w:style w:type="paragraph" w:styleId="Titre3">
    <w:name w:val="heading 3"/>
    <w:basedOn w:val="Normal"/>
    <w:next w:val="Normal"/>
    <w:uiPriority w:val="9"/>
    <w:qFormat/>
    <w:rsid w:val="000964C7"/>
    <w:pPr>
      <w:outlineLvl w:val="2"/>
    </w:pPr>
  </w:style>
  <w:style w:type="paragraph" w:styleId="Titre4">
    <w:name w:val="heading 4"/>
    <w:basedOn w:val="Normal"/>
    <w:next w:val="Normal"/>
    <w:uiPriority w:val="9"/>
    <w:qFormat/>
    <w:rsid w:val="000964C7"/>
    <w:pPr>
      <w:outlineLvl w:val="3"/>
    </w:pPr>
  </w:style>
  <w:style w:type="paragraph" w:styleId="Titre5">
    <w:name w:val="heading 5"/>
    <w:basedOn w:val="Normal"/>
    <w:next w:val="Normal"/>
    <w:uiPriority w:val="9"/>
    <w:qFormat/>
    <w:rsid w:val="000964C7"/>
    <w:pPr>
      <w:outlineLvl w:val="4"/>
    </w:pPr>
  </w:style>
  <w:style w:type="paragraph" w:styleId="Titre6">
    <w:name w:val="heading 6"/>
    <w:basedOn w:val="Normal"/>
    <w:next w:val="Normal"/>
    <w:uiPriority w:val="9"/>
    <w:qFormat/>
    <w:rsid w:val="000964C7"/>
    <w:pPr>
      <w:outlineLvl w:val="5"/>
    </w:pPr>
  </w:style>
  <w:style w:type="paragraph" w:styleId="Titre7">
    <w:name w:val="heading 7"/>
    <w:basedOn w:val="Normal"/>
    <w:next w:val="Normal"/>
    <w:link w:val="Titre7Car"/>
    <w:uiPriority w:val="9"/>
    <w:qFormat/>
    <w:rsid w:val="000964C7"/>
    <w:pPr>
      <w:outlineLvl w:val="6"/>
    </w:pPr>
  </w:style>
  <w:style w:type="paragraph" w:styleId="Titre8">
    <w:name w:val="heading 8"/>
    <w:basedOn w:val="Normal"/>
    <w:next w:val="Normal"/>
    <w:uiPriority w:val="9"/>
    <w:qFormat/>
    <w:rsid w:val="000964C7"/>
    <w:pPr>
      <w:outlineLvl w:val="7"/>
    </w:pPr>
  </w:style>
  <w:style w:type="paragraph" w:styleId="Titre9">
    <w:name w:val="heading 9"/>
    <w:basedOn w:val="Normal"/>
    <w:next w:val="Normal"/>
    <w:uiPriority w:val="9"/>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Footnote Reference/,4_GR"/>
    <w:basedOn w:val="Policepardfaut"/>
    <w:uiPriority w:val="99"/>
    <w:rsid w:val="000964C7"/>
    <w:rPr>
      <w:rFonts w:ascii="Times New Roman" w:hAnsi="Times New Roman"/>
      <w:sz w:val="18"/>
      <w:vertAlign w:val="superscript"/>
      <w:lang w:val="fr-CH"/>
    </w:rPr>
  </w:style>
  <w:style w:type="character" w:styleId="Appeldenotedefin">
    <w:name w:val="endnote reference"/>
    <w:aliases w:val="1_G"/>
    <w:basedOn w:val="Appelnotedebasdep"/>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5_GR"/>
    <w:basedOn w:val="Normal"/>
    <w:link w:val="NotedebasdepageCar"/>
    <w:uiPriority w:val="99"/>
    <w:qFormat/>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basedOn w:val="Policepardfaut"/>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semiHidden/>
    <w:rsid w:val="000964C7"/>
    <w:rPr>
      <w:color w:val="auto"/>
      <w:u w:val="none"/>
    </w:rPr>
  </w:style>
  <w:style w:type="character" w:styleId="Lienhypertextesuivivisit">
    <w:name w:val="FollowedHyperlink"/>
    <w:basedOn w:val="Policepardfaut"/>
    <w:semiHidden/>
    <w:rsid w:val="000964C7"/>
    <w:rPr>
      <w:color w:val="auto"/>
      <w:u w:val="none"/>
    </w:rPr>
  </w:style>
  <w:style w:type="character" w:customStyle="1" w:styleId="SingleTxtGCar">
    <w:name w:val="_ Single Txt_G Car"/>
    <w:link w:val="SingleTxtG"/>
    <w:rsid w:val="00CE4E32"/>
    <w:rPr>
      <w:lang w:val="fr-CH" w:eastAsia="en-US"/>
    </w:rPr>
  </w:style>
  <w:style w:type="character" w:customStyle="1" w:styleId="H1GChar">
    <w:name w:val="_ H_1_G Char"/>
    <w:link w:val="H1G"/>
    <w:rsid w:val="00CE4E32"/>
    <w:rPr>
      <w:b/>
      <w:sz w:val="24"/>
      <w:lang w:val="fr-CH" w:eastAsia="en-US"/>
    </w:rPr>
  </w:style>
  <w:style w:type="character" w:customStyle="1" w:styleId="HChGChar">
    <w:name w:val="_ H _Ch_G Char"/>
    <w:link w:val="HChG"/>
    <w:uiPriority w:val="99"/>
    <w:rsid w:val="00CE4E32"/>
    <w:rPr>
      <w:b/>
      <w:sz w:val="28"/>
      <w:lang w:val="fr-CH" w:eastAsia="en-US"/>
    </w:rPr>
  </w:style>
  <w:style w:type="character" w:customStyle="1" w:styleId="H23GChar">
    <w:name w:val="_ H_2/3_G Char"/>
    <w:link w:val="H23G"/>
    <w:rsid w:val="00C63BD0"/>
    <w:rPr>
      <w:b/>
      <w:lang w:val="fr-CH" w:eastAsia="en-US"/>
    </w:rPr>
  </w:style>
  <w:style w:type="character" w:customStyle="1" w:styleId="SingleTxtGChar">
    <w:name w:val="_ Single Txt_G Char"/>
    <w:rsid w:val="00107469"/>
    <w:rPr>
      <w:lang w:val="fr-CH" w:eastAsia="en-US"/>
    </w:rPr>
  </w:style>
  <w:style w:type="paragraph" w:customStyle="1" w:styleId="SingleTxt">
    <w:name w:val="__Single Txt"/>
    <w:basedOn w:val="Normal"/>
    <w:qFormat/>
    <w:rsid w:val="000947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styleId="Accentuation">
    <w:name w:val="Emphasis"/>
    <w:qFormat/>
    <w:rsid w:val="0009473E"/>
    <w:rPr>
      <w:i/>
      <w:iCs/>
    </w:rPr>
  </w:style>
  <w:style w:type="character" w:customStyle="1" w:styleId="Titre7Car">
    <w:name w:val="Titre 7 Car"/>
    <w:link w:val="Titre7"/>
    <w:uiPriority w:val="9"/>
    <w:rsid w:val="0009473E"/>
    <w:rPr>
      <w:lang w:val="fr-CH" w:eastAsia="en-US"/>
    </w:rPr>
  </w:style>
  <w:style w:type="paragraph" w:customStyle="1" w:styleId="Bullet1">
    <w:name w:val="Bullet 1"/>
    <w:basedOn w:val="Normal"/>
    <w:uiPriority w:val="99"/>
    <w:qFormat/>
    <w:rsid w:val="007B5E84"/>
    <w:pPr>
      <w:numPr>
        <w:numId w:val="4"/>
      </w:numPr>
      <w:suppressAutoHyphens w:val="0"/>
      <w:spacing w:after="120" w:line="240" w:lineRule="exact"/>
      <w:ind w:left="1743" w:right="1267" w:hanging="130"/>
      <w:jc w:val="both"/>
    </w:pPr>
    <w:rPr>
      <w:rFonts w:eastAsiaTheme="minorHAnsi"/>
      <w:spacing w:val="4"/>
      <w:w w:val="103"/>
      <w:kern w:val="14"/>
      <w:szCs w:val="22"/>
      <w:lang w:val="fr-CA"/>
    </w:rPr>
  </w:style>
  <w:style w:type="character" w:customStyle="1" w:styleId="NotedebasdepageCar">
    <w:name w:val="Note de bas de page Car"/>
    <w:aliases w:val="5_G Car,5_GR Car"/>
    <w:basedOn w:val="Policepardfaut"/>
    <w:link w:val="Notedebasdepage"/>
    <w:uiPriority w:val="99"/>
    <w:locked/>
    <w:rsid w:val="00C02497"/>
    <w:rPr>
      <w:sz w:val="18"/>
      <w:lang w:val="fr-CH" w:eastAsia="en-US"/>
    </w:rPr>
  </w:style>
  <w:style w:type="paragraph" w:customStyle="1" w:styleId="H23">
    <w:name w:val="_ H_2/3"/>
    <w:basedOn w:val="Normal"/>
    <w:next w:val="SingleTxt"/>
    <w:qFormat/>
    <w:rsid w:val="00EE08A7"/>
    <w:pPr>
      <w:keepNext/>
      <w:keepLines/>
      <w:spacing w:line="240" w:lineRule="exact"/>
      <w:outlineLvl w:val="1"/>
    </w:pPr>
    <w:rPr>
      <w:rFonts w:eastAsia="Calibri"/>
      <w:b/>
      <w:spacing w:val="2"/>
      <w:w w:val="103"/>
      <w:kern w:val="14"/>
      <w:szCs w:val="22"/>
      <w:lang w:val="fr-CA"/>
    </w:rPr>
  </w:style>
  <w:style w:type="character" w:styleId="Marquedecommentaire">
    <w:name w:val="annotation reference"/>
    <w:basedOn w:val="Policepardfaut"/>
    <w:rsid w:val="006973AE"/>
    <w:rPr>
      <w:sz w:val="16"/>
      <w:szCs w:val="16"/>
    </w:rPr>
  </w:style>
  <w:style w:type="paragraph" w:styleId="Commentaire">
    <w:name w:val="annotation text"/>
    <w:basedOn w:val="Normal"/>
    <w:link w:val="CommentaireCar"/>
    <w:rsid w:val="006973AE"/>
    <w:pPr>
      <w:spacing w:line="240" w:lineRule="auto"/>
    </w:pPr>
  </w:style>
  <w:style w:type="character" w:customStyle="1" w:styleId="CommentaireCar">
    <w:name w:val="Commentaire Car"/>
    <w:basedOn w:val="Policepardfaut"/>
    <w:link w:val="Commentaire"/>
    <w:rsid w:val="006973AE"/>
    <w:rPr>
      <w:lang w:val="fr-CH" w:eastAsia="en-US"/>
    </w:rPr>
  </w:style>
  <w:style w:type="paragraph" w:styleId="Objetducommentaire">
    <w:name w:val="annotation subject"/>
    <w:basedOn w:val="Commentaire"/>
    <w:next w:val="Commentaire"/>
    <w:link w:val="ObjetducommentaireCar"/>
    <w:rsid w:val="006973AE"/>
    <w:rPr>
      <w:b/>
      <w:bCs/>
    </w:rPr>
  </w:style>
  <w:style w:type="character" w:customStyle="1" w:styleId="ObjetducommentaireCar">
    <w:name w:val="Objet du commentaire Car"/>
    <w:basedOn w:val="CommentaireCar"/>
    <w:link w:val="Objetducommentaire"/>
    <w:rsid w:val="006973AE"/>
    <w:rPr>
      <w:b/>
      <w:bCs/>
      <w:lang w:val="fr-CH" w:eastAsia="en-US"/>
    </w:rPr>
  </w:style>
  <w:style w:type="paragraph" w:styleId="Rvision">
    <w:name w:val="Revision"/>
    <w:hidden/>
    <w:uiPriority w:val="99"/>
    <w:semiHidden/>
    <w:rsid w:val="006973AE"/>
    <w:rPr>
      <w:lang w:val="fr-CH" w:eastAsia="en-US"/>
    </w:rPr>
  </w:style>
  <w:style w:type="paragraph" w:styleId="Textedebulles">
    <w:name w:val="Balloon Text"/>
    <w:basedOn w:val="Normal"/>
    <w:link w:val="TextedebullesCar"/>
    <w:rsid w:val="006973A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973AE"/>
    <w:rPr>
      <w:rFonts w:ascii="Tahoma" w:hAnsi="Tahoma" w:cs="Tahoma"/>
      <w:sz w:val="16"/>
      <w:szCs w:val="16"/>
      <w:lang w:val="fr-CH" w:eastAsia="en-US"/>
    </w:rPr>
  </w:style>
  <w:style w:type="paragraph" w:customStyle="1" w:styleId="H1">
    <w:name w:val="_ H_1"/>
    <w:basedOn w:val="Normal"/>
    <w:next w:val="Normal"/>
    <w:qFormat/>
    <w:rsid w:val="00117CD8"/>
    <w:pPr>
      <w:keepNext/>
      <w:keepLines/>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117CD8"/>
    <w:pPr>
      <w:spacing w:line="300" w:lineRule="exact"/>
    </w:pPr>
    <w:rPr>
      <w:spacing w:val="-2"/>
      <w:sz w:val="28"/>
    </w:rPr>
  </w:style>
  <w:style w:type="character" w:customStyle="1" w:styleId="H4GChar">
    <w:name w:val="_ H_4_G Char"/>
    <w:link w:val="H4G"/>
    <w:rsid w:val="00117CD8"/>
    <w:rPr>
      <w:i/>
      <w:lang w:val="fr-CH" w:eastAsia="en-US"/>
    </w:rPr>
  </w:style>
  <w:style w:type="paragraph" w:customStyle="1" w:styleId="ParNoG">
    <w:name w:val="_ParNo_G"/>
    <w:basedOn w:val="SingleTxtG"/>
    <w:link w:val="ParNoGCar"/>
    <w:rsid w:val="00F91484"/>
    <w:pPr>
      <w:numPr>
        <w:numId w:val="8"/>
      </w:numPr>
    </w:pPr>
  </w:style>
  <w:style w:type="character" w:customStyle="1" w:styleId="ParNoGCar">
    <w:name w:val="_ParNo_G Car"/>
    <w:link w:val="ParNoG"/>
    <w:locked/>
    <w:rsid w:val="00F91484"/>
    <w:rPr>
      <w:lang w:val="fr-CH" w:eastAsia="en-US"/>
    </w:rPr>
  </w:style>
</w:styles>
</file>

<file path=word/webSettings.xml><?xml version="1.0" encoding="utf-8"?>
<w:webSettings xmlns:r="http://schemas.openxmlformats.org/officeDocument/2006/relationships" xmlns:w="http://schemas.openxmlformats.org/wordprocessingml/2006/main">
  <w:divs>
    <w:div w:id="471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0</TotalTime>
  <Pages>13</Pages>
  <Words>4421</Words>
  <Characters>24321</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Maison</cp:lastModifiedBy>
  <cp:revision>3</cp:revision>
  <cp:lastPrinted>2015-11-26T14:52:00Z</cp:lastPrinted>
  <dcterms:created xsi:type="dcterms:W3CDTF">2016-05-26T14:14:00Z</dcterms:created>
  <dcterms:modified xsi:type="dcterms:W3CDTF">2016-05-26T14:25:00Z</dcterms:modified>
</cp:coreProperties>
</file>