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A2EE1" w:rsidTr="000928A4">
        <w:trPr>
          <w:cantSplit/>
          <w:trHeight w:hRule="exact" w:val="851"/>
        </w:trPr>
        <w:tc>
          <w:tcPr>
            <w:tcW w:w="1276" w:type="dxa"/>
            <w:tcBorders>
              <w:bottom w:val="single" w:sz="4" w:space="0" w:color="auto"/>
            </w:tcBorders>
            <w:shd w:val="clear" w:color="auto" w:fill="auto"/>
            <w:vAlign w:val="bottom"/>
          </w:tcPr>
          <w:p w:rsidR="00B56E9C" w:rsidRPr="000A2EE1" w:rsidRDefault="00B56E9C" w:rsidP="000928A4">
            <w:pPr>
              <w:spacing w:after="80"/>
            </w:pPr>
          </w:p>
        </w:tc>
        <w:tc>
          <w:tcPr>
            <w:tcW w:w="2268" w:type="dxa"/>
            <w:tcBorders>
              <w:bottom w:val="single" w:sz="4" w:space="0" w:color="auto"/>
            </w:tcBorders>
            <w:shd w:val="clear" w:color="auto" w:fill="auto"/>
            <w:vAlign w:val="bottom"/>
          </w:tcPr>
          <w:p w:rsidR="00B56E9C" w:rsidRPr="000A2EE1" w:rsidRDefault="00B56E9C" w:rsidP="000928A4">
            <w:pPr>
              <w:spacing w:after="80" w:line="300" w:lineRule="exact"/>
              <w:rPr>
                <w:b/>
                <w:sz w:val="24"/>
                <w:szCs w:val="24"/>
              </w:rPr>
            </w:pPr>
            <w:r w:rsidRPr="000A2EE1">
              <w:rPr>
                <w:sz w:val="28"/>
                <w:szCs w:val="28"/>
              </w:rPr>
              <w:t>United Nations</w:t>
            </w:r>
          </w:p>
        </w:tc>
        <w:tc>
          <w:tcPr>
            <w:tcW w:w="6095" w:type="dxa"/>
            <w:gridSpan w:val="2"/>
            <w:tcBorders>
              <w:bottom w:val="single" w:sz="4" w:space="0" w:color="auto"/>
            </w:tcBorders>
            <w:shd w:val="clear" w:color="auto" w:fill="auto"/>
            <w:vAlign w:val="bottom"/>
          </w:tcPr>
          <w:p w:rsidR="00B56E9C" w:rsidRPr="000A2EE1" w:rsidRDefault="000A2896" w:rsidP="000A2896">
            <w:pPr>
              <w:jc w:val="right"/>
            </w:pPr>
            <w:r w:rsidRPr="000A2EE1">
              <w:rPr>
                <w:sz w:val="40"/>
              </w:rPr>
              <w:t>ECE</w:t>
            </w:r>
            <w:r w:rsidRPr="000A2EE1">
              <w:t>/TRANS/WP.15/231</w:t>
            </w:r>
          </w:p>
        </w:tc>
      </w:tr>
      <w:tr w:rsidR="00B56E9C" w:rsidRPr="000A2EE1" w:rsidTr="000928A4">
        <w:trPr>
          <w:cantSplit/>
          <w:trHeight w:hRule="exact" w:val="2835"/>
        </w:trPr>
        <w:tc>
          <w:tcPr>
            <w:tcW w:w="1276" w:type="dxa"/>
            <w:tcBorders>
              <w:top w:val="single" w:sz="4" w:space="0" w:color="auto"/>
              <w:bottom w:val="single" w:sz="12" w:space="0" w:color="auto"/>
            </w:tcBorders>
            <w:shd w:val="clear" w:color="auto" w:fill="auto"/>
          </w:tcPr>
          <w:p w:rsidR="00B56E9C" w:rsidRPr="000A2EE1" w:rsidRDefault="00B95DFC" w:rsidP="000928A4">
            <w:pPr>
              <w:spacing w:before="120"/>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5.75pt;height:46.65pt;visibility:visible">
                  <v:imagedata r:id="rId9" o:title="_unlogo"/>
                </v:shape>
              </w:pict>
            </w:r>
          </w:p>
        </w:tc>
        <w:tc>
          <w:tcPr>
            <w:tcW w:w="5528" w:type="dxa"/>
            <w:gridSpan w:val="2"/>
            <w:tcBorders>
              <w:top w:val="single" w:sz="4" w:space="0" w:color="auto"/>
              <w:bottom w:val="single" w:sz="12" w:space="0" w:color="auto"/>
            </w:tcBorders>
            <w:shd w:val="clear" w:color="auto" w:fill="auto"/>
          </w:tcPr>
          <w:p w:rsidR="00B56E9C" w:rsidRPr="000A2EE1" w:rsidRDefault="00D773DF" w:rsidP="000928A4">
            <w:pPr>
              <w:spacing w:before="120" w:line="420" w:lineRule="exact"/>
              <w:rPr>
                <w:sz w:val="40"/>
                <w:szCs w:val="40"/>
              </w:rPr>
            </w:pPr>
            <w:r w:rsidRPr="000A2EE1">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0A2EE1" w:rsidRDefault="000A2896" w:rsidP="000A2896">
            <w:pPr>
              <w:spacing w:before="240" w:line="240" w:lineRule="exact"/>
            </w:pPr>
            <w:r w:rsidRPr="000A2EE1">
              <w:t>Distr.: General</w:t>
            </w:r>
          </w:p>
          <w:p w:rsidR="000A2896" w:rsidRPr="000A2EE1" w:rsidRDefault="000A2EE1" w:rsidP="000A2896">
            <w:pPr>
              <w:spacing w:line="240" w:lineRule="exact"/>
            </w:pPr>
            <w:r w:rsidRPr="000A2EE1">
              <w:t>3 March</w:t>
            </w:r>
            <w:r w:rsidR="000A2896" w:rsidRPr="000A2EE1">
              <w:t xml:space="preserve"> 2016</w:t>
            </w:r>
          </w:p>
          <w:p w:rsidR="000A2896" w:rsidRPr="000A2EE1" w:rsidRDefault="0012254C" w:rsidP="000A2896">
            <w:pPr>
              <w:spacing w:line="240" w:lineRule="exact"/>
            </w:pPr>
            <w:r w:rsidRPr="000A2EE1">
              <w:t>English</w:t>
            </w:r>
          </w:p>
          <w:p w:rsidR="000A2896" w:rsidRPr="000A2EE1" w:rsidRDefault="000A2896" w:rsidP="000A2896">
            <w:pPr>
              <w:spacing w:line="240" w:lineRule="exact"/>
            </w:pPr>
            <w:r w:rsidRPr="000A2EE1">
              <w:t>Original: English</w:t>
            </w:r>
            <w:r w:rsidR="0012254C" w:rsidRPr="000A2EE1">
              <w:t xml:space="preserve"> and French</w:t>
            </w:r>
          </w:p>
        </w:tc>
      </w:tr>
    </w:tbl>
    <w:p w:rsidR="00442A83" w:rsidRPr="000A2EE1" w:rsidRDefault="00C96DF2" w:rsidP="00C96DF2">
      <w:pPr>
        <w:spacing w:before="120"/>
        <w:rPr>
          <w:b/>
          <w:sz w:val="28"/>
          <w:szCs w:val="28"/>
        </w:rPr>
      </w:pPr>
      <w:r w:rsidRPr="000A2EE1">
        <w:rPr>
          <w:b/>
          <w:sz w:val="28"/>
          <w:szCs w:val="28"/>
        </w:rPr>
        <w:t>Economic Commission for Europe</w:t>
      </w:r>
    </w:p>
    <w:p w:rsidR="00C96DF2" w:rsidRPr="000A2EE1" w:rsidRDefault="008F31D2" w:rsidP="00C96DF2">
      <w:pPr>
        <w:spacing w:before="120"/>
        <w:rPr>
          <w:sz w:val="28"/>
          <w:szCs w:val="28"/>
        </w:rPr>
      </w:pPr>
      <w:r w:rsidRPr="000A2EE1">
        <w:rPr>
          <w:sz w:val="28"/>
          <w:szCs w:val="28"/>
        </w:rPr>
        <w:t>Inland Transport Committee</w:t>
      </w:r>
    </w:p>
    <w:p w:rsidR="008F31D2" w:rsidRPr="000A2EE1" w:rsidRDefault="008F31D2" w:rsidP="00C96DF2">
      <w:pPr>
        <w:spacing w:before="120"/>
        <w:rPr>
          <w:b/>
          <w:sz w:val="24"/>
          <w:szCs w:val="24"/>
        </w:rPr>
      </w:pPr>
      <w:r w:rsidRPr="000A2EE1">
        <w:rPr>
          <w:b/>
          <w:sz w:val="24"/>
          <w:szCs w:val="24"/>
        </w:rPr>
        <w:t>Working Party on the Transport of Dangerous Goods</w:t>
      </w:r>
    </w:p>
    <w:p w:rsidR="00A6129C" w:rsidRPr="000A2EE1" w:rsidRDefault="00A6129C" w:rsidP="00C96DF2"/>
    <w:p w:rsidR="000A2896" w:rsidRPr="000A2EE1" w:rsidRDefault="000A2896" w:rsidP="000A2896">
      <w:pPr>
        <w:pStyle w:val="HChG"/>
        <w:rPr>
          <w:bCs/>
        </w:rPr>
      </w:pPr>
      <w:r w:rsidRPr="000A2EE1">
        <w:tab/>
      </w:r>
      <w:r w:rsidRPr="000A2EE1">
        <w:tab/>
      </w:r>
      <w:r w:rsidRPr="000A2EE1">
        <w:rPr>
          <w:bCs/>
        </w:rPr>
        <w:t>European Agreement concerning the International Carriage of Dangerous Goods by Road (ADR)</w:t>
      </w:r>
    </w:p>
    <w:p w:rsidR="000A2896" w:rsidRPr="000A2EE1" w:rsidRDefault="000A2896" w:rsidP="000A2896">
      <w:pPr>
        <w:pStyle w:val="H1G"/>
      </w:pPr>
      <w:r w:rsidRPr="000A2EE1">
        <w:tab/>
      </w:r>
      <w:r w:rsidRPr="000A2EE1">
        <w:tab/>
        <w:t>Draft amendments to annexes A and B of ADR</w:t>
      </w:r>
    </w:p>
    <w:p w:rsidR="000A2896" w:rsidRPr="000A2EE1" w:rsidRDefault="000A2896" w:rsidP="000A2896">
      <w:pPr>
        <w:pStyle w:val="SingleTxtG"/>
      </w:pPr>
      <w:r w:rsidRPr="000A2EE1">
        <w:tab/>
        <w:t>At its ninety-ninth session, the Working Party on the Transport of Dangerous Goods requested the secretariat to prepare a consolidated list of all the amendments which it had adopted for entry into force on 1 January 2017 so that they could be made the subject of an official proposal in accordance with the procedure set out in article 14 of ADR, which, following usual practice, the Chairperson would be responsible for transmitting to the depositary through his Government. The notification would have to be issued no later than 1 July 2016, with a reference to 1 January 2017 as the scheduled date of entry into force (see ECE/TRANS/WP.15/230, paragraph 56).</w:t>
      </w:r>
    </w:p>
    <w:p w:rsidR="000A2896" w:rsidRPr="000A2EE1" w:rsidRDefault="000A2896" w:rsidP="000A2896">
      <w:pPr>
        <w:pStyle w:val="SingleTxtG"/>
      </w:pPr>
      <w:r w:rsidRPr="000A2EE1">
        <w:tab/>
        <w:t>This document</w:t>
      </w:r>
      <w:r w:rsidRPr="000A2EE1">
        <w:rPr>
          <w:rStyle w:val="Appelnotedebasdep"/>
        </w:rPr>
        <w:t xml:space="preserve"> </w:t>
      </w:r>
      <w:r w:rsidRPr="000A2EE1">
        <w:t>contains the requested consolidated list of amendments adopted by the Working Party at its ninety-sixth, ninety-seventh, ninety-eighth and ninety-ninth sessions (see ECE/TRANS/WP.15/224, annex</w:t>
      </w:r>
      <w:r w:rsidRPr="000A2EE1">
        <w:rPr>
          <w:iCs/>
        </w:rPr>
        <w:t xml:space="preserve"> II</w:t>
      </w:r>
      <w:r w:rsidRPr="000A2EE1">
        <w:t>, ECE/TRANS/WP.15/226, annex</w:t>
      </w:r>
      <w:r w:rsidRPr="000A2EE1">
        <w:rPr>
          <w:iCs/>
        </w:rPr>
        <w:t xml:space="preserve"> I</w:t>
      </w:r>
      <w:r w:rsidRPr="000A2EE1">
        <w:t>, ECE/TRANS/WP.15/228</w:t>
      </w:r>
      <w:r w:rsidRPr="000A2EE1">
        <w:rPr>
          <w:iCs/>
        </w:rPr>
        <w:t xml:space="preserve">, </w:t>
      </w:r>
      <w:r w:rsidRPr="000A2EE1">
        <w:t>annex</w:t>
      </w:r>
      <w:r w:rsidRPr="000A2EE1">
        <w:rPr>
          <w:iCs/>
        </w:rPr>
        <w:t xml:space="preserve"> I and</w:t>
      </w:r>
      <w:r w:rsidRPr="000A2EE1">
        <w:t xml:space="preserve"> ECE/TRANS/WP.15/230</w:t>
      </w:r>
      <w:r w:rsidRPr="000A2EE1">
        <w:rPr>
          <w:iCs/>
        </w:rPr>
        <w:t xml:space="preserve">, </w:t>
      </w:r>
      <w:r w:rsidRPr="000A2EE1">
        <w:t xml:space="preserve">annex </w:t>
      </w:r>
      <w:r w:rsidRPr="000A2EE1">
        <w:rPr>
          <w:iCs/>
        </w:rPr>
        <w:t>I</w:t>
      </w:r>
      <w:r w:rsidRPr="000A2EE1">
        <w:t>).</w:t>
      </w:r>
    </w:p>
    <w:p w:rsidR="00E3232B" w:rsidRPr="000A2EE1" w:rsidRDefault="000A2896" w:rsidP="00E3232B">
      <w:pPr>
        <w:pStyle w:val="H1G"/>
        <w:rPr>
          <w:rFonts w:ascii="Times New Roman Bold" w:hAnsi="Times New Roman Bold"/>
        </w:rPr>
      </w:pPr>
      <w:r w:rsidRPr="000A2EE1">
        <w:br w:type="page"/>
      </w:r>
      <w:r w:rsidR="00E3232B" w:rsidRPr="000A2EE1">
        <w:rPr>
          <w:rFonts w:ascii="Times New Roman Bold" w:hAnsi="Times New Roman Bold"/>
        </w:rPr>
        <w:lastRenderedPageBreak/>
        <w:tab/>
      </w:r>
      <w:r w:rsidR="00E3232B" w:rsidRPr="000A2EE1">
        <w:rPr>
          <w:rFonts w:ascii="Times New Roman Bold" w:hAnsi="Times New Roman Bold"/>
        </w:rPr>
        <w:tab/>
        <w:t>Chapter 1.1</w:t>
      </w:r>
    </w:p>
    <w:p w:rsidR="00E3232B" w:rsidRPr="000A2EE1" w:rsidRDefault="00B75110" w:rsidP="00B75110">
      <w:pPr>
        <w:tabs>
          <w:tab w:val="left" w:pos="1701"/>
          <w:tab w:val="left" w:pos="1985"/>
          <w:tab w:val="left" w:pos="2268"/>
        </w:tabs>
        <w:spacing w:after="120"/>
        <w:ind w:left="1134" w:right="1134"/>
        <w:jc w:val="both"/>
      </w:pPr>
      <w:r w:rsidRPr="000A2EE1">
        <w:t>1.1.3.2 (a)</w:t>
      </w:r>
      <w:r w:rsidR="00E3232B" w:rsidRPr="000A2EE1">
        <w:tab/>
      </w:r>
      <w:r w:rsidRPr="000A2EE1">
        <w:tab/>
      </w:r>
      <w:r w:rsidR="00E3232B" w:rsidRPr="000A2EE1">
        <w:t>Amend to read as follows:</w:t>
      </w:r>
    </w:p>
    <w:p w:rsidR="00E3232B" w:rsidRPr="000A2EE1" w:rsidRDefault="00E3232B" w:rsidP="00B75110">
      <w:pPr>
        <w:tabs>
          <w:tab w:val="left" w:pos="1701"/>
          <w:tab w:val="left" w:pos="1985"/>
          <w:tab w:val="left" w:pos="2268"/>
        </w:tabs>
        <w:spacing w:after="120"/>
        <w:ind w:left="1134" w:right="1134"/>
        <w:jc w:val="both"/>
      </w:pPr>
      <w:r w:rsidRPr="000A2EE1">
        <w:t>“(a)</w:t>
      </w:r>
      <w:r w:rsidRPr="000A2EE1">
        <w:tab/>
        <w:t>Gases contained in the tanks or cylinders of a vehicle, performing a transport operation and destined for its propulsion or for the operation of any of its equipment used or intended for use during carriage (e.g. refrigerating equipment).</w:t>
      </w:r>
    </w:p>
    <w:p w:rsidR="00E3232B" w:rsidRPr="000A2EE1" w:rsidRDefault="00E3232B" w:rsidP="00B75110">
      <w:pPr>
        <w:tabs>
          <w:tab w:val="left" w:pos="1701"/>
          <w:tab w:val="left" w:pos="1985"/>
          <w:tab w:val="left" w:pos="2268"/>
        </w:tabs>
        <w:spacing w:after="120"/>
        <w:ind w:left="1134" w:right="1134"/>
        <w:jc w:val="both"/>
        <w:rPr>
          <w:i/>
          <w:snapToGrid w:val="0"/>
        </w:rPr>
      </w:pPr>
      <w:r w:rsidRPr="000A2EE1">
        <w:tab/>
      </w:r>
      <w:r w:rsidRPr="000A2EE1">
        <w:rPr>
          <w:snapToGrid w:val="0"/>
        </w:rPr>
        <w:t>The gases may be carried in fixed tanks</w:t>
      </w:r>
      <w:r w:rsidRPr="000A2EE1">
        <w:t xml:space="preserve"> or cylinders</w:t>
      </w:r>
      <w:r w:rsidRPr="000A2EE1">
        <w:rPr>
          <w:snapToGrid w:val="0"/>
        </w:rPr>
        <w:t>, directly connected to the vehicle’s engine and/or auxiliary equipment or transportable pressure receptacles, which comply with the pertinent legal provisions.”</w:t>
      </w:r>
      <w:r w:rsidRPr="000A2EE1">
        <w:rPr>
          <w:i/>
          <w:snapToGrid w:val="0"/>
        </w:rPr>
        <w:t>.</w:t>
      </w:r>
    </w:p>
    <w:p w:rsidR="00E3232B" w:rsidRPr="000A2EE1" w:rsidRDefault="00E3232B" w:rsidP="00B75110">
      <w:pPr>
        <w:pStyle w:val="SingleTxtG"/>
        <w:tabs>
          <w:tab w:val="left" w:pos="1701"/>
          <w:tab w:val="left" w:pos="1985"/>
          <w:tab w:val="left" w:pos="2268"/>
        </w:tabs>
      </w:pPr>
      <w:r w:rsidRPr="000A2EE1">
        <w:t>1.1.3.2 (b)</w:t>
      </w:r>
      <w:r w:rsidRPr="000A2EE1">
        <w:tab/>
      </w:r>
      <w:r w:rsidR="00B75110" w:rsidRPr="000A2EE1">
        <w:tab/>
      </w:r>
      <w:r w:rsidRPr="000A2EE1">
        <w:t xml:space="preserve">Delete and insert </w:t>
      </w:r>
      <w:r w:rsidR="006E67B9" w:rsidRPr="000A2EE1">
        <w:t>“</w:t>
      </w:r>
      <w:r w:rsidRPr="000A2EE1">
        <w:t>(Deleted)</w:t>
      </w:r>
      <w:r w:rsidR="006E67B9" w:rsidRPr="000A2EE1">
        <w:t>”</w:t>
      </w:r>
      <w:r w:rsidRPr="000A2EE1">
        <w:t>.</w:t>
      </w:r>
    </w:p>
    <w:p w:rsidR="004F3582" w:rsidRPr="000A2EE1" w:rsidRDefault="004F3582" w:rsidP="00B75110">
      <w:pPr>
        <w:pStyle w:val="SingleTxtG"/>
        <w:tabs>
          <w:tab w:val="left" w:pos="1701"/>
          <w:tab w:val="left" w:pos="1985"/>
          <w:tab w:val="left" w:pos="2268"/>
        </w:tabs>
        <w:rPr>
          <w:bCs/>
        </w:rPr>
      </w:pPr>
      <w:r w:rsidRPr="000A2EE1">
        <w:rPr>
          <w:bCs/>
        </w:rPr>
        <w:t>1.1.3.3</w:t>
      </w:r>
      <w:r w:rsidR="002E348B" w:rsidRPr="000A2EE1">
        <w:rPr>
          <w:bCs/>
        </w:rPr>
        <w:t xml:space="preserve"> (a)</w:t>
      </w:r>
      <w:r w:rsidRPr="000A2EE1">
        <w:rPr>
          <w:bCs/>
        </w:rPr>
        <w:tab/>
      </w:r>
      <w:r w:rsidR="00B75110" w:rsidRPr="000A2EE1">
        <w:rPr>
          <w:bCs/>
        </w:rPr>
        <w:tab/>
      </w:r>
      <w:r w:rsidR="002E348B" w:rsidRPr="000A2EE1">
        <w:rPr>
          <w:bCs/>
        </w:rPr>
        <w:t>A</w:t>
      </w:r>
      <w:r w:rsidRPr="000A2EE1">
        <w:rPr>
          <w:bCs/>
        </w:rPr>
        <w:t>t the end of the first sentence of the third paragraph, insert: “, irrespective of whether the trailer is towed or carried on another vehicle.”</w:t>
      </w:r>
      <w:r w:rsidR="002E348B" w:rsidRPr="000A2EE1">
        <w:rPr>
          <w:bCs/>
        </w:rPr>
        <w:t>.</w:t>
      </w:r>
    </w:p>
    <w:p w:rsidR="004F3582" w:rsidRPr="000A2EE1" w:rsidRDefault="004F3582" w:rsidP="00B75110">
      <w:pPr>
        <w:pStyle w:val="SingleTxtG"/>
        <w:tabs>
          <w:tab w:val="left" w:pos="1701"/>
          <w:tab w:val="left" w:pos="1985"/>
          <w:tab w:val="left" w:pos="2268"/>
        </w:tabs>
      </w:pPr>
      <w:r w:rsidRPr="000A2EE1">
        <w:t>Other amendments to the heading of 1.1.3.3 and to 1.1.3.3 (a) do not apply to the English text.</w:t>
      </w:r>
    </w:p>
    <w:p w:rsidR="001965E8" w:rsidRPr="000A2EE1" w:rsidRDefault="001965E8" w:rsidP="00B75110">
      <w:pPr>
        <w:pStyle w:val="SingleTxtG"/>
        <w:tabs>
          <w:tab w:val="left" w:pos="1701"/>
          <w:tab w:val="left" w:pos="1985"/>
          <w:tab w:val="left" w:pos="2268"/>
        </w:tabs>
      </w:pPr>
      <w:r w:rsidRPr="000A2EE1">
        <w:t>1.1.3.3 (b)</w:t>
      </w:r>
      <w:r w:rsidRPr="000A2EE1">
        <w:tab/>
      </w:r>
      <w:r w:rsidR="00B75110" w:rsidRPr="000A2EE1">
        <w:tab/>
      </w:r>
      <w:r w:rsidRPr="000A2EE1">
        <w:t xml:space="preserve">Delete and insert </w:t>
      </w:r>
      <w:r w:rsidR="006E67B9" w:rsidRPr="000A2EE1">
        <w:t>“</w:t>
      </w:r>
      <w:r w:rsidRPr="000A2EE1">
        <w:t>(Deleted)</w:t>
      </w:r>
      <w:r w:rsidR="006E67B9" w:rsidRPr="000A2EE1">
        <w:t>”</w:t>
      </w:r>
      <w:r w:rsidRPr="000A2EE1">
        <w:t>.</w:t>
      </w:r>
    </w:p>
    <w:p w:rsidR="00E3232B" w:rsidRPr="000A2EE1" w:rsidRDefault="00E3232B" w:rsidP="00B75110">
      <w:pPr>
        <w:pStyle w:val="SingleTxtG"/>
        <w:tabs>
          <w:tab w:val="left" w:pos="1701"/>
          <w:tab w:val="left" w:pos="1985"/>
          <w:tab w:val="left" w:pos="2268"/>
        </w:tabs>
      </w:pPr>
      <w:r w:rsidRPr="000A2EE1">
        <w:t>1.1.3.3 (c)</w:t>
      </w:r>
      <w:r w:rsidRPr="000A2EE1">
        <w:tab/>
      </w:r>
      <w:r w:rsidR="00B75110" w:rsidRPr="000A2EE1">
        <w:tab/>
      </w:r>
      <w:r w:rsidRPr="000A2EE1">
        <w:t xml:space="preserve">Delete and insert </w:t>
      </w:r>
      <w:r w:rsidR="001E07F4" w:rsidRPr="000A2EE1">
        <w:t>“</w:t>
      </w:r>
      <w:r w:rsidRPr="000A2EE1">
        <w:t>(Deleted)</w:t>
      </w:r>
      <w:r w:rsidR="001E07F4" w:rsidRPr="000A2EE1">
        <w:t>”</w:t>
      </w:r>
      <w:r w:rsidRPr="000A2EE1">
        <w:t xml:space="preserve">. Delete </w:t>
      </w:r>
      <w:r w:rsidR="001965E8" w:rsidRPr="000A2EE1">
        <w:t xml:space="preserve">corresponding </w:t>
      </w:r>
      <w:r w:rsidRPr="000A2EE1">
        <w:t xml:space="preserve">footnote 1 and renumber footnote 2 </w:t>
      </w:r>
      <w:r w:rsidR="001965E8" w:rsidRPr="000A2EE1">
        <w:t xml:space="preserve">in 1.1.4.3 </w:t>
      </w:r>
      <w:r w:rsidRPr="000A2EE1">
        <w:t>accordingly.</w:t>
      </w:r>
    </w:p>
    <w:p w:rsidR="00E3232B" w:rsidRPr="000A2EE1" w:rsidRDefault="00E3232B" w:rsidP="00B75110">
      <w:pPr>
        <w:pStyle w:val="SingleTxtG"/>
        <w:tabs>
          <w:tab w:val="left" w:pos="1701"/>
          <w:tab w:val="left" w:pos="1985"/>
          <w:tab w:val="left" w:pos="2268"/>
        </w:tabs>
        <w:rPr>
          <w:iCs/>
        </w:rPr>
      </w:pPr>
      <w:r w:rsidRPr="000A2EE1">
        <w:rPr>
          <w:iCs/>
        </w:rPr>
        <w:t>1.1.3.6.3</w:t>
      </w:r>
      <w:r w:rsidRPr="000A2EE1">
        <w:rPr>
          <w:iCs/>
        </w:rPr>
        <w:tab/>
      </w:r>
      <w:r w:rsidR="00AB0D6F" w:rsidRPr="000A2EE1">
        <w:rPr>
          <w:iCs/>
        </w:rPr>
        <w:t xml:space="preserve">In the </w:t>
      </w:r>
      <w:r w:rsidR="00AB0D6F" w:rsidRPr="000A2EE1">
        <w:t>second column of the table,</w:t>
      </w:r>
      <w:r w:rsidR="00AB0D6F" w:rsidRPr="000A2EE1">
        <w:rPr>
          <w:iCs/>
        </w:rPr>
        <w:t xml:space="preserve"> for </w:t>
      </w:r>
      <w:r w:rsidRPr="000A2EE1">
        <w:rPr>
          <w:iCs/>
        </w:rPr>
        <w:t xml:space="preserve">Transport category 0, for Class 9, replace </w:t>
      </w:r>
      <w:r w:rsidR="001E07F4" w:rsidRPr="000A2EE1">
        <w:rPr>
          <w:iCs/>
        </w:rPr>
        <w:t>“</w:t>
      </w:r>
      <w:r w:rsidRPr="000A2EE1">
        <w:rPr>
          <w:iCs/>
        </w:rPr>
        <w:t>apparatus</w:t>
      </w:r>
      <w:r w:rsidR="001E07F4" w:rsidRPr="000A2EE1">
        <w:rPr>
          <w:iCs/>
        </w:rPr>
        <w:t xml:space="preserve">” </w:t>
      </w:r>
      <w:r w:rsidRPr="000A2EE1">
        <w:rPr>
          <w:iCs/>
        </w:rPr>
        <w:t xml:space="preserve">by </w:t>
      </w:r>
      <w:r w:rsidR="001E07F4" w:rsidRPr="000A2EE1">
        <w:rPr>
          <w:iCs/>
        </w:rPr>
        <w:t>“</w:t>
      </w:r>
      <w:r w:rsidRPr="000A2EE1">
        <w:rPr>
          <w:iCs/>
        </w:rPr>
        <w:t>articles</w:t>
      </w:r>
      <w:r w:rsidR="001E07F4" w:rsidRPr="000A2EE1">
        <w:rPr>
          <w:iCs/>
        </w:rPr>
        <w:t>”</w:t>
      </w:r>
      <w:r w:rsidRPr="000A2EE1">
        <w:rPr>
          <w:iCs/>
        </w:rPr>
        <w:t>.</w:t>
      </w:r>
    </w:p>
    <w:p w:rsidR="00AB0D6F" w:rsidRPr="000A2EE1" w:rsidRDefault="00AB0D6F" w:rsidP="00B75110">
      <w:pPr>
        <w:pStyle w:val="SingleTxtG"/>
        <w:tabs>
          <w:tab w:val="left" w:pos="1701"/>
          <w:tab w:val="left" w:pos="1985"/>
          <w:tab w:val="left" w:pos="2268"/>
        </w:tabs>
      </w:pPr>
      <w:r w:rsidRPr="000A2EE1">
        <w:t>1.1.3.6.3</w:t>
      </w:r>
      <w:r w:rsidRPr="000A2EE1">
        <w:tab/>
      </w:r>
      <w:r w:rsidRPr="000A2EE1">
        <w:rPr>
          <w:iCs/>
        </w:rPr>
        <w:t xml:space="preserve">In the </w:t>
      </w:r>
      <w:r w:rsidRPr="000A2EE1">
        <w:t>second column of the table,</w:t>
      </w:r>
      <w:r w:rsidRPr="000A2EE1">
        <w:rPr>
          <w:iCs/>
        </w:rPr>
        <w:t xml:space="preserve"> for </w:t>
      </w:r>
      <w:r w:rsidRPr="000A2EE1">
        <w:t>Transport category 1, for Class 4.1, at the end replace “and 3231 to 3240” by “, 3231 to 3240, 3533 and 3534”.</w:t>
      </w:r>
    </w:p>
    <w:p w:rsidR="00E3232B" w:rsidRPr="000A2EE1" w:rsidRDefault="00E3232B" w:rsidP="00B75110">
      <w:pPr>
        <w:pStyle w:val="SingleTxtG"/>
        <w:tabs>
          <w:tab w:val="left" w:pos="1701"/>
          <w:tab w:val="left" w:pos="1985"/>
          <w:tab w:val="left" w:pos="2268"/>
        </w:tabs>
      </w:pPr>
      <w:r w:rsidRPr="000A2EE1">
        <w:t>1.1.3.6.3</w:t>
      </w:r>
      <w:r w:rsidRPr="000A2EE1">
        <w:tab/>
      </w:r>
      <w:r w:rsidR="00D373EC" w:rsidRPr="000A2EE1">
        <w:rPr>
          <w:iCs/>
        </w:rPr>
        <w:t xml:space="preserve">In the </w:t>
      </w:r>
      <w:r w:rsidR="00D373EC" w:rsidRPr="000A2EE1">
        <w:t>second column of the table,</w:t>
      </w:r>
      <w:r w:rsidR="00D373EC" w:rsidRPr="000A2EE1">
        <w:rPr>
          <w:iCs/>
        </w:rPr>
        <w:t xml:space="preserve"> for </w:t>
      </w:r>
      <w:r w:rsidR="002E348B" w:rsidRPr="000A2EE1">
        <w:rPr>
          <w:iCs/>
        </w:rPr>
        <w:t>T</w:t>
      </w:r>
      <w:r w:rsidR="00D373EC" w:rsidRPr="000A2EE1">
        <w:rPr>
          <w:iCs/>
        </w:rPr>
        <w:t>ransport category 2</w:t>
      </w:r>
      <w:r w:rsidRPr="000A2EE1">
        <w:t xml:space="preserve">: </w:t>
      </w:r>
    </w:p>
    <w:p w:rsidR="005724D1" w:rsidRPr="000A2EE1" w:rsidRDefault="00E3232B" w:rsidP="000A2EE1">
      <w:pPr>
        <w:pStyle w:val="SingleTxtG"/>
        <w:tabs>
          <w:tab w:val="left" w:pos="1701"/>
          <w:tab w:val="left" w:pos="1985"/>
          <w:tab w:val="left" w:pos="2268"/>
        </w:tabs>
        <w:ind w:left="1985"/>
      </w:pPr>
      <w:r w:rsidRPr="000A2EE1">
        <w:t xml:space="preserve">In the first line, delete </w:t>
      </w:r>
      <w:r w:rsidR="00D373EC" w:rsidRPr="000A2EE1">
        <w:t>“</w:t>
      </w:r>
      <w:r w:rsidRPr="000A2EE1">
        <w:t>or articles</w:t>
      </w:r>
      <w:r w:rsidR="00D373EC" w:rsidRPr="000A2EE1">
        <w:t>”</w:t>
      </w:r>
      <w:r w:rsidRPr="000A2EE1">
        <w:t xml:space="preserve">. In the third line, after </w:t>
      </w:r>
      <w:r w:rsidR="00D373EC" w:rsidRPr="000A2EE1">
        <w:t>“</w:t>
      </w:r>
      <w:r w:rsidR="007040A5" w:rsidRPr="000A2EE1">
        <w:t>substances</w:t>
      </w:r>
      <w:r w:rsidR="00D373EC" w:rsidRPr="000A2EE1">
        <w:t>”</w:t>
      </w:r>
      <w:r w:rsidR="007040A5" w:rsidRPr="000A2EE1">
        <w:t xml:space="preserve"> add </w:t>
      </w:r>
      <w:r w:rsidR="00D373EC" w:rsidRPr="000A2EE1">
        <w:t>“</w:t>
      </w:r>
      <w:r w:rsidR="007040A5" w:rsidRPr="000A2EE1">
        <w:t>and articles</w:t>
      </w:r>
      <w:r w:rsidR="00D373EC" w:rsidRPr="000A2EE1">
        <w:t>”</w:t>
      </w:r>
      <w:r w:rsidR="007040A5" w:rsidRPr="000A2EE1">
        <w:t>.</w:t>
      </w:r>
      <w:r w:rsidR="00C04828" w:rsidRPr="000A2EE1">
        <w:t xml:space="preserve"> For </w:t>
      </w:r>
      <w:r w:rsidR="005724D1" w:rsidRPr="000A2EE1">
        <w:t>Class 4.1, at the end insert “, 3531 and 3532”.</w:t>
      </w:r>
    </w:p>
    <w:p w:rsidR="00E3232B" w:rsidRPr="000A2EE1" w:rsidRDefault="00E3232B" w:rsidP="000A2EE1">
      <w:pPr>
        <w:pStyle w:val="SingleTxtG"/>
        <w:tabs>
          <w:tab w:val="left" w:pos="1701"/>
          <w:tab w:val="left" w:pos="1985"/>
          <w:tab w:val="left" w:pos="2268"/>
        </w:tabs>
        <w:ind w:left="1985"/>
      </w:pPr>
      <w:r w:rsidRPr="000A2EE1">
        <w:t>After Class 4.1, add the following text:</w:t>
      </w:r>
    </w:p>
    <w:p w:rsidR="00E3232B" w:rsidRPr="000A2EE1" w:rsidRDefault="00E3232B" w:rsidP="000A2EE1">
      <w:pPr>
        <w:pStyle w:val="SingleTxtG"/>
        <w:tabs>
          <w:tab w:val="left" w:pos="1701"/>
          <w:tab w:val="left" w:pos="1985"/>
          <w:tab w:val="left" w:pos="2268"/>
        </w:tabs>
        <w:ind w:left="1985"/>
        <w:jc w:val="left"/>
      </w:pPr>
      <w:r w:rsidRPr="000A2EE1">
        <w:t>“Class 4.3: UN No. 3292</w:t>
      </w:r>
      <w:r w:rsidR="007751D2" w:rsidRPr="000A2EE1">
        <w:br/>
      </w:r>
      <w:r w:rsidRPr="000A2EE1">
        <w:t>Class 5.1: UN No. 3356”;</w:t>
      </w:r>
    </w:p>
    <w:p w:rsidR="00E3232B" w:rsidRPr="000A2EE1" w:rsidRDefault="00E3232B" w:rsidP="000A2EE1">
      <w:pPr>
        <w:pStyle w:val="SingleTxtG"/>
        <w:tabs>
          <w:tab w:val="left" w:pos="1701"/>
          <w:tab w:val="left" w:pos="1985"/>
          <w:tab w:val="left" w:pos="2268"/>
        </w:tabs>
        <w:ind w:left="1985"/>
      </w:pPr>
      <w:r w:rsidRPr="000A2EE1">
        <w:t xml:space="preserve">For Class 6.1, before the existing text add “UN Nos. 1700, 2016 and 2017”. Delete </w:t>
      </w:r>
      <w:r w:rsidR="006E67B9" w:rsidRPr="000A2EE1">
        <w:t>“</w:t>
      </w:r>
      <w:r w:rsidRPr="000A2EE1">
        <w:t>and articles</w:t>
      </w:r>
      <w:r w:rsidR="006E67B9" w:rsidRPr="000A2EE1">
        <w:t>”</w:t>
      </w:r>
      <w:r w:rsidRPr="000A2EE1">
        <w:t>.</w:t>
      </w:r>
    </w:p>
    <w:p w:rsidR="00E3232B" w:rsidRPr="000A2EE1" w:rsidRDefault="00E3232B" w:rsidP="000A2EE1">
      <w:pPr>
        <w:pStyle w:val="SingleTxtG"/>
        <w:tabs>
          <w:tab w:val="left" w:pos="1701"/>
          <w:tab w:val="left" w:pos="1985"/>
          <w:tab w:val="left" w:pos="2268"/>
        </w:tabs>
        <w:ind w:left="1985"/>
      </w:pPr>
      <w:r w:rsidRPr="000A2EE1">
        <w:t>For class 9, replace “UN No. 3245” with “UN Nos. 3090, 3091, 3245, 3480 and 3481”;</w:t>
      </w:r>
    </w:p>
    <w:p w:rsidR="00E3232B" w:rsidRPr="000A2EE1" w:rsidRDefault="007751D2" w:rsidP="00B75110">
      <w:pPr>
        <w:pStyle w:val="SingleTxtG"/>
        <w:tabs>
          <w:tab w:val="left" w:pos="1701"/>
          <w:tab w:val="left" w:pos="1985"/>
          <w:tab w:val="left" w:pos="2268"/>
        </w:tabs>
        <w:rPr>
          <w:i/>
        </w:rPr>
      </w:pPr>
      <w:r w:rsidRPr="000A2EE1">
        <w:t>1.1.3.6.3</w:t>
      </w:r>
      <w:r w:rsidRPr="000A2EE1">
        <w:tab/>
      </w:r>
      <w:r w:rsidRPr="000A2EE1">
        <w:rPr>
          <w:iCs/>
        </w:rPr>
        <w:t xml:space="preserve">In the </w:t>
      </w:r>
      <w:r w:rsidRPr="000A2EE1">
        <w:t>second column of the table,</w:t>
      </w:r>
      <w:r w:rsidRPr="000A2EE1">
        <w:rPr>
          <w:iCs/>
        </w:rPr>
        <w:t xml:space="preserve"> for</w:t>
      </w:r>
      <w:r w:rsidRPr="000A2EE1" w:rsidDel="007751D2">
        <w:rPr>
          <w:i/>
        </w:rPr>
        <w:t xml:space="preserve"> </w:t>
      </w:r>
      <w:r w:rsidR="002E348B" w:rsidRPr="000A2EE1">
        <w:t>T</w:t>
      </w:r>
      <w:r w:rsidR="00E3232B" w:rsidRPr="000A2EE1">
        <w:t>ransport category 3:</w:t>
      </w:r>
    </w:p>
    <w:p w:rsidR="00E3232B" w:rsidRPr="000A2EE1" w:rsidRDefault="00E3232B" w:rsidP="000A2EE1">
      <w:pPr>
        <w:pStyle w:val="SingleTxtG"/>
        <w:tabs>
          <w:tab w:val="left" w:pos="1701"/>
          <w:tab w:val="left" w:pos="1985"/>
          <w:tab w:val="left" w:pos="2268"/>
        </w:tabs>
        <w:ind w:left="1985"/>
      </w:pPr>
      <w:r w:rsidRPr="000A2EE1">
        <w:t xml:space="preserve">In the first line, delete </w:t>
      </w:r>
      <w:r w:rsidR="006E67B9" w:rsidRPr="000A2EE1">
        <w:t>“</w:t>
      </w:r>
      <w:r w:rsidRPr="000A2EE1">
        <w:t>and articles</w:t>
      </w:r>
      <w:r w:rsidR="006E67B9" w:rsidRPr="000A2EE1">
        <w:t>”</w:t>
      </w:r>
      <w:r w:rsidRPr="000A2EE1">
        <w:t>. For class 8, replace “and 3477” with “, 3477 and 3506”;</w:t>
      </w:r>
    </w:p>
    <w:p w:rsidR="00E3232B" w:rsidRPr="000A2EE1" w:rsidRDefault="007751D2" w:rsidP="00B75110">
      <w:pPr>
        <w:pStyle w:val="SingleTxtG"/>
        <w:tabs>
          <w:tab w:val="left" w:pos="1701"/>
          <w:tab w:val="left" w:pos="1985"/>
          <w:tab w:val="left" w:pos="2268"/>
        </w:tabs>
        <w:rPr>
          <w:i/>
        </w:rPr>
      </w:pPr>
      <w:r w:rsidRPr="000A2EE1">
        <w:t>1.1.3.6.3</w:t>
      </w:r>
      <w:r w:rsidRPr="000A2EE1">
        <w:tab/>
      </w:r>
      <w:r w:rsidRPr="000A2EE1">
        <w:rPr>
          <w:iCs/>
        </w:rPr>
        <w:t xml:space="preserve">In the </w:t>
      </w:r>
      <w:r w:rsidRPr="000A2EE1">
        <w:t>second column of the table,</w:t>
      </w:r>
      <w:r w:rsidRPr="000A2EE1">
        <w:rPr>
          <w:iCs/>
        </w:rPr>
        <w:t xml:space="preserve"> for</w:t>
      </w:r>
      <w:r w:rsidRPr="000A2EE1" w:rsidDel="007751D2">
        <w:rPr>
          <w:i/>
        </w:rPr>
        <w:t xml:space="preserve"> </w:t>
      </w:r>
      <w:r w:rsidR="002E348B" w:rsidRPr="000A2EE1">
        <w:t>T</w:t>
      </w:r>
      <w:r w:rsidR="00E3232B" w:rsidRPr="000A2EE1">
        <w:t>ransport category 4:</w:t>
      </w:r>
    </w:p>
    <w:p w:rsidR="00E3232B" w:rsidRPr="000A2EE1" w:rsidRDefault="00E3232B" w:rsidP="000A2EE1">
      <w:pPr>
        <w:pStyle w:val="SingleTxtG"/>
        <w:tabs>
          <w:tab w:val="left" w:pos="1701"/>
          <w:tab w:val="left" w:pos="1985"/>
          <w:tab w:val="left" w:pos="2268"/>
        </w:tabs>
        <w:ind w:left="1985"/>
      </w:pPr>
      <w:r w:rsidRPr="000A2EE1">
        <w:t>For class 9, replace “and 3509” with “, 3508 and 3509”.</w:t>
      </w:r>
    </w:p>
    <w:p w:rsidR="00E3232B" w:rsidRPr="000A2EE1" w:rsidRDefault="00E3232B" w:rsidP="00B75110">
      <w:pPr>
        <w:pStyle w:val="SingleTxtG"/>
        <w:tabs>
          <w:tab w:val="left" w:pos="1701"/>
          <w:tab w:val="left" w:pos="1985"/>
          <w:tab w:val="left" w:pos="2268"/>
        </w:tabs>
      </w:pPr>
      <w:r w:rsidRPr="000A2EE1">
        <w:t>1.1.4.2.1 (a)</w:t>
      </w:r>
      <w:r w:rsidRPr="000A2EE1">
        <w:tab/>
        <w:t>Replace “shall bear markings” by “shall bear marks”.</w:t>
      </w:r>
    </w:p>
    <w:p w:rsidR="00E3232B" w:rsidRPr="000A2EE1" w:rsidRDefault="00E3232B" w:rsidP="00B75110">
      <w:pPr>
        <w:pStyle w:val="SingleTxtG"/>
        <w:tabs>
          <w:tab w:val="left" w:pos="1701"/>
          <w:tab w:val="left" w:pos="1985"/>
          <w:tab w:val="left" w:pos="2268"/>
        </w:tabs>
      </w:pPr>
      <w:r w:rsidRPr="000A2EE1">
        <w:t>1.1.4.2.1 (c)</w:t>
      </w:r>
      <w:r w:rsidRPr="000A2EE1">
        <w:tab/>
        <w:t>Not applicable to the English text.</w:t>
      </w:r>
    </w:p>
    <w:p w:rsidR="00E3232B" w:rsidRPr="000A2EE1" w:rsidRDefault="00E3232B" w:rsidP="00B75110">
      <w:pPr>
        <w:pStyle w:val="SingleTxtG"/>
        <w:tabs>
          <w:tab w:val="left" w:pos="1701"/>
          <w:tab w:val="left" w:pos="1985"/>
          <w:tab w:val="left" w:pos="2268"/>
        </w:tabs>
      </w:pPr>
      <w:r w:rsidRPr="000A2EE1">
        <w:t>1.1.4.2.2</w:t>
      </w:r>
      <w:r w:rsidRPr="000A2EE1">
        <w:tab/>
        <w:t>Not applicable to the English text.</w:t>
      </w:r>
    </w:p>
    <w:p w:rsidR="00E3232B" w:rsidRPr="000A2EE1" w:rsidRDefault="00E3232B" w:rsidP="00E3232B">
      <w:pPr>
        <w:pStyle w:val="H1G"/>
        <w:rPr>
          <w:rFonts w:ascii="Times New Roman Bold" w:hAnsi="Times New Roman Bold"/>
        </w:rPr>
      </w:pPr>
      <w:r w:rsidRPr="000A2EE1">
        <w:rPr>
          <w:rFonts w:ascii="Times New Roman Bold" w:hAnsi="Times New Roman Bold"/>
        </w:rPr>
        <w:lastRenderedPageBreak/>
        <w:tab/>
      </w:r>
      <w:r w:rsidRPr="000A2EE1">
        <w:rPr>
          <w:rFonts w:ascii="Times New Roman Bold" w:hAnsi="Times New Roman Bold"/>
        </w:rPr>
        <w:tab/>
        <w:t>Chapter 1.2</w:t>
      </w:r>
    </w:p>
    <w:p w:rsidR="00E3232B" w:rsidRPr="000A2EE1" w:rsidRDefault="00E3232B" w:rsidP="00B75110">
      <w:pPr>
        <w:pStyle w:val="SingleTxtG"/>
        <w:tabs>
          <w:tab w:val="left" w:pos="1701"/>
          <w:tab w:val="left" w:pos="1985"/>
          <w:tab w:val="left" w:pos="2268"/>
        </w:tabs>
      </w:pPr>
      <w:r w:rsidRPr="000A2EE1">
        <w:t>1.2.1</w:t>
      </w:r>
      <w:r w:rsidRPr="000A2EE1">
        <w:tab/>
        <w:t xml:space="preserve">Under the definition of </w:t>
      </w:r>
      <w:r w:rsidR="00791E53" w:rsidRPr="000A2EE1">
        <w:t>“</w:t>
      </w:r>
      <w:r w:rsidRPr="000A2EE1">
        <w:t>Bulk container</w:t>
      </w:r>
      <w:r w:rsidR="00791E53" w:rsidRPr="000A2EE1">
        <w:t>”</w:t>
      </w:r>
      <w:r w:rsidRPr="000A2EE1">
        <w:t>, insert the following definition:</w:t>
      </w:r>
    </w:p>
    <w:p w:rsidR="00E3232B" w:rsidRPr="000A2EE1" w:rsidRDefault="00791E53" w:rsidP="00B75110">
      <w:pPr>
        <w:pStyle w:val="SingleTxtG"/>
        <w:tabs>
          <w:tab w:val="left" w:pos="1701"/>
          <w:tab w:val="left" w:pos="1985"/>
          <w:tab w:val="left" w:pos="2268"/>
        </w:tabs>
      </w:pPr>
      <w:r w:rsidRPr="000A2EE1">
        <w:t>“</w:t>
      </w:r>
      <w:r w:rsidR="00BD1C8E" w:rsidRPr="000A2EE1">
        <w:rPr>
          <w:i/>
        </w:rPr>
        <w:t>“</w:t>
      </w:r>
      <w:r w:rsidR="00E3232B" w:rsidRPr="000A2EE1">
        <w:rPr>
          <w:i/>
        </w:rPr>
        <w:t>Flexible bulk container</w:t>
      </w:r>
      <w:r w:rsidRPr="000A2EE1">
        <w:rPr>
          <w:i/>
        </w:rPr>
        <w:t xml:space="preserve">” </w:t>
      </w:r>
      <w:r w:rsidR="00E3232B" w:rsidRPr="000A2EE1">
        <w:t>means a flexible container with a capacity not exceeding 15 m</w:t>
      </w:r>
      <w:r w:rsidR="00E3232B" w:rsidRPr="000A2EE1">
        <w:rPr>
          <w:vertAlign w:val="superscript"/>
        </w:rPr>
        <w:t xml:space="preserve">3 </w:t>
      </w:r>
      <w:r w:rsidR="00E3232B" w:rsidRPr="000A2EE1">
        <w:t>and includes liners and attached handling devices and service equipment;</w:t>
      </w:r>
      <w:r w:rsidRPr="000A2EE1">
        <w:t>”</w:t>
      </w:r>
      <w:r w:rsidR="00E3232B" w:rsidRPr="000A2EE1">
        <w:t>.</w:t>
      </w:r>
    </w:p>
    <w:p w:rsidR="00E3232B" w:rsidRPr="000A2EE1" w:rsidRDefault="00E3232B" w:rsidP="00B75110">
      <w:pPr>
        <w:pStyle w:val="SingleTxtG"/>
        <w:tabs>
          <w:tab w:val="left" w:pos="1701"/>
          <w:tab w:val="left" w:pos="1985"/>
          <w:tab w:val="left" w:pos="2268"/>
        </w:tabs>
      </w:pPr>
      <w:r w:rsidRPr="000A2EE1">
        <w:t>1.2.1</w:t>
      </w:r>
      <w:r w:rsidRPr="000A2EE1">
        <w:tab/>
        <w:t>Under the definition of “CGA”, amend the address in brackets to read as follows: “(CGA, 14501 George Carter Way, Suite 103, Chantilly, VA 20151, United States of America)”.</w:t>
      </w:r>
    </w:p>
    <w:p w:rsidR="00E3232B" w:rsidRPr="000A2EE1" w:rsidRDefault="00E3232B" w:rsidP="00B75110">
      <w:pPr>
        <w:pStyle w:val="SingleTxtG"/>
        <w:tabs>
          <w:tab w:val="left" w:pos="1701"/>
          <w:tab w:val="left" w:pos="1985"/>
          <w:tab w:val="left" w:pos="2268"/>
        </w:tabs>
        <w:rPr>
          <w:iCs/>
        </w:rPr>
      </w:pPr>
      <w:r w:rsidRPr="000A2EE1">
        <w:t>1.2.1</w:t>
      </w:r>
      <w:r w:rsidRPr="000A2EE1">
        <w:tab/>
      </w:r>
      <w:r w:rsidRPr="000A2EE1">
        <w:rPr>
          <w:iCs/>
        </w:rPr>
        <w:t>In the definition of “Aerosol or aerosol dispenser”, insert “an article consisting of” after “means”.</w:t>
      </w:r>
    </w:p>
    <w:p w:rsidR="00E3232B" w:rsidRPr="000A2EE1" w:rsidRDefault="00E3232B" w:rsidP="00B75110">
      <w:pPr>
        <w:pStyle w:val="SingleTxtG"/>
        <w:tabs>
          <w:tab w:val="left" w:pos="1701"/>
          <w:tab w:val="left" w:pos="1985"/>
          <w:tab w:val="left" w:pos="2268"/>
        </w:tabs>
      </w:pPr>
      <w:r w:rsidRPr="000A2EE1">
        <w:t xml:space="preserve">1.2.1 </w:t>
      </w:r>
      <w:r w:rsidRPr="000A2EE1">
        <w:tab/>
        <w:t>In the definition of “</w:t>
      </w:r>
      <w:r w:rsidRPr="000A2EE1">
        <w:rPr>
          <w:iCs/>
        </w:rPr>
        <w:t>GHS</w:t>
      </w:r>
      <w:r w:rsidRPr="000A2EE1">
        <w:t>”, replace “fifth revised edition” by “sixth revised edition” and replace “ST/SG/AC.10/30/Rev.5” by “ST/SG/AC.10/30/Rev.6”.</w:t>
      </w:r>
    </w:p>
    <w:p w:rsidR="00E3232B" w:rsidRPr="000A2EE1" w:rsidRDefault="00E3232B" w:rsidP="00B75110">
      <w:pPr>
        <w:pStyle w:val="SingleTxtG"/>
        <w:tabs>
          <w:tab w:val="left" w:pos="1701"/>
          <w:tab w:val="left" w:pos="1985"/>
          <w:tab w:val="left" w:pos="2268"/>
        </w:tabs>
      </w:pPr>
      <w:r w:rsidRPr="000A2EE1">
        <w:t>1.2.1</w:t>
      </w:r>
      <w:r w:rsidRPr="000A2EE1">
        <w:tab/>
        <w:t>In the definition of “</w:t>
      </w:r>
      <w:r w:rsidRPr="000A2EE1">
        <w:rPr>
          <w:iCs/>
        </w:rPr>
        <w:t>Manual of Tests and Criteria</w:t>
      </w:r>
      <w:r w:rsidRPr="000A2EE1">
        <w:t>”, replace “fifth revised edition” by “sixth revised edition” and replace “ST/SG/AC.10/11/Rev.5, Amend.1 and Amend.2” by “ST/SG/AC.10/11/Rev.6”.</w:t>
      </w:r>
    </w:p>
    <w:p w:rsidR="00E3232B" w:rsidRPr="000A2EE1" w:rsidRDefault="00E3232B" w:rsidP="00B75110">
      <w:pPr>
        <w:pStyle w:val="SingleTxtG"/>
        <w:tabs>
          <w:tab w:val="left" w:pos="1701"/>
          <w:tab w:val="left" w:pos="1985"/>
          <w:tab w:val="left" w:pos="2268"/>
        </w:tabs>
      </w:pPr>
      <w:r w:rsidRPr="000A2EE1">
        <w:t>1.2.1</w:t>
      </w:r>
      <w:r w:rsidRPr="000A2EE1">
        <w:tab/>
        <w:t>In the definition of “Large salvage packaging”, replace “or leaking” by “, leaking or non-conforming”.</w:t>
      </w:r>
    </w:p>
    <w:p w:rsidR="00E3232B" w:rsidRPr="000A2EE1" w:rsidRDefault="00E3232B" w:rsidP="00B75110">
      <w:pPr>
        <w:pStyle w:val="SingleTxtG"/>
        <w:tabs>
          <w:tab w:val="left" w:pos="1701"/>
          <w:tab w:val="left" w:pos="1985"/>
          <w:tab w:val="left" w:pos="2268"/>
        </w:tabs>
      </w:pPr>
      <w:r w:rsidRPr="000A2EE1">
        <w:t>1.2.1</w:t>
      </w:r>
      <w:r w:rsidRPr="000A2EE1">
        <w:tab/>
        <w:t>In the definition of “Salvage pressure receptacle” replace “1 000” by “3 000”.</w:t>
      </w:r>
    </w:p>
    <w:p w:rsidR="00E3232B" w:rsidRPr="000A2EE1" w:rsidRDefault="00E3232B" w:rsidP="00B75110">
      <w:pPr>
        <w:pStyle w:val="SingleTxtG"/>
        <w:tabs>
          <w:tab w:val="left" w:pos="1701"/>
          <w:tab w:val="left" w:pos="1985"/>
          <w:tab w:val="left" w:pos="2268"/>
        </w:tabs>
        <w:rPr>
          <w:lang w:eastAsia="en-GB"/>
        </w:rPr>
      </w:pPr>
      <w:r w:rsidRPr="000A2EE1">
        <w:t>1.2.1</w:t>
      </w:r>
      <w:r w:rsidRPr="000A2EE1">
        <w:tab/>
      </w:r>
      <w:r w:rsidRPr="000A2EE1">
        <w:rPr>
          <w:lang w:eastAsia="en-GB"/>
        </w:rPr>
        <w:t>In the definition of “</w:t>
      </w:r>
      <w:r w:rsidRPr="000A2EE1">
        <w:rPr>
          <w:iCs/>
          <w:lang w:eastAsia="en-GB"/>
        </w:rPr>
        <w:t>Tube</w:t>
      </w:r>
      <w:r w:rsidRPr="000A2EE1">
        <w:rPr>
          <w:lang w:eastAsia="en-GB"/>
        </w:rPr>
        <w:t>”, replace “a seamless transportable pressure receptacle of” by “a transportable pressure receptacle of seamless or composite construction having”.</w:t>
      </w:r>
    </w:p>
    <w:p w:rsidR="00E3232B" w:rsidRPr="000A2EE1" w:rsidRDefault="00E3232B" w:rsidP="00B75110">
      <w:pPr>
        <w:pStyle w:val="SingleTxtG"/>
        <w:tabs>
          <w:tab w:val="left" w:pos="1701"/>
          <w:tab w:val="left" w:pos="1843"/>
          <w:tab w:val="left" w:pos="1985"/>
          <w:tab w:val="left" w:pos="2268"/>
        </w:tabs>
      </w:pPr>
      <w:r w:rsidRPr="000A2EE1">
        <w:t>1.2.1</w:t>
      </w:r>
      <w:r w:rsidRPr="000A2EE1">
        <w:tab/>
        <w:t xml:space="preserve">In the definition of </w:t>
      </w:r>
      <w:r w:rsidRPr="000A2EE1">
        <w:rPr>
          <w:lang w:eastAsia="en-GB"/>
        </w:rPr>
        <w:t>“</w:t>
      </w:r>
      <w:r w:rsidRPr="000A2EE1">
        <w:t>UN Model Regulations</w:t>
      </w:r>
      <w:r w:rsidRPr="000A2EE1">
        <w:rPr>
          <w:lang w:eastAsia="en-GB"/>
        </w:rPr>
        <w:t>”</w:t>
      </w:r>
      <w:r w:rsidRPr="000A2EE1">
        <w:t xml:space="preserve">, replace </w:t>
      </w:r>
      <w:r w:rsidRPr="000A2EE1">
        <w:rPr>
          <w:lang w:eastAsia="en-GB"/>
        </w:rPr>
        <w:t>“</w:t>
      </w:r>
      <w:r w:rsidRPr="000A2EE1">
        <w:t>eighteenth</w:t>
      </w:r>
      <w:r w:rsidRPr="000A2EE1">
        <w:rPr>
          <w:lang w:eastAsia="en-GB"/>
        </w:rPr>
        <w:t>”</w:t>
      </w:r>
      <w:r w:rsidRPr="000A2EE1">
        <w:t xml:space="preserve"> by </w:t>
      </w:r>
      <w:r w:rsidRPr="000A2EE1">
        <w:rPr>
          <w:lang w:eastAsia="en-GB"/>
        </w:rPr>
        <w:t>“</w:t>
      </w:r>
      <w:r w:rsidRPr="000A2EE1">
        <w:t>nineteenth</w:t>
      </w:r>
      <w:r w:rsidRPr="000A2EE1">
        <w:rPr>
          <w:lang w:eastAsia="en-GB"/>
        </w:rPr>
        <w:t>”</w:t>
      </w:r>
      <w:r w:rsidRPr="000A2EE1">
        <w:t xml:space="preserve"> and </w:t>
      </w:r>
      <w:r w:rsidRPr="000A2EE1">
        <w:rPr>
          <w:lang w:eastAsia="en-GB"/>
        </w:rPr>
        <w:t>“</w:t>
      </w:r>
      <w:r w:rsidRPr="000A2EE1">
        <w:t>ST/SG/AC.10/1/Rev.18</w:t>
      </w:r>
      <w:r w:rsidRPr="000A2EE1">
        <w:rPr>
          <w:lang w:eastAsia="en-GB"/>
        </w:rPr>
        <w:t>”</w:t>
      </w:r>
      <w:r w:rsidRPr="000A2EE1">
        <w:t xml:space="preserve"> by </w:t>
      </w:r>
      <w:r w:rsidRPr="000A2EE1">
        <w:rPr>
          <w:lang w:eastAsia="en-GB"/>
        </w:rPr>
        <w:t>“</w:t>
      </w:r>
      <w:r w:rsidRPr="000A2EE1">
        <w:t>ST/SG/AC.10/1/Rev.19</w:t>
      </w:r>
      <w:r w:rsidRPr="000A2EE1">
        <w:rPr>
          <w:lang w:eastAsia="en-GB"/>
        </w:rPr>
        <w:t>”</w:t>
      </w:r>
      <w:r w:rsidRPr="000A2EE1">
        <w:t>.</w:t>
      </w:r>
    </w:p>
    <w:p w:rsidR="00BD1C8E" w:rsidRPr="000A2EE1" w:rsidRDefault="00E3232B" w:rsidP="00B75110">
      <w:pPr>
        <w:pStyle w:val="SingleTxtG"/>
        <w:tabs>
          <w:tab w:val="left" w:pos="1701"/>
          <w:tab w:val="left" w:pos="1985"/>
          <w:tab w:val="left" w:pos="2268"/>
        </w:tabs>
      </w:pPr>
      <w:r w:rsidRPr="000A2EE1">
        <w:t>1.2.1</w:t>
      </w:r>
      <w:r w:rsidRPr="000A2EE1">
        <w:tab/>
        <w:t xml:space="preserve">Amend the definition for “Cargo transport unit” to read as follows: </w:t>
      </w:r>
    </w:p>
    <w:p w:rsidR="00E3232B" w:rsidRPr="000A2EE1" w:rsidRDefault="00E3232B" w:rsidP="00B75110">
      <w:pPr>
        <w:pStyle w:val="SingleTxtG"/>
        <w:tabs>
          <w:tab w:val="left" w:pos="1701"/>
          <w:tab w:val="left" w:pos="1985"/>
          <w:tab w:val="left" w:pos="2268"/>
        </w:tabs>
      </w:pPr>
      <w:r w:rsidRPr="000A2EE1">
        <w:t>“</w:t>
      </w:r>
      <w:r w:rsidR="00BD1C8E" w:rsidRPr="000A2EE1">
        <w:rPr>
          <w:i/>
        </w:rPr>
        <w:t>“</w:t>
      </w:r>
      <w:r w:rsidRPr="000A2EE1">
        <w:rPr>
          <w:i/>
        </w:rPr>
        <w:t>Cargo transport unit</w:t>
      </w:r>
      <w:r w:rsidR="00BD1C8E" w:rsidRPr="000A2EE1">
        <w:rPr>
          <w:i/>
        </w:rPr>
        <w:t>”</w:t>
      </w:r>
      <w:r w:rsidRPr="000A2EE1">
        <w:t xml:space="preserve"> means a vehicle, a wagon, a container, a tank-container, a portable tank or an MEGC;”. Delete related Note.</w:t>
      </w:r>
    </w:p>
    <w:p w:rsidR="00E3232B" w:rsidRPr="000A2EE1" w:rsidRDefault="00E3232B" w:rsidP="00B75110">
      <w:pPr>
        <w:pStyle w:val="SingleTxtG"/>
        <w:tabs>
          <w:tab w:val="left" w:pos="1701"/>
          <w:tab w:val="left" w:pos="1985"/>
          <w:tab w:val="left" w:pos="2268"/>
        </w:tabs>
      </w:pPr>
      <w:r w:rsidRPr="000A2EE1">
        <w:t>1.2.1</w:t>
      </w:r>
      <w:r w:rsidRPr="000A2EE1">
        <w:tab/>
        <w:t xml:space="preserve">In the definition of </w:t>
      </w:r>
      <w:r w:rsidR="00791E53" w:rsidRPr="000A2EE1">
        <w:t>“</w:t>
      </w:r>
      <w:r w:rsidRPr="000A2EE1">
        <w:t>filler</w:t>
      </w:r>
      <w:r w:rsidR="00791E53" w:rsidRPr="000A2EE1">
        <w:t>”</w:t>
      </w:r>
      <w:r w:rsidRPr="000A2EE1">
        <w:t xml:space="preserve">, replace </w:t>
      </w:r>
      <w:r w:rsidR="00791E53" w:rsidRPr="000A2EE1">
        <w:t>“</w:t>
      </w:r>
      <w:r w:rsidRPr="000A2EE1">
        <w:t>loads</w:t>
      </w:r>
      <w:r w:rsidR="00791E53" w:rsidRPr="000A2EE1">
        <w:t>”</w:t>
      </w:r>
      <w:r w:rsidRPr="000A2EE1">
        <w:t xml:space="preserve"> by </w:t>
      </w:r>
      <w:r w:rsidR="00791E53" w:rsidRPr="000A2EE1">
        <w:t>“</w:t>
      </w:r>
      <w:r w:rsidRPr="000A2EE1">
        <w:t>fills</w:t>
      </w:r>
      <w:r w:rsidR="00791E53" w:rsidRPr="000A2EE1">
        <w:t>”</w:t>
      </w:r>
      <w:r w:rsidRPr="000A2EE1">
        <w:t>.</w:t>
      </w:r>
    </w:p>
    <w:p w:rsidR="00E3232B" w:rsidRPr="000A2EE1" w:rsidRDefault="00E3232B" w:rsidP="00B75110">
      <w:pPr>
        <w:pStyle w:val="SingleTxtG"/>
        <w:tabs>
          <w:tab w:val="left" w:pos="1701"/>
          <w:tab w:val="left" w:pos="1985"/>
          <w:tab w:val="left" w:pos="2268"/>
        </w:tabs>
      </w:pPr>
      <w:r w:rsidRPr="000A2EE1">
        <w:t>1.2.1</w:t>
      </w:r>
      <w:r w:rsidRPr="000A2EE1">
        <w:tab/>
        <w:t>In the definition of “Unilateral approval”, replace “by the competent authority of the first Contracting Party to ADR reached by the consignment” by “by the competent authority of a Contracting Party to ADR”.</w:t>
      </w:r>
    </w:p>
    <w:p w:rsidR="00E3232B" w:rsidRPr="000A2EE1" w:rsidRDefault="00E3232B" w:rsidP="00B75110">
      <w:pPr>
        <w:pStyle w:val="SingleTxtG"/>
        <w:tabs>
          <w:tab w:val="left" w:pos="1701"/>
          <w:tab w:val="left" w:pos="1985"/>
          <w:tab w:val="left" w:pos="2268"/>
        </w:tabs>
      </w:pPr>
      <w:r w:rsidRPr="000A2EE1">
        <w:t>1.2.1</w:t>
      </w:r>
      <w:r w:rsidRPr="000A2EE1">
        <w:tab/>
        <w:t xml:space="preserve">In the definition of </w:t>
      </w:r>
      <w:r w:rsidR="00791E53" w:rsidRPr="000A2EE1">
        <w:t>“</w:t>
      </w:r>
      <w:r w:rsidRPr="000A2EE1">
        <w:rPr>
          <w:rFonts w:eastAsia="MS Mincho"/>
          <w:lang w:eastAsia="ja-JP"/>
        </w:rPr>
        <w:t>Vacuum-operated waste tank</w:t>
      </w:r>
      <w:r w:rsidR="00791E53" w:rsidRPr="000A2EE1">
        <w:t>”</w:t>
      </w:r>
      <w:r w:rsidRPr="000A2EE1">
        <w:t xml:space="preserve">, replace </w:t>
      </w:r>
      <w:r w:rsidR="00791E53" w:rsidRPr="000A2EE1">
        <w:t>“</w:t>
      </w:r>
      <w:r w:rsidRPr="000A2EE1">
        <w:t>loading and unloading</w:t>
      </w:r>
      <w:r w:rsidR="00791E53" w:rsidRPr="000A2EE1">
        <w:t>”</w:t>
      </w:r>
      <w:r w:rsidRPr="000A2EE1">
        <w:t xml:space="preserve"> by </w:t>
      </w:r>
      <w:r w:rsidR="00791E53" w:rsidRPr="000A2EE1">
        <w:t>“</w:t>
      </w:r>
      <w:r w:rsidRPr="000A2EE1">
        <w:t>filling and discharging</w:t>
      </w:r>
      <w:r w:rsidR="00791E53" w:rsidRPr="000A2EE1">
        <w:t>”</w:t>
      </w:r>
      <w:r w:rsidRPr="000A2EE1">
        <w:t>.</w:t>
      </w:r>
    </w:p>
    <w:p w:rsidR="00E3232B" w:rsidRPr="000A2EE1" w:rsidRDefault="00E3232B" w:rsidP="00B95DFC">
      <w:pPr>
        <w:pStyle w:val="SingleTxtG"/>
        <w:tabs>
          <w:tab w:val="left" w:pos="1701"/>
        </w:tabs>
      </w:pPr>
      <w:bookmarkStart w:id="0" w:name="_GoBack"/>
      <w:r w:rsidRPr="000A2EE1">
        <w:t>1.2.1</w:t>
      </w:r>
      <w:r w:rsidRPr="000A2EE1">
        <w:tab/>
        <w:t>Add the following new definitions in alphabetical order:</w:t>
      </w:r>
      <w:r w:rsidR="00BD1C8E" w:rsidRPr="000A2EE1">
        <w:t xml:space="preserve"> </w:t>
      </w:r>
    </w:p>
    <w:bookmarkEnd w:id="0"/>
    <w:p w:rsidR="000A2EE1" w:rsidRPr="000A2EE1" w:rsidRDefault="000A2EE1" w:rsidP="000A2EE1">
      <w:pPr>
        <w:pStyle w:val="SingleTxtG"/>
        <w:rPr>
          <w:rFonts w:eastAsia="MS Mincho"/>
        </w:rPr>
      </w:pPr>
      <w:r w:rsidRPr="000A2EE1">
        <w:rPr>
          <w:i/>
        </w:rPr>
        <w:t>“</w:t>
      </w:r>
      <w:r w:rsidRPr="000A2EE1">
        <w:rPr>
          <w:rFonts w:eastAsia="MS Mincho"/>
          <w:i/>
        </w:rPr>
        <w:t>Loading</w:t>
      </w:r>
      <w:r w:rsidRPr="000A2EE1">
        <w:rPr>
          <w:i/>
        </w:rPr>
        <w:t>”</w:t>
      </w:r>
      <w:r w:rsidRPr="000A2EE1">
        <w:rPr>
          <w:rFonts w:eastAsia="MS Mincho"/>
          <w:i/>
        </w:rPr>
        <w:t xml:space="preserve"> </w:t>
      </w:r>
      <w:r w:rsidRPr="000A2EE1">
        <w:rPr>
          <w:rFonts w:eastAsia="MS Mincho"/>
        </w:rPr>
        <w:t>means all actions carried out by the loader, in accordance with the definition of loader;</w:t>
      </w:r>
    </w:p>
    <w:p w:rsidR="000A2EE1" w:rsidRPr="000A2EE1" w:rsidRDefault="000A2EE1" w:rsidP="000A2EE1">
      <w:pPr>
        <w:pStyle w:val="SingleTxtG"/>
      </w:pPr>
      <w:r w:rsidRPr="000A2EE1">
        <w:rPr>
          <w:i/>
        </w:rPr>
        <w:t>“</w:t>
      </w:r>
      <w:r w:rsidRPr="000A2EE1">
        <w:rPr>
          <w:i/>
          <w:iCs/>
        </w:rPr>
        <w:t>Flexible bulk container”</w:t>
      </w:r>
      <w:r w:rsidRPr="000A2EE1">
        <w:t xml:space="preserve">, see </w:t>
      </w:r>
      <w:r w:rsidRPr="000A2EE1">
        <w:rPr>
          <w:i/>
          <w:iCs/>
        </w:rPr>
        <w:t>“Bulk container”</w:t>
      </w:r>
      <w:r w:rsidRPr="000A2EE1">
        <w:t>;</w:t>
      </w:r>
    </w:p>
    <w:p w:rsidR="000A2EE1" w:rsidRPr="000A2EE1" w:rsidRDefault="000A2EE1" w:rsidP="000A2EE1">
      <w:pPr>
        <w:pStyle w:val="SingleTxtG"/>
      </w:pPr>
      <w:r w:rsidRPr="000A2EE1">
        <w:rPr>
          <w:rFonts w:eastAsia="MS Mincho"/>
          <w:i/>
        </w:rPr>
        <w:t xml:space="preserve">“Unloading” </w:t>
      </w:r>
      <w:r w:rsidRPr="000A2EE1">
        <w:rPr>
          <w:rFonts w:eastAsia="MS Mincho"/>
        </w:rPr>
        <w:t>means all actions carried out by the unloader, in accordance with the definition of unloader;</w:t>
      </w:r>
    </w:p>
    <w:p w:rsidR="000A2EE1" w:rsidRPr="000A2EE1" w:rsidRDefault="000A2EE1" w:rsidP="000A2EE1">
      <w:pPr>
        <w:pStyle w:val="SingleTxtG"/>
        <w:tabs>
          <w:tab w:val="left" w:pos="1985"/>
        </w:tabs>
      </w:pPr>
      <w:r w:rsidRPr="000A2EE1">
        <w:rPr>
          <w:i/>
        </w:rPr>
        <w:t>“Service life”</w:t>
      </w:r>
      <w:r w:rsidRPr="000A2EE1">
        <w:t>, for composite cylinders and tubes, means the number of years the cylinder or tube is permitted to be in service;</w:t>
      </w:r>
    </w:p>
    <w:p w:rsidR="000A2EE1" w:rsidRPr="000A2EE1" w:rsidRDefault="000A2EE1" w:rsidP="000A2EE1">
      <w:pPr>
        <w:pStyle w:val="SingleTxtG"/>
        <w:tabs>
          <w:tab w:val="left" w:pos="1843"/>
          <w:tab w:val="left" w:pos="1985"/>
          <w:tab w:val="left" w:pos="2268"/>
        </w:tabs>
      </w:pPr>
      <w:r w:rsidRPr="000A2EE1">
        <w:rPr>
          <w:i/>
        </w:rPr>
        <w:t>“Design life”</w:t>
      </w:r>
      <w:r w:rsidRPr="000A2EE1">
        <w:t>, for composite cylinders and tubes, means the maximum life (in number of years) for which the cylinder or tube is designed and approved in accordance with the applicable standard;</w:t>
      </w:r>
    </w:p>
    <w:p w:rsidR="000A2EE1" w:rsidRPr="000A2EE1" w:rsidRDefault="000A2EE1" w:rsidP="000A2EE1">
      <w:pPr>
        <w:pStyle w:val="SingleTxtG"/>
      </w:pPr>
      <w:r w:rsidRPr="000A2EE1">
        <w:rPr>
          <w:i/>
        </w:rPr>
        <w:lastRenderedPageBreak/>
        <w:t>“Compressed Natural Gas (CNG)”</w:t>
      </w:r>
      <w:r w:rsidRPr="000A2EE1">
        <w:t xml:space="preserve"> means a compressed gas composed of natural gas with a high methane content assigned to UN No. 1971;</w:t>
      </w:r>
    </w:p>
    <w:p w:rsidR="000A2EE1" w:rsidRPr="000A2EE1" w:rsidRDefault="000A2EE1" w:rsidP="000A2EE1">
      <w:pPr>
        <w:pStyle w:val="SingleTxtG"/>
        <w:rPr>
          <w:snapToGrid w:val="0"/>
          <w:lang w:eastAsia="de-DE"/>
        </w:rPr>
      </w:pPr>
      <w:r w:rsidRPr="000A2EE1">
        <w:rPr>
          <w:i/>
          <w:snapToGrid w:val="0"/>
          <w:lang w:eastAsia="de-DE"/>
        </w:rPr>
        <w:t>“Liquefied Natural Gas (LNG)”</w:t>
      </w:r>
      <w:r w:rsidRPr="000A2EE1">
        <w:rPr>
          <w:snapToGrid w:val="0"/>
          <w:lang w:eastAsia="de-DE"/>
        </w:rPr>
        <w:t xml:space="preserve"> means a refrigerated liquefied gas composed of natural gas with a high methane content assigned to UN No. 1972;</w:t>
      </w:r>
    </w:p>
    <w:p w:rsidR="000A2EE1" w:rsidRPr="000A2EE1" w:rsidRDefault="000A2EE1" w:rsidP="000A2EE1">
      <w:pPr>
        <w:spacing w:after="120"/>
        <w:ind w:left="1134" w:right="1134"/>
        <w:jc w:val="both"/>
      </w:pPr>
      <w:r w:rsidRPr="000A2EE1">
        <w:rPr>
          <w:i/>
        </w:rPr>
        <w:t>“Self-accelerating polymerization temperature (SAPT)”</w:t>
      </w:r>
      <w:r w:rsidRPr="000A2EE1">
        <w:t xml:space="preserve"> means the lowest temperature at which polymerization may occur with a substance in the packaging, IBC or tank as offered for carriage. The SAPT shall be determined in accordance with the test procedures established for the self-accelerating decomposition temperature for self-reactive substances in accordance with Part II, section 28 of the Manual of Tests and Criteria;</w:t>
      </w:r>
    </w:p>
    <w:p w:rsidR="00E3232B" w:rsidRPr="000A2EE1" w:rsidRDefault="00E3232B" w:rsidP="000A2EE1">
      <w:pPr>
        <w:pStyle w:val="SingleTxtG"/>
      </w:pPr>
      <w:r w:rsidRPr="000A2EE1">
        <w:rPr>
          <w:i/>
        </w:rPr>
        <w:t>“Holding time</w:t>
      </w:r>
      <w:r w:rsidRPr="000A2EE1">
        <w:t>” means the time that will elapse from the establishment of the initial filling condition until the pressure has risen due to heat influx to the lowest set pressure of the pressure limiting devices (s) of tanks intended for the carriage of refrigerated liquefied gases</w:t>
      </w:r>
      <w:r w:rsidR="00BD1C8E" w:rsidRPr="000A2EE1">
        <w:t>;</w:t>
      </w:r>
    </w:p>
    <w:p w:rsidR="00E3232B" w:rsidRPr="000A2EE1" w:rsidRDefault="00E3232B" w:rsidP="00E3232B">
      <w:pPr>
        <w:pStyle w:val="SingleTxtG"/>
        <w:rPr>
          <w:i/>
        </w:rPr>
      </w:pPr>
      <w:r w:rsidRPr="000A2EE1">
        <w:rPr>
          <w:b/>
          <w:i/>
        </w:rPr>
        <w:t>NOTE:</w:t>
      </w:r>
      <w:r w:rsidRPr="000A2EE1">
        <w:rPr>
          <w:i/>
        </w:rPr>
        <w:t xml:space="preserve"> Fo</w:t>
      </w:r>
      <w:r w:rsidR="00BD1C8E" w:rsidRPr="000A2EE1">
        <w:rPr>
          <w:i/>
        </w:rPr>
        <w:t>r portable tanks, see 6.7.4.1.</w:t>
      </w:r>
    </w:p>
    <w:p w:rsidR="00E3232B" w:rsidRPr="000A2EE1" w:rsidRDefault="00791E53" w:rsidP="00E3232B">
      <w:pPr>
        <w:spacing w:after="120"/>
        <w:ind w:left="1134" w:right="1134"/>
        <w:jc w:val="both"/>
        <w:rPr>
          <w:i/>
        </w:rPr>
      </w:pPr>
      <w:r w:rsidRPr="000A2EE1">
        <w:rPr>
          <w:i/>
        </w:rPr>
        <w:t>“</w:t>
      </w:r>
      <w:r w:rsidR="00E3232B" w:rsidRPr="000A2EE1">
        <w:rPr>
          <w:i/>
        </w:rPr>
        <w:t>SAPT</w:t>
      </w:r>
      <w:r w:rsidRPr="000A2EE1">
        <w:rPr>
          <w:i/>
        </w:rPr>
        <w:t>”</w:t>
      </w:r>
      <w:r w:rsidR="00BD1C8E" w:rsidRPr="000A2EE1">
        <w:t>,</w:t>
      </w:r>
      <w:r w:rsidR="00E3232B" w:rsidRPr="000A2EE1">
        <w:rPr>
          <w:i/>
        </w:rPr>
        <w:t xml:space="preserve"> </w:t>
      </w:r>
      <w:r w:rsidR="00E3232B" w:rsidRPr="000A2EE1">
        <w:t>see</w:t>
      </w:r>
      <w:r w:rsidR="00E3232B" w:rsidRPr="000A2EE1">
        <w:rPr>
          <w:i/>
        </w:rPr>
        <w:t xml:space="preserve"> </w:t>
      </w:r>
      <w:r w:rsidRPr="000A2EE1">
        <w:rPr>
          <w:i/>
        </w:rPr>
        <w:t>“</w:t>
      </w:r>
      <w:r w:rsidR="00E3232B" w:rsidRPr="000A2EE1">
        <w:rPr>
          <w:i/>
        </w:rPr>
        <w:t>Self-accelerating polymerization temperature</w:t>
      </w:r>
      <w:r w:rsidRPr="000A2EE1">
        <w:rPr>
          <w:i/>
        </w:rPr>
        <w:t>”</w:t>
      </w:r>
      <w:r w:rsidR="00E3232B" w:rsidRPr="000A2EE1">
        <w:t>;</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1.4</w:t>
      </w:r>
    </w:p>
    <w:p w:rsidR="00E3232B" w:rsidRPr="000A2EE1" w:rsidRDefault="00E3232B" w:rsidP="00B75110">
      <w:pPr>
        <w:pStyle w:val="SingleTxtG"/>
        <w:tabs>
          <w:tab w:val="left" w:pos="1701"/>
          <w:tab w:val="left" w:pos="1985"/>
          <w:tab w:val="left" w:pos="2268"/>
        </w:tabs>
      </w:pPr>
      <w:r w:rsidRPr="000A2EE1">
        <w:t>1.4.2.1.1(c)</w:t>
      </w:r>
      <w:r w:rsidRPr="000A2EE1">
        <w:tab/>
        <w:t>Replace “markings” by “marks”.</w:t>
      </w:r>
    </w:p>
    <w:p w:rsidR="00E3232B" w:rsidRPr="000A2EE1" w:rsidRDefault="00E3232B" w:rsidP="00B75110">
      <w:pPr>
        <w:pStyle w:val="SingleTxtG"/>
        <w:tabs>
          <w:tab w:val="left" w:pos="1701"/>
          <w:tab w:val="left" w:pos="1985"/>
          <w:tab w:val="left" w:pos="2268"/>
        </w:tabs>
      </w:pPr>
      <w:r w:rsidRPr="000A2EE1">
        <w:t>1.4.2.1.1 (e)</w:t>
      </w:r>
      <w:r w:rsidRPr="000A2EE1">
        <w:tab/>
        <w:t>Amend the text after “empty uncleaned vehicles” to read as follows: “and bulk containers are placarded,</w:t>
      </w:r>
      <w:r w:rsidRPr="000A2EE1">
        <w:rPr>
          <w:u w:val="single"/>
        </w:rPr>
        <w:t xml:space="preserve"> </w:t>
      </w:r>
      <w:r w:rsidRPr="000A2EE1">
        <w:t>marked and labelled in accordance with Chapter 5.3 and that empty uncleaned tanks are closed and present the same degree of leakproofness as if they were full.”.</w:t>
      </w:r>
    </w:p>
    <w:p w:rsidR="00E3232B" w:rsidRPr="000A2EE1" w:rsidRDefault="00E3232B" w:rsidP="00B75110">
      <w:pPr>
        <w:pStyle w:val="SingleTxtG"/>
        <w:tabs>
          <w:tab w:val="left" w:pos="1701"/>
          <w:tab w:val="left" w:pos="1985"/>
          <w:tab w:val="left" w:pos="2268"/>
        </w:tabs>
      </w:pPr>
      <w:r w:rsidRPr="000A2EE1">
        <w:t>1.4.2.2.1 (c)</w:t>
      </w:r>
      <w:r w:rsidRPr="000A2EE1">
        <w:tab/>
        <w:t>The amendment does not apply to the English text.</w:t>
      </w:r>
    </w:p>
    <w:p w:rsidR="00E3232B" w:rsidRPr="000A2EE1" w:rsidRDefault="00E3232B" w:rsidP="00B75110">
      <w:pPr>
        <w:pStyle w:val="SingleTxtG"/>
        <w:tabs>
          <w:tab w:val="left" w:pos="1701"/>
          <w:tab w:val="left" w:pos="1985"/>
          <w:tab w:val="left" w:pos="2268"/>
        </w:tabs>
      </w:pPr>
      <w:r w:rsidRPr="000A2EE1">
        <w:t>1.4.2.2.1 (f)</w:t>
      </w:r>
      <w:r w:rsidRPr="000A2EE1">
        <w:tab/>
        <w:t>Amend the text after “the placards,” to read as follows: “marks and orange-coloured plates prescribed for the vehicles in Chapter 5.3 have been affixed.”.</w:t>
      </w:r>
    </w:p>
    <w:p w:rsidR="00E3232B" w:rsidRPr="000A2EE1" w:rsidRDefault="00E3232B" w:rsidP="00B75110">
      <w:pPr>
        <w:pStyle w:val="SingleTxtG"/>
        <w:tabs>
          <w:tab w:val="left" w:pos="1701"/>
          <w:tab w:val="left" w:pos="1985"/>
          <w:tab w:val="left" w:pos="2268"/>
        </w:tabs>
      </w:pPr>
      <w:r w:rsidRPr="000A2EE1">
        <w:t>1.4.2.2.1 (g)</w:t>
      </w:r>
      <w:r w:rsidRPr="000A2EE1">
        <w:tab/>
        <w:t>Amend to read as follows:</w:t>
      </w:r>
    </w:p>
    <w:p w:rsidR="00E3232B" w:rsidRPr="000A2EE1" w:rsidRDefault="00E3232B" w:rsidP="00B75110">
      <w:pPr>
        <w:pStyle w:val="SingleTxtG"/>
        <w:tabs>
          <w:tab w:val="left" w:pos="1701"/>
          <w:tab w:val="left" w:pos="1985"/>
          <w:tab w:val="left" w:pos="2268"/>
        </w:tabs>
      </w:pPr>
      <w:r w:rsidRPr="000A2EE1">
        <w:t>“(g)</w:t>
      </w:r>
      <w:r w:rsidRPr="000A2EE1">
        <w:tab/>
        <w:t>ascertain that the equipment prescribed in ADR for the vehicle, vehicle crew and certain classes is on board the vehicle.”</w:t>
      </w:r>
    </w:p>
    <w:p w:rsidR="00E3232B" w:rsidRPr="000A2EE1" w:rsidRDefault="00BD1C8E" w:rsidP="00B75110">
      <w:pPr>
        <w:pStyle w:val="SingleTxtG"/>
        <w:tabs>
          <w:tab w:val="left" w:pos="1701"/>
          <w:tab w:val="left" w:pos="1985"/>
          <w:tab w:val="left" w:pos="2268"/>
        </w:tabs>
      </w:pPr>
      <w:r w:rsidRPr="000A2EE1">
        <w:t>1.4.2.2.6</w:t>
      </w:r>
      <w:r w:rsidRPr="000A2EE1">
        <w:tab/>
      </w:r>
      <w:r w:rsidR="00E3232B" w:rsidRPr="000A2EE1">
        <w:t>Insert a new paragraph to read as follows:</w:t>
      </w:r>
    </w:p>
    <w:p w:rsidR="00E3232B" w:rsidRPr="000A2EE1" w:rsidRDefault="00E3232B" w:rsidP="00B75110">
      <w:pPr>
        <w:pStyle w:val="SingleTxtG"/>
        <w:tabs>
          <w:tab w:val="left" w:pos="1701"/>
          <w:tab w:val="left" w:pos="1985"/>
          <w:tab w:val="left" w:pos="2268"/>
        </w:tabs>
      </w:pPr>
      <w:r w:rsidRPr="000A2EE1">
        <w:t>“1.4.2.2.6</w:t>
      </w:r>
      <w:r w:rsidRPr="000A2EE1">
        <w:tab/>
        <w:t>The carrier shall provide the vehicle crew with the instructions in writing as prescribed in ADR.”.</w:t>
      </w:r>
    </w:p>
    <w:p w:rsidR="00E3232B" w:rsidRPr="000A2EE1" w:rsidRDefault="00E3232B" w:rsidP="00B75110">
      <w:pPr>
        <w:pStyle w:val="SingleTxtG"/>
        <w:tabs>
          <w:tab w:val="left" w:pos="1701"/>
          <w:tab w:val="left" w:pos="1985"/>
          <w:tab w:val="left" w:pos="2268"/>
        </w:tabs>
      </w:pPr>
      <w:r w:rsidRPr="000A2EE1">
        <w:t>1.4.3.1.1 (c)</w:t>
      </w:r>
      <w:r w:rsidRPr="000A2EE1">
        <w:tab/>
        <w:t xml:space="preserve">Delete </w:t>
      </w:r>
      <w:r w:rsidR="00791E53" w:rsidRPr="000A2EE1">
        <w:t>“</w:t>
      </w:r>
      <w:r w:rsidRPr="000A2EE1">
        <w:t>, when loading dangerous goods in</w:t>
      </w:r>
      <w:r w:rsidRPr="000A2EE1">
        <w:rPr>
          <w:b/>
        </w:rPr>
        <w:t xml:space="preserve"> </w:t>
      </w:r>
      <w:r w:rsidRPr="000A2EE1">
        <w:t>a vehicle or a large or small container,</w:t>
      </w:r>
      <w:r w:rsidR="00791E53" w:rsidRPr="000A2EE1">
        <w:t>”</w:t>
      </w:r>
      <w:r w:rsidRPr="000A2EE1">
        <w:t>.</w:t>
      </w:r>
    </w:p>
    <w:p w:rsidR="00E3232B" w:rsidRPr="000A2EE1" w:rsidRDefault="00E3232B" w:rsidP="00B75110">
      <w:pPr>
        <w:pStyle w:val="SingleTxtG"/>
        <w:tabs>
          <w:tab w:val="left" w:pos="1701"/>
          <w:tab w:val="left" w:pos="1985"/>
          <w:tab w:val="left" w:pos="2268"/>
        </w:tabs>
      </w:pPr>
      <w:r w:rsidRPr="000A2EE1">
        <w:t>1.4.3.1.1 (d)</w:t>
      </w:r>
      <w:r w:rsidRPr="000A2EE1">
        <w:tab/>
        <w:t>Amend the text after “requirements concerning” to read as follows: “placarding, marking and orange-coloured plates conforming to Chapter 5.3.”.</w:t>
      </w:r>
    </w:p>
    <w:p w:rsidR="00E3232B" w:rsidRPr="000A2EE1" w:rsidRDefault="00E3232B" w:rsidP="00B75110">
      <w:pPr>
        <w:pStyle w:val="SingleTxtG"/>
        <w:tabs>
          <w:tab w:val="left" w:pos="1701"/>
          <w:tab w:val="left" w:pos="1985"/>
          <w:tab w:val="left" w:pos="2268"/>
        </w:tabs>
      </w:pPr>
      <w:r w:rsidRPr="000A2EE1">
        <w:t>1.4.3.3 (h)</w:t>
      </w:r>
      <w:r w:rsidRPr="000A2EE1">
        <w:tab/>
      </w:r>
      <w:r w:rsidR="00B75110" w:rsidRPr="000A2EE1">
        <w:tab/>
      </w:r>
      <w:r w:rsidRPr="000A2EE1">
        <w:t xml:space="preserve">Amend to read as follows: </w:t>
      </w:r>
    </w:p>
    <w:p w:rsidR="00E3232B" w:rsidRPr="000A2EE1" w:rsidRDefault="00E3232B" w:rsidP="00B75110">
      <w:pPr>
        <w:pStyle w:val="SingleTxtG"/>
        <w:tabs>
          <w:tab w:val="left" w:pos="1701"/>
          <w:tab w:val="left" w:pos="1985"/>
          <w:tab w:val="left" w:pos="2268"/>
        </w:tabs>
      </w:pPr>
      <w:r w:rsidRPr="000A2EE1">
        <w:t>“(h)</w:t>
      </w:r>
      <w:r w:rsidRPr="000A2EE1">
        <w:tab/>
        <w:t>he shall, in preparing the dangerous goods for carriage, ensure that the placards, marks, orange-coloured plates and labels are affixed on the tanks, on the vehicles and on the containers for carriage in bulk in accordance with Chapter 5.3</w:t>
      </w:r>
      <w:r w:rsidR="00605E2A" w:rsidRPr="000A2EE1">
        <w:t>;”.</w:t>
      </w:r>
    </w:p>
    <w:p w:rsidR="00E3232B" w:rsidRPr="000A2EE1" w:rsidRDefault="00E3232B" w:rsidP="00B75110">
      <w:pPr>
        <w:pStyle w:val="SingleTxtG"/>
        <w:tabs>
          <w:tab w:val="left" w:pos="1701"/>
          <w:tab w:val="left" w:pos="1985"/>
          <w:tab w:val="left" w:pos="2268"/>
        </w:tabs>
      </w:pPr>
      <w:r w:rsidRPr="000A2EE1">
        <w:t>1.4.3.7</w:t>
      </w:r>
      <w:r w:rsidRPr="000A2EE1">
        <w:tab/>
      </w:r>
      <w:r w:rsidRPr="000A2EE1">
        <w:tab/>
        <w:t>Delete the Note after the heading.</w:t>
      </w:r>
    </w:p>
    <w:p w:rsidR="00E3232B" w:rsidRPr="000A2EE1" w:rsidRDefault="00E3232B" w:rsidP="00B75110">
      <w:pPr>
        <w:pStyle w:val="SingleTxtG"/>
        <w:tabs>
          <w:tab w:val="left" w:pos="1701"/>
          <w:tab w:val="left" w:pos="1985"/>
          <w:tab w:val="left" w:pos="2268"/>
        </w:tabs>
      </w:pPr>
      <w:r w:rsidRPr="000A2EE1">
        <w:t>1.4.3.7.1 (c)</w:t>
      </w:r>
      <w:r w:rsidRPr="000A2EE1">
        <w:tab/>
        <w:t xml:space="preserve">At the end, add </w:t>
      </w:r>
      <w:r w:rsidR="00791E53" w:rsidRPr="000A2EE1">
        <w:t>“</w:t>
      </w:r>
      <w:r w:rsidRPr="000A2EE1">
        <w:t>and handling</w:t>
      </w:r>
      <w:r w:rsidR="00791E53" w:rsidRPr="000A2EE1">
        <w:t>”.</w:t>
      </w:r>
    </w:p>
    <w:p w:rsidR="00E3232B" w:rsidRPr="000A2EE1" w:rsidRDefault="00E3232B" w:rsidP="00B75110">
      <w:pPr>
        <w:pStyle w:val="SingleTxtG"/>
        <w:tabs>
          <w:tab w:val="left" w:pos="1701"/>
          <w:tab w:val="left" w:pos="1985"/>
          <w:tab w:val="left" w:pos="2268"/>
        </w:tabs>
      </w:pPr>
      <w:r w:rsidRPr="000A2EE1">
        <w:lastRenderedPageBreak/>
        <w:t>1.4.3.7.1 (f)</w:t>
      </w:r>
      <w:r w:rsidRPr="000A2EE1">
        <w:tab/>
        <w:t>Amend the end to read as follows: “…no longer display the placards, marks and orange-coloured plates that had been displayed in accordance with Chapter 5.3.”.</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1.6</w:t>
      </w:r>
    </w:p>
    <w:p w:rsidR="00E3232B" w:rsidRPr="000A2EE1" w:rsidRDefault="00E3232B" w:rsidP="00B75110">
      <w:pPr>
        <w:pStyle w:val="SingleTxtG"/>
        <w:tabs>
          <w:tab w:val="left" w:pos="1985"/>
          <w:tab w:val="left" w:pos="2268"/>
        </w:tabs>
      </w:pPr>
      <w:r w:rsidRPr="000A2EE1">
        <w:t>1.6.1.1</w:t>
      </w:r>
      <w:r w:rsidRPr="000A2EE1">
        <w:tab/>
      </w:r>
      <w:r w:rsidR="00605E2A" w:rsidRPr="000A2EE1">
        <w:t xml:space="preserve">Replace </w:t>
      </w:r>
      <w:r w:rsidR="00791E53" w:rsidRPr="000A2EE1">
        <w:t>“</w:t>
      </w:r>
      <w:r w:rsidRPr="000A2EE1">
        <w:t>30 June 2015</w:t>
      </w:r>
      <w:r w:rsidR="00791E53" w:rsidRPr="000A2EE1">
        <w:t>”</w:t>
      </w:r>
      <w:r w:rsidRPr="000A2EE1">
        <w:t xml:space="preserve"> </w:t>
      </w:r>
      <w:r w:rsidR="00605E2A" w:rsidRPr="000A2EE1">
        <w:t>by</w:t>
      </w:r>
      <w:r w:rsidRPr="000A2EE1">
        <w:t xml:space="preserve"> </w:t>
      </w:r>
      <w:r w:rsidR="00791E53" w:rsidRPr="000A2EE1">
        <w:t>“</w:t>
      </w:r>
      <w:r w:rsidRPr="000A2EE1">
        <w:t>30 June 2017</w:t>
      </w:r>
      <w:r w:rsidR="00791E53" w:rsidRPr="000A2EE1">
        <w:t>”</w:t>
      </w:r>
      <w:r w:rsidRPr="000A2EE1">
        <w:t>.</w:t>
      </w:r>
      <w:r w:rsidR="00605E2A" w:rsidRPr="000A2EE1">
        <w:t xml:space="preserve"> Replace </w:t>
      </w:r>
      <w:r w:rsidR="00791E53" w:rsidRPr="000A2EE1">
        <w:t>“</w:t>
      </w:r>
      <w:r w:rsidRPr="000A2EE1">
        <w:t>31 December 2014</w:t>
      </w:r>
      <w:r w:rsidR="00791E53" w:rsidRPr="000A2EE1">
        <w:t>”</w:t>
      </w:r>
      <w:r w:rsidRPr="000A2EE1">
        <w:t xml:space="preserve"> </w:t>
      </w:r>
      <w:r w:rsidR="00605E2A" w:rsidRPr="000A2EE1">
        <w:t>by</w:t>
      </w:r>
      <w:r w:rsidRPr="000A2EE1">
        <w:t xml:space="preserve"> </w:t>
      </w:r>
      <w:r w:rsidR="00791E53" w:rsidRPr="000A2EE1">
        <w:t>“</w:t>
      </w:r>
      <w:r w:rsidRPr="000A2EE1">
        <w:t>31 December 2016</w:t>
      </w:r>
      <w:r w:rsidR="00791E53" w:rsidRPr="000A2EE1">
        <w:t>”</w:t>
      </w:r>
      <w:r w:rsidRPr="000A2EE1">
        <w:t>.</w:t>
      </w:r>
    </w:p>
    <w:p w:rsidR="00E3232B" w:rsidRPr="000A2EE1" w:rsidRDefault="00E3232B" w:rsidP="00B75110">
      <w:pPr>
        <w:pStyle w:val="SingleTxtG"/>
        <w:tabs>
          <w:tab w:val="left" w:pos="1985"/>
          <w:tab w:val="left" w:pos="2268"/>
        </w:tabs>
      </w:pPr>
      <w:r w:rsidRPr="000A2EE1">
        <w:t>1.6.1.15</w:t>
      </w:r>
      <w:r w:rsidRPr="000A2EE1">
        <w:tab/>
        <w:t>Not applicable to the English text.</w:t>
      </w:r>
    </w:p>
    <w:p w:rsidR="00E3232B" w:rsidRPr="000A2EE1" w:rsidRDefault="00E3232B" w:rsidP="00B75110">
      <w:pPr>
        <w:pStyle w:val="SingleTxtG"/>
        <w:tabs>
          <w:tab w:val="left" w:pos="1985"/>
          <w:tab w:val="left" w:pos="2268"/>
          <w:tab w:val="left" w:pos="5245"/>
        </w:tabs>
      </w:pPr>
      <w:r w:rsidRPr="000A2EE1">
        <w:t>1.6.1.20, 1.6.1.28, 1.6.1.30, 1.6.1.31, 1.6.1.32</w:t>
      </w:r>
      <w:r w:rsidRPr="000A2EE1">
        <w:tab/>
        <w:t xml:space="preserve">Delete and insert </w:t>
      </w:r>
      <w:r w:rsidR="00791E53" w:rsidRPr="000A2EE1">
        <w:t>“</w:t>
      </w:r>
      <w:r w:rsidRPr="000A2EE1">
        <w:t>(Deleted)</w:t>
      </w:r>
      <w:r w:rsidR="00791E53" w:rsidRPr="000A2EE1">
        <w:t>”</w:t>
      </w:r>
      <w:r w:rsidRPr="000A2EE1">
        <w:t>.</w:t>
      </w:r>
    </w:p>
    <w:p w:rsidR="00E3232B" w:rsidRPr="000A2EE1" w:rsidRDefault="00E3232B" w:rsidP="00B75110">
      <w:pPr>
        <w:pStyle w:val="SingleTxtG"/>
        <w:tabs>
          <w:tab w:val="left" w:pos="1985"/>
          <w:tab w:val="left" w:pos="2268"/>
        </w:tabs>
      </w:pPr>
      <w:r w:rsidRPr="000A2EE1">
        <w:t>1.6.1.25</w:t>
      </w:r>
      <w:r w:rsidRPr="000A2EE1">
        <w:tab/>
        <w:t>Amend to read as follows:</w:t>
      </w:r>
    </w:p>
    <w:p w:rsidR="00E3232B" w:rsidRPr="000A2EE1" w:rsidRDefault="00E3232B" w:rsidP="00B75110">
      <w:pPr>
        <w:tabs>
          <w:tab w:val="left" w:pos="1985"/>
          <w:tab w:val="left" w:pos="2268"/>
        </w:tabs>
        <w:suppressAutoHyphens w:val="0"/>
        <w:autoSpaceDE w:val="0"/>
        <w:autoSpaceDN w:val="0"/>
        <w:adjustRightInd w:val="0"/>
        <w:spacing w:after="120" w:line="240" w:lineRule="auto"/>
        <w:ind w:left="1134" w:right="1134"/>
        <w:jc w:val="both"/>
      </w:pPr>
      <w:r w:rsidRPr="000A2EE1">
        <w:t>“1.6.1.25</w:t>
      </w:r>
      <w:r w:rsidRPr="000A2EE1">
        <w:tab/>
        <w:t xml:space="preserve">Cylinders of 60 litres water capacity or less marked with a UN number in accordance with the provisions of ADR applicable up to 31 December 2012 and which do not conform to the requirements of 5.2.1.1 regarding the size of the UN number and of the letters </w:t>
      </w:r>
      <w:r w:rsidR="00791E53" w:rsidRPr="000A2EE1">
        <w:t>“</w:t>
      </w:r>
      <w:r w:rsidRPr="000A2EE1">
        <w:t>UN</w:t>
      </w:r>
      <w:r w:rsidR="00791E53" w:rsidRPr="000A2EE1">
        <w:t>”</w:t>
      </w:r>
      <w:r w:rsidRPr="000A2EE1">
        <w:t xml:space="preserve"> applicable as from 1 January 2013 may continue to be used until the next periodic inspection but no later than 30 June 2018.”.</w:t>
      </w:r>
    </w:p>
    <w:p w:rsidR="00E3232B" w:rsidRPr="000A2EE1" w:rsidRDefault="00E3232B" w:rsidP="00B75110">
      <w:pPr>
        <w:pStyle w:val="SingleTxtG"/>
        <w:tabs>
          <w:tab w:val="left" w:pos="1985"/>
          <w:tab w:val="left" w:pos="2268"/>
        </w:tabs>
      </w:pPr>
      <w:r w:rsidRPr="000A2EE1">
        <w:t>1.6.1.26</w:t>
      </w:r>
      <w:r w:rsidRPr="000A2EE1">
        <w:tab/>
        <w:t>Not applicable to the English text.</w:t>
      </w:r>
    </w:p>
    <w:p w:rsidR="00E64412" w:rsidRPr="000A2EE1" w:rsidRDefault="00E91A3F" w:rsidP="00E07E91">
      <w:pPr>
        <w:tabs>
          <w:tab w:val="left" w:pos="1985"/>
        </w:tabs>
        <w:suppressAutoHyphens w:val="0"/>
        <w:autoSpaceDE w:val="0"/>
        <w:autoSpaceDN w:val="0"/>
        <w:adjustRightInd w:val="0"/>
        <w:spacing w:after="120" w:line="240" w:lineRule="auto"/>
        <w:ind w:left="1134" w:right="1134"/>
        <w:jc w:val="both"/>
      </w:pPr>
      <w:r w:rsidRPr="000A2EE1">
        <w:rPr>
          <w:rFonts w:ascii="TimesNewRomanPSMT" w:hAnsi="TimesNewRomanPSMT" w:cs="TimesNewRomanPSMT"/>
          <w:lang w:eastAsia="fr-FR"/>
        </w:rPr>
        <w:t>1.6.5.4</w:t>
      </w:r>
      <w:r w:rsidRPr="000A2EE1">
        <w:rPr>
          <w:rFonts w:ascii="TimesNewRomanPSMT" w:hAnsi="TimesNewRomanPSMT" w:cs="TimesNewRomanPSMT"/>
          <w:lang w:eastAsia="fr-FR"/>
        </w:rPr>
        <w:tab/>
        <w:t>Replace “December 2014” by “December 2016” and “March 2016” by “March 2018”.</w:t>
      </w:r>
    </w:p>
    <w:p w:rsidR="00E3232B" w:rsidRPr="000A2EE1" w:rsidRDefault="00E3232B" w:rsidP="00B75110">
      <w:pPr>
        <w:tabs>
          <w:tab w:val="left" w:pos="1985"/>
          <w:tab w:val="left" w:pos="2268"/>
        </w:tabs>
        <w:suppressAutoHyphens w:val="0"/>
        <w:autoSpaceDE w:val="0"/>
        <w:autoSpaceDN w:val="0"/>
        <w:adjustRightInd w:val="0"/>
        <w:spacing w:after="120" w:line="240" w:lineRule="auto"/>
        <w:ind w:left="1134" w:right="1134"/>
        <w:jc w:val="both"/>
      </w:pPr>
      <w:r w:rsidRPr="000A2EE1">
        <w:t>Add the following new transitional measures:</w:t>
      </w:r>
    </w:p>
    <w:p w:rsidR="00E3232B" w:rsidRPr="000A2EE1" w:rsidRDefault="00791E53" w:rsidP="00B75110">
      <w:pPr>
        <w:tabs>
          <w:tab w:val="left" w:pos="1134"/>
          <w:tab w:val="left" w:pos="1418"/>
          <w:tab w:val="left" w:pos="1985"/>
          <w:tab w:val="left" w:pos="2268"/>
        </w:tabs>
        <w:spacing w:before="120" w:after="120"/>
        <w:ind w:left="1134" w:right="1134"/>
        <w:jc w:val="both"/>
      </w:pPr>
      <w:r w:rsidRPr="000A2EE1">
        <w:t>“</w:t>
      </w:r>
      <w:r w:rsidR="00E3232B" w:rsidRPr="000A2EE1">
        <w:t>1.6.1.37</w:t>
      </w:r>
      <w:r w:rsidR="00E3232B" w:rsidRPr="000A2EE1">
        <w:tab/>
        <w:t>Contracting Parties may continue to issue training certificates for dangerous goods safety advisers conforming to the model applicable until 31 December 2016, instead of those conforming to the requirements of 1.8.3.18 applicable from 1 January 2017, until 31 December 2018. Such certificates may continue in use to the end of their five year validity.</w:t>
      </w:r>
      <w:r w:rsidRPr="000A2EE1">
        <w:t>”</w:t>
      </w:r>
      <w:r w:rsidR="00E3232B" w:rsidRPr="000A2EE1">
        <w:t>.</w:t>
      </w:r>
    </w:p>
    <w:p w:rsidR="00E3232B" w:rsidRPr="000A2EE1" w:rsidRDefault="00E3232B" w:rsidP="00B75110">
      <w:pPr>
        <w:pStyle w:val="SingleTxtG"/>
        <w:tabs>
          <w:tab w:val="left" w:pos="1985"/>
          <w:tab w:val="left" w:pos="2268"/>
        </w:tabs>
      </w:pPr>
      <w:r w:rsidRPr="000A2EE1">
        <w:t>“1.6.1.38</w:t>
      </w:r>
      <w:r w:rsidRPr="000A2EE1">
        <w:rPr>
          <w:b/>
        </w:rPr>
        <w:tab/>
      </w:r>
      <w:r w:rsidRPr="000A2EE1">
        <w:t>Notwithstanding the requirements of special provision 188 of Chapter 3.3 applicable as from 1 January 2017, packages containing lithium cells or batteries may continue to be marked until 31 December 2018 in accordance with the requirements of special provision 188 of Chapter 3.3 in force up to 31 December 2016.”.</w:t>
      </w:r>
    </w:p>
    <w:p w:rsidR="00E3232B" w:rsidRPr="000A2EE1" w:rsidRDefault="00E3232B" w:rsidP="00B75110">
      <w:pPr>
        <w:pStyle w:val="SingleTxtG"/>
        <w:tabs>
          <w:tab w:val="left" w:pos="1985"/>
          <w:tab w:val="left" w:pos="2268"/>
        </w:tabs>
      </w:pPr>
      <w:r w:rsidRPr="000A2EE1">
        <w:t>“1.6.1.39</w:t>
      </w:r>
      <w:r w:rsidRPr="000A2EE1">
        <w:tab/>
        <w:t xml:space="preserve">Notwithstanding the requirements of ADR applicable as from </w:t>
      </w:r>
      <w:r w:rsidRPr="000A2EE1">
        <w:rPr>
          <w:rFonts w:ascii="TimesNewRomanPSMT" w:hAnsi="TimesNewRomanPSMT" w:cs="TimesNewRomanPSMT"/>
          <w:lang w:eastAsia="fr-FR"/>
        </w:rPr>
        <w:t xml:space="preserve">1 January 2017, </w:t>
      </w:r>
      <w:r w:rsidRPr="000A2EE1">
        <w:t>articles of UN Nos. 0015, 0016 and 0303 containing smoke-producing substance(s) toxic by inhalation according to the criteria for Class 6.1 manufactured before 31 December 2016 may be carried until 31 December 2018 without a “TOXIC” subsidiary risk label (model No. 6.1, see 5.2.2.2.2).”.</w:t>
      </w:r>
    </w:p>
    <w:p w:rsidR="00E3232B" w:rsidRPr="000A2EE1" w:rsidRDefault="00E3232B" w:rsidP="00B75110">
      <w:pPr>
        <w:pStyle w:val="SingleTxtG"/>
        <w:tabs>
          <w:tab w:val="left" w:pos="1985"/>
          <w:tab w:val="left" w:pos="2268"/>
        </w:tabs>
      </w:pPr>
      <w:r w:rsidRPr="000A2EE1">
        <w:t>“1.6.1.40</w:t>
      </w:r>
      <w:r w:rsidRPr="000A2EE1">
        <w:tab/>
        <w:t>Notwithstanding the requirements of ADR applicable as from 1 January 2017, large packagings conforming to the packing group III performance level in accordance with special packing provision L2 of packing instruction LP02 of 4.1.4.3 applicable until 31 December 2016 may continue to be used until 31 December 2022 for UN No. 1950.”.</w:t>
      </w:r>
    </w:p>
    <w:p w:rsidR="00E3232B" w:rsidRPr="000A2EE1" w:rsidRDefault="00E3232B" w:rsidP="00B75110">
      <w:pPr>
        <w:pStyle w:val="SingleTxtG"/>
        <w:tabs>
          <w:tab w:val="left" w:pos="1985"/>
          <w:tab w:val="left" w:pos="2268"/>
        </w:tabs>
      </w:pPr>
      <w:r w:rsidRPr="000A2EE1">
        <w:t>“1.6.1.41</w:t>
      </w:r>
      <w:r w:rsidRPr="000A2EE1">
        <w:tab/>
        <w:t>Notwithstanding the requirements of column (5) of Table A of Chapter 3.2 applicable as from 1 January 2017 to UN Nos. 3090, 3091, 3480 and 3481, the Class 9 label (model No 9, see 5.2.2.2.2) may continue to be used for these UN numbers until 31 December 2018.”.</w:t>
      </w:r>
    </w:p>
    <w:p w:rsidR="00E3232B" w:rsidRPr="000A2EE1" w:rsidRDefault="00E3232B" w:rsidP="00B75110">
      <w:pPr>
        <w:pStyle w:val="SingleTxtG"/>
        <w:tabs>
          <w:tab w:val="left" w:pos="1985"/>
          <w:tab w:val="left" w:pos="2268"/>
        </w:tabs>
      </w:pPr>
      <w:r w:rsidRPr="000A2EE1">
        <w:t>1.6.2.3</w:t>
      </w:r>
      <w:r w:rsidRPr="000A2EE1">
        <w:tab/>
        <w:t>Replace “the markings conforming” by “the marks conforming”.</w:t>
      </w:r>
    </w:p>
    <w:p w:rsidR="00E3232B" w:rsidRPr="000A2EE1" w:rsidRDefault="00E3232B" w:rsidP="00B75110">
      <w:pPr>
        <w:pStyle w:val="SingleTxtG"/>
        <w:tabs>
          <w:tab w:val="left" w:pos="1985"/>
          <w:tab w:val="left" w:pos="2268"/>
        </w:tabs>
      </w:pPr>
      <w:r w:rsidRPr="000A2EE1">
        <w:t>1.6.3.40, 1.6.4.19, 1.6.4.36</w:t>
      </w:r>
      <w:r w:rsidRPr="000A2EE1">
        <w:tab/>
        <w:t>, 1.6.4.41</w:t>
      </w:r>
      <w:r w:rsidRPr="000A2EE1">
        <w:tab/>
        <w:t xml:space="preserve">Delete and insert </w:t>
      </w:r>
      <w:r w:rsidR="00791E53" w:rsidRPr="000A2EE1">
        <w:t>“</w:t>
      </w:r>
      <w:r w:rsidRPr="000A2EE1">
        <w:t>(Deleted)</w:t>
      </w:r>
      <w:r w:rsidR="00791E53" w:rsidRPr="000A2EE1">
        <w:t>”</w:t>
      </w:r>
      <w:r w:rsidRPr="000A2EE1">
        <w:t>.</w:t>
      </w:r>
    </w:p>
    <w:p w:rsidR="00E3232B" w:rsidRPr="000A2EE1" w:rsidRDefault="00E3232B" w:rsidP="00B75110">
      <w:pPr>
        <w:pStyle w:val="SingleTxtG"/>
        <w:tabs>
          <w:tab w:val="left" w:pos="1985"/>
          <w:tab w:val="left" w:pos="2268"/>
        </w:tabs>
      </w:pPr>
      <w:r w:rsidRPr="000A2EE1">
        <w:t>1.6.4.37</w:t>
      </w:r>
      <w:r w:rsidRPr="000A2EE1">
        <w:tab/>
        <w:t>Delete the second sentence.</w:t>
      </w:r>
    </w:p>
    <w:p w:rsidR="00E3232B" w:rsidRPr="000A2EE1" w:rsidRDefault="00E3232B" w:rsidP="00B75110">
      <w:pPr>
        <w:tabs>
          <w:tab w:val="left" w:pos="1985"/>
          <w:tab w:val="left" w:pos="2268"/>
        </w:tabs>
        <w:suppressAutoHyphens w:val="0"/>
        <w:autoSpaceDE w:val="0"/>
        <w:autoSpaceDN w:val="0"/>
        <w:adjustRightInd w:val="0"/>
        <w:spacing w:after="120" w:line="240" w:lineRule="auto"/>
        <w:ind w:left="1134" w:right="1134"/>
        <w:jc w:val="both"/>
      </w:pPr>
      <w:r w:rsidRPr="000A2EE1">
        <w:t>Add the following new transitional measures:</w:t>
      </w:r>
    </w:p>
    <w:p w:rsidR="00E3232B" w:rsidRPr="000A2EE1" w:rsidRDefault="00E3232B" w:rsidP="00B75110">
      <w:pPr>
        <w:pStyle w:val="SingleTxtG"/>
        <w:tabs>
          <w:tab w:val="left" w:pos="1985"/>
          <w:tab w:val="left" w:pos="2268"/>
        </w:tabs>
      </w:pPr>
      <w:r w:rsidRPr="000A2EE1">
        <w:lastRenderedPageBreak/>
        <w:t>“</w:t>
      </w:r>
      <w:r w:rsidRPr="000A2EE1">
        <w:rPr>
          <w:iCs/>
          <w:lang w:eastAsia="en-GB"/>
        </w:rPr>
        <w:t>1.6.4.47</w:t>
      </w:r>
      <w:r w:rsidRPr="000A2EE1">
        <w:rPr>
          <w:iCs/>
          <w:lang w:eastAsia="en-GB"/>
        </w:rPr>
        <w:tab/>
        <w:t>Tank containers for refrigerated liquefied gases constructed before 1 July 2017 in accordance with the requirements in force up to 31 December 2016 but which do not conform to the requirements of 6.8.3.4.10, 6.8.3.4.11 and 6.8.3.5.4 applicable from 1 January 2017 may continue to be used until the next inspection after 1 July 2017. Until this time, to meet the requirements of 4.3.3.5 and 5.4.1.2.2(d), the actual holding times may be estimated without recourse to the reference holding time.</w:t>
      </w:r>
      <w:r w:rsidRPr="000A2EE1">
        <w:t>”</w:t>
      </w:r>
    </w:p>
    <w:p w:rsidR="00E3232B" w:rsidRPr="000A2EE1" w:rsidRDefault="00E3232B" w:rsidP="00B75110">
      <w:pPr>
        <w:pStyle w:val="SingleTxtG"/>
        <w:tabs>
          <w:tab w:val="left" w:pos="1985"/>
          <w:tab w:val="left" w:pos="2268"/>
        </w:tabs>
      </w:pPr>
      <w:r w:rsidRPr="000A2EE1">
        <w:t>“1.6.5.16</w:t>
      </w:r>
      <w:r w:rsidRPr="000A2EE1">
        <w:tab/>
        <w:t>EX/II, EX/III, FL and OX vehicles registered before 1 July 2017, fitted with fuel tanks not approved according to ECE Regulation No. 34 may still be used.</w:t>
      </w:r>
      <w:r w:rsidR="00791E53" w:rsidRPr="000A2EE1">
        <w:t>”</w:t>
      </w:r>
      <w:r w:rsidRPr="000A2EE1">
        <w:t>.</w:t>
      </w:r>
    </w:p>
    <w:p w:rsidR="00E3232B" w:rsidRPr="000A2EE1" w:rsidRDefault="00E3232B" w:rsidP="00B75110">
      <w:pPr>
        <w:pStyle w:val="SingleTxtG"/>
        <w:tabs>
          <w:tab w:val="left" w:pos="1985"/>
          <w:tab w:val="left" w:pos="2268"/>
        </w:tabs>
      </w:pPr>
      <w:r w:rsidRPr="000A2EE1">
        <w:t>“1.6.5.17</w:t>
      </w:r>
      <w:r w:rsidRPr="000A2EE1">
        <w:tab/>
        <w:t xml:space="preserve">Vehicles first registered or entering into service before 1 April 2018 that do not comply with subsection 9.2.2.8.5 or standards ISO 6722-1:2011 + Cor 01:2012 or ISO 6722-2:2013 for cables of subsection 9.2.2.2.1, but comply with the requirements applicable until 31 December 2016, may continue to be used.”. </w:t>
      </w:r>
    </w:p>
    <w:p w:rsidR="00E3232B" w:rsidRPr="000A2EE1" w:rsidRDefault="00E3232B" w:rsidP="00B75110">
      <w:pPr>
        <w:pStyle w:val="SingleTxtG"/>
        <w:tabs>
          <w:tab w:val="left" w:pos="1985"/>
          <w:tab w:val="left" w:pos="2268"/>
        </w:tabs>
      </w:pPr>
      <w:r w:rsidRPr="000A2EE1">
        <w:t>“1.6.5.18</w:t>
      </w:r>
      <w:r w:rsidRPr="000A2EE1">
        <w:tab/>
        <w:t>Vehicles first registered or entering into service before 1 April 2018 approved specifically as OX vehicle may continue to be used for the carriage of substances of UN No. 2015.”.</w:t>
      </w:r>
    </w:p>
    <w:p w:rsidR="00E3232B" w:rsidRPr="000A2EE1" w:rsidRDefault="00E3232B" w:rsidP="00B75110">
      <w:pPr>
        <w:pStyle w:val="SingleTxtG"/>
        <w:tabs>
          <w:tab w:val="left" w:pos="1985"/>
          <w:tab w:val="left" w:pos="2268"/>
        </w:tabs>
      </w:pPr>
      <w:r w:rsidRPr="000A2EE1">
        <w:t>“1.6.5.19</w:t>
      </w:r>
      <w:r w:rsidRPr="000A2EE1">
        <w:tab/>
        <w:t>As regards the annual technical inspection of the vehicles first registered or entering into service before 1 April 2018 approved specifically as OX vehicle, the requirements of Part 9 in force up to 31December 2016 may still be applied.”.</w:t>
      </w:r>
    </w:p>
    <w:p w:rsidR="00E3232B" w:rsidRPr="000A2EE1" w:rsidRDefault="00E3232B" w:rsidP="00B75110">
      <w:pPr>
        <w:pStyle w:val="SingleTxtG"/>
        <w:tabs>
          <w:tab w:val="left" w:pos="1985"/>
          <w:tab w:val="left" w:pos="2268"/>
        </w:tabs>
      </w:pPr>
      <w:r w:rsidRPr="000A2EE1">
        <w:t>“1.6.5.20</w:t>
      </w:r>
      <w:r w:rsidRPr="000A2EE1">
        <w:tab/>
        <w:t xml:space="preserve"> Certificates of approval for OX vehicles which conform to the model shown in 9.1.3.5 applicable up to 31 December 2016 may continue to be used.”.</w:t>
      </w:r>
    </w:p>
    <w:p w:rsidR="00605E2A" w:rsidRPr="000A2EE1" w:rsidRDefault="00605E2A" w:rsidP="00605E2A">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r>
      <w:r w:rsidR="00DA0961" w:rsidRPr="000A2EE1">
        <w:rPr>
          <w:rFonts w:ascii="Times New Roman Bold" w:hAnsi="Times New Roman Bold"/>
        </w:rPr>
        <w:t>Chapter 1.7</w:t>
      </w:r>
    </w:p>
    <w:p w:rsidR="00DA0961" w:rsidRPr="000A2EE1" w:rsidRDefault="00DA0961" w:rsidP="00605E2A">
      <w:pPr>
        <w:pStyle w:val="SingleTxtG"/>
        <w:rPr>
          <w:rFonts w:ascii="Times New Roman Bold" w:hAnsi="Times New Roman Bold"/>
        </w:rPr>
      </w:pPr>
      <w:r w:rsidRPr="000A2EE1">
        <w:rPr>
          <w:rFonts w:ascii="TimesNewRomanPSMT" w:hAnsi="TimesNewRomanPSMT" w:cs="TimesNewRomanPSMT"/>
          <w:lang w:eastAsia="fr-FR"/>
        </w:rPr>
        <w:t>1.7.1.5.1 (a)</w:t>
      </w:r>
      <w:r w:rsidR="00605E2A" w:rsidRPr="000A2EE1">
        <w:rPr>
          <w:rFonts w:ascii="TimesNewRomanPSMT" w:hAnsi="TimesNewRomanPSMT" w:cs="TimesNewRomanPSMT"/>
          <w:lang w:eastAsia="fr-FR"/>
        </w:rPr>
        <w:tab/>
        <w:t>R</w:t>
      </w:r>
      <w:r w:rsidRPr="000A2EE1">
        <w:rPr>
          <w:rFonts w:ascii="TimesNewRomanPSMT" w:hAnsi="TimesNewRomanPSMT" w:cs="TimesNewRomanPSMT"/>
          <w:lang w:eastAsia="fr-FR"/>
        </w:rPr>
        <w:t>eplace “5.2.1.9” by “5.2.1.10”.</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1.8</w:t>
      </w:r>
    </w:p>
    <w:p w:rsidR="00E3232B" w:rsidRPr="000A2EE1" w:rsidRDefault="00E3232B" w:rsidP="00B75110">
      <w:pPr>
        <w:tabs>
          <w:tab w:val="left" w:pos="1701"/>
          <w:tab w:val="left" w:pos="1985"/>
          <w:tab w:val="left" w:pos="2268"/>
        </w:tabs>
        <w:spacing w:before="120" w:after="120"/>
        <w:ind w:left="1134" w:right="1134"/>
        <w:jc w:val="both"/>
      </w:pPr>
      <w:r w:rsidRPr="000A2EE1">
        <w:t>1.8.3.2</w:t>
      </w:r>
      <w:r w:rsidRPr="000A2EE1">
        <w:tab/>
      </w:r>
      <w:r w:rsidR="00B75110" w:rsidRPr="000A2EE1">
        <w:tab/>
      </w:r>
      <w:r w:rsidRPr="000A2EE1">
        <w:t xml:space="preserve">In paragraph (b), before </w:t>
      </w:r>
      <w:r w:rsidR="00791E53" w:rsidRPr="000A2EE1">
        <w:t>“</w:t>
      </w:r>
      <w:r w:rsidRPr="000A2EE1">
        <w:t>loading or unloading</w:t>
      </w:r>
      <w:r w:rsidR="00791E53" w:rsidRPr="000A2EE1">
        <w:t>”</w:t>
      </w:r>
      <w:r w:rsidRPr="000A2EE1">
        <w:t xml:space="preserve">, insert: </w:t>
      </w:r>
      <w:r w:rsidR="00791E53" w:rsidRPr="000A2EE1">
        <w:t>“</w:t>
      </w:r>
      <w:r w:rsidRPr="000A2EE1">
        <w:t>packing, filling,</w:t>
      </w:r>
      <w:r w:rsidR="00791E53" w:rsidRPr="000A2EE1">
        <w:t>”</w:t>
      </w:r>
      <w:r w:rsidRPr="000A2EE1">
        <w:t xml:space="preserve"> (twice).</w:t>
      </w:r>
    </w:p>
    <w:p w:rsidR="00E3232B" w:rsidRPr="000A2EE1" w:rsidRDefault="00E3232B" w:rsidP="00B75110">
      <w:pPr>
        <w:tabs>
          <w:tab w:val="left" w:pos="1701"/>
          <w:tab w:val="left" w:pos="1985"/>
          <w:tab w:val="left" w:pos="2268"/>
        </w:tabs>
        <w:spacing w:before="120" w:after="120"/>
        <w:ind w:left="1134" w:right="1134"/>
        <w:jc w:val="both"/>
      </w:pPr>
      <w:r w:rsidRPr="000A2EE1">
        <w:t>1.8.3.3</w:t>
      </w:r>
      <w:r w:rsidRPr="000A2EE1">
        <w:tab/>
      </w:r>
      <w:r w:rsidR="00B75110" w:rsidRPr="000A2EE1">
        <w:tab/>
      </w:r>
      <w:r w:rsidRPr="000A2EE1">
        <w:t xml:space="preserve">In the third, fifth, sixth and ninth indent of the third sub-paragraph, before </w:t>
      </w:r>
      <w:r w:rsidR="00791E53" w:rsidRPr="000A2EE1">
        <w:t>“</w:t>
      </w:r>
      <w:r w:rsidRPr="000A2EE1">
        <w:t>loading or unloading</w:t>
      </w:r>
      <w:r w:rsidR="00791E53" w:rsidRPr="000A2EE1">
        <w:t>”</w:t>
      </w:r>
      <w:r w:rsidRPr="000A2EE1">
        <w:t xml:space="preserve">, insert </w:t>
      </w:r>
      <w:r w:rsidR="00791E53" w:rsidRPr="000A2EE1">
        <w:t>“</w:t>
      </w:r>
      <w:r w:rsidRPr="000A2EE1">
        <w:t>packing, filling,</w:t>
      </w:r>
      <w:r w:rsidR="00791E53" w:rsidRPr="000A2EE1">
        <w:t>”</w:t>
      </w:r>
      <w:r w:rsidRPr="000A2EE1">
        <w:t xml:space="preserve"> (four times). In the tenth and twelfth indent, before </w:t>
      </w:r>
      <w:r w:rsidR="00791E53" w:rsidRPr="000A2EE1">
        <w:t>“</w:t>
      </w:r>
      <w:r w:rsidRPr="000A2EE1">
        <w:t>loading and unloading</w:t>
      </w:r>
      <w:r w:rsidR="00791E53" w:rsidRPr="000A2EE1">
        <w:t>”</w:t>
      </w:r>
      <w:r w:rsidRPr="000A2EE1">
        <w:t xml:space="preserve">, insert </w:t>
      </w:r>
      <w:r w:rsidR="00791E53" w:rsidRPr="000A2EE1">
        <w:t>“</w:t>
      </w:r>
      <w:r w:rsidRPr="000A2EE1">
        <w:t>packing, filling,</w:t>
      </w:r>
      <w:r w:rsidR="00791E53" w:rsidRPr="000A2EE1">
        <w:t>”</w:t>
      </w:r>
      <w:r w:rsidRPr="000A2EE1">
        <w:t xml:space="preserve"> (twice).</w:t>
      </w:r>
    </w:p>
    <w:p w:rsidR="00E3232B" w:rsidRPr="000A2EE1" w:rsidRDefault="00E3232B" w:rsidP="00B75110">
      <w:pPr>
        <w:tabs>
          <w:tab w:val="left" w:pos="1701"/>
          <w:tab w:val="left" w:pos="1985"/>
          <w:tab w:val="left" w:pos="2268"/>
        </w:tabs>
        <w:spacing w:before="120" w:after="120"/>
        <w:ind w:left="1134" w:right="1134"/>
        <w:jc w:val="both"/>
      </w:pPr>
      <w:r w:rsidRPr="000A2EE1">
        <w:t>1.8.3.6</w:t>
      </w:r>
      <w:r w:rsidRPr="000A2EE1">
        <w:tab/>
      </w:r>
      <w:r w:rsidR="00B75110" w:rsidRPr="000A2EE1">
        <w:tab/>
      </w:r>
      <w:r w:rsidRPr="000A2EE1">
        <w:t xml:space="preserve">Before </w:t>
      </w:r>
      <w:r w:rsidR="00791E53" w:rsidRPr="000A2EE1">
        <w:t>“</w:t>
      </w:r>
      <w:r w:rsidRPr="000A2EE1">
        <w:t>loading or unloading</w:t>
      </w:r>
      <w:r w:rsidR="00791E53" w:rsidRPr="000A2EE1">
        <w:t>”</w:t>
      </w:r>
      <w:r w:rsidRPr="000A2EE1">
        <w:t xml:space="preserve">, insert </w:t>
      </w:r>
      <w:r w:rsidR="00791E53" w:rsidRPr="000A2EE1">
        <w:t>“</w:t>
      </w:r>
      <w:r w:rsidRPr="000A2EE1">
        <w:t>packing, filling,</w:t>
      </w:r>
      <w:r w:rsidR="00791E53" w:rsidRPr="000A2EE1">
        <w:t>”</w:t>
      </w:r>
      <w:r w:rsidRPr="000A2EE1">
        <w:t>.</w:t>
      </w:r>
    </w:p>
    <w:p w:rsidR="00E3232B" w:rsidRPr="000A2EE1" w:rsidRDefault="00E3232B" w:rsidP="00B75110">
      <w:pPr>
        <w:tabs>
          <w:tab w:val="left" w:pos="1701"/>
          <w:tab w:val="left" w:pos="1985"/>
          <w:tab w:val="left" w:pos="2268"/>
        </w:tabs>
        <w:spacing w:before="120" w:after="120"/>
        <w:ind w:left="1134" w:right="1134"/>
        <w:jc w:val="both"/>
      </w:pPr>
      <w:r w:rsidRPr="000A2EE1">
        <w:t>1.8.3.9</w:t>
      </w:r>
      <w:r w:rsidRPr="000A2EE1">
        <w:tab/>
      </w:r>
      <w:r w:rsidRPr="000A2EE1">
        <w:tab/>
        <w:t xml:space="preserve">After </w:t>
      </w:r>
      <w:r w:rsidR="00791E53" w:rsidRPr="000A2EE1">
        <w:t>“</w:t>
      </w:r>
      <w:r w:rsidRPr="000A2EE1">
        <w:t>carriage</w:t>
      </w:r>
      <w:r w:rsidR="00791E53" w:rsidRPr="000A2EE1">
        <w:t>”</w:t>
      </w:r>
      <w:r w:rsidRPr="000A2EE1">
        <w:t xml:space="preserve">, insert </w:t>
      </w:r>
      <w:r w:rsidR="00791E53" w:rsidRPr="000A2EE1">
        <w:t>“</w:t>
      </w:r>
      <w:r w:rsidRPr="000A2EE1">
        <w:t>packing, filling, loading or unloading</w:t>
      </w:r>
      <w:r w:rsidR="00791E53" w:rsidRPr="000A2EE1">
        <w:t>”</w:t>
      </w:r>
      <w:r w:rsidRPr="000A2EE1">
        <w:t>.</w:t>
      </w:r>
    </w:p>
    <w:p w:rsidR="00E3232B" w:rsidRPr="000A2EE1" w:rsidRDefault="00E3232B" w:rsidP="00B75110">
      <w:pPr>
        <w:pStyle w:val="SingleTxtG"/>
        <w:tabs>
          <w:tab w:val="left" w:pos="1701"/>
          <w:tab w:val="left" w:pos="1985"/>
          <w:tab w:val="left" w:pos="2268"/>
        </w:tabs>
      </w:pPr>
      <w:r w:rsidRPr="000A2EE1">
        <w:t>1.8.3.10</w:t>
      </w:r>
      <w:r w:rsidRPr="000A2EE1">
        <w:tab/>
        <w:t xml:space="preserve">At the end of the second indent, add: </w:t>
      </w:r>
      <w:r w:rsidR="00791E53" w:rsidRPr="000A2EE1">
        <w:t>“</w:t>
      </w:r>
      <w:r w:rsidRPr="000A2EE1">
        <w:t>, including, if necessary, the infrastructure and organisation of electronic examinations in accordance with 1.8.3.12.5, if these are to be carried out;</w:t>
      </w:r>
      <w:r w:rsidR="00791E53" w:rsidRPr="000A2EE1">
        <w:t>”</w:t>
      </w:r>
      <w:r w:rsidRPr="000A2EE1">
        <w:t>.</w:t>
      </w:r>
    </w:p>
    <w:p w:rsidR="00E3232B" w:rsidRPr="000A2EE1" w:rsidRDefault="00E3232B" w:rsidP="00B75110">
      <w:pPr>
        <w:pStyle w:val="SingleTxtG"/>
        <w:tabs>
          <w:tab w:val="left" w:pos="1701"/>
          <w:tab w:val="left" w:pos="1985"/>
          <w:tab w:val="left" w:pos="2268"/>
        </w:tabs>
      </w:pPr>
      <w:r w:rsidRPr="000A2EE1">
        <w:t>1.8.3.11 (b)</w:t>
      </w:r>
      <w:r w:rsidRPr="000A2EE1">
        <w:tab/>
        <w:t xml:space="preserve">In the third indent, replace </w:t>
      </w:r>
      <w:r w:rsidR="00791E53" w:rsidRPr="000A2EE1">
        <w:t>“</w:t>
      </w:r>
      <w:r w:rsidRPr="000A2EE1">
        <w:t>orange plates marking</w:t>
      </w:r>
      <w:r w:rsidR="00791E53" w:rsidRPr="000A2EE1">
        <w:t>”</w:t>
      </w:r>
      <w:r w:rsidRPr="000A2EE1">
        <w:t xml:space="preserve"> by </w:t>
      </w:r>
      <w:r w:rsidR="00791E53" w:rsidRPr="000A2EE1">
        <w:t>“</w:t>
      </w:r>
      <w:r w:rsidRPr="000A2EE1">
        <w:t>orange-coloured plate marking</w:t>
      </w:r>
      <w:r w:rsidR="00791E53" w:rsidRPr="000A2EE1">
        <w:t>”</w:t>
      </w:r>
      <w:r w:rsidRPr="000A2EE1">
        <w:t xml:space="preserve"> and </w:t>
      </w:r>
      <w:r w:rsidR="00791E53" w:rsidRPr="000A2EE1">
        <w:t>“</w:t>
      </w:r>
      <w:r w:rsidRPr="000A2EE1">
        <w:t>orange plates</w:t>
      </w:r>
      <w:r w:rsidR="00791E53" w:rsidRPr="000A2EE1">
        <w:t>”</w:t>
      </w:r>
      <w:r w:rsidRPr="000A2EE1">
        <w:t xml:space="preserve"> by </w:t>
      </w:r>
      <w:r w:rsidR="00791E53" w:rsidRPr="000A2EE1">
        <w:t>“</w:t>
      </w:r>
      <w:r w:rsidRPr="000A2EE1">
        <w:t>orange-coloured plates</w:t>
      </w:r>
      <w:r w:rsidR="00791E53" w:rsidRPr="000A2EE1">
        <w:t>”</w:t>
      </w:r>
      <w:r w:rsidRPr="000A2EE1">
        <w:t>.</w:t>
      </w:r>
    </w:p>
    <w:p w:rsidR="00E3232B" w:rsidRPr="000A2EE1" w:rsidRDefault="00E3232B" w:rsidP="00B75110">
      <w:pPr>
        <w:tabs>
          <w:tab w:val="left" w:pos="1701"/>
          <w:tab w:val="left" w:pos="1985"/>
          <w:tab w:val="left" w:pos="2268"/>
        </w:tabs>
        <w:spacing w:before="120" w:after="120"/>
        <w:ind w:left="1134" w:right="1134"/>
        <w:jc w:val="both"/>
      </w:pPr>
      <w:r w:rsidRPr="000A2EE1">
        <w:t>1.8.3.11 (b)</w:t>
      </w:r>
      <w:r w:rsidRPr="000A2EE1">
        <w:tab/>
        <w:t xml:space="preserve">In the tenth indent, between the brackets, before </w:t>
      </w:r>
      <w:r w:rsidR="00791E53" w:rsidRPr="000A2EE1">
        <w:t>“</w:t>
      </w:r>
      <w:r w:rsidRPr="000A2EE1">
        <w:t>loading and unloading</w:t>
      </w:r>
      <w:r w:rsidR="00791E53" w:rsidRPr="000A2EE1">
        <w:t>”</w:t>
      </w:r>
      <w:r w:rsidRPr="000A2EE1">
        <w:t xml:space="preserve">, insert </w:t>
      </w:r>
      <w:r w:rsidR="00791E53" w:rsidRPr="000A2EE1">
        <w:t>“</w:t>
      </w:r>
      <w:r w:rsidRPr="000A2EE1">
        <w:t>packing, filling,</w:t>
      </w:r>
      <w:r w:rsidR="00791E53" w:rsidRPr="000A2EE1">
        <w:t>”</w:t>
      </w:r>
      <w:r w:rsidRPr="000A2EE1">
        <w:t xml:space="preserve">. In the eleventh indent, before </w:t>
      </w:r>
      <w:r w:rsidR="00791E53" w:rsidRPr="000A2EE1">
        <w:t>“</w:t>
      </w:r>
      <w:r w:rsidRPr="000A2EE1">
        <w:t>loading and after unloading</w:t>
      </w:r>
      <w:r w:rsidR="00791E53" w:rsidRPr="000A2EE1">
        <w:t>”</w:t>
      </w:r>
      <w:r w:rsidRPr="000A2EE1">
        <w:t xml:space="preserve">, insert: </w:t>
      </w:r>
      <w:r w:rsidR="00791E53" w:rsidRPr="000A2EE1">
        <w:t>“</w:t>
      </w:r>
      <w:r w:rsidRPr="000A2EE1">
        <w:t>packing, filling,</w:t>
      </w:r>
      <w:r w:rsidR="00791E53" w:rsidRPr="000A2EE1">
        <w:t>”</w:t>
      </w:r>
      <w:r w:rsidRPr="000A2EE1">
        <w:t>.</w:t>
      </w:r>
    </w:p>
    <w:p w:rsidR="00E3232B" w:rsidRPr="000A2EE1" w:rsidRDefault="00E3232B" w:rsidP="00B75110">
      <w:pPr>
        <w:pStyle w:val="SingleTxtG"/>
        <w:tabs>
          <w:tab w:val="left" w:pos="1701"/>
          <w:tab w:val="left" w:pos="1985"/>
          <w:tab w:val="left" w:pos="2268"/>
        </w:tabs>
      </w:pPr>
      <w:r w:rsidRPr="000A2EE1">
        <w:t>1.8.3.12.2</w:t>
      </w:r>
      <w:r w:rsidRPr="000A2EE1">
        <w:tab/>
        <w:t>Amend to read as follows:</w:t>
      </w:r>
    </w:p>
    <w:p w:rsidR="00E3232B" w:rsidRPr="000A2EE1" w:rsidRDefault="00791E53" w:rsidP="00B75110">
      <w:pPr>
        <w:pStyle w:val="SingleTxtG"/>
        <w:tabs>
          <w:tab w:val="left" w:pos="1701"/>
          <w:tab w:val="left" w:pos="1985"/>
          <w:tab w:val="left" w:pos="2268"/>
        </w:tabs>
      </w:pPr>
      <w:r w:rsidRPr="000A2EE1">
        <w:t>“</w:t>
      </w:r>
      <w:r w:rsidR="00E3232B" w:rsidRPr="000A2EE1">
        <w:t>1.8.3.12.2</w:t>
      </w:r>
      <w:r w:rsidR="00E3232B" w:rsidRPr="000A2EE1">
        <w:tab/>
        <w:t xml:space="preserve">The competent authority or an examining body designated by the competent authority shall invigilate every examination. Any manipulation and deception shall be ruled </w:t>
      </w:r>
      <w:r w:rsidR="00E3232B" w:rsidRPr="000A2EE1">
        <w:lastRenderedPageBreak/>
        <w:t>out as far as possible. Authentication of the candidate shall be ensured. The use in the written test of documentation other than international or national regulations is not permitted. All examination documents shall be recorded and kept as a print-out or electronically as a file.</w:t>
      </w:r>
      <w:r w:rsidRPr="000A2EE1">
        <w:t>”</w:t>
      </w:r>
      <w:r w:rsidR="00E3232B" w:rsidRPr="000A2EE1">
        <w:t>.</w:t>
      </w:r>
    </w:p>
    <w:p w:rsidR="00E3232B" w:rsidRPr="000A2EE1" w:rsidRDefault="00E3232B" w:rsidP="00B75110">
      <w:pPr>
        <w:pStyle w:val="SingleTxtG"/>
        <w:tabs>
          <w:tab w:val="left" w:pos="1701"/>
          <w:tab w:val="left" w:pos="1985"/>
          <w:tab w:val="left" w:pos="2268"/>
        </w:tabs>
        <w:rPr>
          <w:i/>
        </w:rPr>
      </w:pPr>
      <w:r w:rsidRPr="000A2EE1">
        <w:t>1.8.3.12.4 (a)</w:t>
      </w:r>
      <w:r w:rsidRPr="000A2EE1">
        <w:tab/>
        <w:t>Amend the fourth indent to read as follows: “- danger marks, labelling and placarding;”.</w:t>
      </w:r>
    </w:p>
    <w:p w:rsidR="00E3232B" w:rsidRPr="000A2EE1" w:rsidRDefault="00E3232B" w:rsidP="00B75110">
      <w:pPr>
        <w:pStyle w:val="SingleTxtG"/>
        <w:tabs>
          <w:tab w:val="left" w:pos="1701"/>
          <w:tab w:val="left" w:pos="1985"/>
          <w:tab w:val="left" w:pos="2268"/>
        </w:tabs>
      </w:pPr>
      <w:r w:rsidRPr="000A2EE1">
        <w:t>Add a new 1.8.3.12.5 to read as follows:</w:t>
      </w:r>
    </w:p>
    <w:p w:rsidR="00E3232B" w:rsidRPr="000A2EE1" w:rsidRDefault="00791E53" w:rsidP="00B75110">
      <w:pPr>
        <w:pStyle w:val="SingleTxtG"/>
        <w:tabs>
          <w:tab w:val="left" w:pos="1701"/>
          <w:tab w:val="left" w:pos="1985"/>
          <w:tab w:val="left" w:pos="2268"/>
        </w:tabs>
      </w:pPr>
      <w:r w:rsidRPr="000A2EE1">
        <w:t>“</w:t>
      </w:r>
      <w:r w:rsidR="00E3232B" w:rsidRPr="000A2EE1">
        <w:t>1.8.3.12.5</w:t>
      </w:r>
      <w:r w:rsidR="00E3232B" w:rsidRPr="000A2EE1">
        <w:tab/>
        <w:t>Written examinations may be performed, in whole or in part, as electronic examinations, where the answers are recorded and evaluated using electronic data processing (EDP) processes, provided the following conditions are met:</w:t>
      </w:r>
    </w:p>
    <w:p w:rsidR="00E3232B" w:rsidRPr="000A2EE1" w:rsidRDefault="00E3232B" w:rsidP="00B75110">
      <w:pPr>
        <w:pStyle w:val="SingleTxtG"/>
        <w:tabs>
          <w:tab w:val="left" w:pos="1701"/>
          <w:tab w:val="left" w:pos="1985"/>
          <w:tab w:val="left" w:pos="2268"/>
        </w:tabs>
      </w:pPr>
      <w:r w:rsidRPr="000A2EE1">
        <w:t>(a)</w:t>
      </w:r>
      <w:r w:rsidRPr="000A2EE1">
        <w:tab/>
        <w:t>The hardware and software shall be checked and accepted by the competent authority or by an examining body designated by the competent authority;</w:t>
      </w:r>
    </w:p>
    <w:p w:rsidR="00E3232B" w:rsidRPr="000A2EE1" w:rsidRDefault="00E3232B" w:rsidP="00B75110">
      <w:pPr>
        <w:pStyle w:val="SingleTxtG"/>
        <w:tabs>
          <w:tab w:val="left" w:pos="1701"/>
          <w:tab w:val="left" w:pos="1985"/>
          <w:tab w:val="left" w:pos="2268"/>
        </w:tabs>
      </w:pPr>
      <w:r w:rsidRPr="000A2EE1">
        <w:t>(b)</w:t>
      </w:r>
      <w:r w:rsidRPr="000A2EE1">
        <w:tab/>
        <w:t>Proper technical functioning shall be ensured. Arrangements as to whether and how the examination can be continued shall be made for a failure of the devices and applications. No aids shall be available on the input devices (e.g. electronic search function), the equipment provided according to 1.8.3.12.3 shall not allow the candidates to communicate with any other device during the examination;</w:t>
      </w:r>
    </w:p>
    <w:p w:rsidR="00E3232B" w:rsidRPr="000A2EE1" w:rsidRDefault="00E3232B" w:rsidP="00B75110">
      <w:pPr>
        <w:pStyle w:val="SingleTxtG"/>
        <w:tabs>
          <w:tab w:val="left" w:pos="1701"/>
          <w:tab w:val="left" w:pos="1985"/>
          <w:tab w:val="left" w:pos="2268"/>
        </w:tabs>
      </w:pPr>
      <w:r w:rsidRPr="000A2EE1">
        <w:t>(c)</w:t>
      </w:r>
      <w:r w:rsidRPr="000A2EE1">
        <w:tab/>
        <w:t>Final inputs of each candidate shall be logged. The determination of the results shall be transparent.</w:t>
      </w:r>
      <w:r w:rsidR="00791E53" w:rsidRPr="000A2EE1">
        <w:t>”</w:t>
      </w:r>
      <w:r w:rsidRPr="000A2EE1">
        <w:t>.</w:t>
      </w:r>
    </w:p>
    <w:p w:rsidR="00E3232B" w:rsidRPr="000A2EE1" w:rsidRDefault="00E3232B" w:rsidP="00B75110">
      <w:pPr>
        <w:tabs>
          <w:tab w:val="left" w:pos="1701"/>
          <w:tab w:val="left" w:pos="1985"/>
          <w:tab w:val="left" w:pos="2268"/>
        </w:tabs>
        <w:spacing w:before="120" w:after="120"/>
        <w:ind w:left="1134" w:right="1134"/>
        <w:jc w:val="both"/>
      </w:pPr>
      <w:r w:rsidRPr="000A2EE1">
        <w:t>1.8.3.18</w:t>
      </w:r>
      <w:r w:rsidRPr="000A2EE1">
        <w:tab/>
        <w:t>In the eighth entry (</w:t>
      </w:r>
      <w:r w:rsidR="00791E53" w:rsidRPr="000A2EE1">
        <w:t>“</w:t>
      </w:r>
      <w:r w:rsidRPr="000A2EE1">
        <w:t>Valid until …</w:t>
      </w:r>
      <w:r w:rsidR="00791E53" w:rsidRPr="000A2EE1">
        <w:t>”</w:t>
      </w:r>
      <w:r w:rsidRPr="000A2EE1">
        <w:t xml:space="preserve">), before </w:t>
      </w:r>
      <w:r w:rsidR="00791E53" w:rsidRPr="000A2EE1">
        <w:t>“</w:t>
      </w:r>
      <w:r w:rsidRPr="000A2EE1">
        <w:t>loading or unloading</w:t>
      </w:r>
      <w:r w:rsidR="00791E53" w:rsidRPr="000A2EE1">
        <w:t>”</w:t>
      </w:r>
      <w:r w:rsidRPr="000A2EE1">
        <w:t xml:space="preserve">, insert: </w:t>
      </w:r>
      <w:r w:rsidR="00791E53" w:rsidRPr="000A2EE1">
        <w:t>“</w:t>
      </w:r>
      <w:r w:rsidRPr="000A2EE1">
        <w:t>packing, filling,</w:t>
      </w:r>
      <w:r w:rsidR="00791E53" w:rsidRPr="000A2EE1">
        <w:t>”</w:t>
      </w:r>
      <w:r w:rsidRPr="000A2EE1">
        <w:t>.</w:t>
      </w:r>
    </w:p>
    <w:p w:rsidR="00E3232B" w:rsidRPr="000A2EE1" w:rsidRDefault="00E3232B" w:rsidP="00B75110">
      <w:pPr>
        <w:pStyle w:val="SingleTxtG"/>
        <w:tabs>
          <w:tab w:val="left" w:pos="1701"/>
          <w:tab w:val="left" w:pos="1985"/>
          <w:tab w:val="left" w:pos="2268"/>
        </w:tabs>
      </w:pPr>
      <w:r w:rsidRPr="000A2EE1">
        <w:t>1.8.3.18</w:t>
      </w:r>
      <w:r w:rsidRPr="000A2EE1">
        <w:tab/>
        <w:t>Delete the last 2 lines of the model certificate.</w:t>
      </w:r>
    </w:p>
    <w:p w:rsidR="00E3232B" w:rsidRPr="000A2EE1" w:rsidRDefault="00E3232B" w:rsidP="00B75110">
      <w:pPr>
        <w:pStyle w:val="SingleTxtG"/>
        <w:tabs>
          <w:tab w:val="left" w:pos="1701"/>
          <w:tab w:val="left" w:pos="1985"/>
          <w:tab w:val="left" w:pos="2268"/>
        </w:tabs>
      </w:pPr>
      <w:r w:rsidRPr="000A2EE1">
        <w:t xml:space="preserve">1.8.8.4.1 (e) </w:t>
      </w:r>
      <w:r w:rsidRPr="000A2EE1">
        <w:tab/>
        <w:t>Not applicable to the English text.</w:t>
      </w:r>
    </w:p>
    <w:p w:rsidR="00E3232B" w:rsidRPr="000A2EE1" w:rsidRDefault="00E3232B" w:rsidP="00B75110">
      <w:pPr>
        <w:pStyle w:val="SingleTxtG"/>
        <w:tabs>
          <w:tab w:val="left" w:pos="1701"/>
          <w:tab w:val="left" w:pos="1985"/>
          <w:tab w:val="left" w:pos="2268"/>
        </w:tabs>
      </w:pPr>
      <w:r w:rsidRPr="000A2EE1">
        <w:t>1.8.8.4.3 (d)</w:t>
      </w:r>
      <w:r w:rsidRPr="000A2EE1">
        <w:tab/>
        <w:t>Replace “for the marking” by “for marking”.</w:t>
      </w:r>
    </w:p>
    <w:p w:rsidR="00E3232B" w:rsidRPr="000A2EE1" w:rsidRDefault="00E3232B" w:rsidP="00E3232B">
      <w:pPr>
        <w:pStyle w:val="H1G"/>
      </w:pPr>
      <w:r w:rsidRPr="000A2EE1">
        <w:tab/>
      </w:r>
      <w:r w:rsidRPr="000A2EE1">
        <w:tab/>
        <w:t>Chapter 1.9</w:t>
      </w:r>
    </w:p>
    <w:p w:rsidR="00AD0BE8" w:rsidRPr="000A2EE1" w:rsidRDefault="00920FF5" w:rsidP="00B75110">
      <w:pPr>
        <w:pStyle w:val="SingleTxtG"/>
        <w:tabs>
          <w:tab w:val="left" w:pos="1985"/>
          <w:tab w:val="left" w:pos="2268"/>
        </w:tabs>
      </w:pPr>
      <w:r w:rsidRPr="000A2EE1">
        <w:t>1.9.5.2.2</w:t>
      </w:r>
      <w:r w:rsidRPr="000A2EE1">
        <w:tab/>
        <w:t>For tunnel category D, in the first row of the table, for Class 4.1, at the end replace “and 3251” by “, 3251, 3531, 3532, 3533 and 3534”. F</w:t>
      </w:r>
      <w:r w:rsidR="00AD0BE8" w:rsidRPr="000A2EE1">
        <w:t>or Class 8, delete “and UN No. 3507”. For Class 6.1, after “</w:t>
      </w:r>
      <w:r w:rsidR="00AD0BE8" w:rsidRPr="000A2EE1">
        <w:rPr>
          <w:rFonts w:ascii="TimesNewRomanPSMT" w:hAnsi="TimesNewRomanPSMT" w:cs="TimesNewRomanPSMT"/>
          <w:lang w:eastAsia="fr-FR"/>
        </w:rPr>
        <w:t>and TFW</w:t>
      </w:r>
      <w:r w:rsidR="00AD0BE8" w:rsidRPr="000A2EE1">
        <w:t>” insert “and UN No. 3507”.</w:t>
      </w:r>
    </w:p>
    <w:p w:rsidR="00E3232B" w:rsidRPr="000A2EE1" w:rsidRDefault="00E3232B" w:rsidP="00B75110">
      <w:pPr>
        <w:pStyle w:val="SingleTxtG"/>
        <w:tabs>
          <w:tab w:val="left" w:pos="1985"/>
          <w:tab w:val="left" w:pos="2268"/>
        </w:tabs>
        <w:rPr>
          <w:iCs/>
          <w:snapToGrid w:val="0"/>
        </w:rPr>
      </w:pPr>
      <w:r w:rsidRPr="000A2EE1">
        <w:rPr>
          <w:iCs/>
          <w:snapToGrid w:val="0"/>
        </w:rPr>
        <w:t>1.9.5.2.2</w:t>
      </w:r>
      <w:r w:rsidRPr="000A2EE1">
        <w:rPr>
          <w:iCs/>
          <w:snapToGrid w:val="0"/>
        </w:rPr>
        <w:tab/>
        <w:t xml:space="preserve">For Tunnel category E, amend the paragraph before the Note to read as follows: </w:t>
      </w:r>
    </w:p>
    <w:p w:rsidR="00E3232B" w:rsidRPr="000A2EE1" w:rsidRDefault="00791E53" w:rsidP="00B75110">
      <w:pPr>
        <w:pStyle w:val="SingleTxtG"/>
        <w:tabs>
          <w:tab w:val="left" w:pos="1985"/>
          <w:tab w:val="left" w:pos="2268"/>
        </w:tabs>
        <w:rPr>
          <w:iCs/>
          <w:snapToGrid w:val="0"/>
        </w:rPr>
      </w:pPr>
      <w:r w:rsidRPr="000A2EE1">
        <w:rPr>
          <w:iCs/>
          <w:snapToGrid w:val="0"/>
        </w:rPr>
        <w:t>“</w:t>
      </w:r>
      <w:r w:rsidR="00E3232B" w:rsidRPr="000A2EE1">
        <w:rPr>
          <w:iCs/>
          <w:snapToGrid w:val="0"/>
        </w:rPr>
        <w:t>Restriction for the carriage of all dangerous goods other than those for which ‘(-)’ is marked in Column (15) of Table A of Chapter 3.2 and for all dangerous goods in accordance with the provisions of Chapter 3.4 if the quantities carried exceed 8 tonnes total gross mass per transport unit.</w:t>
      </w:r>
      <w:r w:rsidRPr="000A2EE1">
        <w:rPr>
          <w:iCs/>
          <w:snapToGrid w:val="0"/>
        </w:rPr>
        <w:t>”</w:t>
      </w:r>
      <w:r w:rsidR="00E3232B" w:rsidRPr="000A2EE1">
        <w:rPr>
          <w:iCs/>
          <w:snapToGrid w:val="0"/>
        </w:rPr>
        <w:t>.</w:t>
      </w:r>
    </w:p>
    <w:p w:rsidR="00E3232B" w:rsidRPr="000A2EE1" w:rsidRDefault="00E3232B" w:rsidP="00B75110">
      <w:pPr>
        <w:pStyle w:val="SingleTxtG"/>
        <w:tabs>
          <w:tab w:val="left" w:pos="1985"/>
          <w:tab w:val="left" w:pos="2268"/>
        </w:tabs>
      </w:pPr>
      <w:r w:rsidRPr="000A2EE1">
        <w:t>1.9.5.3.6</w:t>
      </w:r>
      <w:r w:rsidRPr="000A2EE1">
        <w:tab/>
        <w:t xml:space="preserve">Delete footnote 3. </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2.1</w:t>
      </w:r>
    </w:p>
    <w:p w:rsidR="00E3232B" w:rsidRPr="000A2EE1" w:rsidRDefault="00E3232B" w:rsidP="00B75110">
      <w:pPr>
        <w:pStyle w:val="SingleTxtG"/>
        <w:tabs>
          <w:tab w:val="left" w:pos="1985"/>
          <w:tab w:val="left" w:pos="2268"/>
        </w:tabs>
      </w:pPr>
      <w:r w:rsidRPr="000A2EE1">
        <w:t>2.1.1.1</w:t>
      </w:r>
      <w:r w:rsidRPr="000A2EE1">
        <w:tab/>
        <w:t>For Class 4.1, after “</w:t>
      </w:r>
      <w:r w:rsidRPr="000A2EE1">
        <w:rPr>
          <w:rFonts w:ascii="TimesNewRomanPSMT" w:hAnsi="TimesNewRomanPSMT" w:cs="TimesNewRomanPSMT"/>
          <w:lang w:eastAsia="fr-FR"/>
        </w:rPr>
        <w:t>self-reactive substances</w:t>
      </w:r>
      <w:r w:rsidRPr="000A2EE1">
        <w:t>” insert “, polymerizing substances”.</w:t>
      </w:r>
    </w:p>
    <w:p w:rsidR="00E3232B" w:rsidRPr="000A2EE1" w:rsidRDefault="00E3232B" w:rsidP="00B75110">
      <w:pPr>
        <w:pStyle w:val="SingleTxtG"/>
        <w:tabs>
          <w:tab w:val="left" w:pos="1985"/>
          <w:tab w:val="left" w:pos="2268"/>
        </w:tabs>
        <w:rPr>
          <w:iCs/>
        </w:rPr>
      </w:pPr>
      <w:r w:rsidRPr="000A2EE1">
        <w:rPr>
          <w:iCs/>
        </w:rPr>
        <w:t>2.1.2.2</w:t>
      </w:r>
      <w:r w:rsidRPr="000A2EE1">
        <w:rPr>
          <w:iCs/>
        </w:rPr>
        <w:tab/>
        <w:t>At the end, insert a new sentence to read as follows:</w:t>
      </w:r>
      <w:r w:rsidR="005B3EB2" w:rsidRPr="000A2EE1">
        <w:rPr>
          <w:iCs/>
        </w:rPr>
        <w:t xml:space="preserve"> </w:t>
      </w:r>
      <w:r w:rsidRPr="000A2EE1">
        <w:rPr>
          <w:iCs/>
        </w:rPr>
        <w:t>“</w:t>
      </w:r>
      <w:r w:rsidRPr="000A2EE1">
        <w:t>The substances listed by name in column (2) of Table A of Chapter 3.2 shall be carried according to their classification in Table A or under the conditions specified in 2.1.2.8.</w:t>
      </w:r>
      <w:r w:rsidRPr="000A2EE1">
        <w:rPr>
          <w:iCs/>
        </w:rPr>
        <w:t>”.</w:t>
      </w:r>
    </w:p>
    <w:p w:rsidR="00E3232B" w:rsidRPr="000A2EE1" w:rsidRDefault="00E3232B" w:rsidP="00B75110">
      <w:pPr>
        <w:pStyle w:val="SingleTxtG"/>
        <w:tabs>
          <w:tab w:val="left" w:pos="1985"/>
          <w:tab w:val="left" w:pos="2268"/>
        </w:tabs>
      </w:pPr>
      <w:r w:rsidRPr="000A2EE1">
        <w:t>Add a new 2.1.2.8 to read as follows:</w:t>
      </w:r>
    </w:p>
    <w:p w:rsidR="00E3232B" w:rsidRPr="000A2EE1" w:rsidRDefault="00E3232B" w:rsidP="00B75110">
      <w:pPr>
        <w:pStyle w:val="SingleTxtG"/>
        <w:tabs>
          <w:tab w:val="left" w:pos="1985"/>
          <w:tab w:val="left" w:pos="2268"/>
        </w:tabs>
      </w:pPr>
      <w:r w:rsidRPr="000A2EE1">
        <w:lastRenderedPageBreak/>
        <w:t>“2.1.2.8</w:t>
      </w:r>
      <w:r w:rsidRPr="000A2EE1">
        <w:tab/>
        <w:t>A consignor who has identified, on the basis of test data, that a substance listed by name in column 2 of Table A of Chapter 3.2 meets classification criteria for a class that is not identified in column 3a or 5 of Table A of Chapter 3.2, may, with the approval of the competent authority, consign the substance:</w:t>
      </w:r>
    </w:p>
    <w:p w:rsidR="00E3232B" w:rsidRPr="000A2EE1" w:rsidRDefault="00E3232B" w:rsidP="00B75110">
      <w:pPr>
        <w:pStyle w:val="SingleTxtG"/>
        <w:tabs>
          <w:tab w:val="left" w:pos="1985"/>
          <w:tab w:val="left" w:pos="2268"/>
        </w:tabs>
      </w:pPr>
      <w:r w:rsidRPr="000A2EE1">
        <w:t>–</w:t>
      </w:r>
      <w:r w:rsidRPr="000A2EE1">
        <w:tab/>
        <w:t>Under the most appropriate collective entry listed in sub-sections 2.2.x.3 reflecting all hazards; or</w:t>
      </w:r>
    </w:p>
    <w:p w:rsidR="00E3232B" w:rsidRPr="000A2EE1" w:rsidRDefault="00E3232B" w:rsidP="00B75110">
      <w:pPr>
        <w:pStyle w:val="SingleTxtG"/>
        <w:tabs>
          <w:tab w:val="left" w:pos="1985"/>
          <w:tab w:val="left" w:pos="2268"/>
        </w:tabs>
      </w:pPr>
      <w:r w:rsidRPr="000A2EE1">
        <w:t>–</w:t>
      </w:r>
      <w:r w:rsidRPr="000A2EE1">
        <w:tab/>
        <w:t>Under the same UN number and name but with additional hazard communication information as appropriate to reflect the additional subsidiary risk(s) (documentation, label, placard) provided that the class remains unchanged and that any other carriage conditions (e.g. limited quantity, packaging and tank provisions) that would normally apply to substances possessing such a combination of hazards are the same as those applicable to the substance listed.</w:t>
      </w:r>
    </w:p>
    <w:p w:rsidR="00E3232B" w:rsidRPr="000A2EE1" w:rsidRDefault="00E3232B" w:rsidP="00B75110">
      <w:pPr>
        <w:pStyle w:val="SingleTxtG"/>
        <w:tabs>
          <w:tab w:val="left" w:pos="1985"/>
          <w:tab w:val="left" w:pos="2268"/>
        </w:tabs>
        <w:rPr>
          <w:i/>
        </w:rPr>
      </w:pPr>
      <w:r w:rsidRPr="000A2EE1">
        <w:rPr>
          <w:b/>
          <w:i/>
        </w:rPr>
        <w:t>NOTE 1:</w:t>
      </w:r>
      <w:r w:rsidRPr="000A2EE1">
        <w:rPr>
          <w:i/>
        </w:rPr>
        <w:tab/>
        <w:t xml:space="preserve">The competent authority granting the approval may be the competent authority of any ADR Contracting Party who may also recognize an approval granted by the competent authority of a country which is not an ADR Contracting Party provided that this approval has been granted in accordance with the procedures applicable according to RID, ADR, ADN, the IMDG Code or the ICAO Technical Instructions. </w:t>
      </w:r>
    </w:p>
    <w:p w:rsidR="00E3232B" w:rsidRPr="000A2EE1" w:rsidRDefault="00E3232B" w:rsidP="00B75110">
      <w:pPr>
        <w:pStyle w:val="SingleTxtG"/>
        <w:tabs>
          <w:tab w:val="left" w:pos="1985"/>
          <w:tab w:val="left" w:pos="2268"/>
        </w:tabs>
      </w:pPr>
      <w:r w:rsidRPr="000A2EE1">
        <w:rPr>
          <w:b/>
          <w:i/>
        </w:rPr>
        <w:t>NOTE 2:</w:t>
      </w:r>
      <w:r w:rsidRPr="000A2EE1">
        <w:rPr>
          <w:i/>
        </w:rPr>
        <w:tab/>
        <w:t>When a competent authority grants such approvals, it should inform the United Nations Sub-Committee of Experts on the Transport of Dangerous Goods accordingly and submit a relevant proposal of amendment to the Dangerous Goods List of the UN Model Regulations. Should the proposed amendment be rejected, the competent authority should withdraw its app</w:t>
      </w:r>
      <w:r w:rsidR="005B3EB2" w:rsidRPr="000A2EE1">
        <w:rPr>
          <w:i/>
        </w:rPr>
        <w:t>roval.</w:t>
      </w:r>
    </w:p>
    <w:p w:rsidR="00E3232B" w:rsidRPr="000A2EE1" w:rsidRDefault="00E3232B" w:rsidP="00B75110">
      <w:pPr>
        <w:pStyle w:val="SingleTxtG"/>
        <w:tabs>
          <w:tab w:val="left" w:pos="1985"/>
          <w:tab w:val="left" w:pos="2268"/>
        </w:tabs>
      </w:pPr>
      <w:r w:rsidRPr="000A2EE1">
        <w:rPr>
          <w:b/>
          <w:i/>
        </w:rPr>
        <w:t>NOTE 3:</w:t>
      </w:r>
      <w:r w:rsidRPr="000A2EE1">
        <w:rPr>
          <w:i/>
        </w:rPr>
        <w:tab/>
        <w:t>For carriage in accordance with 2.1.2.8, see also 5.4.1.1.20.”</w:t>
      </w:r>
      <w:r w:rsidRPr="000A2EE1">
        <w:t>.</w:t>
      </w:r>
    </w:p>
    <w:p w:rsidR="009060E5" w:rsidRPr="000A2EE1" w:rsidRDefault="009060E5" w:rsidP="00B75110">
      <w:pPr>
        <w:pStyle w:val="SingleTxtG"/>
        <w:tabs>
          <w:tab w:val="left" w:pos="1985"/>
          <w:tab w:val="left" w:pos="2268"/>
        </w:tabs>
        <w:rPr>
          <w:rFonts w:eastAsia="Batang"/>
        </w:rPr>
      </w:pPr>
      <w:r w:rsidRPr="000A2EE1">
        <w:rPr>
          <w:rFonts w:eastAsia="Batang"/>
        </w:rPr>
        <w:t>2.1.3.4.2</w:t>
      </w:r>
      <w:r w:rsidRPr="000A2EE1">
        <w:rPr>
          <w:rFonts w:eastAsia="Batang"/>
        </w:rPr>
        <w:tab/>
      </w:r>
      <w:r w:rsidRPr="000A2EE1">
        <w:t>After “</w:t>
      </w:r>
      <w:r w:rsidRPr="000A2EE1">
        <w:rPr>
          <w:rFonts w:ascii="TimesNewRomanPSMT" w:hAnsi="TimesNewRomanPSMT" w:cs="TimesNewRomanPSMT"/>
          <w:lang w:eastAsia="fr-FR"/>
        </w:rPr>
        <w:t xml:space="preserve">UN No. </w:t>
      </w:r>
      <w:r w:rsidRPr="000A2EE1">
        <w:t xml:space="preserve">3151 </w:t>
      </w:r>
      <w:r w:rsidRPr="000A2EE1">
        <w:rPr>
          <w:rFonts w:eastAsia="Batang"/>
          <w:caps/>
        </w:rPr>
        <w:t>Polyhalogenated biphenyls, liquid</w:t>
      </w:r>
      <w:r w:rsidRPr="000A2EE1">
        <w:rPr>
          <w:rFonts w:eastAsia="Batang"/>
        </w:rPr>
        <w:t>;</w:t>
      </w:r>
      <w:r w:rsidRPr="000A2EE1">
        <w:rPr>
          <w:rFonts w:eastAsia="Batang"/>
          <w:caps/>
        </w:rPr>
        <w:t xml:space="preserve">”, </w:t>
      </w:r>
      <w:r w:rsidRPr="000A2EE1">
        <w:rPr>
          <w:rFonts w:eastAsia="Batang"/>
        </w:rPr>
        <w:t>add a new entry to read as follows: “</w:t>
      </w:r>
      <w:r w:rsidRPr="000A2EE1">
        <w:rPr>
          <w:rFonts w:ascii="TimesNewRomanPSMT" w:hAnsi="TimesNewRomanPSMT" w:cs="TimesNewRomanPSMT"/>
          <w:lang w:eastAsia="fr-FR"/>
        </w:rPr>
        <w:t xml:space="preserve">UN No. </w:t>
      </w:r>
      <w:r w:rsidRPr="000A2EE1">
        <w:rPr>
          <w:rFonts w:eastAsia="Batang"/>
        </w:rPr>
        <w:t xml:space="preserve">3151 </w:t>
      </w:r>
      <w:r w:rsidRPr="000A2EE1">
        <w:rPr>
          <w:rFonts w:eastAsia="Batang"/>
          <w:caps/>
        </w:rPr>
        <w:t>halogenated monomethyldiphenylmethanes, liquid</w:t>
      </w:r>
      <w:r w:rsidRPr="000A2EE1">
        <w:rPr>
          <w:rFonts w:eastAsia="Batang"/>
        </w:rPr>
        <w:t>;”.</w:t>
      </w:r>
      <w:r w:rsidR="00B75110" w:rsidRPr="000A2EE1">
        <w:rPr>
          <w:rFonts w:eastAsia="Batang"/>
        </w:rPr>
        <w:t xml:space="preserve"> </w:t>
      </w:r>
      <w:r w:rsidRPr="000A2EE1">
        <w:t>After “</w:t>
      </w:r>
      <w:r w:rsidRPr="000A2EE1">
        <w:rPr>
          <w:rFonts w:ascii="TimesNewRomanPSMT" w:hAnsi="TimesNewRomanPSMT" w:cs="TimesNewRomanPSMT"/>
          <w:lang w:eastAsia="fr-FR"/>
        </w:rPr>
        <w:t xml:space="preserve">UN No. </w:t>
      </w:r>
      <w:r w:rsidRPr="000A2EE1">
        <w:t xml:space="preserve">3152 </w:t>
      </w:r>
      <w:r w:rsidRPr="000A2EE1">
        <w:rPr>
          <w:rFonts w:eastAsia="Batang"/>
          <w:caps/>
        </w:rPr>
        <w:t>Polyhalogenated biphenyls, SOLID</w:t>
      </w:r>
      <w:r w:rsidRPr="000A2EE1">
        <w:rPr>
          <w:rFonts w:eastAsia="Batang"/>
        </w:rPr>
        <w:t>;</w:t>
      </w:r>
      <w:r w:rsidRPr="000A2EE1">
        <w:rPr>
          <w:rFonts w:eastAsia="Batang"/>
          <w:caps/>
        </w:rPr>
        <w:t xml:space="preserve">”, </w:t>
      </w:r>
      <w:r w:rsidRPr="000A2EE1">
        <w:rPr>
          <w:rFonts w:eastAsia="Batang"/>
        </w:rPr>
        <w:t>add a new entry to read as follows: “</w:t>
      </w:r>
      <w:r w:rsidRPr="000A2EE1">
        <w:rPr>
          <w:rFonts w:ascii="TimesNewRomanPSMT" w:hAnsi="TimesNewRomanPSMT" w:cs="TimesNewRomanPSMT"/>
          <w:lang w:eastAsia="fr-FR"/>
        </w:rPr>
        <w:t xml:space="preserve">UN No. </w:t>
      </w:r>
      <w:r w:rsidRPr="000A2EE1">
        <w:rPr>
          <w:rFonts w:eastAsia="Batang"/>
        </w:rPr>
        <w:t xml:space="preserve">3152 </w:t>
      </w:r>
      <w:r w:rsidRPr="000A2EE1">
        <w:rPr>
          <w:rFonts w:eastAsia="Batang"/>
          <w:caps/>
        </w:rPr>
        <w:t>halogenated monomethyldiphenylmethanes, SOLID</w:t>
      </w:r>
      <w:r w:rsidRPr="000A2EE1">
        <w:rPr>
          <w:rFonts w:eastAsia="Batang"/>
        </w:rPr>
        <w:t>;”.</w:t>
      </w:r>
    </w:p>
    <w:p w:rsidR="00E3232B" w:rsidRPr="000A2EE1" w:rsidRDefault="00E3232B" w:rsidP="00B75110">
      <w:pPr>
        <w:pStyle w:val="SingleTxtG"/>
        <w:tabs>
          <w:tab w:val="left" w:pos="1985"/>
          <w:tab w:val="left" w:pos="2268"/>
          <w:tab w:val="left" w:pos="3119"/>
        </w:tabs>
        <w:rPr>
          <w:iCs/>
        </w:rPr>
      </w:pPr>
      <w:r w:rsidRPr="000A2EE1">
        <w:rPr>
          <w:iCs/>
        </w:rPr>
        <w:t>2.1.3.5.5, Footnote 2</w:t>
      </w:r>
      <w:r w:rsidRPr="000A2EE1">
        <w:rPr>
          <w:iCs/>
        </w:rPr>
        <w:tab/>
        <w:t>Amend as follows:</w:t>
      </w:r>
    </w:p>
    <w:p w:rsidR="00E3232B" w:rsidRPr="000A2EE1" w:rsidRDefault="00E3232B" w:rsidP="00B75110">
      <w:pPr>
        <w:pStyle w:val="SingleTxtG"/>
        <w:tabs>
          <w:tab w:val="left" w:pos="1985"/>
          <w:tab w:val="left" w:pos="2268"/>
        </w:tabs>
        <w:rPr>
          <w:iCs/>
        </w:rPr>
      </w:pPr>
      <w:r w:rsidRPr="000A2EE1">
        <w:rPr>
          <w:iCs/>
        </w:rPr>
        <w:t>Delete “</w:t>
      </w:r>
      <w:r w:rsidRPr="000A2EE1">
        <w:t>(replaced by the Directive 2006/12/EC of the European Parliament and of the Council (Official Journal of the European Union No. L 114 of 27 April 2006, page 9))</w:t>
      </w:r>
      <w:r w:rsidRPr="000A2EE1">
        <w:rPr>
          <w:iCs/>
        </w:rPr>
        <w:t>”.</w:t>
      </w:r>
    </w:p>
    <w:p w:rsidR="00E3232B" w:rsidRPr="000A2EE1" w:rsidRDefault="00E3232B" w:rsidP="00B75110">
      <w:pPr>
        <w:pStyle w:val="SingleTxtG"/>
        <w:tabs>
          <w:tab w:val="left" w:pos="1985"/>
          <w:tab w:val="left" w:pos="2268"/>
        </w:tabs>
        <w:rPr>
          <w:iCs/>
        </w:rPr>
      </w:pPr>
      <w:r w:rsidRPr="000A2EE1">
        <w:rPr>
          <w:iCs/>
        </w:rPr>
        <w:t>At the end, insert: “</w:t>
      </w:r>
      <w:r w:rsidRPr="000A2EE1">
        <w:t>; and Directive 2008/98/EC of the European Parliament and of the Council of 19 November 2008 on waste and repealing certain Directives (Official Journal of the European Union No. L312 of 22 November 2008, pages 3-30)</w:t>
      </w:r>
      <w:r w:rsidRPr="000A2EE1">
        <w:rPr>
          <w:iCs/>
        </w:rPr>
        <w:t>”.</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2.2</w:t>
      </w:r>
    </w:p>
    <w:p w:rsidR="00E3232B" w:rsidRPr="000A2EE1" w:rsidRDefault="00E3232B" w:rsidP="00B75110">
      <w:pPr>
        <w:pStyle w:val="SingleTxtG"/>
        <w:tabs>
          <w:tab w:val="left" w:pos="1985"/>
          <w:tab w:val="left" w:pos="2268"/>
        </w:tabs>
      </w:pPr>
      <w:r w:rsidRPr="000A2EE1">
        <w:rPr>
          <w:lang w:eastAsia="en-GB"/>
        </w:rPr>
        <w:t>2.2.1.1.5</w:t>
      </w:r>
      <w:r w:rsidRPr="000A2EE1">
        <w:rPr>
          <w:lang w:eastAsia="en-GB"/>
        </w:rPr>
        <w:tab/>
      </w:r>
      <w:r w:rsidRPr="000A2EE1">
        <w:t>In the definition of Division 1.6, in the second sentence, replace “contain only extremely insensitive substance” by “predominantly contain extremely insensitive substances”.</w:t>
      </w:r>
    </w:p>
    <w:p w:rsidR="00E3232B" w:rsidRPr="000A2EE1" w:rsidRDefault="00E3232B" w:rsidP="00B75110">
      <w:pPr>
        <w:pStyle w:val="SingleTxtG"/>
        <w:tabs>
          <w:tab w:val="left" w:pos="1985"/>
          <w:tab w:val="left" w:pos="2268"/>
        </w:tabs>
      </w:pPr>
      <w:r w:rsidRPr="000A2EE1">
        <w:t>2.2.1.1.6</w:t>
      </w:r>
      <w:r w:rsidRPr="000A2EE1">
        <w:tab/>
        <w:t>Amend the definition of Compatibility Group N to read as follows: “Articles predominantly containing extremely insensitive substances”.</w:t>
      </w:r>
    </w:p>
    <w:p w:rsidR="00E3232B" w:rsidRPr="000A2EE1" w:rsidRDefault="00E3232B" w:rsidP="00B75110">
      <w:pPr>
        <w:pStyle w:val="SingleTxtG"/>
        <w:tabs>
          <w:tab w:val="left" w:pos="1985"/>
          <w:tab w:val="left" w:pos="2268"/>
        </w:tabs>
      </w:pPr>
      <w:r w:rsidRPr="000A2EE1">
        <w:rPr>
          <w:rFonts w:ascii="TimesNewRomanPSMT" w:hAnsi="TimesNewRomanPSMT" w:cs="TimesNewRomanPSMT"/>
          <w:lang w:eastAsia="en-GB"/>
        </w:rPr>
        <w:t>2.2.1.1.7.1</w:t>
      </w:r>
      <w:r w:rsidRPr="000A2EE1">
        <w:tab/>
      </w:r>
      <w:r w:rsidR="00B75110" w:rsidRPr="000A2EE1">
        <w:tab/>
      </w:r>
      <w:r w:rsidRPr="000A2EE1">
        <w:t>In the second sentence, insert a paragraph break after “However,” and replace “,” by “:”. Remainder of the sentence becomes new subparagraph (b). In (b), replace “such articles” by “fireworks”.</w:t>
      </w:r>
    </w:p>
    <w:p w:rsidR="00E3232B" w:rsidRPr="000A2EE1" w:rsidRDefault="00E3232B" w:rsidP="00B75110">
      <w:pPr>
        <w:pStyle w:val="SingleTxtG"/>
        <w:tabs>
          <w:tab w:val="left" w:pos="1985"/>
          <w:tab w:val="left" w:pos="2268"/>
        </w:tabs>
      </w:pPr>
      <w:r w:rsidRPr="000A2EE1">
        <w:t>Insert a new subparagraph (a) to read as follows:</w:t>
      </w:r>
    </w:p>
    <w:p w:rsidR="00E3232B" w:rsidRPr="000A2EE1" w:rsidRDefault="00E3232B" w:rsidP="00B75110">
      <w:pPr>
        <w:pStyle w:val="SingleTxtG"/>
        <w:tabs>
          <w:tab w:val="left" w:pos="1985"/>
          <w:tab w:val="left" w:pos="2268"/>
        </w:tabs>
      </w:pPr>
      <w:r w:rsidRPr="000A2EE1">
        <w:t>“(a)</w:t>
      </w:r>
      <w:r w:rsidRPr="000A2EE1">
        <w:tab/>
        <w:t>waterfalls giving a positive result when tested in the HSL Flash composition test in Appendix 7 of the Manual of Tests and Criteria shall be classified as 1.1G regardless of the results of Test Series 6;”.</w:t>
      </w:r>
    </w:p>
    <w:p w:rsidR="00E3232B" w:rsidRPr="000A2EE1" w:rsidRDefault="00E3232B" w:rsidP="00B75110">
      <w:pPr>
        <w:pStyle w:val="SingleTxtG"/>
        <w:tabs>
          <w:tab w:val="left" w:pos="1985"/>
          <w:tab w:val="left" w:pos="2268"/>
        </w:tabs>
      </w:pPr>
      <w:r w:rsidRPr="000A2EE1">
        <w:rPr>
          <w:rFonts w:ascii="TimesNewRomanPSMT" w:hAnsi="TimesNewRomanPSMT" w:cs="TimesNewRomanPSMT"/>
          <w:lang w:eastAsia="en-GB"/>
        </w:rPr>
        <w:t>2.2.1.1.7.5</w:t>
      </w:r>
      <w:r w:rsidR="00B75110" w:rsidRPr="000A2EE1">
        <w:rPr>
          <w:rFonts w:ascii="TimesNewRomanPSMT" w:hAnsi="TimesNewRomanPSMT" w:cs="TimesNewRomanPSMT"/>
          <w:lang w:eastAsia="en-GB"/>
        </w:rPr>
        <w:tab/>
      </w:r>
      <w:r w:rsidRPr="000A2EE1">
        <w:tab/>
        <w:t>In the table, for the entry “Fountain” in the column “Includes: / Synonym”, delete “showers”. In the third column, at the end, add the following Note:</w:t>
      </w:r>
    </w:p>
    <w:p w:rsidR="00E3232B" w:rsidRPr="000A2EE1" w:rsidRDefault="00E3232B" w:rsidP="00B75110">
      <w:pPr>
        <w:pStyle w:val="SingleTxtG"/>
        <w:tabs>
          <w:tab w:val="left" w:pos="1985"/>
          <w:tab w:val="left" w:pos="2268"/>
        </w:tabs>
      </w:pPr>
      <w:r w:rsidRPr="000A2EE1">
        <w:t>“</w:t>
      </w:r>
      <w:r w:rsidRPr="000A2EE1">
        <w:rPr>
          <w:b/>
          <w:i/>
        </w:rPr>
        <w:t>NOTE:</w:t>
      </w:r>
      <w:r w:rsidR="00B75110" w:rsidRPr="000A2EE1">
        <w:rPr>
          <w:b/>
          <w:i/>
        </w:rPr>
        <w:tab/>
      </w:r>
      <w:r w:rsidRPr="000A2EE1">
        <w:rPr>
          <w:i/>
        </w:rPr>
        <w:t>Fountains intended to produce a vertical cascade or curtain of sparks are considered to be waterfalls (see row below).</w:t>
      </w:r>
      <w:r w:rsidRPr="000A2EE1">
        <w:t>”.</w:t>
      </w:r>
    </w:p>
    <w:p w:rsidR="00E3232B" w:rsidRPr="000A2EE1" w:rsidRDefault="00E3232B" w:rsidP="00B75110">
      <w:pPr>
        <w:pStyle w:val="SingleTxtG"/>
        <w:tabs>
          <w:tab w:val="left" w:pos="1985"/>
          <w:tab w:val="left" w:pos="2268"/>
        </w:tabs>
      </w:pPr>
      <w:r w:rsidRPr="000A2EE1">
        <w:t>After the row for “Fountain”, insert a new row to read as follows: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93"/>
        <w:gridCol w:w="1984"/>
        <w:gridCol w:w="1843"/>
        <w:gridCol w:w="3544"/>
        <w:gridCol w:w="1316"/>
      </w:tblGrid>
      <w:tr w:rsidR="00E3232B" w:rsidRPr="000A2EE1" w:rsidTr="009B5E14">
        <w:trPr>
          <w:cantSplit/>
        </w:trPr>
        <w:tc>
          <w:tcPr>
            <w:tcW w:w="9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Type</w:t>
            </w:r>
          </w:p>
        </w:tc>
        <w:tc>
          <w:tcPr>
            <w:tcW w:w="19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Includes: / Synonym:</w:t>
            </w:r>
          </w:p>
        </w:tc>
        <w:tc>
          <w:tcPr>
            <w:tcW w:w="184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Definition</w:t>
            </w:r>
          </w:p>
        </w:tc>
        <w:tc>
          <w:tcPr>
            <w:tcW w:w="354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Specification</w:t>
            </w:r>
          </w:p>
        </w:tc>
        <w:tc>
          <w:tcPr>
            <w:tcW w:w="13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Classification</w:t>
            </w:r>
          </w:p>
        </w:tc>
      </w:tr>
      <w:tr w:rsidR="00E3232B" w:rsidRPr="000A2EE1" w:rsidTr="009B5E14">
        <w:trPr>
          <w:trHeight w:val="396"/>
        </w:trPr>
        <w:tc>
          <w:tcPr>
            <w:tcW w:w="993"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Waterfall</w:t>
            </w:r>
          </w:p>
        </w:tc>
        <w:tc>
          <w:tcPr>
            <w:tcW w:w="1984"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cascades, showers</w:t>
            </w:r>
          </w:p>
        </w:tc>
        <w:tc>
          <w:tcPr>
            <w:tcW w:w="1843"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pyrotechnic fountain intended to produce a vertical cascade or curtain of sparks</w:t>
            </w:r>
          </w:p>
        </w:tc>
        <w:tc>
          <w:tcPr>
            <w:tcW w:w="354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containing a pyrotechnic substance which gives a positive result when tested in the HSL Flash composition test in Appendix 7 of the Manual of Tests and Criteria regardless of the results of Test Series 6 (see 2.2.1.1.7.1 (a))</w:t>
            </w:r>
          </w:p>
        </w:tc>
        <w:tc>
          <w:tcPr>
            <w:tcW w:w="13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1.1G</w:t>
            </w:r>
          </w:p>
        </w:tc>
      </w:tr>
      <w:tr w:rsidR="00E3232B" w:rsidRPr="000A2EE1" w:rsidTr="009B5E14">
        <w:trPr>
          <w:trHeight w:val="774"/>
        </w:trPr>
        <w:tc>
          <w:tcPr>
            <w:tcW w:w="993" w:type="dxa"/>
            <w:vMerge/>
            <w:tcBorders>
              <w:top w:val="single" w:sz="12" w:space="0" w:color="auto"/>
              <w:left w:val="single" w:sz="12" w:space="0" w:color="auto"/>
              <w:bottom w:val="single" w:sz="12" w:space="0" w:color="auto"/>
              <w:right w:val="single" w:sz="12" w:space="0" w:color="auto"/>
            </w:tcBorders>
            <w:vAlign w:val="center"/>
            <w:hideMark/>
          </w:tcPr>
          <w:p w:rsidR="00E3232B" w:rsidRPr="000A2EE1" w:rsidRDefault="00E3232B" w:rsidP="009B5E14">
            <w:pPr>
              <w:suppressAutoHyphens w:val="0"/>
              <w:spacing w:line="240" w:lineRule="auto"/>
            </w:pPr>
          </w:p>
        </w:tc>
        <w:tc>
          <w:tcPr>
            <w:tcW w:w="1984" w:type="dxa"/>
            <w:vMerge/>
            <w:tcBorders>
              <w:top w:val="single" w:sz="12" w:space="0" w:color="auto"/>
              <w:left w:val="single" w:sz="12" w:space="0" w:color="auto"/>
              <w:bottom w:val="single" w:sz="12" w:space="0" w:color="auto"/>
              <w:right w:val="single" w:sz="12" w:space="0" w:color="auto"/>
            </w:tcBorders>
            <w:vAlign w:val="center"/>
            <w:hideMark/>
          </w:tcPr>
          <w:p w:rsidR="00E3232B" w:rsidRPr="000A2EE1" w:rsidRDefault="00E3232B" w:rsidP="009B5E14">
            <w:pPr>
              <w:suppressAutoHyphens w:val="0"/>
              <w:spacing w:line="240" w:lineRule="auto"/>
            </w:pPr>
          </w:p>
        </w:tc>
        <w:tc>
          <w:tcPr>
            <w:tcW w:w="1843" w:type="dxa"/>
            <w:vMerge/>
            <w:tcBorders>
              <w:top w:val="single" w:sz="12" w:space="0" w:color="auto"/>
              <w:left w:val="single" w:sz="12" w:space="0" w:color="auto"/>
              <w:bottom w:val="single" w:sz="12" w:space="0" w:color="auto"/>
              <w:right w:val="single" w:sz="12" w:space="0" w:color="auto"/>
            </w:tcBorders>
            <w:vAlign w:val="center"/>
            <w:hideMark/>
          </w:tcPr>
          <w:p w:rsidR="00E3232B" w:rsidRPr="000A2EE1" w:rsidRDefault="00E3232B" w:rsidP="009B5E14">
            <w:pPr>
              <w:suppressAutoHyphens w:val="0"/>
              <w:spacing w:line="240" w:lineRule="auto"/>
            </w:pPr>
          </w:p>
        </w:tc>
        <w:tc>
          <w:tcPr>
            <w:tcW w:w="354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containing a pyrotechnic substance which gives a negative result when tested in the HSL Flash composition test in Appendix 7 of the Manual of Tests and Criteria</w:t>
            </w:r>
          </w:p>
        </w:tc>
        <w:tc>
          <w:tcPr>
            <w:tcW w:w="13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3232B" w:rsidRPr="000A2EE1" w:rsidRDefault="00E3232B" w:rsidP="009B5E14">
            <w:r w:rsidRPr="000A2EE1">
              <w:t>1.3G</w:t>
            </w:r>
          </w:p>
        </w:tc>
      </w:tr>
    </w:tbl>
    <w:p w:rsidR="00E3232B" w:rsidRPr="000A2EE1" w:rsidRDefault="00E3232B" w:rsidP="00B75110">
      <w:pPr>
        <w:pStyle w:val="SingleTxtG"/>
        <w:tabs>
          <w:tab w:val="left" w:pos="1985"/>
          <w:tab w:val="left" w:pos="2268"/>
        </w:tabs>
        <w:spacing w:before="120"/>
      </w:pPr>
      <w:r w:rsidRPr="000A2EE1">
        <w:t>2.2.1.1</w:t>
      </w:r>
      <w:r w:rsidRPr="000A2EE1">
        <w:tab/>
      </w:r>
      <w:r w:rsidRPr="000A2EE1">
        <w:tab/>
        <w:t>Add a new paragraph 2.2.1.1.9 to read as follows:</w:t>
      </w:r>
    </w:p>
    <w:p w:rsidR="00E3232B" w:rsidRPr="000A2EE1" w:rsidRDefault="00E3232B" w:rsidP="00B75110">
      <w:pPr>
        <w:pStyle w:val="SingleTxtG"/>
        <w:tabs>
          <w:tab w:val="left" w:pos="1985"/>
          <w:tab w:val="left" w:pos="2268"/>
        </w:tabs>
        <w:rPr>
          <w:i/>
        </w:rPr>
      </w:pPr>
      <w:r w:rsidRPr="000A2EE1">
        <w:t>“2.2.1.1.9</w:t>
      </w:r>
      <w:r w:rsidRPr="000A2EE1">
        <w:tab/>
      </w:r>
      <w:r w:rsidR="00B75110" w:rsidRPr="000A2EE1">
        <w:tab/>
      </w:r>
      <w:r w:rsidRPr="000A2EE1">
        <w:rPr>
          <w:i/>
        </w:rPr>
        <w:t>Classification documentation</w:t>
      </w:r>
    </w:p>
    <w:p w:rsidR="00E3232B" w:rsidRPr="000A2EE1" w:rsidRDefault="00E3232B" w:rsidP="00B75110">
      <w:pPr>
        <w:pStyle w:val="SingleTxtG"/>
        <w:tabs>
          <w:tab w:val="left" w:pos="1985"/>
          <w:tab w:val="left" w:pos="2268"/>
        </w:tabs>
      </w:pPr>
      <w:r w:rsidRPr="000A2EE1">
        <w:rPr>
          <w:rFonts w:ascii="TimesNewRomanPSMT" w:hAnsi="TimesNewRomanPSMT" w:cs="TimesNewRomanPSMT"/>
          <w:lang w:eastAsia="en-GB"/>
        </w:rPr>
        <w:t>2.2.1.1.9.1</w:t>
      </w:r>
      <w:r w:rsidRPr="000A2EE1">
        <w:tab/>
      </w:r>
      <w:r w:rsidR="00B75110" w:rsidRPr="000A2EE1">
        <w:tab/>
      </w:r>
      <w:r w:rsidRPr="000A2EE1">
        <w:t xml:space="preserve">A competent authority assigning an article or substance to Class 1 shall confirm that classification with the applicant in writing. </w:t>
      </w:r>
    </w:p>
    <w:p w:rsidR="00E3232B" w:rsidRPr="000A2EE1" w:rsidRDefault="00E3232B" w:rsidP="00B75110">
      <w:pPr>
        <w:pStyle w:val="SingleTxtG"/>
        <w:tabs>
          <w:tab w:val="left" w:pos="1985"/>
          <w:tab w:val="left" w:pos="2268"/>
        </w:tabs>
      </w:pPr>
      <w:r w:rsidRPr="000A2EE1">
        <w:t>2.2.1.1.9.2</w:t>
      </w:r>
      <w:r w:rsidR="00B75110" w:rsidRPr="000A2EE1">
        <w:tab/>
      </w:r>
      <w:r w:rsidRPr="000A2EE1">
        <w:tab/>
        <w:t>A competent authority classification document may be in any form and may consist of more than one page, provided pages are numbered consecutively. The document shall have a unique reference.</w:t>
      </w:r>
    </w:p>
    <w:p w:rsidR="00E3232B" w:rsidRPr="000A2EE1" w:rsidRDefault="00E3232B" w:rsidP="00B75110">
      <w:pPr>
        <w:pStyle w:val="SingleTxtG"/>
        <w:tabs>
          <w:tab w:val="left" w:pos="1985"/>
          <w:tab w:val="left" w:pos="2268"/>
        </w:tabs>
      </w:pPr>
      <w:r w:rsidRPr="000A2EE1">
        <w:t>2.2.1.1.9.3</w:t>
      </w:r>
      <w:r w:rsidRPr="000A2EE1">
        <w:tab/>
      </w:r>
      <w:r w:rsidR="00B75110" w:rsidRPr="000A2EE1">
        <w:tab/>
      </w:r>
      <w:r w:rsidRPr="000A2EE1">
        <w:t>The information provided shall be easy to identify, legible and durable.</w:t>
      </w:r>
    </w:p>
    <w:p w:rsidR="00E3232B" w:rsidRPr="000A2EE1" w:rsidRDefault="00E3232B" w:rsidP="00B75110">
      <w:pPr>
        <w:pStyle w:val="SingleTxtG"/>
        <w:tabs>
          <w:tab w:val="left" w:pos="1985"/>
          <w:tab w:val="left" w:pos="2268"/>
        </w:tabs>
      </w:pPr>
      <w:r w:rsidRPr="000A2EE1">
        <w:t>2.2.1.1.9.4</w:t>
      </w:r>
      <w:r w:rsidRPr="000A2EE1">
        <w:tab/>
      </w:r>
      <w:r w:rsidR="00B75110" w:rsidRPr="000A2EE1">
        <w:tab/>
      </w:r>
      <w:r w:rsidRPr="000A2EE1">
        <w:t>Examples of the information that may be provided in the classification documents are as follows:</w:t>
      </w:r>
    </w:p>
    <w:p w:rsidR="00E3232B" w:rsidRPr="000A2EE1" w:rsidRDefault="00E3232B" w:rsidP="00E3232B">
      <w:pPr>
        <w:pStyle w:val="SingleTxtG"/>
        <w:ind w:left="1701" w:hanging="1"/>
      </w:pPr>
      <w:r w:rsidRPr="000A2EE1">
        <w:t>(a)</w:t>
      </w:r>
      <w:r w:rsidRPr="000A2EE1">
        <w:tab/>
        <w:t>The name of the competent authority and the provisions in national legislation under which it is granted its authority;</w:t>
      </w:r>
    </w:p>
    <w:p w:rsidR="00E3232B" w:rsidRPr="000A2EE1" w:rsidRDefault="00E3232B" w:rsidP="00E3232B">
      <w:pPr>
        <w:pStyle w:val="SingleTxtG"/>
        <w:ind w:left="1701" w:hanging="1"/>
        <w:rPr>
          <w:b/>
        </w:rPr>
      </w:pPr>
      <w:r w:rsidRPr="000A2EE1">
        <w:t>(b)</w:t>
      </w:r>
      <w:r w:rsidRPr="000A2EE1">
        <w:tab/>
        <w:t>The modal or national regulations for which the classification document is applicable;</w:t>
      </w:r>
    </w:p>
    <w:p w:rsidR="00E3232B" w:rsidRPr="000A2EE1" w:rsidRDefault="00E3232B" w:rsidP="00E3232B">
      <w:pPr>
        <w:pStyle w:val="SingleTxtG"/>
        <w:ind w:left="1701"/>
      </w:pPr>
      <w:r w:rsidRPr="000A2EE1">
        <w:t>(c)</w:t>
      </w:r>
      <w:r w:rsidRPr="000A2EE1">
        <w:tab/>
        <w:t>Confirmation that the classification has been approved, made or agreed in accordance with the UN Model Regulations or the relevant modal regulations;</w:t>
      </w:r>
    </w:p>
    <w:p w:rsidR="00E3232B" w:rsidRPr="000A2EE1" w:rsidRDefault="00E3232B" w:rsidP="00E3232B">
      <w:pPr>
        <w:pStyle w:val="SingleTxtG"/>
        <w:ind w:left="1701"/>
        <w:rPr>
          <w:b/>
        </w:rPr>
      </w:pPr>
      <w:r w:rsidRPr="000A2EE1">
        <w:t>(d)</w:t>
      </w:r>
      <w:r w:rsidRPr="000A2EE1">
        <w:tab/>
        <w:t>The name and address of the person in law to which the classification has been assigned and any company registration which uniquely identifies a company or other body corporate under national legislation;</w:t>
      </w:r>
    </w:p>
    <w:p w:rsidR="00E3232B" w:rsidRPr="000A2EE1" w:rsidRDefault="00E3232B" w:rsidP="00E3232B">
      <w:pPr>
        <w:pStyle w:val="SingleTxtG"/>
        <w:ind w:left="1701"/>
      </w:pPr>
      <w:r w:rsidRPr="000A2EE1">
        <w:t>(e)</w:t>
      </w:r>
      <w:r w:rsidRPr="000A2EE1">
        <w:tab/>
        <w:t>The name under which the explosives will be placed onto the market or otherwise supplied for carriage;</w:t>
      </w:r>
    </w:p>
    <w:p w:rsidR="00E3232B" w:rsidRPr="000A2EE1" w:rsidRDefault="00E3232B" w:rsidP="00E3232B">
      <w:pPr>
        <w:pStyle w:val="SingleTxtG"/>
        <w:ind w:left="1701"/>
      </w:pPr>
      <w:r w:rsidRPr="000A2EE1">
        <w:t>(f)</w:t>
      </w:r>
      <w:r w:rsidRPr="000A2EE1">
        <w:tab/>
        <w:t>The proper shipping name, UN number, class, division and corresponding compatibility group of the explosives;</w:t>
      </w:r>
    </w:p>
    <w:p w:rsidR="00E3232B" w:rsidRPr="000A2EE1" w:rsidRDefault="00E3232B" w:rsidP="00E3232B">
      <w:pPr>
        <w:pStyle w:val="SingleTxtG"/>
        <w:ind w:left="1701"/>
        <w:rPr>
          <w:b/>
        </w:rPr>
      </w:pPr>
      <w:r w:rsidRPr="000A2EE1">
        <w:t>(g)</w:t>
      </w:r>
      <w:r w:rsidRPr="000A2EE1">
        <w:tab/>
        <w:t>Where appropriate, the maximum net explosive mass of the package or article;</w:t>
      </w:r>
    </w:p>
    <w:p w:rsidR="00E3232B" w:rsidRPr="000A2EE1" w:rsidRDefault="00E3232B" w:rsidP="00E3232B">
      <w:pPr>
        <w:pStyle w:val="SingleTxtG"/>
        <w:ind w:left="1701"/>
      </w:pPr>
      <w:r w:rsidRPr="000A2EE1">
        <w:t>(h)</w:t>
      </w:r>
      <w:r w:rsidRPr="000A2EE1">
        <w:tab/>
        <w:t>The name, signature, stamp, seal or other identification of the person authorised by the competent authority to issue the classification document is clearly visible;</w:t>
      </w:r>
    </w:p>
    <w:p w:rsidR="00E3232B" w:rsidRPr="000A2EE1" w:rsidRDefault="00E3232B" w:rsidP="00E3232B">
      <w:pPr>
        <w:pStyle w:val="SingleTxtG"/>
        <w:ind w:left="1701"/>
        <w:rPr>
          <w:i/>
        </w:rPr>
      </w:pPr>
      <w:r w:rsidRPr="000A2EE1">
        <w:t>(i)</w:t>
      </w:r>
      <w:r w:rsidRPr="000A2EE1">
        <w:tab/>
        <w:t>Where safety in carriage or the division is assessed as being dependent upon the packaging, the packaging mark or a description of the permitted:</w:t>
      </w:r>
    </w:p>
    <w:p w:rsidR="00E3232B" w:rsidRPr="000A2EE1" w:rsidRDefault="00E3232B" w:rsidP="00E3232B">
      <w:pPr>
        <w:pStyle w:val="Bullet1G"/>
        <w:numPr>
          <w:ilvl w:val="0"/>
          <w:numId w:val="0"/>
        </w:numPr>
        <w:tabs>
          <w:tab w:val="left" w:pos="2694"/>
        </w:tabs>
        <w:ind w:left="2268"/>
      </w:pPr>
      <w:r w:rsidRPr="000A2EE1">
        <w:t>- Inner packagings</w:t>
      </w:r>
    </w:p>
    <w:p w:rsidR="00E3232B" w:rsidRPr="000A2EE1" w:rsidRDefault="00E3232B" w:rsidP="00E3232B">
      <w:pPr>
        <w:pStyle w:val="Bullet1G"/>
        <w:numPr>
          <w:ilvl w:val="0"/>
          <w:numId w:val="0"/>
        </w:numPr>
        <w:tabs>
          <w:tab w:val="left" w:pos="2694"/>
        </w:tabs>
        <w:ind w:left="2268"/>
      </w:pPr>
      <w:r w:rsidRPr="000A2EE1">
        <w:t>- Intermediate packagings</w:t>
      </w:r>
    </w:p>
    <w:p w:rsidR="00E3232B" w:rsidRPr="000A2EE1" w:rsidRDefault="00E3232B" w:rsidP="00E3232B">
      <w:pPr>
        <w:pStyle w:val="Bullet1G"/>
        <w:numPr>
          <w:ilvl w:val="0"/>
          <w:numId w:val="0"/>
        </w:numPr>
        <w:tabs>
          <w:tab w:val="left" w:pos="2694"/>
        </w:tabs>
        <w:ind w:left="2268"/>
      </w:pPr>
      <w:r w:rsidRPr="000A2EE1">
        <w:t>- Outer packagings</w:t>
      </w:r>
    </w:p>
    <w:p w:rsidR="00E3232B" w:rsidRPr="000A2EE1" w:rsidRDefault="00E3232B" w:rsidP="00E3232B">
      <w:pPr>
        <w:suppressAutoHyphens w:val="0"/>
        <w:spacing w:after="120" w:line="240" w:lineRule="auto"/>
        <w:ind w:left="1700" w:right="1139"/>
        <w:jc w:val="both"/>
        <w:rPr>
          <w:b/>
        </w:rPr>
      </w:pPr>
      <w:r w:rsidRPr="000A2EE1">
        <w:t>(j)</w:t>
      </w:r>
      <w:r w:rsidRPr="000A2EE1">
        <w:tab/>
        <w:t>The classification document states the part number, stock number or other identifying reference under which the explosives will be placed onto the market or otherwise supplied for carriage;</w:t>
      </w:r>
    </w:p>
    <w:p w:rsidR="00E3232B" w:rsidRPr="000A2EE1" w:rsidRDefault="00E3232B" w:rsidP="00E3232B">
      <w:pPr>
        <w:pStyle w:val="SingleTxtG"/>
        <w:ind w:left="1701"/>
        <w:rPr>
          <w:b/>
        </w:rPr>
      </w:pPr>
      <w:r w:rsidRPr="000A2EE1">
        <w:t>(k)</w:t>
      </w:r>
      <w:r w:rsidRPr="000A2EE1">
        <w:tab/>
        <w:t>The name and address of the person in law who manufactured the explosives and any company registration which uniquely identifies a company or other body corporate under national legislation;</w:t>
      </w:r>
    </w:p>
    <w:p w:rsidR="00E3232B" w:rsidRPr="000A2EE1" w:rsidRDefault="00E3232B" w:rsidP="00E3232B">
      <w:pPr>
        <w:pStyle w:val="SingleTxtG"/>
        <w:ind w:left="1701"/>
        <w:rPr>
          <w:i/>
        </w:rPr>
      </w:pPr>
      <w:r w:rsidRPr="000A2EE1">
        <w:t>(l)</w:t>
      </w:r>
      <w:r w:rsidRPr="000A2EE1">
        <w:tab/>
        <w:t>Any additional information regarding the applicable packing instruction and special packing provisions where appropriate;</w:t>
      </w:r>
    </w:p>
    <w:p w:rsidR="00E3232B" w:rsidRPr="000A2EE1" w:rsidRDefault="00E3232B" w:rsidP="00E3232B">
      <w:pPr>
        <w:pStyle w:val="SingleTxtG"/>
        <w:ind w:left="1701"/>
      </w:pPr>
      <w:r w:rsidRPr="000A2EE1">
        <w:t>(m)</w:t>
      </w:r>
      <w:r w:rsidRPr="000A2EE1">
        <w:tab/>
        <w:t>The basis for assigning the classification, i.e. whether on the basis of test results, default for fireworks, analogy with classified explosive, by definition from Table A of Chapter 3.2 etc.;</w:t>
      </w:r>
    </w:p>
    <w:p w:rsidR="00E3232B" w:rsidRPr="000A2EE1" w:rsidRDefault="00E3232B" w:rsidP="00E3232B">
      <w:pPr>
        <w:pStyle w:val="SingleTxtG"/>
        <w:ind w:left="1701"/>
        <w:rPr>
          <w:i/>
        </w:rPr>
      </w:pPr>
      <w:r w:rsidRPr="000A2EE1">
        <w:t>(n)</w:t>
      </w:r>
      <w:r w:rsidRPr="000A2EE1">
        <w:tab/>
        <w:t>Any special conditions or limitations that the competent authority has identified as relevant to the safety for carriage of the explosives, the communication of the hazard and international carriage;</w:t>
      </w:r>
    </w:p>
    <w:p w:rsidR="00E3232B" w:rsidRPr="000A2EE1" w:rsidRDefault="00E3232B" w:rsidP="00E3232B">
      <w:pPr>
        <w:pStyle w:val="SingleTxtG"/>
        <w:ind w:left="1701"/>
      </w:pPr>
      <w:r w:rsidRPr="000A2EE1">
        <w:t>(o)</w:t>
      </w:r>
      <w:r w:rsidRPr="000A2EE1">
        <w:tab/>
        <w:t>The expiry date of the classification document is given where the competent authority considers one to be appropriate.”.</w:t>
      </w:r>
    </w:p>
    <w:p w:rsidR="00E3232B" w:rsidRPr="000A2EE1" w:rsidRDefault="00E3232B" w:rsidP="00B75110">
      <w:pPr>
        <w:pStyle w:val="SingleTxtG"/>
        <w:tabs>
          <w:tab w:val="left" w:pos="1985"/>
          <w:tab w:val="left" w:pos="2268"/>
        </w:tabs>
      </w:pPr>
      <w:r w:rsidRPr="000A2EE1">
        <w:t>2.2.1.4</w:t>
      </w:r>
      <w:r w:rsidRPr="000A2EE1">
        <w:tab/>
        <w:t>In the definition of “ROCKET MOTORS”, after “0281”, insert “, 0510”.</w:t>
      </w:r>
    </w:p>
    <w:p w:rsidR="00E3232B" w:rsidRPr="000A2EE1" w:rsidRDefault="00E3232B" w:rsidP="00B75110">
      <w:pPr>
        <w:pStyle w:val="SingleTxtG"/>
        <w:tabs>
          <w:tab w:val="left" w:pos="1985"/>
          <w:tab w:val="left" w:pos="2268"/>
        </w:tabs>
      </w:pPr>
      <w:r w:rsidRPr="000A2EE1">
        <w:t>2.2.2.2.1</w:t>
      </w:r>
      <w:r w:rsidRPr="000A2EE1">
        <w:tab/>
        <w:t>Amend to read as follows:</w:t>
      </w:r>
    </w:p>
    <w:p w:rsidR="00E3232B" w:rsidRPr="000A2EE1" w:rsidRDefault="00E3232B" w:rsidP="00B75110">
      <w:pPr>
        <w:pStyle w:val="SingleTxtG"/>
        <w:tabs>
          <w:tab w:val="left" w:pos="1985"/>
          <w:tab w:val="left" w:pos="2268"/>
        </w:tabs>
      </w:pPr>
      <w:r w:rsidRPr="000A2EE1">
        <w:t>“</w:t>
      </w:r>
      <w:r w:rsidRPr="000A2EE1">
        <w:rPr>
          <w:rFonts w:ascii="TimesNewRomanPSMT" w:hAnsi="TimesNewRomanPSMT" w:cs="TimesNewRomanPSMT"/>
          <w:lang w:eastAsia="en-GB"/>
        </w:rPr>
        <w:t xml:space="preserve">2.2.2.2.1 </w:t>
      </w:r>
      <w:r w:rsidR="00B75110" w:rsidRPr="000A2EE1">
        <w:rPr>
          <w:rFonts w:ascii="TimesNewRomanPSMT" w:hAnsi="TimesNewRomanPSMT" w:cs="TimesNewRomanPSMT"/>
          <w:lang w:eastAsia="en-GB"/>
        </w:rPr>
        <w:tab/>
      </w:r>
      <w:r w:rsidRPr="000A2EE1">
        <w:rPr>
          <w:rFonts w:ascii="TimesNewRomanPSMT" w:hAnsi="TimesNewRomanPSMT" w:cs="TimesNewRomanPSMT"/>
          <w:lang w:eastAsia="en-GB"/>
        </w:rPr>
        <w:tab/>
      </w:r>
      <w:r w:rsidRPr="000A2EE1">
        <w:t>Chemically unstable gases of Class 2 shall not be accepted for carriage unless the necessary precautions have been taken to prevent the possibility of a dangerous decomposition or polymerization under normal conditions of carriage or unless carried in accordance with special packing provision (r) of packing instruction P200 (10) of 4.1.4.1, as applicable. For the precautions necessary to prevent polymerization, see special provision 386 of Chapter 3.3. To this end particular care shall be taken to ensure that receptacles and tanks do not contain any substances liable to promote these reactions.”.</w:t>
      </w:r>
    </w:p>
    <w:p w:rsidR="00E3232B" w:rsidRPr="000A2EE1" w:rsidRDefault="00E3232B" w:rsidP="00B75110">
      <w:pPr>
        <w:pStyle w:val="SingleTxtG"/>
        <w:tabs>
          <w:tab w:val="left" w:pos="1985"/>
          <w:tab w:val="left" w:pos="2268"/>
        </w:tabs>
      </w:pPr>
      <w:r w:rsidRPr="000A2EE1">
        <w:t>2.2.3.1.5</w:t>
      </w:r>
      <w:r w:rsidRPr="000A2EE1">
        <w:tab/>
        <w:t>Existing text becomes 2.2.3.1.5.1. At the beginning, replace “viscous liquids” by “Except as provided for in 2.2.3.1.5.2, viscous liquids”.</w:t>
      </w:r>
    </w:p>
    <w:p w:rsidR="00E3232B" w:rsidRPr="000A2EE1" w:rsidRDefault="00E3232B" w:rsidP="00B75110">
      <w:pPr>
        <w:pStyle w:val="SingleTxtG"/>
        <w:tabs>
          <w:tab w:val="left" w:pos="1985"/>
          <w:tab w:val="left" w:pos="2268"/>
        </w:tabs>
      </w:pPr>
      <w:r w:rsidRPr="000A2EE1">
        <w:t xml:space="preserve">Before this paragraph, add a new heading 2.2.3.1.5 to read as follows: </w:t>
      </w:r>
    </w:p>
    <w:p w:rsidR="00E3232B" w:rsidRPr="000A2EE1" w:rsidRDefault="00E3232B" w:rsidP="00B75110">
      <w:pPr>
        <w:pStyle w:val="SingleTxtG"/>
        <w:tabs>
          <w:tab w:val="left" w:pos="1985"/>
          <w:tab w:val="left" w:pos="2268"/>
        </w:tabs>
      </w:pPr>
      <w:r w:rsidRPr="000A2EE1">
        <w:t>“2.2.3.1.5</w:t>
      </w:r>
      <w:r w:rsidRPr="000A2EE1">
        <w:tab/>
      </w:r>
      <w:r w:rsidR="00B75110" w:rsidRPr="000A2EE1">
        <w:tab/>
      </w:r>
      <w:r w:rsidRPr="000A2EE1">
        <w:rPr>
          <w:i/>
        </w:rPr>
        <w:t>Viscous liquids</w:t>
      </w:r>
      <w:r w:rsidRPr="000A2EE1">
        <w:t>”.</w:t>
      </w:r>
    </w:p>
    <w:p w:rsidR="00E3232B" w:rsidRPr="000A2EE1" w:rsidRDefault="00E3232B" w:rsidP="00B75110">
      <w:pPr>
        <w:pStyle w:val="SingleTxtG"/>
        <w:tabs>
          <w:tab w:val="left" w:pos="1985"/>
          <w:tab w:val="left" w:pos="2268"/>
          <w:tab w:val="left" w:pos="2694"/>
        </w:tabs>
      </w:pPr>
      <w:r w:rsidRPr="000A2EE1">
        <w:t>Insert a new 2.2.3.1.5.2 to read as follows:</w:t>
      </w:r>
    </w:p>
    <w:p w:rsidR="00E3232B" w:rsidRPr="000A2EE1" w:rsidRDefault="00E3232B" w:rsidP="00B75110">
      <w:pPr>
        <w:pStyle w:val="SingleTxtG"/>
        <w:tabs>
          <w:tab w:val="left" w:pos="1985"/>
          <w:tab w:val="left" w:pos="2268"/>
        </w:tabs>
      </w:pPr>
      <w:r w:rsidRPr="000A2EE1">
        <w:t>“2.2.3.1.5.2</w:t>
      </w:r>
      <w:r w:rsidRPr="000A2EE1">
        <w:rPr>
          <w:b/>
        </w:rPr>
        <w:tab/>
      </w:r>
      <w:r w:rsidRPr="000A2EE1">
        <w:t>Viscous liquids which are also environmentally hazardous, but meet all other criteria in 2.2.3.1.5.1, are not subject to any other provisions of ADR when they are carried in single or combination packagings containing a net quantity per single or inner packaging of 5 litres or less, provided the packagings</w:t>
      </w:r>
      <w:r w:rsidRPr="000A2EE1">
        <w:rPr>
          <w:sz w:val="22"/>
          <w:szCs w:val="22"/>
          <w:lang w:eastAsia="en-GB"/>
        </w:rPr>
        <w:t xml:space="preserve"> </w:t>
      </w:r>
      <w:r w:rsidRPr="000A2EE1">
        <w:t>meet the general provisions of 4.1.1.1, 4.1.1.2 and 4.1.1.4 to 4.1.1.8.”.</w:t>
      </w:r>
    </w:p>
    <w:p w:rsidR="00E3232B" w:rsidRPr="000A2EE1" w:rsidRDefault="00E3232B" w:rsidP="00B75110">
      <w:pPr>
        <w:pStyle w:val="SingleTxtG"/>
        <w:tabs>
          <w:tab w:val="left" w:pos="1985"/>
          <w:tab w:val="left" w:pos="2268"/>
        </w:tabs>
      </w:pPr>
      <w:r w:rsidRPr="000A2EE1">
        <w:t>2.2.3.2.2</w:t>
      </w:r>
      <w:r w:rsidRPr="000A2EE1">
        <w:tab/>
        <w:t>Amend to read as follows:</w:t>
      </w:r>
    </w:p>
    <w:p w:rsidR="00E3232B" w:rsidRPr="000A2EE1" w:rsidRDefault="00E3232B" w:rsidP="00B75110">
      <w:pPr>
        <w:pStyle w:val="SingleTxtG"/>
        <w:tabs>
          <w:tab w:val="left" w:pos="1985"/>
          <w:tab w:val="left" w:pos="2268"/>
        </w:tabs>
      </w:pPr>
      <w:r w:rsidRPr="000A2EE1">
        <w:t>“2.2.3.2.2</w:t>
      </w:r>
      <w:r w:rsidRPr="000A2EE1">
        <w:tab/>
      </w:r>
      <w:r w:rsidR="00B75110" w:rsidRPr="000A2EE1">
        <w:tab/>
      </w:r>
      <w:r w:rsidRPr="000A2EE1">
        <w:t>Chemically unstable substances of Class 3 shall not be accepted for carriage unless the necessary precautions have been taken to prevent the possibility of a dangerous decomposition or polymerization under normal conditions of carriage. For the precautions necessary to prevent polymerization, see special provision 386 of Chapter 3.3. To this end particular care shall be taken to ensure that receptacles and tanks do not contain any substances liable to promote these reactions.”.</w:t>
      </w:r>
    </w:p>
    <w:p w:rsidR="00E3232B" w:rsidRPr="000A2EE1" w:rsidRDefault="00E3232B" w:rsidP="00B75110">
      <w:pPr>
        <w:pStyle w:val="SingleTxtG"/>
        <w:tabs>
          <w:tab w:val="left" w:pos="1985"/>
          <w:tab w:val="left" w:pos="2127"/>
          <w:tab w:val="left" w:pos="2268"/>
        </w:tabs>
      </w:pPr>
      <w:r w:rsidRPr="000A2EE1">
        <w:t>2.2.3.3</w:t>
      </w:r>
      <w:r w:rsidRPr="000A2EE1">
        <w:tab/>
        <w:t>For “F3 articles”, at the end of the proper shipping name for UN 3269, add “, liquid base material”.</w:t>
      </w:r>
    </w:p>
    <w:p w:rsidR="00E3232B" w:rsidRPr="000A2EE1" w:rsidRDefault="00E3232B" w:rsidP="00B75110">
      <w:pPr>
        <w:pStyle w:val="SingleTxtG"/>
        <w:tabs>
          <w:tab w:val="left" w:pos="1985"/>
          <w:tab w:val="left" w:pos="2127"/>
          <w:tab w:val="left" w:pos="2268"/>
        </w:tabs>
      </w:pPr>
      <w:r w:rsidRPr="000A2EE1">
        <w:t>2.2.41</w:t>
      </w:r>
      <w:r w:rsidRPr="000A2EE1">
        <w:tab/>
        <w:t>In the heading of Class 4.1, after “self-reactive substances”, insert “, polymerizing substances”.</w:t>
      </w:r>
    </w:p>
    <w:p w:rsidR="00D70838" w:rsidRPr="000A2EE1" w:rsidRDefault="00E3232B" w:rsidP="00B75110">
      <w:pPr>
        <w:pStyle w:val="SingleTxtG"/>
        <w:tabs>
          <w:tab w:val="left" w:pos="1985"/>
          <w:tab w:val="left" w:pos="2268"/>
        </w:tabs>
      </w:pPr>
      <w:r w:rsidRPr="000A2EE1">
        <w:t>2.2.41.1.1</w:t>
      </w:r>
      <w:r w:rsidRPr="000A2EE1">
        <w:tab/>
      </w:r>
      <w:r w:rsidR="00B75110" w:rsidRPr="000A2EE1">
        <w:tab/>
      </w:r>
      <w:r w:rsidRPr="000A2EE1">
        <w:t xml:space="preserve">In the first paragraph, replace “and self-reactive liquids or solids” by “, self-reactive liquids or solids and polymerizing substances”. In the second paragraph, insert </w:t>
      </w:r>
      <w:r w:rsidR="00D70838" w:rsidRPr="000A2EE1">
        <w:t>a new indent at the end to read:</w:t>
      </w:r>
    </w:p>
    <w:p w:rsidR="00E3232B" w:rsidRPr="000A2EE1" w:rsidRDefault="00E3232B" w:rsidP="00B75110">
      <w:pPr>
        <w:pStyle w:val="SingleTxtG"/>
        <w:tabs>
          <w:tab w:val="left" w:pos="1701"/>
          <w:tab w:val="left" w:pos="1985"/>
          <w:tab w:val="left" w:pos="2268"/>
        </w:tabs>
      </w:pPr>
      <w:r w:rsidRPr="000A2EE1">
        <w:t xml:space="preserve">“- </w:t>
      </w:r>
      <w:r w:rsidR="00D70838" w:rsidRPr="000A2EE1">
        <w:tab/>
      </w:r>
      <w:r w:rsidRPr="000A2EE1">
        <w:t>polymerizing substances (see 2.2.41.1.20 and 2.2.41.1.21).”.</w:t>
      </w:r>
    </w:p>
    <w:p w:rsidR="00E3232B" w:rsidRPr="000A2EE1" w:rsidRDefault="00E3232B" w:rsidP="00B75110">
      <w:pPr>
        <w:pStyle w:val="SingleTxtG"/>
        <w:tabs>
          <w:tab w:val="left" w:pos="1985"/>
          <w:tab w:val="left" w:pos="2268"/>
        </w:tabs>
        <w:rPr>
          <w:rFonts w:ascii="TimesNewRomanPSMT" w:hAnsi="TimesNewRomanPSMT" w:cs="TimesNewRomanPSMT"/>
        </w:rPr>
      </w:pPr>
      <w:r w:rsidRPr="000A2EE1">
        <w:rPr>
          <w:rFonts w:ascii="TimesNewRomanPSMT" w:hAnsi="TimesNewRomanPSMT" w:cs="TimesNewRomanPSMT"/>
        </w:rPr>
        <w:t>2.2.41.1.2</w:t>
      </w:r>
      <w:r w:rsidRPr="000A2EE1">
        <w:rPr>
          <w:rFonts w:ascii="TimesNewRomanPSMT" w:hAnsi="TimesNewRomanPSMT" w:cs="TimesNewRomanPSMT"/>
        </w:rPr>
        <w:tab/>
        <w:t>At the end, add the following new subdivisions:</w:t>
      </w:r>
    </w:p>
    <w:p w:rsidR="00E3232B" w:rsidRPr="000A2EE1" w:rsidRDefault="00E3232B" w:rsidP="00B75110">
      <w:pPr>
        <w:pStyle w:val="SingleTxtG"/>
        <w:tabs>
          <w:tab w:val="left" w:pos="1701"/>
          <w:tab w:val="left" w:pos="1985"/>
          <w:tab w:val="left" w:pos="2268"/>
        </w:tabs>
        <w:rPr>
          <w:rFonts w:ascii="TimesNewRomanPSMT" w:hAnsi="TimesNewRomanPSMT" w:cs="TimesNewRomanPSMT"/>
        </w:rPr>
      </w:pPr>
      <w:r w:rsidRPr="000A2EE1">
        <w:rPr>
          <w:rFonts w:ascii="TimesNewRomanPSMT" w:hAnsi="TimesNewRomanPSMT" w:cs="TimesNewRomanPSMT"/>
        </w:rPr>
        <w:t>“PM</w:t>
      </w:r>
      <w:r w:rsidRPr="000A2EE1">
        <w:rPr>
          <w:rFonts w:ascii="TimesNewRomanPSMT" w:hAnsi="TimesNewRomanPSMT" w:cs="TimesNewRomanPSMT"/>
        </w:rPr>
        <w:tab/>
        <w:t>Polymerizing substances</w:t>
      </w:r>
    </w:p>
    <w:p w:rsidR="00E3232B" w:rsidRPr="000A2EE1" w:rsidRDefault="00E3232B" w:rsidP="00B75110">
      <w:pPr>
        <w:pStyle w:val="SingleTxtG"/>
        <w:tabs>
          <w:tab w:val="left" w:pos="1701"/>
          <w:tab w:val="left" w:pos="1985"/>
          <w:tab w:val="left" w:pos="2268"/>
        </w:tabs>
        <w:rPr>
          <w:szCs w:val="22"/>
        </w:rPr>
      </w:pPr>
      <w:r w:rsidRPr="000A2EE1">
        <w:rPr>
          <w:rFonts w:ascii="TimesNewRomanPSMT" w:hAnsi="TimesNewRomanPSMT" w:cs="TimesNewRomanPSMT"/>
        </w:rPr>
        <w:tab/>
        <w:t>PM1</w:t>
      </w:r>
      <w:r w:rsidRPr="000A2EE1">
        <w:rPr>
          <w:rFonts w:ascii="TimesNewRomanPSMT" w:hAnsi="TimesNewRomanPSMT" w:cs="TimesNewRomanPSMT"/>
        </w:rPr>
        <w:tab/>
      </w:r>
      <w:r w:rsidRPr="000A2EE1">
        <w:rPr>
          <w:szCs w:val="22"/>
        </w:rPr>
        <w:t>Not requiring temperature control;</w:t>
      </w:r>
    </w:p>
    <w:p w:rsidR="00E3232B" w:rsidRPr="000A2EE1" w:rsidRDefault="00E3232B" w:rsidP="00B75110">
      <w:pPr>
        <w:pStyle w:val="SingleTxtG"/>
        <w:tabs>
          <w:tab w:val="left" w:pos="1701"/>
          <w:tab w:val="left" w:pos="1985"/>
          <w:tab w:val="left" w:pos="2268"/>
        </w:tabs>
        <w:ind w:left="2268" w:hanging="1134"/>
      </w:pPr>
      <w:r w:rsidRPr="000A2EE1">
        <w:rPr>
          <w:rFonts w:ascii="TimesNewRomanPSMT" w:hAnsi="TimesNewRomanPSMT" w:cs="TimesNewRomanPSMT"/>
        </w:rPr>
        <w:tab/>
        <w:t>PM2</w:t>
      </w:r>
      <w:r w:rsidRPr="000A2EE1">
        <w:rPr>
          <w:rFonts w:ascii="TimesNewRomanPSMT" w:hAnsi="TimesNewRomanPSMT" w:cs="TimesNewRomanPSMT"/>
        </w:rPr>
        <w:tab/>
      </w:r>
      <w:r w:rsidRPr="000A2EE1">
        <w:rPr>
          <w:szCs w:val="22"/>
        </w:rPr>
        <w:t>Requiring temperature control.</w:t>
      </w:r>
      <w:r w:rsidRPr="000A2EE1">
        <w:rPr>
          <w:rFonts w:ascii="TimesNewRomanPSMT" w:hAnsi="TimesNewRomanPSMT" w:cs="TimesNewRomanPSMT"/>
        </w:rPr>
        <w:t>”.</w:t>
      </w:r>
    </w:p>
    <w:p w:rsidR="00E3232B" w:rsidRPr="000A2EE1" w:rsidRDefault="00E3232B" w:rsidP="00B75110">
      <w:pPr>
        <w:pStyle w:val="SingleTxtG"/>
        <w:tabs>
          <w:tab w:val="left" w:pos="1985"/>
          <w:tab w:val="left" w:pos="2268"/>
        </w:tabs>
      </w:pPr>
      <w:r w:rsidRPr="000A2EE1">
        <w:t>2.2.41.1.2</w:t>
      </w:r>
      <w:r w:rsidRPr="000A2EE1">
        <w:tab/>
        <w:t>After “F3 Inorganic;”, insert “F4 Articles;”</w:t>
      </w:r>
    </w:p>
    <w:p w:rsidR="00E3232B" w:rsidRPr="000A2EE1" w:rsidRDefault="00E3232B" w:rsidP="00B75110">
      <w:pPr>
        <w:pStyle w:val="SingleTxtG"/>
        <w:tabs>
          <w:tab w:val="left" w:pos="1985"/>
          <w:tab w:val="left" w:pos="2268"/>
        </w:tabs>
      </w:pPr>
      <w:r w:rsidRPr="000A2EE1">
        <w:t>2.2.41</w:t>
      </w:r>
      <w:r w:rsidRPr="000A2EE1">
        <w:tab/>
        <w:t>Insert the following new sub-sections 2.2.41.1.20 and 2.2.41.1.21:</w:t>
      </w:r>
    </w:p>
    <w:p w:rsidR="00E3232B" w:rsidRPr="000A2EE1" w:rsidRDefault="00E3232B" w:rsidP="00E3232B">
      <w:pPr>
        <w:pStyle w:val="SingleTxtG"/>
        <w:rPr>
          <w:b/>
          <w:i/>
        </w:rPr>
      </w:pPr>
      <w:r w:rsidRPr="000A2EE1">
        <w:rPr>
          <w:b/>
          <w:i/>
        </w:rPr>
        <w:t xml:space="preserve">“Polymerizing substances </w:t>
      </w:r>
    </w:p>
    <w:p w:rsidR="00E3232B" w:rsidRPr="000A2EE1" w:rsidRDefault="00E3232B" w:rsidP="00E3232B">
      <w:pPr>
        <w:pStyle w:val="SingleTxtG"/>
      </w:pPr>
      <w:r w:rsidRPr="000A2EE1">
        <w:rPr>
          <w:i/>
        </w:rPr>
        <w:t>Definitions and properties</w:t>
      </w:r>
    </w:p>
    <w:p w:rsidR="00E3232B" w:rsidRPr="000A2EE1" w:rsidRDefault="00E3232B" w:rsidP="00B75110">
      <w:pPr>
        <w:pStyle w:val="SingleTxtG"/>
        <w:tabs>
          <w:tab w:val="left" w:pos="1701"/>
          <w:tab w:val="left" w:pos="1985"/>
          <w:tab w:val="left" w:pos="2268"/>
        </w:tabs>
      </w:pPr>
      <w:r w:rsidRPr="000A2EE1">
        <w:t>2.2.41.1.20</w:t>
      </w:r>
      <w:r w:rsidRPr="000A2EE1">
        <w:tab/>
      </w:r>
      <w:r w:rsidRPr="000A2EE1">
        <w:rPr>
          <w:i/>
        </w:rPr>
        <w:t>Polymerizing substances</w:t>
      </w:r>
      <w:r w:rsidRPr="000A2EE1">
        <w:t xml:space="preserve"> are substances which, without stabilization, are liable to undergo a strongly exothermic reaction resulting in the formation of larger molecules or resulting in the formation of polymers under conditions normally encountered in carriage. Such substances are considered to be polymerizing substances of Class 4.1 when: </w:t>
      </w:r>
    </w:p>
    <w:p w:rsidR="00E3232B" w:rsidRPr="000A2EE1" w:rsidRDefault="00E3232B" w:rsidP="00B75110">
      <w:pPr>
        <w:pStyle w:val="SingleTxtG"/>
        <w:tabs>
          <w:tab w:val="left" w:pos="1701"/>
          <w:tab w:val="left" w:pos="1985"/>
          <w:tab w:val="left" w:pos="2268"/>
        </w:tabs>
      </w:pPr>
      <w:r w:rsidRPr="000A2EE1">
        <w:t>(a)</w:t>
      </w:r>
      <w:r w:rsidRPr="000A2EE1">
        <w:tab/>
        <w:t>Their self-accelerating polymerization temperature (SAPT) is 75</w:t>
      </w:r>
      <w:r w:rsidRPr="000A2EE1">
        <w:rPr>
          <w:iCs/>
        </w:rPr>
        <w:t> °</w:t>
      </w:r>
      <w:r w:rsidRPr="000A2EE1">
        <w:t>C or less under the conditions (with or without chemical stabilization as offered for carriage) and in the packaging, IBC or tank in which the substance or mixture is to be carried;</w:t>
      </w:r>
    </w:p>
    <w:p w:rsidR="00E3232B" w:rsidRPr="000A2EE1" w:rsidRDefault="00E3232B" w:rsidP="00B75110">
      <w:pPr>
        <w:pStyle w:val="SingleTxtG"/>
        <w:tabs>
          <w:tab w:val="left" w:pos="1701"/>
          <w:tab w:val="left" w:pos="1985"/>
          <w:tab w:val="left" w:pos="2268"/>
        </w:tabs>
      </w:pPr>
      <w:r w:rsidRPr="000A2EE1">
        <w:t>(b)</w:t>
      </w:r>
      <w:r w:rsidRPr="000A2EE1">
        <w:tab/>
        <w:t>They exhibit a heat of reaction of more than 300 J/g; and</w:t>
      </w:r>
    </w:p>
    <w:p w:rsidR="00E3232B" w:rsidRPr="000A2EE1" w:rsidRDefault="00E3232B" w:rsidP="00B75110">
      <w:pPr>
        <w:pStyle w:val="SingleTxtG"/>
        <w:tabs>
          <w:tab w:val="left" w:pos="1701"/>
          <w:tab w:val="left" w:pos="1985"/>
          <w:tab w:val="left" w:pos="2268"/>
        </w:tabs>
      </w:pPr>
      <w:r w:rsidRPr="000A2EE1">
        <w:t>(c)</w:t>
      </w:r>
      <w:r w:rsidRPr="000A2EE1">
        <w:tab/>
        <w:t>They do not meet any other criteria for inclusion in classes 1 to 8.</w:t>
      </w:r>
    </w:p>
    <w:p w:rsidR="00E3232B" w:rsidRPr="000A2EE1" w:rsidRDefault="00E3232B" w:rsidP="00B75110">
      <w:pPr>
        <w:pStyle w:val="SingleTxtG"/>
        <w:tabs>
          <w:tab w:val="left" w:pos="1701"/>
          <w:tab w:val="left" w:pos="1985"/>
          <w:tab w:val="left" w:pos="2268"/>
        </w:tabs>
      </w:pPr>
      <w:r w:rsidRPr="000A2EE1">
        <w:t>A mixture meeting the criteria of a polymerizing substance shall be classified as a polymerizing substance of Class 4.1.</w:t>
      </w:r>
    </w:p>
    <w:p w:rsidR="00E3232B" w:rsidRPr="000A2EE1" w:rsidRDefault="00E3232B" w:rsidP="00B75110">
      <w:pPr>
        <w:pStyle w:val="SingleTxtG"/>
        <w:tabs>
          <w:tab w:val="left" w:pos="1701"/>
          <w:tab w:val="left" w:pos="1985"/>
          <w:tab w:val="left" w:pos="2268"/>
        </w:tabs>
      </w:pPr>
      <w:r w:rsidRPr="000A2EE1">
        <w:rPr>
          <w:rFonts w:ascii="TimesNewRomanPS-ItalicMT" w:hAnsi="TimesNewRomanPS-ItalicMT" w:cs="TimesNewRomanPS-ItalicMT"/>
          <w:i/>
          <w:iCs/>
          <w:lang w:eastAsia="en-GB"/>
        </w:rPr>
        <w:t>Temperature control requirements</w:t>
      </w:r>
    </w:p>
    <w:p w:rsidR="00E3232B" w:rsidRPr="000A2EE1" w:rsidRDefault="00E3232B" w:rsidP="00B75110">
      <w:pPr>
        <w:pStyle w:val="SingleTxtG"/>
        <w:tabs>
          <w:tab w:val="left" w:pos="1701"/>
          <w:tab w:val="left" w:pos="1985"/>
          <w:tab w:val="left" w:pos="2268"/>
        </w:tabs>
      </w:pPr>
      <w:r w:rsidRPr="000A2EE1">
        <w:t>2.2.41.1.21</w:t>
      </w:r>
      <w:r w:rsidRPr="000A2EE1">
        <w:tab/>
        <w:t>Polymerizing substances are subject to temperature control in carriage if their self-accelerating polymerization temperature (SAPT) is:</w:t>
      </w:r>
    </w:p>
    <w:p w:rsidR="00E3232B" w:rsidRPr="000A2EE1" w:rsidRDefault="00E3232B" w:rsidP="00B75110">
      <w:pPr>
        <w:pStyle w:val="SingleTxtG"/>
        <w:tabs>
          <w:tab w:val="left" w:pos="1701"/>
          <w:tab w:val="left" w:pos="1985"/>
          <w:tab w:val="left" w:pos="2268"/>
        </w:tabs>
      </w:pPr>
      <w:r w:rsidRPr="000A2EE1">
        <w:t>(a)</w:t>
      </w:r>
      <w:r w:rsidRPr="000A2EE1">
        <w:tab/>
        <w:t>When offered for carriage in a packaging or IBC, 50</w:t>
      </w:r>
      <w:r w:rsidRPr="000A2EE1">
        <w:rPr>
          <w:iCs/>
        </w:rPr>
        <w:t> </w:t>
      </w:r>
      <w:r w:rsidRPr="000A2EE1">
        <w:t>°C or less in the packaging or IBC in which the substance is to be carried; or</w:t>
      </w:r>
    </w:p>
    <w:p w:rsidR="00E3232B" w:rsidRPr="000A2EE1" w:rsidRDefault="00E3232B" w:rsidP="00B75110">
      <w:pPr>
        <w:pStyle w:val="SingleTxtG"/>
        <w:tabs>
          <w:tab w:val="left" w:pos="1701"/>
          <w:tab w:val="left" w:pos="1985"/>
          <w:tab w:val="left" w:pos="2268"/>
        </w:tabs>
      </w:pPr>
      <w:r w:rsidRPr="000A2EE1">
        <w:t>(b)</w:t>
      </w:r>
      <w:r w:rsidRPr="000A2EE1">
        <w:tab/>
        <w:t>When offered for carriage in a tank, 45</w:t>
      </w:r>
      <w:r w:rsidRPr="000A2EE1">
        <w:rPr>
          <w:iCs/>
        </w:rPr>
        <w:t> </w:t>
      </w:r>
      <w:r w:rsidRPr="000A2EE1">
        <w:t>°C or less in the tank in which the substance is to be carried.”.</w:t>
      </w:r>
    </w:p>
    <w:p w:rsidR="00E3232B" w:rsidRPr="000A2EE1" w:rsidRDefault="00E3232B" w:rsidP="00B75110">
      <w:pPr>
        <w:pStyle w:val="SingleTxtG"/>
        <w:tabs>
          <w:tab w:val="left" w:pos="1701"/>
          <w:tab w:val="left" w:pos="1985"/>
          <w:tab w:val="left" w:pos="2268"/>
        </w:tabs>
        <w:rPr>
          <w:snapToGrid w:val="0"/>
          <w:szCs w:val="22"/>
        </w:rPr>
      </w:pPr>
      <w:r w:rsidRPr="000A2EE1">
        <w:t>2.2.41.3</w:t>
      </w:r>
      <w:r w:rsidRPr="000A2EE1">
        <w:tab/>
      </w:r>
      <w:r w:rsidRPr="000A2EE1">
        <w:rPr>
          <w:snapToGrid w:val="0"/>
          <w:szCs w:val="22"/>
        </w:rPr>
        <w:t>Under “flammable solids - without subsidiary risk”, insert the following new arm:</w:t>
      </w:r>
    </w:p>
    <w:tbl>
      <w:tblPr>
        <w:tblW w:w="8190"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962"/>
      </w:tblGrid>
      <w:tr w:rsidR="00E3232B" w:rsidRPr="000A2EE1" w:rsidTr="009B5E14">
        <w:tc>
          <w:tcPr>
            <w:tcW w:w="3228" w:type="dxa"/>
            <w:tcBorders>
              <w:top w:val="nil"/>
              <w:left w:val="nil"/>
            </w:tcBorders>
          </w:tcPr>
          <w:p w:rsidR="00E3232B" w:rsidRPr="000A2EE1" w:rsidRDefault="00E3232B" w:rsidP="009B5E14">
            <w:pPr>
              <w:rPr>
                <w:b/>
                <w:snapToGrid w:val="0"/>
                <w:szCs w:val="22"/>
              </w:rPr>
            </w:pPr>
          </w:p>
          <w:p w:rsidR="00E3232B" w:rsidRPr="000A2EE1" w:rsidRDefault="00E3232B" w:rsidP="009B5E14">
            <w:pPr>
              <w:jc w:val="right"/>
              <w:rPr>
                <w:snapToGrid w:val="0"/>
                <w:szCs w:val="22"/>
              </w:rPr>
            </w:pPr>
            <w:r w:rsidRPr="000A2EE1">
              <w:rPr>
                <w:snapToGrid w:val="0"/>
                <w:szCs w:val="22"/>
              </w:rPr>
              <w:t>articles    F4</w:t>
            </w:r>
          </w:p>
        </w:tc>
        <w:tc>
          <w:tcPr>
            <w:tcW w:w="4962" w:type="dxa"/>
          </w:tcPr>
          <w:p w:rsidR="00E3232B" w:rsidRPr="000A2EE1" w:rsidRDefault="00E3232B" w:rsidP="009B5E14">
            <w:pPr>
              <w:ind w:left="708" w:hanging="708"/>
              <w:rPr>
                <w:snapToGrid w:val="0"/>
                <w:szCs w:val="22"/>
              </w:rPr>
            </w:pPr>
            <w:r w:rsidRPr="000A2EE1">
              <w:rPr>
                <w:snapToGrid w:val="0"/>
                <w:szCs w:val="22"/>
              </w:rPr>
              <w:t>3527</w:t>
            </w:r>
            <w:r w:rsidRPr="000A2EE1">
              <w:rPr>
                <w:snapToGrid w:val="0"/>
                <w:szCs w:val="22"/>
              </w:rPr>
              <w:tab/>
              <w:t>POLYESTER RESIN KIT, solid base material</w:t>
            </w:r>
          </w:p>
        </w:tc>
      </w:tr>
    </w:tbl>
    <w:p w:rsidR="00E3232B" w:rsidRPr="000A2EE1" w:rsidRDefault="00E3232B" w:rsidP="00E3232B"/>
    <w:tbl>
      <w:tblPr>
        <w:tblW w:w="8505" w:type="dxa"/>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701"/>
        <w:gridCol w:w="1559"/>
        <w:gridCol w:w="567"/>
        <w:gridCol w:w="4678"/>
      </w:tblGrid>
      <w:tr w:rsidR="00E3232B" w:rsidRPr="000A2EE1" w:rsidTr="009B5E14">
        <w:tc>
          <w:tcPr>
            <w:tcW w:w="3260" w:type="dxa"/>
            <w:gridSpan w:val="2"/>
            <w:tcBorders>
              <w:top w:val="nil"/>
              <w:left w:val="nil"/>
              <w:bottom w:val="nil"/>
            </w:tcBorders>
          </w:tcPr>
          <w:p w:rsidR="00E3232B" w:rsidRPr="000A2EE1" w:rsidRDefault="00E3232B" w:rsidP="00D70838">
            <w:pPr>
              <w:pStyle w:val="TabellenformatKlasse2"/>
              <w:ind w:left="71" w:firstLine="0"/>
              <w:rPr>
                <w:rFonts w:ascii="Times New Roman" w:hAnsi="Times New Roman"/>
                <w:color w:val="auto"/>
                <w:sz w:val="20"/>
                <w:lang w:val="en-GB"/>
              </w:rPr>
            </w:pPr>
            <w:r w:rsidRPr="000A2EE1">
              <w:rPr>
                <w:rFonts w:ascii="Times New Roman" w:hAnsi="Times New Roman"/>
                <w:color w:val="auto"/>
                <w:sz w:val="20"/>
                <w:lang w:val="en-GB"/>
              </w:rPr>
              <w:t>At the end, add the following arm:</w:t>
            </w:r>
          </w:p>
        </w:tc>
        <w:tc>
          <w:tcPr>
            <w:tcW w:w="5245" w:type="dxa"/>
            <w:gridSpan w:val="2"/>
            <w:tcBorders>
              <w:top w:val="nil"/>
              <w:bottom w:val="nil"/>
              <w:right w:val="nil"/>
            </w:tcBorders>
          </w:tcPr>
          <w:p w:rsidR="00E3232B" w:rsidRPr="000A2EE1" w:rsidRDefault="00E3232B" w:rsidP="009B5E14">
            <w:pPr>
              <w:pStyle w:val="TabellenformatKlasse2"/>
              <w:rPr>
                <w:rFonts w:ascii="Times New Roman" w:hAnsi="Times New Roman"/>
                <w:caps/>
                <w:color w:val="auto"/>
                <w:sz w:val="20"/>
                <w:lang w:val="en-GB"/>
              </w:rPr>
            </w:pPr>
          </w:p>
        </w:tc>
      </w:tr>
      <w:tr w:rsidR="00E3232B" w:rsidRPr="000A2EE1" w:rsidTr="009B5E14">
        <w:tc>
          <w:tcPr>
            <w:tcW w:w="1701" w:type="dxa"/>
            <w:tcBorders>
              <w:top w:val="nil"/>
              <w:left w:val="nil"/>
              <w:bottom w:val="nil"/>
              <w:right w:val="nil"/>
            </w:tcBorders>
          </w:tcPr>
          <w:p w:rsidR="00E3232B" w:rsidRPr="000A2EE1" w:rsidRDefault="00E3232B" w:rsidP="009B5E14">
            <w:pPr>
              <w:pStyle w:val="TabellenformatKlasse2"/>
              <w:ind w:left="0" w:firstLine="0"/>
              <w:rPr>
                <w:rFonts w:ascii="Times New Roman" w:hAnsi="Times New Roman"/>
                <w:color w:val="auto"/>
                <w:sz w:val="20"/>
                <w:lang w:val="en-GB"/>
              </w:rPr>
            </w:pPr>
          </w:p>
        </w:tc>
        <w:tc>
          <w:tcPr>
            <w:tcW w:w="1559" w:type="dxa"/>
            <w:tcBorders>
              <w:top w:val="nil"/>
              <w:left w:val="nil"/>
              <w:bottom w:val="single" w:sz="4" w:space="0" w:color="auto"/>
            </w:tcBorders>
          </w:tcPr>
          <w:p w:rsidR="00E3232B" w:rsidRPr="000A2EE1" w:rsidRDefault="00E3232B" w:rsidP="009B5E14">
            <w:pPr>
              <w:pStyle w:val="TabellenformatKlasse2"/>
              <w:ind w:left="0" w:firstLine="0"/>
              <w:rPr>
                <w:rFonts w:ascii="Times New Roman" w:hAnsi="Times New Roman"/>
                <w:color w:val="auto"/>
                <w:sz w:val="20"/>
                <w:lang w:val="en-GB"/>
              </w:rPr>
            </w:pPr>
          </w:p>
        </w:tc>
        <w:tc>
          <w:tcPr>
            <w:tcW w:w="567" w:type="dxa"/>
            <w:tcBorders>
              <w:top w:val="nil"/>
              <w:bottom w:val="single" w:sz="4" w:space="0" w:color="auto"/>
              <w:right w:val="nil"/>
            </w:tcBorders>
          </w:tcPr>
          <w:p w:rsidR="00E3232B" w:rsidRPr="000A2EE1" w:rsidRDefault="00E3232B" w:rsidP="009B5E14">
            <w:pPr>
              <w:pStyle w:val="TabellenformatKlasse2"/>
              <w:rPr>
                <w:rFonts w:ascii="Times New Roman" w:hAnsi="Times New Roman"/>
                <w:caps/>
                <w:color w:val="auto"/>
                <w:sz w:val="20"/>
                <w:lang w:val="en-GB"/>
              </w:rPr>
            </w:pPr>
          </w:p>
        </w:tc>
        <w:tc>
          <w:tcPr>
            <w:tcW w:w="4678" w:type="dxa"/>
            <w:tcBorders>
              <w:top w:val="nil"/>
              <w:left w:val="nil"/>
              <w:bottom w:val="single" w:sz="4" w:space="0" w:color="auto"/>
              <w:right w:val="nil"/>
            </w:tcBorders>
          </w:tcPr>
          <w:p w:rsidR="00E3232B" w:rsidRPr="000A2EE1" w:rsidRDefault="00E3232B" w:rsidP="009B5E14">
            <w:pPr>
              <w:pStyle w:val="TabellenformatKlasse2"/>
              <w:rPr>
                <w:rFonts w:ascii="Times New Roman" w:hAnsi="Times New Roman"/>
                <w:caps/>
                <w:color w:val="auto"/>
                <w:sz w:val="20"/>
                <w:lang w:val="en-GB"/>
              </w:rPr>
            </w:pPr>
          </w:p>
        </w:tc>
      </w:tr>
      <w:tr w:rsidR="00E3232B" w:rsidRPr="000A2EE1" w:rsidTr="009B5E14">
        <w:tc>
          <w:tcPr>
            <w:tcW w:w="1701" w:type="dxa"/>
            <w:tcBorders>
              <w:top w:val="nil"/>
              <w:bottom w:val="nil"/>
              <w:right w:val="single" w:sz="4" w:space="0" w:color="auto"/>
            </w:tcBorders>
          </w:tcPr>
          <w:p w:rsidR="00E3232B" w:rsidRPr="000A2EE1" w:rsidRDefault="00E3232B" w:rsidP="009B5E14">
            <w:pPr>
              <w:pStyle w:val="TabellenformatKlasse2"/>
              <w:ind w:left="0" w:firstLine="0"/>
              <w:rPr>
                <w:rFonts w:ascii="Times New Roman" w:hAnsi="Times New Roman"/>
                <w:color w:val="auto"/>
                <w:sz w:val="20"/>
                <w:lang w:val="en-GB"/>
              </w:rPr>
            </w:pPr>
          </w:p>
          <w:p w:rsidR="00E3232B" w:rsidRPr="000A2EE1" w:rsidRDefault="00E3232B" w:rsidP="009B5E14">
            <w:pPr>
              <w:pStyle w:val="TabellenformatKlasse2"/>
              <w:ind w:left="0" w:firstLine="0"/>
              <w:rPr>
                <w:rFonts w:ascii="Times New Roman" w:hAnsi="Times New Roman"/>
                <w:color w:val="auto"/>
                <w:sz w:val="20"/>
                <w:lang w:val="en-GB"/>
              </w:rPr>
            </w:pPr>
            <w:r w:rsidRPr="000A2EE1">
              <w:rPr>
                <w:rFonts w:ascii="Times New Roman" w:hAnsi="Times New Roman"/>
                <w:color w:val="auto"/>
                <w:sz w:val="20"/>
                <w:lang w:val="en-GB"/>
              </w:rPr>
              <w:t>Polymerizing substances</w:t>
            </w:r>
          </w:p>
          <w:p w:rsidR="00E3232B" w:rsidRPr="000A2EE1" w:rsidRDefault="00E3232B" w:rsidP="009B5E14">
            <w:pPr>
              <w:pStyle w:val="TabellenformatKlasse2"/>
              <w:rPr>
                <w:rFonts w:ascii="Times New Roman" w:hAnsi="Times New Roman"/>
                <w:caps/>
                <w:color w:val="auto"/>
                <w:sz w:val="20"/>
                <w:lang w:val="en-GB"/>
              </w:rPr>
            </w:pPr>
            <w:r w:rsidRPr="000A2EE1">
              <w:rPr>
                <w:rFonts w:ascii="Times New Roman" w:hAnsi="Times New Roman"/>
                <w:color w:val="auto"/>
                <w:sz w:val="20"/>
                <w:lang w:val="en-GB"/>
              </w:rPr>
              <w:t>PM</w:t>
            </w:r>
          </w:p>
        </w:tc>
        <w:tc>
          <w:tcPr>
            <w:tcW w:w="1559" w:type="dxa"/>
            <w:tcBorders>
              <w:top w:val="single" w:sz="4" w:space="0" w:color="auto"/>
              <w:left w:val="single" w:sz="4" w:space="0" w:color="auto"/>
              <w:bottom w:val="nil"/>
            </w:tcBorders>
          </w:tcPr>
          <w:p w:rsidR="00E3232B" w:rsidRPr="000A2EE1" w:rsidRDefault="00E3232B" w:rsidP="009B5E14">
            <w:pPr>
              <w:pStyle w:val="TabellenformatKlasse2"/>
              <w:ind w:left="0" w:firstLine="0"/>
              <w:rPr>
                <w:rFonts w:ascii="Times New Roman" w:hAnsi="Times New Roman"/>
                <w:color w:val="auto"/>
                <w:sz w:val="20"/>
                <w:lang w:val="en-GB"/>
              </w:rPr>
            </w:pPr>
            <w:r w:rsidRPr="000A2EE1">
              <w:rPr>
                <w:rFonts w:ascii="Times New Roman" w:hAnsi="Times New Roman"/>
                <w:color w:val="auto"/>
                <w:sz w:val="20"/>
                <w:lang w:val="en-GB"/>
              </w:rPr>
              <w:t>not requiring temperature control</w:t>
            </w:r>
          </w:p>
        </w:tc>
        <w:tc>
          <w:tcPr>
            <w:tcW w:w="567" w:type="dxa"/>
            <w:tcBorders>
              <w:top w:val="single" w:sz="4" w:space="0" w:color="auto"/>
              <w:bottom w:val="nil"/>
              <w:right w:val="single" w:sz="4" w:space="0" w:color="auto"/>
            </w:tcBorders>
          </w:tcPr>
          <w:p w:rsidR="00E3232B" w:rsidRPr="000A2EE1" w:rsidRDefault="00E3232B" w:rsidP="009B5E14">
            <w:pPr>
              <w:pStyle w:val="TabellenformatKlasse2"/>
              <w:rPr>
                <w:rFonts w:ascii="Times New Roman" w:hAnsi="Times New Roman"/>
                <w:caps/>
                <w:color w:val="auto"/>
                <w:sz w:val="20"/>
                <w:lang w:val="en-GB"/>
              </w:rPr>
            </w:pPr>
            <w:r w:rsidRPr="000A2EE1">
              <w:rPr>
                <w:rFonts w:ascii="Times New Roman" w:hAnsi="Times New Roman"/>
                <w:caps/>
                <w:color w:val="auto"/>
                <w:sz w:val="20"/>
                <w:lang w:val="en-GB"/>
              </w:rPr>
              <w:t>PM1</w:t>
            </w:r>
          </w:p>
        </w:tc>
        <w:tc>
          <w:tcPr>
            <w:tcW w:w="4678" w:type="dxa"/>
            <w:tcBorders>
              <w:top w:val="single" w:sz="4" w:space="0" w:color="auto"/>
              <w:left w:val="single" w:sz="4" w:space="0" w:color="auto"/>
              <w:bottom w:val="nil"/>
            </w:tcBorders>
          </w:tcPr>
          <w:p w:rsidR="00E3232B" w:rsidRPr="000A2EE1" w:rsidRDefault="00E3232B" w:rsidP="009B5E14">
            <w:pPr>
              <w:pStyle w:val="TabellenformatKlasse2"/>
              <w:rPr>
                <w:rFonts w:ascii="Times New Roman" w:hAnsi="Times New Roman"/>
                <w:caps/>
                <w:color w:val="auto"/>
                <w:sz w:val="20"/>
                <w:lang w:val="en-GB"/>
              </w:rPr>
            </w:pPr>
            <w:r w:rsidRPr="000A2EE1">
              <w:rPr>
                <w:rFonts w:ascii="Times New Roman" w:hAnsi="Times New Roman"/>
                <w:caps/>
                <w:color w:val="auto"/>
                <w:sz w:val="20"/>
                <w:lang w:val="en-GB"/>
              </w:rPr>
              <w:t>3531</w:t>
            </w:r>
            <w:r w:rsidRPr="000A2EE1">
              <w:rPr>
                <w:rFonts w:ascii="Times New Roman" w:hAnsi="Times New Roman"/>
                <w:caps/>
                <w:color w:val="auto"/>
                <w:sz w:val="20"/>
                <w:lang w:val="en-GB"/>
              </w:rPr>
              <w:tab/>
              <w:t>POLYMERIZING SUBSTANCE, SOLID, STABILIZED, N.O.S.</w:t>
            </w:r>
          </w:p>
          <w:p w:rsidR="00E3232B" w:rsidRPr="000A2EE1" w:rsidRDefault="00E3232B" w:rsidP="009B5E14">
            <w:pPr>
              <w:pStyle w:val="TabellenformatKlasse2"/>
              <w:rPr>
                <w:rFonts w:ascii="Times New Roman" w:hAnsi="Times New Roman"/>
                <w:caps/>
                <w:color w:val="auto"/>
                <w:sz w:val="20"/>
                <w:lang w:val="en-GB"/>
              </w:rPr>
            </w:pPr>
            <w:r w:rsidRPr="000A2EE1">
              <w:rPr>
                <w:rFonts w:ascii="Times New Roman" w:hAnsi="Times New Roman"/>
                <w:caps/>
                <w:color w:val="auto"/>
                <w:sz w:val="20"/>
                <w:lang w:val="en-GB"/>
              </w:rPr>
              <w:t>3532</w:t>
            </w:r>
            <w:r w:rsidRPr="000A2EE1">
              <w:rPr>
                <w:rFonts w:ascii="Times New Roman" w:hAnsi="Times New Roman"/>
                <w:caps/>
                <w:color w:val="auto"/>
                <w:sz w:val="20"/>
                <w:lang w:val="en-GB"/>
              </w:rPr>
              <w:tab/>
              <w:t>POLYMERIZING SUBSTANCE, LIQUID, STABILIZED, N.O.S.</w:t>
            </w:r>
          </w:p>
        </w:tc>
      </w:tr>
      <w:tr w:rsidR="00E3232B" w:rsidRPr="000A2EE1" w:rsidTr="009B5E14">
        <w:tc>
          <w:tcPr>
            <w:tcW w:w="1701" w:type="dxa"/>
            <w:tcBorders>
              <w:top w:val="single" w:sz="4" w:space="0" w:color="auto"/>
              <w:left w:val="nil"/>
              <w:bottom w:val="nil"/>
              <w:right w:val="single" w:sz="4" w:space="0" w:color="auto"/>
            </w:tcBorders>
          </w:tcPr>
          <w:p w:rsidR="00E3232B" w:rsidRPr="000A2EE1" w:rsidRDefault="00E3232B" w:rsidP="009B5E14">
            <w:pPr>
              <w:pStyle w:val="TabellenformatKlasse2"/>
              <w:rPr>
                <w:rFonts w:ascii="Times New Roman" w:hAnsi="Times New Roman"/>
                <w:color w:val="auto"/>
                <w:sz w:val="20"/>
                <w:lang w:val="en-GB"/>
              </w:rPr>
            </w:pPr>
          </w:p>
        </w:tc>
        <w:tc>
          <w:tcPr>
            <w:tcW w:w="1559" w:type="dxa"/>
            <w:tcBorders>
              <w:top w:val="nil"/>
              <w:left w:val="single" w:sz="4" w:space="0" w:color="auto"/>
              <w:bottom w:val="nil"/>
            </w:tcBorders>
          </w:tcPr>
          <w:p w:rsidR="00E3232B" w:rsidRPr="000A2EE1" w:rsidRDefault="00E3232B" w:rsidP="009B5E14">
            <w:pPr>
              <w:pStyle w:val="TabellenformatKlasse2"/>
              <w:rPr>
                <w:rFonts w:ascii="Times New Roman" w:hAnsi="Times New Roman"/>
                <w:color w:val="auto"/>
                <w:sz w:val="20"/>
                <w:u w:val="single"/>
                <w:lang w:val="en-GB"/>
              </w:rPr>
            </w:pPr>
          </w:p>
        </w:tc>
        <w:tc>
          <w:tcPr>
            <w:tcW w:w="567" w:type="dxa"/>
            <w:tcBorders>
              <w:top w:val="nil"/>
              <w:right w:val="nil"/>
            </w:tcBorders>
          </w:tcPr>
          <w:p w:rsidR="00E3232B" w:rsidRPr="000A2EE1" w:rsidRDefault="00E3232B" w:rsidP="009B5E14">
            <w:pPr>
              <w:pStyle w:val="TabellenformatKlasse2"/>
              <w:rPr>
                <w:rFonts w:ascii="Times New Roman" w:hAnsi="Times New Roman"/>
                <w:color w:val="auto"/>
                <w:sz w:val="20"/>
                <w:u w:val="single"/>
                <w:lang w:val="en-GB"/>
              </w:rPr>
            </w:pPr>
          </w:p>
        </w:tc>
        <w:tc>
          <w:tcPr>
            <w:tcW w:w="4678" w:type="dxa"/>
            <w:tcBorders>
              <w:top w:val="single" w:sz="6" w:space="0" w:color="auto"/>
              <w:left w:val="nil"/>
              <w:bottom w:val="single" w:sz="6" w:space="0" w:color="auto"/>
              <w:right w:val="nil"/>
            </w:tcBorders>
          </w:tcPr>
          <w:p w:rsidR="00E3232B" w:rsidRPr="000A2EE1" w:rsidRDefault="00E3232B" w:rsidP="009B5E14">
            <w:pPr>
              <w:pStyle w:val="TabellenformatKlasse2"/>
              <w:rPr>
                <w:rFonts w:ascii="Times New Roman" w:hAnsi="Times New Roman"/>
                <w:caps/>
                <w:color w:val="auto"/>
                <w:sz w:val="20"/>
                <w:lang w:val="en-GB"/>
              </w:rPr>
            </w:pPr>
          </w:p>
        </w:tc>
      </w:tr>
      <w:tr w:rsidR="00E3232B" w:rsidRPr="000A2EE1" w:rsidTr="009B5E14">
        <w:tc>
          <w:tcPr>
            <w:tcW w:w="1701" w:type="dxa"/>
            <w:tcBorders>
              <w:top w:val="nil"/>
              <w:left w:val="nil"/>
              <w:bottom w:val="nil"/>
              <w:right w:val="single" w:sz="4" w:space="0" w:color="auto"/>
            </w:tcBorders>
          </w:tcPr>
          <w:p w:rsidR="00E3232B" w:rsidRPr="000A2EE1" w:rsidRDefault="00E3232B" w:rsidP="009B5E14">
            <w:pPr>
              <w:pStyle w:val="TabellenformatKlasse2"/>
              <w:rPr>
                <w:rFonts w:ascii="Times New Roman" w:hAnsi="Times New Roman"/>
                <w:color w:val="auto"/>
                <w:sz w:val="20"/>
                <w:lang w:val="en-GB"/>
              </w:rPr>
            </w:pPr>
          </w:p>
        </w:tc>
        <w:tc>
          <w:tcPr>
            <w:tcW w:w="1559" w:type="dxa"/>
            <w:tcBorders>
              <w:top w:val="nil"/>
              <w:left w:val="single" w:sz="4" w:space="0" w:color="auto"/>
              <w:bottom w:val="single" w:sz="4" w:space="0" w:color="auto"/>
            </w:tcBorders>
          </w:tcPr>
          <w:p w:rsidR="00E3232B" w:rsidRPr="000A2EE1" w:rsidRDefault="00E3232B" w:rsidP="009B5E14">
            <w:pPr>
              <w:pStyle w:val="TabellenformatKlasse2"/>
              <w:ind w:left="0" w:firstLine="0"/>
              <w:rPr>
                <w:rFonts w:ascii="Times New Roman" w:hAnsi="Times New Roman"/>
                <w:color w:val="auto"/>
                <w:sz w:val="20"/>
                <w:lang w:val="en-GB"/>
              </w:rPr>
            </w:pPr>
            <w:r w:rsidRPr="000A2EE1">
              <w:rPr>
                <w:rFonts w:ascii="Times New Roman" w:hAnsi="Times New Roman"/>
                <w:color w:val="auto"/>
                <w:sz w:val="20"/>
                <w:lang w:val="en-GB"/>
              </w:rPr>
              <w:t>requiring temperature control</w:t>
            </w:r>
          </w:p>
        </w:tc>
        <w:tc>
          <w:tcPr>
            <w:tcW w:w="567" w:type="dxa"/>
            <w:tcBorders>
              <w:top w:val="nil"/>
              <w:bottom w:val="single" w:sz="4" w:space="0" w:color="auto"/>
              <w:right w:val="single" w:sz="4" w:space="0" w:color="auto"/>
            </w:tcBorders>
          </w:tcPr>
          <w:p w:rsidR="00E3232B" w:rsidRPr="000A2EE1" w:rsidRDefault="00E3232B" w:rsidP="009B5E14">
            <w:pPr>
              <w:pStyle w:val="TabellenformatKlasse2"/>
              <w:rPr>
                <w:rFonts w:ascii="Times New Roman" w:hAnsi="Times New Roman"/>
                <w:color w:val="auto"/>
                <w:sz w:val="20"/>
                <w:lang w:val="en-GB"/>
              </w:rPr>
            </w:pPr>
          </w:p>
          <w:p w:rsidR="00E3232B" w:rsidRPr="000A2EE1" w:rsidRDefault="00E3232B" w:rsidP="009B5E14">
            <w:pPr>
              <w:pStyle w:val="TabellenformatKlasse2"/>
              <w:rPr>
                <w:rFonts w:ascii="Times New Roman" w:hAnsi="Times New Roman"/>
                <w:color w:val="auto"/>
                <w:sz w:val="20"/>
                <w:lang w:val="en-GB"/>
              </w:rPr>
            </w:pPr>
            <w:r w:rsidRPr="000A2EE1">
              <w:rPr>
                <w:rFonts w:ascii="Times New Roman" w:hAnsi="Times New Roman"/>
                <w:color w:val="auto"/>
                <w:sz w:val="20"/>
                <w:lang w:val="en-GB"/>
              </w:rPr>
              <w:t>PM2</w:t>
            </w:r>
          </w:p>
        </w:tc>
        <w:tc>
          <w:tcPr>
            <w:tcW w:w="4678" w:type="dxa"/>
            <w:tcBorders>
              <w:top w:val="nil"/>
              <w:left w:val="single" w:sz="4" w:space="0" w:color="auto"/>
              <w:bottom w:val="nil"/>
            </w:tcBorders>
          </w:tcPr>
          <w:p w:rsidR="00E3232B" w:rsidRPr="000A2EE1" w:rsidRDefault="00E3232B" w:rsidP="009B5E14">
            <w:pPr>
              <w:pStyle w:val="TabellenformatKlasse2"/>
              <w:rPr>
                <w:rFonts w:ascii="Times New Roman" w:hAnsi="Times New Roman"/>
                <w:i/>
                <w:color w:val="auto"/>
                <w:sz w:val="20"/>
                <w:lang w:val="en-GB"/>
              </w:rPr>
            </w:pPr>
            <w:r w:rsidRPr="000A2EE1">
              <w:rPr>
                <w:rFonts w:ascii="Times New Roman" w:hAnsi="Times New Roman"/>
                <w:caps/>
                <w:color w:val="auto"/>
                <w:sz w:val="20"/>
                <w:lang w:val="en-GB"/>
              </w:rPr>
              <w:t>3533</w:t>
            </w:r>
            <w:r w:rsidRPr="000A2EE1">
              <w:rPr>
                <w:rFonts w:ascii="Times New Roman" w:hAnsi="Times New Roman"/>
                <w:caps/>
                <w:color w:val="auto"/>
                <w:sz w:val="20"/>
                <w:lang w:val="en-GB"/>
              </w:rPr>
              <w:tab/>
              <w:t xml:space="preserve">POLYMERIZING SUBSTANCE, SOLID, TEMPERATURE CONTROLLED, N.O.S. </w:t>
            </w:r>
          </w:p>
        </w:tc>
      </w:tr>
      <w:tr w:rsidR="00E3232B" w:rsidRPr="000A2EE1" w:rsidTr="009B5E14">
        <w:tc>
          <w:tcPr>
            <w:tcW w:w="1701" w:type="dxa"/>
            <w:tcBorders>
              <w:top w:val="nil"/>
              <w:left w:val="nil"/>
              <w:bottom w:val="nil"/>
              <w:right w:val="nil"/>
            </w:tcBorders>
          </w:tcPr>
          <w:p w:rsidR="00E3232B" w:rsidRPr="000A2EE1" w:rsidRDefault="00E3232B" w:rsidP="009B5E14">
            <w:pPr>
              <w:pStyle w:val="TabellenformatKlasse2"/>
              <w:rPr>
                <w:rFonts w:ascii="Times New Roman" w:hAnsi="Times New Roman"/>
                <w:color w:val="auto"/>
                <w:sz w:val="20"/>
                <w:lang w:val="en-GB"/>
              </w:rPr>
            </w:pPr>
          </w:p>
        </w:tc>
        <w:tc>
          <w:tcPr>
            <w:tcW w:w="1559" w:type="dxa"/>
            <w:tcBorders>
              <w:top w:val="single" w:sz="4" w:space="0" w:color="auto"/>
              <w:left w:val="nil"/>
              <w:bottom w:val="nil"/>
            </w:tcBorders>
          </w:tcPr>
          <w:p w:rsidR="00E3232B" w:rsidRPr="000A2EE1" w:rsidRDefault="00E3232B" w:rsidP="009B5E14">
            <w:pPr>
              <w:pStyle w:val="TabellenformatKlasse2"/>
              <w:rPr>
                <w:rFonts w:ascii="Times New Roman" w:hAnsi="Times New Roman"/>
                <w:color w:val="auto"/>
                <w:sz w:val="20"/>
                <w:u w:val="single"/>
                <w:lang w:val="en-GB"/>
              </w:rPr>
            </w:pPr>
          </w:p>
        </w:tc>
        <w:tc>
          <w:tcPr>
            <w:tcW w:w="567" w:type="dxa"/>
            <w:tcBorders>
              <w:top w:val="single" w:sz="4" w:space="0" w:color="auto"/>
              <w:bottom w:val="nil"/>
              <w:right w:val="single" w:sz="4" w:space="0" w:color="auto"/>
            </w:tcBorders>
          </w:tcPr>
          <w:p w:rsidR="00E3232B" w:rsidRPr="000A2EE1" w:rsidRDefault="00E3232B" w:rsidP="009B5E14">
            <w:pPr>
              <w:pStyle w:val="TabellenformatKlasse2"/>
              <w:rPr>
                <w:rFonts w:ascii="Times New Roman" w:hAnsi="Times New Roman"/>
                <w:color w:val="auto"/>
                <w:sz w:val="20"/>
                <w:u w:val="single"/>
                <w:lang w:val="en-GB"/>
              </w:rPr>
            </w:pPr>
          </w:p>
        </w:tc>
        <w:tc>
          <w:tcPr>
            <w:tcW w:w="4678" w:type="dxa"/>
            <w:tcBorders>
              <w:top w:val="nil"/>
              <w:left w:val="single" w:sz="4" w:space="0" w:color="auto"/>
              <w:bottom w:val="single" w:sz="4" w:space="0" w:color="auto"/>
            </w:tcBorders>
          </w:tcPr>
          <w:p w:rsidR="00E3232B" w:rsidRPr="000A2EE1" w:rsidRDefault="00E3232B" w:rsidP="009B5E14">
            <w:pPr>
              <w:pStyle w:val="TabellenformatKlasse2"/>
              <w:rPr>
                <w:rFonts w:ascii="Times New Roman" w:hAnsi="Times New Roman"/>
                <w:i/>
                <w:color w:val="auto"/>
                <w:sz w:val="20"/>
                <w:lang w:val="en-GB"/>
              </w:rPr>
            </w:pPr>
            <w:r w:rsidRPr="000A2EE1">
              <w:rPr>
                <w:rFonts w:ascii="Times New Roman" w:hAnsi="Times New Roman"/>
                <w:caps/>
                <w:color w:val="auto"/>
                <w:sz w:val="20"/>
                <w:lang w:val="en-GB"/>
              </w:rPr>
              <w:t>3534</w:t>
            </w:r>
            <w:r w:rsidRPr="000A2EE1">
              <w:rPr>
                <w:rFonts w:ascii="Times New Roman" w:hAnsi="Times New Roman"/>
                <w:caps/>
                <w:color w:val="auto"/>
                <w:sz w:val="20"/>
                <w:lang w:val="en-GB"/>
              </w:rPr>
              <w:tab/>
              <w:t xml:space="preserve">POLYMERIZING SUBSTANCE, liquid, TEMPERATURE CONTROLLED, N.O.S. </w:t>
            </w:r>
          </w:p>
        </w:tc>
      </w:tr>
    </w:tbl>
    <w:p w:rsidR="00E3232B" w:rsidRPr="000A2EE1" w:rsidRDefault="00E3232B" w:rsidP="00B75110">
      <w:pPr>
        <w:pStyle w:val="SingleTxtG"/>
        <w:tabs>
          <w:tab w:val="left" w:pos="1985"/>
        </w:tabs>
        <w:spacing w:before="120"/>
      </w:pPr>
      <w:r w:rsidRPr="000A2EE1">
        <w:t>2.2.52.4</w:t>
      </w:r>
      <w:r w:rsidRPr="000A2EE1">
        <w:tab/>
        <w:t>In the table, amend the entries listed below as indicated:</w:t>
      </w:r>
    </w:p>
    <w:tbl>
      <w:tblPr>
        <w:tblW w:w="7365" w:type="dxa"/>
        <w:tblInd w:w="1134" w:type="dxa"/>
        <w:tblLayout w:type="fixed"/>
        <w:tblCellMar>
          <w:left w:w="0" w:type="dxa"/>
          <w:right w:w="0" w:type="dxa"/>
        </w:tblCellMar>
        <w:tblLook w:val="01E0" w:firstRow="1" w:lastRow="1" w:firstColumn="1" w:lastColumn="1" w:noHBand="0" w:noVBand="0"/>
      </w:tblPr>
      <w:tblGrid>
        <w:gridCol w:w="2572"/>
        <w:gridCol w:w="1109"/>
        <w:gridCol w:w="1848"/>
        <w:gridCol w:w="1836"/>
      </w:tblGrid>
      <w:tr w:rsidR="00E3232B" w:rsidRPr="000A2EE1" w:rsidTr="00791E53">
        <w:trPr>
          <w:tblHeader/>
        </w:trPr>
        <w:tc>
          <w:tcPr>
            <w:tcW w:w="3681" w:type="dxa"/>
            <w:gridSpan w:val="2"/>
            <w:tcBorders>
              <w:top w:val="single" w:sz="4" w:space="0" w:color="auto"/>
              <w:left w:val="nil"/>
              <w:bottom w:val="single" w:sz="12" w:space="0" w:color="auto"/>
              <w:right w:val="nil"/>
            </w:tcBorders>
            <w:vAlign w:val="bottom"/>
            <w:hideMark/>
          </w:tcPr>
          <w:p w:rsidR="00E3232B" w:rsidRPr="000A2EE1" w:rsidRDefault="00E3232B" w:rsidP="009B5E14">
            <w:pPr>
              <w:spacing w:before="80" w:after="80" w:line="200" w:lineRule="exact"/>
              <w:ind w:right="113"/>
              <w:rPr>
                <w:i/>
                <w:sz w:val="16"/>
              </w:rPr>
            </w:pPr>
            <w:r w:rsidRPr="000A2EE1">
              <w:rPr>
                <w:i/>
                <w:sz w:val="16"/>
              </w:rPr>
              <w:t>Organic peroxide</w:t>
            </w:r>
          </w:p>
        </w:tc>
        <w:tc>
          <w:tcPr>
            <w:tcW w:w="1848" w:type="dxa"/>
            <w:tcBorders>
              <w:top w:val="single" w:sz="4" w:space="0" w:color="auto"/>
              <w:left w:val="nil"/>
              <w:bottom w:val="single" w:sz="12" w:space="0" w:color="auto"/>
              <w:right w:val="nil"/>
            </w:tcBorders>
            <w:vAlign w:val="bottom"/>
            <w:hideMark/>
          </w:tcPr>
          <w:p w:rsidR="00E3232B" w:rsidRPr="000A2EE1" w:rsidRDefault="00E3232B" w:rsidP="009B5E14">
            <w:pPr>
              <w:spacing w:before="80" w:after="80" w:line="200" w:lineRule="exact"/>
              <w:ind w:right="113"/>
              <w:rPr>
                <w:i/>
                <w:sz w:val="16"/>
              </w:rPr>
            </w:pPr>
            <w:r w:rsidRPr="000A2EE1">
              <w:rPr>
                <w:i/>
                <w:sz w:val="16"/>
              </w:rPr>
              <w:t>Column</w:t>
            </w:r>
          </w:p>
        </w:tc>
        <w:tc>
          <w:tcPr>
            <w:tcW w:w="1836" w:type="dxa"/>
            <w:tcBorders>
              <w:top w:val="single" w:sz="4" w:space="0" w:color="auto"/>
              <w:left w:val="nil"/>
              <w:bottom w:val="single" w:sz="12" w:space="0" w:color="auto"/>
              <w:right w:val="nil"/>
            </w:tcBorders>
            <w:vAlign w:val="bottom"/>
            <w:hideMark/>
          </w:tcPr>
          <w:p w:rsidR="00E3232B" w:rsidRPr="000A2EE1" w:rsidRDefault="00E3232B" w:rsidP="009B5E14">
            <w:pPr>
              <w:spacing w:before="80" w:after="80" w:line="200" w:lineRule="exact"/>
              <w:ind w:right="113"/>
              <w:rPr>
                <w:i/>
                <w:sz w:val="16"/>
              </w:rPr>
            </w:pPr>
            <w:r w:rsidRPr="000A2EE1">
              <w:rPr>
                <w:i/>
                <w:sz w:val="16"/>
              </w:rPr>
              <w:t>Amendment</w:t>
            </w:r>
          </w:p>
        </w:tc>
      </w:tr>
      <w:tr w:rsidR="00E3232B" w:rsidRPr="000A2EE1" w:rsidTr="00791E53">
        <w:tc>
          <w:tcPr>
            <w:tcW w:w="2572" w:type="dxa"/>
            <w:tcBorders>
              <w:top w:val="single" w:sz="12" w:space="0" w:color="auto"/>
              <w:left w:val="nil"/>
              <w:right w:val="nil"/>
            </w:tcBorders>
          </w:tcPr>
          <w:p w:rsidR="00E3232B" w:rsidRPr="000A2EE1" w:rsidRDefault="00E3232B" w:rsidP="009B5E14">
            <w:pPr>
              <w:spacing w:before="40" w:after="120"/>
              <w:ind w:right="113"/>
              <w:rPr>
                <w:sz w:val="18"/>
              </w:rPr>
            </w:pPr>
            <w:r w:rsidRPr="000A2EE1">
              <w:rPr>
                <w:sz w:val="18"/>
              </w:rPr>
              <w:t>DIBENZOYL PEROXIDE</w:t>
            </w:r>
          </w:p>
        </w:tc>
        <w:tc>
          <w:tcPr>
            <w:tcW w:w="1109" w:type="dxa"/>
            <w:tcBorders>
              <w:top w:val="single" w:sz="12" w:space="0" w:color="auto"/>
              <w:left w:val="nil"/>
              <w:right w:val="nil"/>
            </w:tcBorders>
          </w:tcPr>
          <w:p w:rsidR="00E3232B" w:rsidRPr="000A2EE1" w:rsidRDefault="00E3232B" w:rsidP="009B5E14">
            <w:pPr>
              <w:spacing w:before="40" w:after="120"/>
              <w:ind w:right="113"/>
              <w:rPr>
                <w:sz w:val="18"/>
              </w:rPr>
            </w:pPr>
            <w:r w:rsidRPr="000A2EE1">
              <w:rPr>
                <w:sz w:val="18"/>
              </w:rPr>
              <w:t>(first row)</w:t>
            </w:r>
          </w:p>
        </w:tc>
        <w:tc>
          <w:tcPr>
            <w:tcW w:w="1848" w:type="dxa"/>
            <w:tcBorders>
              <w:top w:val="single" w:sz="12" w:space="0" w:color="auto"/>
              <w:left w:val="nil"/>
              <w:right w:val="nil"/>
            </w:tcBorders>
          </w:tcPr>
          <w:p w:rsidR="00E3232B" w:rsidRPr="000A2EE1" w:rsidRDefault="00E3232B" w:rsidP="009B5E14">
            <w:pPr>
              <w:spacing w:before="40" w:after="120"/>
              <w:ind w:right="113"/>
              <w:rPr>
                <w:sz w:val="18"/>
              </w:rPr>
            </w:pPr>
            <w:r w:rsidRPr="000A2EE1">
              <w:rPr>
                <w:sz w:val="18"/>
              </w:rPr>
              <w:t>Concentration (%)</w:t>
            </w:r>
          </w:p>
        </w:tc>
        <w:tc>
          <w:tcPr>
            <w:tcW w:w="1836" w:type="dxa"/>
            <w:tcBorders>
              <w:top w:val="single" w:sz="12" w:space="0" w:color="auto"/>
              <w:left w:val="nil"/>
              <w:right w:val="nil"/>
            </w:tcBorders>
          </w:tcPr>
          <w:p w:rsidR="00E3232B" w:rsidRPr="000A2EE1" w:rsidRDefault="00E3232B" w:rsidP="00791E53">
            <w:pPr>
              <w:spacing w:before="40" w:after="120"/>
              <w:ind w:right="113"/>
              <w:rPr>
                <w:sz w:val="18"/>
              </w:rPr>
            </w:pPr>
            <w:r w:rsidRPr="000A2EE1">
              <w:rPr>
                <w:sz w:val="18"/>
              </w:rPr>
              <w:t xml:space="preserve">Replace </w:t>
            </w:r>
            <w:r w:rsidR="00791E53" w:rsidRPr="000A2EE1">
              <w:rPr>
                <w:sz w:val="18"/>
              </w:rPr>
              <w:t>“</w:t>
            </w:r>
            <w:r w:rsidRPr="000A2EE1">
              <w:rPr>
                <w:sz w:val="18"/>
              </w:rPr>
              <w:t xml:space="preserve">&gt;51 </w:t>
            </w:r>
            <w:r w:rsidR="00791E53" w:rsidRPr="000A2EE1">
              <w:rPr>
                <w:sz w:val="18"/>
              </w:rPr>
              <w:t>–</w:t>
            </w:r>
            <w:r w:rsidRPr="000A2EE1">
              <w:rPr>
                <w:sz w:val="18"/>
              </w:rPr>
              <w:t xml:space="preserve"> 100</w:t>
            </w:r>
            <w:r w:rsidR="00791E53" w:rsidRPr="000A2EE1">
              <w:rPr>
                <w:sz w:val="18"/>
              </w:rPr>
              <w:t>”</w:t>
            </w:r>
            <w:r w:rsidRPr="000A2EE1">
              <w:rPr>
                <w:sz w:val="18"/>
              </w:rPr>
              <w:t xml:space="preserve"> by </w:t>
            </w:r>
            <w:r w:rsidR="00791E53" w:rsidRPr="000A2EE1">
              <w:rPr>
                <w:sz w:val="18"/>
              </w:rPr>
              <w:t>“</w:t>
            </w:r>
            <w:r w:rsidRPr="000A2EE1">
              <w:rPr>
                <w:sz w:val="18"/>
              </w:rPr>
              <w:t xml:space="preserve">&gt;52 </w:t>
            </w:r>
            <w:r w:rsidR="00791E53" w:rsidRPr="000A2EE1">
              <w:rPr>
                <w:sz w:val="18"/>
              </w:rPr>
              <w:t>–</w:t>
            </w:r>
            <w:r w:rsidRPr="000A2EE1">
              <w:rPr>
                <w:sz w:val="18"/>
              </w:rPr>
              <w:t xml:space="preserve"> 100</w:t>
            </w:r>
            <w:r w:rsidR="00791E53" w:rsidRPr="000A2EE1">
              <w:rPr>
                <w:sz w:val="18"/>
              </w:rPr>
              <w:t>”</w:t>
            </w:r>
          </w:p>
        </w:tc>
      </w:tr>
      <w:tr w:rsidR="00E3232B" w:rsidRPr="000A2EE1" w:rsidTr="00791E53">
        <w:tc>
          <w:tcPr>
            <w:tcW w:w="2572" w:type="dxa"/>
            <w:tcBorders>
              <w:left w:val="nil"/>
              <w:bottom w:val="nil"/>
              <w:right w:val="nil"/>
            </w:tcBorders>
            <w:hideMark/>
          </w:tcPr>
          <w:p w:rsidR="00E3232B" w:rsidRPr="000A2EE1" w:rsidRDefault="00E3232B" w:rsidP="009B5E14">
            <w:pPr>
              <w:spacing w:before="40" w:after="120"/>
              <w:ind w:right="113"/>
              <w:rPr>
                <w:sz w:val="18"/>
                <w:szCs w:val="18"/>
              </w:rPr>
            </w:pPr>
            <w:r w:rsidRPr="000A2EE1">
              <w:rPr>
                <w:sz w:val="18"/>
              </w:rPr>
              <w:t>tert-BUTYL CUMYL PEROXIDE</w:t>
            </w:r>
          </w:p>
        </w:tc>
        <w:tc>
          <w:tcPr>
            <w:tcW w:w="1109" w:type="dxa"/>
            <w:tcBorders>
              <w:left w:val="nil"/>
              <w:bottom w:val="nil"/>
              <w:right w:val="nil"/>
            </w:tcBorders>
            <w:hideMark/>
          </w:tcPr>
          <w:p w:rsidR="00E3232B" w:rsidRPr="000A2EE1" w:rsidRDefault="00E3232B" w:rsidP="009B5E14">
            <w:pPr>
              <w:spacing w:before="40" w:after="120"/>
              <w:ind w:right="113"/>
              <w:rPr>
                <w:sz w:val="18"/>
                <w:szCs w:val="18"/>
              </w:rPr>
            </w:pPr>
            <w:r w:rsidRPr="000A2EE1">
              <w:rPr>
                <w:sz w:val="18"/>
              </w:rPr>
              <w:t>(first row)</w:t>
            </w:r>
          </w:p>
        </w:tc>
        <w:tc>
          <w:tcPr>
            <w:tcW w:w="1848" w:type="dxa"/>
            <w:tcBorders>
              <w:left w:val="nil"/>
              <w:bottom w:val="nil"/>
              <w:right w:val="nil"/>
            </w:tcBorders>
            <w:hideMark/>
          </w:tcPr>
          <w:p w:rsidR="00E3232B" w:rsidRPr="000A2EE1" w:rsidRDefault="00E3232B" w:rsidP="009B5E14">
            <w:pPr>
              <w:spacing w:before="40" w:after="120"/>
              <w:ind w:right="113"/>
              <w:rPr>
                <w:sz w:val="18"/>
                <w:szCs w:val="18"/>
              </w:rPr>
            </w:pPr>
            <w:r w:rsidRPr="000A2EE1">
              <w:rPr>
                <w:sz w:val="18"/>
                <w:szCs w:val="18"/>
              </w:rPr>
              <w:t>Number (Generic entry)</w:t>
            </w:r>
          </w:p>
        </w:tc>
        <w:tc>
          <w:tcPr>
            <w:tcW w:w="1836" w:type="dxa"/>
            <w:tcBorders>
              <w:left w:val="nil"/>
              <w:bottom w:val="nil"/>
              <w:right w:val="nil"/>
            </w:tcBorders>
            <w:hideMark/>
          </w:tcPr>
          <w:p w:rsidR="00E3232B" w:rsidRPr="000A2EE1" w:rsidRDefault="00E3232B" w:rsidP="00791E53">
            <w:pPr>
              <w:spacing w:before="40" w:after="120"/>
              <w:ind w:right="113"/>
              <w:rPr>
                <w:sz w:val="18"/>
                <w:szCs w:val="18"/>
              </w:rPr>
            </w:pPr>
            <w:r w:rsidRPr="000A2EE1">
              <w:rPr>
                <w:sz w:val="18"/>
                <w:szCs w:val="18"/>
              </w:rPr>
              <w:t xml:space="preserve">Replace </w:t>
            </w:r>
            <w:r w:rsidR="00791E53" w:rsidRPr="000A2EE1">
              <w:rPr>
                <w:sz w:val="18"/>
                <w:szCs w:val="18"/>
              </w:rPr>
              <w:t>“</w:t>
            </w:r>
            <w:r w:rsidRPr="000A2EE1">
              <w:rPr>
                <w:sz w:val="18"/>
                <w:szCs w:val="18"/>
              </w:rPr>
              <w:t>3107</w:t>
            </w:r>
            <w:r w:rsidR="00791E53" w:rsidRPr="000A2EE1">
              <w:rPr>
                <w:sz w:val="18"/>
                <w:szCs w:val="18"/>
              </w:rPr>
              <w:t>”</w:t>
            </w:r>
            <w:r w:rsidRPr="000A2EE1">
              <w:rPr>
                <w:sz w:val="18"/>
                <w:szCs w:val="18"/>
              </w:rPr>
              <w:t xml:space="preserve"> by </w:t>
            </w:r>
            <w:r w:rsidR="00791E53" w:rsidRPr="000A2EE1">
              <w:rPr>
                <w:sz w:val="18"/>
                <w:szCs w:val="18"/>
              </w:rPr>
              <w:t>“</w:t>
            </w:r>
            <w:r w:rsidRPr="000A2EE1">
              <w:rPr>
                <w:sz w:val="18"/>
                <w:szCs w:val="18"/>
              </w:rPr>
              <w:t>3109</w:t>
            </w:r>
            <w:r w:rsidR="00791E53" w:rsidRPr="000A2EE1">
              <w:rPr>
                <w:sz w:val="18"/>
                <w:szCs w:val="18"/>
              </w:rPr>
              <w:t>”</w:t>
            </w:r>
          </w:p>
        </w:tc>
      </w:tr>
      <w:tr w:rsidR="00E3232B" w:rsidRPr="000A2EE1" w:rsidTr="00791E53">
        <w:tc>
          <w:tcPr>
            <w:tcW w:w="2572" w:type="dxa"/>
            <w:tcBorders>
              <w:top w:val="nil"/>
              <w:left w:val="nil"/>
              <w:bottom w:val="nil"/>
              <w:right w:val="nil"/>
            </w:tcBorders>
            <w:hideMark/>
          </w:tcPr>
          <w:p w:rsidR="00E3232B" w:rsidRPr="000A2EE1" w:rsidRDefault="00E3232B" w:rsidP="009B5E14">
            <w:pPr>
              <w:spacing w:before="40" w:after="120"/>
              <w:ind w:right="113"/>
              <w:rPr>
                <w:sz w:val="18"/>
                <w:szCs w:val="18"/>
              </w:rPr>
            </w:pPr>
            <w:r w:rsidRPr="000A2EE1">
              <w:rPr>
                <w:sz w:val="18"/>
              </w:rPr>
              <w:t>DICETYL PEROXYDICARBONATE</w:t>
            </w:r>
          </w:p>
        </w:tc>
        <w:tc>
          <w:tcPr>
            <w:tcW w:w="1109" w:type="dxa"/>
            <w:tcBorders>
              <w:top w:val="nil"/>
              <w:left w:val="nil"/>
              <w:bottom w:val="nil"/>
              <w:right w:val="nil"/>
            </w:tcBorders>
            <w:hideMark/>
          </w:tcPr>
          <w:p w:rsidR="00E3232B" w:rsidRPr="000A2EE1" w:rsidRDefault="00E3232B" w:rsidP="009B5E14">
            <w:pPr>
              <w:spacing w:before="40" w:after="120"/>
              <w:ind w:right="113"/>
              <w:rPr>
                <w:sz w:val="18"/>
                <w:szCs w:val="18"/>
              </w:rPr>
            </w:pPr>
            <w:r w:rsidRPr="000A2EE1">
              <w:rPr>
                <w:sz w:val="18"/>
              </w:rPr>
              <w:t>(first row)</w:t>
            </w:r>
          </w:p>
        </w:tc>
        <w:tc>
          <w:tcPr>
            <w:tcW w:w="1848" w:type="dxa"/>
            <w:tcBorders>
              <w:top w:val="nil"/>
              <w:left w:val="nil"/>
              <w:bottom w:val="nil"/>
              <w:right w:val="nil"/>
            </w:tcBorders>
            <w:hideMark/>
          </w:tcPr>
          <w:p w:rsidR="00E3232B" w:rsidRPr="000A2EE1" w:rsidRDefault="00E3232B" w:rsidP="009B5E14">
            <w:pPr>
              <w:spacing w:before="40" w:after="120"/>
              <w:ind w:right="113"/>
              <w:rPr>
                <w:sz w:val="18"/>
                <w:szCs w:val="18"/>
              </w:rPr>
            </w:pPr>
            <w:r w:rsidRPr="000A2EE1">
              <w:rPr>
                <w:sz w:val="18"/>
                <w:szCs w:val="18"/>
              </w:rPr>
              <w:t>Packing Method</w:t>
            </w:r>
          </w:p>
        </w:tc>
        <w:tc>
          <w:tcPr>
            <w:tcW w:w="1836" w:type="dxa"/>
            <w:tcBorders>
              <w:top w:val="nil"/>
              <w:left w:val="nil"/>
              <w:bottom w:val="nil"/>
              <w:right w:val="nil"/>
            </w:tcBorders>
            <w:hideMark/>
          </w:tcPr>
          <w:p w:rsidR="00E3232B" w:rsidRPr="000A2EE1" w:rsidRDefault="00E3232B" w:rsidP="00791E53">
            <w:pPr>
              <w:spacing w:before="40" w:after="120"/>
              <w:ind w:right="113"/>
              <w:rPr>
                <w:sz w:val="18"/>
                <w:szCs w:val="18"/>
              </w:rPr>
            </w:pPr>
            <w:r w:rsidRPr="000A2EE1">
              <w:rPr>
                <w:sz w:val="18"/>
                <w:szCs w:val="18"/>
              </w:rPr>
              <w:t xml:space="preserve">Replace </w:t>
            </w:r>
            <w:r w:rsidR="00791E53" w:rsidRPr="000A2EE1">
              <w:rPr>
                <w:sz w:val="18"/>
                <w:szCs w:val="18"/>
              </w:rPr>
              <w:t>“</w:t>
            </w:r>
            <w:r w:rsidRPr="000A2EE1">
              <w:rPr>
                <w:sz w:val="18"/>
                <w:szCs w:val="18"/>
              </w:rPr>
              <w:t>OP7</w:t>
            </w:r>
            <w:r w:rsidR="00791E53" w:rsidRPr="000A2EE1">
              <w:rPr>
                <w:sz w:val="18"/>
                <w:szCs w:val="18"/>
              </w:rPr>
              <w:t>”</w:t>
            </w:r>
            <w:r w:rsidRPr="000A2EE1">
              <w:rPr>
                <w:sz w:val="18"/>
                <w:szCs w:val="18"/>
              </w:rPr>
              <w:t xml:space="preserve"> by </w:t>
            </w:r>
            <w:r w:rsidR="00791E53" w:rsidRPr="000A2EE1">
              <w:rPr>
                <w:sz w:val="18"/>
                <w:szCs w:val="18"/>
              </w:rPr>
              <w:t>“</w:t>
            </w:r>
            <w:r w:rsidRPr="000A2EE1">
              <w:rPr>
                <w:sz w:val="18"/>
                <w:szCs w:val="18"/>
              </w:rPr>
              <w:t>OP8</w:t>
            </w:r>
            <w:r w:rsidR="00791E53" w:rsidRPr="000A2EE1">
              <w:rPr>
                <w:sz w:val="18"/>
                <w:szCs w:val="18"/>
              </w:rPr>
              <w:t>”</w:t>
            </w:r>
          </w:p>
        </w:tc>
      </w:tr>
      <w:tr w:rsidR="00E3232B" w:rsidRPr="000A2EE1" w:rsidTr="00791E53">
        <w:tc>
          <w:tcPr>
            <w:tcW w:w="2572" w:type="dxa"/>
            <w:tcBorders>
              <w:top w:val="nil"/>
              <w:left w:val="nil"/>
              <w:bottom w:val="nil"/>
              <w:right w:val="nil"/>
            </w:tcBorders>
          </w:tcPr>
          <w:p w:rsidR="00E3232B" w:rsidRPr="000A2EE1" w:rsidRDefault="00E3232B" w:rsidP="009B5E14">
            <w:pPr>
              <w:spacing w:before="40" w:after="120"/>
              <w:ind w:right="113"/>
              <w:rPr>
                <w:sz w:val="18"/>
              </w:rPr>
            </w:pPr>
            <w:r w:rsidRPr="000A2EE1">
              <w:rPr>
                <w:sz w:val="18"/>
              </w:rPr>
              <w:t>DICETYL PEROXYDICARBONATE</w:t>
            </w:r>
          </w:p>
        </w:tc>
        <w:tc>
          <w:tcPr>
            <w:tcW w:w="1109" w:type="dxa"/>
            <w:tcBorders>
              <w:top w:val="nil"/>
              <w:left w:val="nil"/>
              <w:bottom w:val="nil"/>
              <w:right w:val="nil"/>
            </w:tcBorders>
          </w:tcPr>
          <w:p w:rsidR="00E3232B" w:rsidRPr="000A2EE1" w:rsidRDefault="00E3232B" w:rsidP="009B5E14">
            <w:pPr>
              <w:spacing w:before="40" w:after="120"/>
              <w:ind w:right="113"/>
              <w:rPr>
                <w:sz w:val="18"/>
                <w:szCs w:val="18"/>
              </w:rPr>
            </w:pPr>
            <w:r w:rsidRPr="000A2EE1">
              <w:rPr>
                <w:sz w:val="18"/>
              </w:rPr>
              <w:t>(first row)</w:t>
            </w:r>
          </w:p>
        </w:tc>
        <w:tc>
          <w:tcPr>
            <w:tcW w:w="1848" w:type="dxa"/>
            <w:tcBorders>
              <w:top w:val="nil"/>
              <w:left w:val="nil"/>
              <w:bottom w:val="nil"/>
              <w:right w:val="nil"/>
            </w:tcBorders>
          </w:tcPr>
          <w:p w:rsidR="00E3232B" w:rsidRPr="000A2EE1" w:rsidRDefault="00E3232B" w:rsidP="009B5E14">
            <w:pPr>
              <w:spacing w:before="40" w:after="120"/>
              <w:ind w:right="113"/>
              <w:rPr>
                <w:sz w:val="18"/>
                <w:szCs w:val="18"/>
              </w:rPr>
            </w:pPr>
            <w:r w:rsidRPr="000A2EE1">
              <w:rPr>
                <w:sz w:val="18"/>
                <w:szCs w:val="18"/>
              </w:rPr>
              <w:t>Number (Generic entry)</w:t>
            </w:r>
          </w:p>
        </w:tc>
        <w:tc>
          <w:tcPr>
            <w:tcW w:w="1836" w:type="dxa"/>
            <w:tcBorders>
              <w:top w:val="nil"/>
              <w:left w:val="nil"/>
              <w:bottom w:val="nil"/>
              <w:right w:val="nil"/>
            </w:tcBorders>
          </w:tcPr>
          <w:p w:rsidR="00E3232B" w:rsidRPr="000A2EE1" w:rsidRDefault="00E3232B" w:rsidP="00791E53">
            <w:pPr>
              <w:spacing w:before="40" w:after="120"/>
              <w:ind w:right="113"/>
              <w:rPr>
                <w:sz w:val="18"/>
                <w:szCs w:val="18"/>
              </w:rPr>
            </w:pPr>
            <w:r w:rsidRPr="000A2EE1">
              <w:rPr>
                <w:sz w:val="18"/>
                <w:szCs w:val="18"/>
              </w:rPr>
              <w:t xml:space="preserve">Replace </w:t>
            </w:r>
            <w:r w:rsidR="00791E53" w:rsidRPr="000A2EE1">
              <w:rPr>
                <w:sz w:val="18"/>
                <w:szCs w:val="18"/>
              </w:rPr>
              <w:t>“</w:t>
            </w:r>
            <w:r w:rsidRPr="000A2EE1">
              <w:rPr>
                <w:sz w:val="18"/>
                <w:szCs w:val="18"/>
              </w:rPr>
              <w:t>3116</w:t>
            </w:r>
            <w:r w:rsidR="00791E53" w:rsidRPr="000A2EE1">
              <w:rPr>
                <w:sz w:val="18"/>
                <w:szCs w:val="18"/>
              </w:rPr>
              <w:t>”</w:t>
            </w:r>
            <w:r w:rsidRPr="000A2EE1">
              <w:rPr>
                <w:sz w:val="18"/>
                <w:szCs w:val="18"/>
              </w:rPr>
              <w:t xml:space="preserve"> by </w:t>
            </w:r>
            <w:r w:rsidR="00791E53" w:rsidRPr="000A2EE1">
              <w:rPr>
                <w:sz w:val="18"/>
                <w:szCs w:val="18"/>
              </w:rPr>
              <w:t>“</w:t>
            </w:r>
            <w:r w:rsidRPr="000A2EE1">
              <w:rPr>
                <w:sz w:val="18"/>
                <w:szCs w:val="18"/>
              </w:rPr>
              <w:t>3120</w:t>
            </w:r>
            <w:r w:rsidR="00791E53" w:rsidRPr="000A2EE1">
              <w:rPr>
                <w:sz w:val="18"/>
                <w:szCs w:val="18"/>
              </w:rPr>
              <w:t>”</w:t>
            </w:r>
          </w:p>
        </w:tc>
      </w:tr>
      <w:tr w:rsidR="00E3232B" w:rsidRPr="000A2EE1" w:rsidTr="00791E53">
        <w:tc>
          <w:tcPr>
            <w:tcW w:w="2572" w:type="dxa"/>
            <w:tcBorders>
              <w:top w:val="nil"/>
              <w:left w:val="nil"/>
              <w:bottom w:val="nil"/>
              <w:right w:val="nil"/>
            </w:tcBorders>
          </w:tcPr>
          <w:p w:rsidR="00E3232B" w:rsidRPr="000A2EE1" w:rsidRDefault="00E3232B" w:rsidP="009B5E14">
            <w:pPr>
              <w:spacing w:before="40" w:after="120"/>
              <w:ind w:right="113"/>
              <w:rPr>
                <w:sz w:val="18"/>
              </w:rPr>
            </w:pPr>
            <w:r w:rsidRPr="000A2EE1">
              <w:rPr>
                <w:sz w:val="18"/>
              </w:rPr>
              <w:t>tert-BUTYL PEROXY-3,5,5-TRIMETHYLHEXANOATE</w:t>
            </w:r>
          </w:p>
        </w:tc>
        <w:tc>
          <w:tcPr>
            <w:tcW w:w="1109" w:type="dxa"/>
            <w:tcBorders>
              <w:top w:val="nil"/>
              <w:left w:val="nil"/>
              <w:bottom w:val="nil"/>
              <w:right w:val="nil"/>
            </w:tcBorders>
          </w:tcPr>
          <w:p w:rsidR="00E3232B" w:rsidRPr="000A2EE1" w:rsidRDefault="00E3232B" w:rsidP="009B5E14">
            <w:pPr>
              <w:spacing w:before="40" w:after="120"/>
              <w:ind w:right="113"/>
              <w:rPr>
                <w:sz w:val="18"/>
                <w:szCs w:val="18"/>
              </w:rPr>
            </w:pPr>
            <w:r w:rsidRPr="000A2EE1">
              <w:rPr>
                <w:sz w:val="18"/>
              </w:rPr>
              <w:t>(first row)</w:t>
            </w:r>
          </w:p>
        </w:tc>
        <w:tc>
          <w:tcPr>
            <w:tcW w:w="1848" w:type="dxa"/>
            <w:tcBorders>
              <w:top w:val="nil"/>
              <w:left w:val="nil"/>
              <w:bottom w:val="nil"/>
              <w:right w:val="nil"/>
            </w:tcBorders>
          </w:tcPr>
          <w:p w:rsidR="00E3232B" w:rsidRPr="000A2EE1" w:rsidRDefault="00E3232B" w:rsidP="009B5E14">
            <w:pPr>
              <w:spacing w:before="40" w:after="120"/>
              <w:ind w:right="113"/>
              <w:rPr>
                <w:sz w:val="18"/>
                <w:szCs w:val="18"/>
              </w:rPr>
            </w:pPr>
            <w:r w:rsidRPr="000A2EE1">
              <w:rPr>
                <w:sz w:val="18"/>
                <w:szCs w:val="18"/>
              </w:rPr>
              <w:t>Concentration (%)</w:t>
            </w:r>
          </w:p>
        </w:tc>
        <w:tc>
          <w:tcPr>
            <w:tcW w:w="1836" w:type="dxa"/>
            <w:tcBorders>
              <w:top w:val="nil"/>
              <w:left w:val="nil"/>
              <w:bottom w:val="nil"/>
              <w:right w:val="nil"/>
            </w:tcBorders>
          </w:tcPr>
          <w:p w:rsidR="00E3232B" w:rsidRPr="000A2EE1" w:rsidRDefault="00E3232B" w:rsidP="00791E53">
            <w:pPr>
              <w:suppressAutoHyphens w:val="0"/>
              <w:spacing w:before="40" w:after="40" w:line="220" w:lineRule="exact"/>
              <w:ind w:right="113"/>
              <w:rPr>
                <w:sz w:val="18"/>
                <w:szCs w:val="18"/>
              </w:rPr>
            </w:pPr>
            <w:r w:rsidRPr="000A2EE1">
              <w:rPr>
                <w:sz w:val="18"/>
                <w:szCs w:val="18"/>
              </w:rPr>
              <w:t xml:space="preserve">Replace </w:t>
            </w:r>
            <w:r w:rsidR="00791E53" w:rsidRPr="000A2EE1">
              <w:rPr>
                <w:sz w:val="18"/>
                <w:szCs w:val="18"/>
              </w:rPr>
              <w:t>“</w:t>
            </w:r>
            <w:r w:rsidRPr="000A2EE1">
              <w:rPr>
                <w:sz w:val="18"/>
              </w:rPr>
              <w:t>&gt;32-100</w:t>
            </w:r>
            <w:r w:rsidR="00791E53" w:rsidRPr="000A2EE1">
              <w:rPr>
                <w:sz w:val="18"/>
                <w:szCs w:val="18"/>
              </w:rPr>
              <w:t>”</w:t>
            </w:r>
            <w:r w:rsidRPr="000A2EE1">
              <w:rPr>
                <w:sz w:val="18"/>
                <w:szCs w:val="18"/>
              </w:rPr>
              <w:t xml:space="preserve"> by </w:t>
            </w:r>
            <w:r w:rsidR="00791E53" w:rsidRPr="000A2EE1">
              <w:rPr>
                <w:sz w:val="18"/>
                <w:szCs w:val="18"/>
              </w:rPr>
              <w:t>“</w:t>
            </w:r>
            <w:r w:rsidRPr="000A2EE1">
              <w:rPr>
                <w:sz w:val="18"/>
              </w:rPr>
              <w:t>&gt;37-100</w:t>
            </w:r>
            <w:r w:rsidR="00791E53" w:rsidRPr="000A2EE1">
              <w:rPr>
                <w:sz w:val="18"/>
                <w:szCs w:val="18"/>
              </w:rPr>
              <w:t>”</w:t>
            </w:r>
          </w:p>
        </w:tc>
      </w:tr>
      <w:tr w:rsidR="00E3232B" w:rsidRPr="000A2EE1" w:rsidTr="00791E53">
        <w:tc>
          <w:tcPr>
            <w:tcW w:w="2572" w:type="dxa"/>
            <w:tcBorders>
              <w:top w:val="nil"/>
              <w:left w:val="nil"/>
              <w:bottom w:val="nil"/>
              <w:right w:val="nil"/>
            </w:tcBorders>
          </w:tcPr>
          <w:p w:rsidR="00E3232B" w:rsidRPr="000A2EE1" w:rsidRDefault="00E3232B" w:rsidP="009B5E14">
            <w:pPr>
              <w:spacing w:before="40" w:after="120"/>
              <w:ind w:right="113"/>
              <w:rPr>
                <w:sz w:val="18"/>
              </w:rPr>
            </w:pPr>
            <w:r w:rsidRPr="000A2EE1">
              <w:rPr>
                <w:sz w:val="18"/>
              </w:rPr>
              <w:t>tert-BUTYL PEROXY-3,5,5-TRIMETHYLHEXANOATE</w:t>
            </w:r>
          </w:p>
        </w:tc>
        <w:tc>
          <w:tcPr>
            <w:tcW w:w="1109" w:type="dxa"/>
            <w:tcBorders>
              <w:top w:val="nil"/>
              <w:left w:val="nil"/>
              <w:bottom w:val="nil"/>
              <w:right w:val="nil"/>
            </w:tcBorders>
          </w:tcPr>
          <w:p w:rsidR="00E3232B" w:rsidRPr="000A2EE1" w:rsidRDefault="00E3232B" w:rsidP="009B5E14">
            <w:pPr>
              <w:spacing w:before="40" w:after="120"/>
              <w:ind w:right="113"/>
              <w:rPr>
                <w:sz w:val="18"/>
                <w:szCs w:val="18"/>
              </w:rPr>
            </w:pPr>
            <w:r w:rsidRPr="000A2EE1">
              <w:rPr>
                <w:sz w:val="18"/>
              </w:rPr>
              <w:t>(third row)</w:t>
            </w:r>
          </w:p>
        </w:tc>
        <w:tc>
          <w:tcPr>
            <w:tcW w:w="1848" w:type="dxa"/>
            <w:tcBorders>
              <w:top w:val="nil"/>
              <w:left w:val="nil"/>
              <w:bottom w:val="nil"/>
              <w:right w:val="nil"/>
            </w:tcBorders>
          </w:tcPr>
          <w:p w:rsidR="00E3232B" w:rsidRPr="000A2EE1" w:rsidRDefault="00E3232B" w:rsidP="009B5E14">
            <w:pPr>
              <w:spacing w:before="40" w:after="120"/>
              <w:ind w:right="113"/>
              <w:rPr>
                <w:sz w:val="18"/>
                <w:szCs w:val="18"/>
              </w:rPr>
            </w:pPr>
            <w:r w:rsidRPr="000A2EE1">
              <w:rPr>
                <w:sz w:val="18"/>
                <w:szCs w:val="18"/>
              </w:rPr>
              <w:t>Concentration (%)</w:t>
            </w:r>
          </w:p>
        </w:tc>
        <w:tc>
          <w:tcPr>
            <w:tcW w:w="1836" w:type="dxa"/>
            <w:tcBorders>
              <w:top w:val="nil"/>
              <w:left w:val="nil"/>
              <w:bottom w:val="nil"/>
              <w:right w:val="nil"/>
            </w:tcBorders>
          </w:tcPr>
          <w:p w:rsidR="00E3232B" w:rsidRPr="000A2EE1" w:rsidRDefault="00E3232B" w:rsidP="00791E53">
            <w:pPr>
              <w:suppressAutoHyphens w:val="0"/>
              <w:spacing w:before="40" w:after="40" w:line="220" w:lineRule="exact"/>
              <w:ind w:right="113"/>
              <w:rPr>
                <w:sz w:val="18"/>
                <w:szCs w:val="18"/>
              </w:rPr>
            </w:pPr>
            <w:r w:rsidRPr="000A2EE1">
              <w:rPr>
                <w:sz w:val="18"/>
                <w:szCs w:val="18"/>
              </w:rPr>
              <w:t xml:space="preserve">Replace </w:t>
            </w:r>
            <w:r w:rsidR="00791E53" w:rsidRPr="000A2EE1">
              <w:rPr>
                <w:sz w:val="18"/>
                <w:szCs w:val="18"/>
              </w:rPr>
              <w:t>“</w:t>
            </w:r>
            <w:r w:rsidRPr="000A2EE1">
              <w:rPr>
                <w:sz w:val="18"/>
              </w:rPr>
              <w:t>≤ 32</w:t>
            </w:r>
            <w:r w:rsidR="00791E53" w:rsidRPr="000A2EE1">
              <w:rPr>
                <w:sz w:val="18"/>
                <w:szCs w:val="18"/>
              </w:rPr>
              <w:t>”</w:t>
            </w:r>
            <w:r w:rsidRPr="000A2EE1">
              <w:rPr>
                <w:sz w:val="18"/>
                <w:szCs w:val="18"/>
              </w:rPr>
              <w:t xml:space="preserve"> by </w:t>
            </w:r>
            <w:r w:rsidR="00791E53" w:rsidRPr="000A2EE1">
              <w:rPr>
                <w:sz w:val="18"/>
                <w:szCs w:val="18"/>
              </w:rPr>
              <w:t>“</w:t>
            </w:r>
            <w:r w:rsidRPr="000A2EE1">
              <w:rPr>
                <w:sz w:val="18"/>
              </w:rPr>
              <w:t>≤37</w:t>
            </w:r>
            <w:r w:rsidR="00791E53" w:rsidRPr="000A2EE1">
              <w:rPr>
                <w:sz w:val="18"/>
                <w:szCs w:val="18"/>
              </w:rPr>
              <w:t>”</w:t>
            </w:r>
          </w:p>
        </w:tc>
      </w:tr>
      <w:tr w:rsidR="00E3232B" w:rsidRPr="000A2EE1" w:rsidTr="00791E53">
        <w:tc>
          <w:tcPr>
            <w:tcW w:w="2572" w:type="dxa"/>
            <w:tcBorders>
              <w:top w:val="nil"/>
              <w:left w:val="nil"/>
              <w:bottom w:val="single" w:sz="12" w:space="0" w:color="auto"/>
              <w:right w:val="nil"/>
            </w:tcBorders>
          </w:tcPr>
          <w:p w:rsidR="00E3232B" w:rsidRPr="000A2EE1" w:rsidRDefault="00E3232B" w:rsidP="009B5E14">
            <w:pPr>
              <w:spacing w:before="40" w:after="120"/>
              <w:ind w:right="113"/>
              <w:rPr>
                <w:sz w:val="18"/>
              </w:rPr>
            </w:pPr>
            <w:r w:rsidRPr="000A2EE1">
              <w:rPr>
                <w:sz w:val="18"/>
              </w:rPr>
              <w:t>tert-BUTYL PEROXY-3,5,5-TRIMETHYLHEXANOATE</w:t>
            </w:r>
          </w:p>
        </w:tc>
        <w:tc>
          <w:tcPr>
            <w:tcW w:w="1109" w:type="dxa"/>
            <w:tcBorders>
              <w:top w:val="nil"/>
              <w:left w:val="nil"/>
              <w:bottom w:val="single" w:sz="12" w:space="0" w:color="auto"/>
              <w:right w:val="nil"/>
            </w:tcBorders>
          </w:tcPr>
          <w:p w:rsidR="00E3232B" w:rsidRPr="000A2EE1" w:rsidRDefault="00E3232B" w:rsidP="009B5E14">
            <w:pPr>
              <w:spacing w:before="40" w:after="120"/>
              <w:ind w:right="113"/>
              <w:rPr>
                <w:sz w:val="18"/>
                <w:szCs w:val="18"/>
              </w:rPr>
            </w:pPr>
            <w:r w:rsidRPr="000A2EE1">
              <w:rPr>
                <w:sz w:val="18"/>
              </w:rPr>
              <w:t>(third row)</w:t>
            </w:r>
          </w:p>
        </w:tc>
        <w:tc>
          <w:tcPr>
            <w:tcW w:w="1848" w:type="dxa"/>
            <w:tcBorders>
              <w:top w:val="nil"/>
              <w:left w:val="nil"/>
              <w:bottom w:val="single" w:sz="12" w:space="0" w:color="auto"/>
              <w:right w:val="nil"/>
            </w:tcBorders>
          </w:tcPr>
          <w:p w:rsidR="00E3232B" w:rsidRPr="000A2EE1" w:rsidRDefault="00E3232B" w:rsidP="009B5E14">
            <w:pPr>
              <w:spacing w:before="40" w:after="120"/>
              <w:ind w:right="113"/>
              <w:rPr>
                <w:sz w:val="18"/>
                <w:szCs w:val="18"/>
              </w:rPr>
            </w:pPr>
            <w:r w:rsidRPr="000A2EE1">
              <w:rPr>
                <w:sz w:val="18"/>
                <w:szCs w:val="18"/>
              </w:rPr>
              <w:t>Diluent type B (%)</w:t>
            </w:r>
          </w:p>
        </w:tc>
        <w:tc>
          <w:tcPr>
            <w:tcW w:w="1836" w:type="dxa"/>
            <w:tcBorders>
              <w:top w:val="nil"/>
              <w:left w:val="nil"/>
              <w:bottom w:val="single" w:sz="12" w:space="0" w:color="auto"/>
              <w:right w:val="nil"/>
            </w:tcBorders>
          </w:tcPr>
          <w:p w:rsidR="00E3232B" w:rsidRPr="000A2EE1" w:rsidRDefault="00E3232B" w:rsidP="00791E53">
            <w:pPr>
              <w:spacing w:before="40" w:after="120"/>
              <w:ind w:right="113"/>
              <w:rPr>
                <w:sz w:val="18"/>
                <w:szCs w:val="18"/>
              </w:rPr>
            </w:pPr>
            <w:r w:rsidRPr="000A2EE1">
              <w:rPr>
                <w:sz w:val="18"/>
                <w:szCs w:val="18"/>
              </w:rPr>
              <w:t xml:space="preserve">Replace </w:t>
            </w:r>
            <w:r w:rsidR="00791E53" w:rsidRPr="000A2EE1">
              <w:rPr>
                <w:sz w:val="18"/>
                <w:szCs w:val="18"/>
              </w:rPr>
              <w:t>“</w:t>
            </w:r>
            <w:r w:rsidRPr="000A2EE1">
              <w:rPr>
                <w:sz w:val="18"/>
              </w:rPr>
              <w:t>≥ 68</w:t>
            </w:r>
            <w:r w:rsidR="00791E53" w:rsidRPr="000A2EE1">
              <w:rPr>
                <w:sz w:val="18"/>
                <w:szCs w:val="18"/>
              </w:rPr>
              <w:t>”</w:t>
            </w:r>
            <w:r w:rsidRPr="000A2EE1">
              <w:rPr>
                <w:sz w:val="18"/>
                <w:szCs w:val="18"/>
              </w:rPr>
              <w:t xml:space="preserve"> by </w:t>
            </w:r>
            <w:r w:rsidR="00791E53" w:rsidRPr="000A2EE1">
              <w:rPr>
                <w:sz w:val="18"/>
                <w:szCs w:val="18"/>
              </w:rPr>
              <w:t>“</w:t>
            </w:r>
            <w:r w:rsidRPr="000A2EE1">
              <w:rPr>
                <w:sz w:val="18"/>
              </w:rPr>
              <w:t>≥ 63</w:t>
            </w:r>
            <w:r w:rsidR="00791E53" w:rsidRPr="000A2EE1">
              <w:rPr>
                <w:sz w:val="18"/>
                <w:szCs w:val="18"/>
              </w:rPr>
              <w:t>”</w:t>
            </w:r>
          </w:p>
        </w:tc>
      </w:tr>
    </w:tbl>
    <w:p w:rsidR="00E3232B" w:rsidRPr="000A2EE1" w:rsidRDefault="00E3232B" w:rsidP="00B75110">
      <w:pPr>
        <w:pStyle w:val="SingleTxtG"/>
        <w:tabs>
          <w:tab w:val="left" w:pos="1701"/>
          <w:tab w:val="left" w:pos="1985"/>
          <w:tab w:val="left" w:pos="2268"/>
        </w:tabs>
        <w:spacing w:before="120"/>
      </w:pPr>
      <w:r w:rsidRPr="000A2EE1">
        <w:t>2.2.61.2.1</w:t>
      </w:r>
      <w:r w:rsidRPr="000A2EE1">
        <w:tab/>
      </w:r>
      <w:r w:rsidR="00B75110" w:rsidRPr="000A2EE1">
        <w:tab/>
      </w:r>
      <w:r w:rsidRPr="000A2EE1">
        <w:t>Amend to read as follows:</w:t>
      </w:r>
    </w:p>
    <w:p w:rsidR="00E3232B" w:rsidRPr="000A2EE1" w:rsidRDefault="00E3232B" w:rsidP="00B75110">
      <w:pPr>
        <w:pStyle w:val="SingleTxtG"/>
        <w:tabs>
          <w:tab w:val="left" w:pos="1701"/>
          <w:tab w:val="left" w:pos="1985"/>
          <w:tab w:val="left" w:pos="2268"/>
        </w:tabs>
      </w:pPr>
      <w:r w:rsidRPr="000A2EE1">
        <w:t>“2.2.61.2.1</w:t>
      </w:r>
      <w:r w:rsidRPr="000A2EE1">
        <w:tab/>
        <w:t>Chemically unstable substances of Class 6.1 shall not be accepted for carriage unless the necessary precautions have been taken to prevent the possibility of a dangerous decomposition or polymerization under normal conditions of carriage. For the precautions necessary to prevent polymerization, see special provision 386 of Chapter 3.3. To this end particular care shall be taken to ensure that receptacles and tanks do not contain any substances liable to promote these reactions.”.</w:t>
      </w:r>
    </w:p>
    <w:p w:rsidR="00E3232B" w:rsidRPr="000A2EE1" w:rsidRDefault="00E3232B" w:rsidP="00B75110">
      <w:pPr>
        <w:tabs>
          <w:tab w:val="left" w:pos="1134"/>
          <w:tab w:val="left" w:pos="1701"/>
          <w:tab w:val="left" w:pos="1985"/>
          <w:tab w:val="left" w:pos="2268"/>
        </w:tabs>
        <w:spacing w:before="120" w:after="120"/>
        <w:ind w:left="1134" w:right="1134"/>
        <w:jc w:val="both"/>
      </w:pPr>
      <w:r w:rsidRPr="000A2EE1">
        <w:t>2.2.62.1.1</w:t>
      </w:r>
      <w:r w:rsidRPr="000A2EE1">
        <w:tab/>
      </w:r>
      <w:r w:rsidR="00B75110" w:rsidRPr="000A2EE1">
        <w:tab/>
      </w:r>
      <w:r w:rsidRPr="000A2EE1">
        <w:t>Amend Note 1 to read as follows:</w:t>
      </w:r>
    </w:p>
    <w:p w:rsidR="00E3232B" w:rsidRPr="000A2EE1" w:rsidRDefault="00791E53" w:rsidP="00B75110">
      <w:pPr>
        <w:tabs>
          <w:tab w:val="left" w:pos="1701"/>
          <w:tab w:val="left" w:pos="1985"/>
          <w:tab w:val="left" w:pos="2268"/>
        </w:tabs>
        <w:spacing w:before="120" w:after="120"/>
        <w:ind w:left="1134" w:right="1134"/>
        <w:jc w:val="both"/>
        <w:rPr>
          <w:i/>
        </w:rPr>
      </w:pPr>
      <w:r w:rsidRPr="000A2EE1">
        <w:t>“</w:t>
      </w:r>
      <w:r w:rsidR="00E3232B" w:rsidRPr="000A2EE1">
        <w:rPr>
          <w:b/>
          <w:i/>
        </w:rPr>
        <w:t>NOTE 1:</w:t>
      </w:r>
      <w:r w:rsidR="00E3232B" w:rsidRPr="000A2EE1">
        <w:rPr>
          <w:i/>
        </w:rPr>
        <w:tab/>
      </w:r>
      <w:r w:rsidR="00B75110" w:rsidRPr="000A2EE1">
        <w:rPr>
          <w:i/>
        </w:rPr>
        <w:tab/>
      </w:r>
      <w:r w:rsidR="00E3232B" w:rsidRPr="000A2EE1">
        <w:rPr>
          <w:i/>
        </w:rPr>
        <w:t>Genetically modified microorganisms and organisms, biological products, diagnostic specimens and intentionally infected live animals shall be assigned to this Class if they meet the conditions for this Class.</w:t>
      </w:r>
    </w:p>
    <w:p w:rsidR="00E3232B" w:rsidRPr="000A2EE1" w:rsidRDefault="00E3232B" w:rsidP="00B75110">
      <w:pPr>
        <w:tabs>
          <w:tab w:val="left" w:pos="1701"/>
          <w:tab w:val="left" w:pos="1985"/>
          <w:tab w:val="left" w:pos="2268"/>
        </w:tabs>
        <w:spacing w:before="120" w:after="120"/>
        <w:ind w:left="1134" w:right="1134"/>
        <w:jc w:val="both"/>
      </w:pPr>
      <w:r w:rsidRPr="000A2EE1">
        <w:rPr>
          <w:i/>
        </w:rPr>
        <w:t xml:space="preserve">The carriage of unintentionally or naturally infected live animals is subject only to the relevant rules and regulations of the respective </w:t>
      </w:r>
      <w:r w:rsidRPr="000A2EE1">
        <w:rPr>
          <w:i/>
          <w:iCs/>
        </w:rPr>
        <w:t>countries of origin, transit and destination</w:t>
      </w:r>
      <w:r w:rsidRPr="000A2EE1">
        <w:rPr>
          <w:i/>
        </w:rPr>
        <w:t>.</w:t>
      </w:r>
      <w:r w:rsidR="00791E53" w:rsidRPr="000A2EE1">
        <w:t>”</w:t>
      </w:r>
      <w:r w:rsidRPr="000A2EE1">
        <w:t>.</w:t>
      </w:r>
    </w:p>
    <w:p w:rsidR="00E3232B" w:rsidRPr="000A2EE1" w:rsidRDefault="00E3232B" w:rsidP="00B75110">
      <w:pPr>
        <w:tabs>
          <w:tab w:val="left" w:pos="1418"/>
          <w:tab w:val="left" w:pos="1701"/>
          <w:tab w:val="left" w:pos="1985"/>
          <w:tab w:val="left" w:pos="2268"/>
          <w:tab w:val="left" w:pos="2977"/>
          <w:tab w:val="left" w:pos="4395"/>
        </w:tabs>
        <w:spacing w:before="120" w:after="120"/>
        <w:ind w:left="1134" w:right="1134"/>
        <w:jc w:val="both"/>
      </w:pPr>
      <w:r w:rsidRPr="000A2EE1">
        <w:t>2.2.62.1.12.1</w:t>
      </w:r>
      <w:r w:rsidRPr="000A2EE1">
        <w:tab/>
        <w:t>Delete footnote 6. Renumber the following footnotes accordingly.</w:t>
      </w:r>
    </w:p>
    <w:p w:rsidR="00E3232B" w:rsidRPr="000A2EE1" w:rsidRDefault="00E3232B" w:rsidP="00B75110">
      <w:pPr>
        <w:tabs>
          <w:tab w:val="left" w:pos="1418"/>
          <w:tab w:val="left" w:pos="1560"/>
          <w:tab w:val="left" w:pos="1701"/>
          <w:tab w:val="left" w:pos="1985"/>
          <w:tab w:val="left" w:pos="2268"/>
        </w:tabs>
        <w:spacing w:before="120" w:after="120"/>
        <w:ind w:left="1134" w:right="1134"/>
        <w:jc w:val="both"/>
      </w:pPr>
      <w:r w:rsidRPr="000A2EE1">
        <w:t>Add a new note at the end to read as follows:</w:t>
      </w:r>
    </w:p>
    <w:p w:rsidR="00E3232B" w:rsidRPr="000A2EE1" w:rsidRDefault="00791E53" w:rsidP="00B75110">
      <w:pPr>
        <w:tabs>
          <w:tab w:val="left" w:pos="1418"/>
          <w:tab w:val="left" w:pos="1560"/>
          <w:tab w:val="left" w:pos="1701"/>
          <w:tab w:val="left" w:pos="1985"/>
          <w:tab w:val="left" w:pos="2268"/>
        </w:tabs>
        <w:spacing w:before="120" w:after="120"/>
        <w:ind w:left="1134" w:right="1134"/>
        <w:jc w:val="both"/>
        <w:rPr>
          <w:i/>
        </w:rPr>
      </w:pPr>
      <w:r w:rsidRPr="000A2EE1">
        <w:rPr>
          <w:i/>
        </w:rPr>
        <w:t>“</w:t>
      </w:r>
      <w:r w:rsidR="00E3232B" w:rsidRPr="000A2EE1">
        <w:rPr>
          <w:b/>
          <w:i/>
        </w:rPr>
        <w:t>NOTE:</w:t>
      </w:r>
      <w:r w:rsidR="00E3232B" w:rsidRPr="000A2EE1">
        <w:rPr>
          <w:i/>
        </w:rPr>
        <w:tab/>
        <w:t>The approval of the competent authorities shall be issued on the basis of the relevant rules for the carriage of live animals, taking into consideration dangerous goods aspects. The authorities that are competent to lay down these conditions and rules for approval shall be regulated at national level.</w:t>
      </w:r>
    </w:p>
    <w:p w:rsidR="00E3232B" w:rsidRPr="000A2EE1" w:rsidRDefault="00E3232B" w:rsidP="00B75110">
      <w:pPr>
        <w:tabs>
          <w:tab w:val="left" w:pos="1418"/>
          <w:tab w:val="left" w:pos="1560"/>
          <w:tab w:val="left" w:pos="1701"/>
          <w:tab w:val="left" w:pos="1985"/>
          <w:tab w:val="left" w:pos="2268"/>
          <w:tab w:val="left" w:pos="2977"/>
          <w:tab w:val="left" w:pos="4395"/>
        </w:tabs>
        <w:spacing w:before="120" w:after="120"/>
        <w:ind w:left="1134" w:right="1134"/>
        <w:jc w:val="both"/>
        <w:rPr>
          <w:i/>
        </w:rPr>
      </w:pPr>
      <w:r w:rsidRPr="000A2EE1">
        <w:rPr>
          <w:i/>
        </w:rPr>
        <w:t>If there is no approval by a competent authority of a Contracting Party to ADR, the competent authority of a Contracting Party to ADR may recognize an approval issued by the competent authority of a country that is not a Contracting Party to ADR.</w:t>
      </w:r>
    </w:p>
    <w:p w:rsidR="00E3232B" w:rsidRPr="000A2EE1" w:rsidRDefault="00E3232B" w:rsidP="00B75110">
      <w:pPr>
        <w:tabs>
          <w:tab w:val="left" w:pos="1418"/>
          <w:tab w:val="left" w:pos="1560"/>
          <w:tab w:val="left" w:pos="1701"/>
          <w:tab w:val="left" w:pos="1985"/>
          <w:tab w:val="left" w:pos="2268"/>
          <w:tab w:val="left" w:pos="2977"/>
          <w:tab w:val="left" w:pos="4395"/>
        </w:tabs>
        <w:spacing w:before="120" w:after="120"/>
        <w:ind w:left="1134" w:right="1134"/>
        <w:jc w:val="both"/>
      </w:pPr>
      <w:r w:rsidRPr="000A2EE1">
        <w:rPr>
          <w:i/>
        </w:rPr>
        <w:t>Rules for the carriage of livestock are, for example, contained in Council Regulation (EC) No 1/2005 of 22 December 2004 on the protection of animals during transport (Official Journal of the European Community No L 3 of 5 January 2005) as amended.”.</w:t>
      </w:r>
    </w:p>
    <w:p w:rsidR="00E3232B" w:rsidRPr="000A2EE1" w:rsidRDefault="00E3232B" w:rsidP="00B75110">
      <w:pPr>
        <w:pStyle w:val="SingleTxtG"/>
        <w:tabs>
          <w:tab w:val="left" w:pos="1701"/>
          <w:tab w:val="left" w:pos="1985"/>
          <w:tab w:val="left" w:pos="2268"/>
        </w:tabs>
      </w:pPr>
      <w:r w:rsidRPr="000A2EE1">
        <w:t>2.2.7.2.4.1.3 (b), (b) (ii) and (b) (iii)</w:t>
      </w:r>
      <w:r w:rsidRPr="000A2EE1">
        <w:tab/>
        <w:t>Replace “marking “RADIOACTIVE”” by “mark “RADIOACTIVE”” wherever it appears.</w:t>
      </w:r>
    </w:p>
    <w:p w:rsidR="00E3232B" w:rsidRPr="000A2EE1" w:rsidRDefault="00E3232B" w:rsidP="00B75110">
      <w:pPr>
        <w:pStyle w:val="SingleTxtG"/>
        <w:tabs>
          <w:tab w:val="left" w:pos="1701"/>
          <w:tab w:val="left" w:pos="1985"/>
          <w:tab w:val="left" w:pos="2268"/>
        </w:tabs>
      </w:pPr>
      <w:r w:rsidRPr="000A2EE1">
        <w:t>2.2.7.2.4.1.4 (b)</w:t>
      </w:r>
      <w:r w:rsidRPr="000A2EE1">
        <w:tab/>
        <w:t>Replace “marking “RADIOACTIVE”” by “mark “RADIOACTIVE””.</w:t>
      </w:r>
    </w:p>
    <w:p w:rsidR="00E3232B" w:rsidRPr="000A2EE1" w:rsidRDefault="00E3232B" w:rsidP="00B75110">
      <w:pPr>
        <w:pStyle w:val="SingleTxtG"/>
        <w:tabs>
          <w:tab w:val="left" w:pos="1701"/>
          <w:tab w:val="left" w:pos="1985"/>
          <w:tab w:val="left" w:pos="2268"/>
        </w:tabs>
      </w:pPr>
      <w:r w:rsidRPr="000A2EE1">
        <w:rPr>
          <w:rFonts w:ascii="TimesNewRomanPSMT" w:hAnsi="TimesNewRomanPSMT" w:cs="TimesNewRomanPSMT"/>
          <w:lang w:eastAsia="en-GB"/>
        </w:rPr>
        <w:t>2.2.8.2.1</w:t>
      </w:r>
      <w:r w:rsidRPr="000A2EE1">
        <w:tab/>
        <w:t>Amend to read as follows:</w:t>
      </w:r>
    </w:p>
    <w:p w:rsidR="00E3232B" w:rsidRPr="000A2EE1" w:rsidRDefault="00E3232B" w:rsidP="00B75110">
      <w:pPr>
        <w:pStyle w:val="SingleTxtG"/>
        <w:tabs>
          <w:tab w:val="left" w:pos="1701"/>
          <w:tab w:val="left" w:pos="1985"/>
          <w:tab w:val="left" w:pos="2268"/>
        </w:tabs>
      </w:pPr>
      <w:r w:rsidRPr="000A2EE1">
        <w:t>“</w:t>
      </w:r>
      <w:r w:rsidRPr="000A2EE1">
        <w:rPr>
          <w:rFonts w:ascii="TimesNewRomanPSMT" w:hAnsi="TimesNewRomanPSMT" w:cs="TimesNewRomanPSMT"/>
          <w:lang w:eastAsia="en-GB"/>
        </w:rPr>
        <w:t>2.2.8.2.1</w:t>
      </w:r>
      <w:r w:rsidRPr="000A2EE1">
        <w:rPr>
          <w:rFonts w:ascii="TimesNewRomanPSMT" w:hAnsi="TimesNewRomanPSMT" w:cs="TimesNewRomanPSMT"/>
          <w:lang w:eastAsia="en-GB"/>
        </w:rPr>
        <w:tab/>
      </w:r>
      <w:r w:rsidRPr="000A2EE1">
        <w:t>Chemically unstable substances of Class 8 shall not be accepted for carriage unless the necessary precautions have been taken to prevent the possibility of a dangerous decomposition or polymerization under normal conditions of carriage. For the precautions necessary to prevent polymerization, see special provision 386 of Chapter 3.3. To this end particular care shall be taken to ensure that receptacles and tanks do not contain any substances liable to promote these reactions.”.</w:t>
      </w:r>
    </w:p>
    <w:p w:rsidR="00E3232B" w:rsidRPr="000A2EE1" w:rsidRDefault="00E3232B" w:rsidP="00B75110">
      <w:pPr>
        <w:pStyle w:val="SingleTxtG"/>
        <w:tabs>
          <w:tab w:val="left" w:pos="1701"/>
          <w:tab w:val="left" w:pos="1985"/>
          <w:tab w:val="left" w:pos="2268"/>
        </w:tabs>
        <w:rPr>
          <w:iCs/>
        </w:rPr>
      </w:pPr>
      <w:r w:rsidRPr="000A2EE1">
        <w:rPr>
          <w:iCs/>
        </w:rPr>
        <w:t>2.2.9.1.2</w:t>
      </w:r>
      <w:r w:rsidRPr="000A2EE1">
        <w:rPr>
          <w:iCs/>
        </w:rPr>
        <w:tab/>
        <w:t xml:space="preserve">In the M2 entry, replace </w:t>
      </w:r>
      <w:r w:rsidR="00791E53" w:rsidRPr="000A2EE1">
        <w:rPr>
          <w:iCs/>
        </w:rPr>
        <w:t>“</w:t>
      </w:r>
      <w:r w:rsidRPr="000A2EE1">
        <w:rPr>
          <w:iCs/>
        </w:rPr>
        <w:t>apparatus</w:t>
      </w:r>
      <w:r w:rsidR="00791E53" w:rsidRPr="000A2EE1">
        <w:rPr>
          <w:iCs/>
        </w:rPr>
        <w:t>”</w:t>
      </w:r>
      <w:r w:rsidRPr="000A2EE1">
        <w:rPr>
          <w:iCs/>
        </w:rPr>
        <w:t xml:space="preserve"> by </w:t>
      </w:r>
      <w:r w:rsidR="00791E53" w:rsidRPr="000A2EE1">
        <w:rPr>
          <w:iCs/>
        </w:rPr>
        <w:t>“</w:t>
      </w:r>
      <w:r w:rsidRPr="000A2EE1">
        <w:rPr>
          <w:iCs/>
        </w:rPr>
        <w:t>articles</w:t>
      </w:r>
      <w:r w:rsidR="00791E53" w:rsidRPr="000A2EE1">
        <w:rPr>
          <w:iCs/>
        </w:rPr>
        <w:t>”</w:t>
      </w:r>
      <w:r w:rsidRPr="000A2EE1">
        <w:rPr>
          <w:iCs/>
        </w:rPr>
        <w:t>.</w:t>
      </w:r>
    </w:p>
    <w:p w:rsidR="00E3232B" w:rsidRPr="000A2EE1" w:rsidRDefault="00E3232B" w:rsidP="00B75110">
      <w:pPr>
        <w:pStyle w:val="SingleTxtG"/>
        <w:tabs>
          <w:tab w:val="left" w:pos="1701"/>
          <w:tab w:val="left" w:pos="1985"/>
          <w:tab w:val="left" w:pos="2268"/>
        </w:tabs>
        <w:rPr>
          <w:iCs/>
        </w:rPr>
      </w:pPr>
      <w:r w:rsidRPr="000A2EE1">
        <w:rPr>
          <w:iCs/>
        </w:rPr>
        <w:t>2.2.9.1.5</w:t>
      </w:r>
      <w:r w:rsidRPr="000A2EE1">
        <w:rPr>
          <w:iCs/>
        </w:rPr>
        <w:tab/>
        <w:t xml:space="preserve">In the title and in the text, replace </w:t>
      </w:r>
      <w:r w:rsidR="00791E53" w:rsidRPr="000A2EE1">
        <w:rPr>
          <w:iCs/>
        </w:rPr>
        <w:t>“</w:t>
      </w:r>
      <w:r w:rsidRPr="000A2EE1">
        <w:rPr>
          <w:iCs/>
        </w:rPr>
        <w:t>apparatus</w:t>
      </w:r>
      <w:r w:rsidR="00791E53" w:rsidRPr="000A2EE1">
        <w:rPr>
          <w:iCs/>
        </w:rPr>
        <w:t>”</w:t>
      </w:r>
      <w:r w:rsidRPr="000A2EE1">
        <w:rPr>
          <w:iCs/>
        </w:rPr>
        <w:t xml:space="preserve"> by </w:t>
      </w:r>
      <w:r w:rsidR="00791E53" w:rsidRPr="000A2EE1">
        <w:rPr>
          <w:iCs/>
        </w:rPr>
        <w:t>“</w:t>
      </w:r>
      <w:r w:rsidRPr="000A2EE1">
        <w:rPr>
          <w:iCs/>
        </w:rPr>
        <w:t>articles</w:t>
      </w:r>
      <w:r w:rsidR="00791E53" w:rsidRPr="000A2EE1">
        <w:rPr>
          <w:iCs/>
        </w:rPr>
        <w:t>”</w:t>
      </w:r>
      <w:r w:rsidRPr="000A2EE1">
        <w:rPr>
          <w:iCs/>
        </w:rPr>
        <w:t xml:space="preserve"> wherever it appears (4 times).</w:t>
      </w:r>
    </w:p>
    <w:p w:rsidR="00E3232B" w:rsidRPr="000A2EE1" w:rsidRDefault="00E3232B" w:rsidP="00B75110">
      <w:pPr>
        <w:pStyle w:val="SingleTxtG"/>
        <w:tabs>
          <w:tab w:val="left" w:pos="1701"/>
          <w:tab w:val="left" w:pos="1985"/>
          <w:tab w:val="left" w:pos="2268"/>
        </w:tabs>
        <w:rPr>
          <w:iCs/>
        </w:rPr>
      </w:pPr>
      <w:r w:rsidRPr="000A2EE1">
        <w:rPr>
          <w:iCs/>
        </w:rPr>
        <w:t>2.2.9.1.7</w:t>
      </w:r>
      <w:r w:rsidRPr="000A2EE1">
        <w:rPr>
          <w:iCs/>
        </w:rPr>
        <w:tab/>
        <w:t>Insert the following new first paragraph:</w:t>
      </w:r>
    </w:p>
    <w:p w:rsidR="00E3232B" w:rsidRPr="000A2EE1" w:rsidRDefault="00E3232B" w:rsidP="00B75110">
      <w:pPr>
        <w:pStyle w:val="SingleTxtG"/>
        <w:tabs>
          <w:tab w:val="left" w:pos="1701"/>
          <w:tab w:val="left" w:pos="1985"/>
          <w:tab w:val="left" w:pos="2268"/>
        </w:tabs>
        <w:rPr>
          <w:iCs/>
        </w:rPr>
      </w:pPr>
      <w:r w:rsidRPr="000A2EE1">
        <w:rPr>
          <w:iCs/>
        </w:rPr>
        <w:t>“</w:t>
      </w:r>
      <w:r w:rsidRPr="000A2EE1">
        <w:rPr>
          <w:rFonts w:eastAsia="Calibri"/>
        </w:rPr>
        <w:t>Lithium batteries shall meet the following requirements, except when otherwise provided for in ADR (e.g. for prototype batteries and small production runs under special provision 310 or damaged batteries under special provision 376).</w:t>
      </w:r>
      <w:r w:rsidRPr="000A2EE1">
        <w:rPr>
          <w:iCs/>
        </w:rPr>
        <w:t>”.</w:t>
      </w:r>
    </w:p>
    <w:p w:rsidR="00E3232B" w:rsidRPr="000A2EE1" w:rsidRDefault="00E3232B" w:rsidP="00B75110">
      <w:pPr>
        <w:pStyle w:val="SingleTxtG"/>
        <w:tabs>
          <w:tab w:val="left" w:pos="1701"/>
          <w:tab w:val="left" w:pos="1985"/>
          <w:tab w:val="left" w:pos="2268"/>
        </w:tabs>
      </w:pPr>
      <w:r w:rsidRPr="000A2EE1">
        <w:t>2.2.9.1.7</w:t>
      </w:r>
      <w:r w:rsidRPr="000A2EE1">
        <w:tab/>
        <w:t>Delete the last Note.</w:t>
      </w:r>
    </w:p>
    <w:p w:rsidR="00E3232B" w:rsidRPr="000A2EE1" w:rsidRDefault="00E3232B" w:rsidP="00B75110">
      <w:pPr>
        <w:pStyle w:val="SingleTxtG"/>
        <w:tabs>
          <w:tab w:val="left" w:pos="1701"/>
          <w:tab w:val="left" w:pos="1985"/>
          <w:tab w:val="left" w:pos="2268"/>
        </w:tabs>
      </w:pPr>
      <w:r w:rsidRPr="000A2EE1">
        <w:rPr>
          <w:rFonts w:ascii="TimesNewRomanPSMT" w:hAnsi="TimesNewRomanPSMT" w:cs="TimesNewRomanPSMT"/>
          <w:lang w:eastAsia="fr-FR"/>
        </w:rPr>
        <w:t>2.2.9.1.10.2.5</w:t>
      </w:r>
      <w:r w:rsidRPr="000A2EE1">
        <w:rPr>
          <w:rFonts w:ascii="TimesNewRomanPSMT" w:hAnsi="TimesNewRomanPSMT" w:cs="TimesNewRomanPSMT"/>
          <w:lang w:eastAsia="fr-FR"/>
        </w:rPr>
        <w:tab/>
      </w:r>
      <w:r w:rsidRPr="000A2EE1">
        <w:tab/>
      </w:r>
      <w:r w:rsidR="00B75110" w:rsidRPr="000A2EE1">
        <w:tab/>
      </w:r>
      <w:r w:rsidRPr="000A2EE1">
        <w:t>In the second paragraph, in the first sentence, amend the end to read as follows:</w:t>
      </w:r>
      <w:r w:rsidR="00D70838" w:rsidRPr="000A2EE1">
        <w:t xml:space="preserve"> </w:t>
      </w:r>
      <w:r w:rsidRPr="000A2EE1">
        <w:t>“OECD Test Guidelines 107, 117 or 123.”.</w:t>
      </w:r>
    </w:p>
    <w:p w:rsidR="00E3232B" w:rsidRPr="000A2EE1" w:rsidRDefault="00E3232B" w:rsidP="00B75110">
      <w:pPr>
        <w:tabs>
          <w:tab w:val="left" w:pos="1418"/>
          <w:tab w:val="left" w:pos="1701"/>
          <w:tab w:val="left" w:pos="1985"/>
          <w:tab w:val="left" w:pos="2268"/>
          <w:tab w:val="left" w:pos="2552"/>
          <w:tab w:val="left" w:pos="4395"/>
        </w:tabs>
        <w:spacing w:before="120" w:after="120"/>
        <w:ind w:left="1134" w:right="1134"/>
        <w:jc w:val="both"/>
      </w:pPr>
      <w:r w:rsidRPr="000A2EE1">
        <w:t>2.2.9.1.11</w:t>
      </w:r>
      <w:r w:rsidRPr="000A2EE1">
        <w:tab/>
      </w:r>
      <w:r w:rsidR="00B75110" w:rsidRPr="000A2EE1">
        <w:tab/>
      </w:r>
      <w:r w:rsidRPr="000A2EE1">
        <w:t>For Note 2, amend the text of footnote 16 (former 17) to read as follows:</w:t>
      </w:r>
    </w:p>
    <w:p w:rsidR="00E3232B" w:rsidRPr="000A2EE1" w:rsidRDefault="00791E53" w:rsidP="00B75110">
      <w:pPr>
        <w:tabs>
          <w:tab w:val="left" w:pos="1418"/>
          <w:tab w:val="left" w:pos="1560"/>
          <w:tab w:val="left" w:pos="1701"/>
          <w:tab w:val="left" w:pos="1985"/>
          <w:tab w:val="left" w:pos="2268"/>
        </w:tabs>
        <w:spacing w:before="120" w:after="120"/>
        <w:ind w:left="1134" w:right="1134"/>
        <w:jc w:val="both"/>
      </w:pPr>
      <w:r w:rsidRPr="000A2EE1">
        <w:rPr>
          <w:i/>
        </w:rPr>
        <w:t>“</w:t>
      </w:r>
      <w:r w:rsidR="00E3232B" w:rsidRPr="000A2EE1">
        <w:rPr>
          <w:i/>
        </w:rPr>
        <w:t>See Part C of Directive 2001/18/EC of the European Parliament and of the Council on the deliberate release into the environment of genetically modified organisms and repealing Council Directive 90/220/EEC (Official Journal of the European Communities, No. L 106, of 17 April 2001, pp 8-14) and Regulation (EC) No. 1829/2003 of the European Parliament and of the Council on genetically modified food and feed (Official Journal of the European Union, No. L 268, of 18 October 2003, pp 1-23), which set out the authorization procedures for the European Union.</w:t>
      </w:r>
      <w:r w:rsidRPr="000A2EE1">
        <w:rPr>
          <w:i/>
        </w:rPr>
        <w:t>”</w:t>
      </w:r>
      <w:r w:rsidR="00E3232B" w:rsidRPr="000A2EE1">
        <w:t>.</w:t>
      </w:r>
    </w:p>
    <w:p w:rsidR="00E3232B" w:rsidRPr="000A2EE1" w:rsidRDefault="00E3232B" w:rsidP="00B75110">
      <w:pPr>
        <w:tabs>
          <w:tab w:val="left" w:pos="1418"/>
          <w:tab w:val="left" w:pos="1560"/>
          <w:tab w:val="left" w:pos="1701"/>
          <w:tab w:val="left" w:pos="1985"/>
          <w:tab w:val="left" w:pos="2268"/>
        </w:tabs>
        <w:spacing w:before="120" w:after="120"/>
        <w:ind w:left="1134" w:right="1134"/>
        <w:jc w:val="both"/>
      </w:pPr>
      <w:r w:rsidRPr="000A2EE1">
        <w:t>Insert a new Note 3 to read as follows and renumber existing Note 3 as Note 4:</w:t>
      </w:r>
    </w:p>
    <w:p w:rsidR="00E3232B" w:rsidRPr="000A2EE1" w:rsidRDefault="00791E53" w:rsidP="00B75110">
      <w:pPr>
        <w:tabs>
          <w:tab w:val="left" w:pos="1418"/>
          <w:tab w:val="left" w:pos="1560"/>
          <w:tab w:val="left" w:pos="1701"/>
          <w:tab w:val="left" w:pos="1985"/>
          <w:tab w:val="left" w:pos="2268"/>
        </w:tabs>
        <w:spacing w:before="120" w:after="120"/>
        <w:ind w:left="1134" w:right="1134"/>
        <w:jc w:val="both"/>
      </w:pPr>
      <w:r w:rsidRPr="000A2EE1">
        <w:rPr>
          <w:i/>
        </w:rPr>
        <w:t>“</w:t>
      </w:r>
      <w:r w:rsidR="00E3232B" w:rsidRPr="000A2EE1">
        <w:rPr>
          <w:b/>
          <w:i/>
        </w:rPr>
        <w:t>NOTE 3:</w:t>
      </w:r>
      <w:r w:rsidR="00E3232B" w:rsidRPr="000A2EE1">
        <w:rPr>
          <w:i/>
        </w:rPr>
        <w:tab/>
        <w:t>Genetically modified live animals which, in accordance with the current state of scientific knowledge, have no known pathogenic effect on humans, animals and plants and are carried in receptacles that are suitable for safely preventing both the escape of the animals and unauthorized access to them, are not subject to the provisions of ADR. The provisions specified by the International Air Transport Association (IATA) for air transport “Live Animals Regulations, LAR” can be drawn on as guidelines for suitable receptacles for the transport of live animals.</w:t>
      </w:r>
      <w:r w:rsidRPr="000A2EE1">
        <w:t>”</w:t>
      </w:r>
      <w:r w:rsidR="00E3232B" w:rsidRPr="000A2EE1">
        <w:t>.</w:t>
      </w:r>
    </w:p>
    <w:p w:rsidR="00E3232B" w:rsidRPr="000A2EE1" w:rsidRDefault="00E3232B" w:rsidP="00B75110">
      <w:pPr>
        <w:pStyle w:val="SingleTxtG"/>
        <w:tabs>
          <w:tab w:val="left" w:pos="1701"/>
          <w:tab w:val="left" w:pos="1985"/>
          <w:tab w:val="left" w:pos="2268"/>
        </w:tabs>
        <w:rPr>
          <w:rFonts w:eastAsia="Calibri"/>
        </w:rPr>
      </w:pPr>
      <w:r w:rsidRPr="000A2EE1">
        <w:rPr>
          <w:rFonts w:eastAsia="Calibri"/>
        </w:rPr>
        <w:t>2.2.9.1.14</w:t>
      </w:r>
      <w:r w:rsidRPr="000A2EE1">
        <w:rPr>
          <w:rFonts w:eastAsia="Calibri"/>
        </w:rPr>
        <w:tab/>
      </w:r>
      <w:r w:rsidR="00B75110" w:rsidRPr="000A2EE1">
        <w:rPr>
          <w:rFonts w:eastAsia="Calibri"/>
        </w:rPr>
        <w:tab/>
      </w:r>
      <w:r w:rsidRPr="000A2EE1">
        <w:rPr>
          <w:rFonts w:eastAsia="Calibri"/>
        </w:rPr>
        <w:t xml:space="preserve">In the list before the Note, after </w:t>
      </w:r>
      <w:r w:rsidR="00791E53" w:rsidRPr="000A2EE1">
        <w:rPr>
          <w:rFonts w:eastAsia="Calibri"/>
        </w:rPr>
        <w:t>“</w:t>
      </w:r>
      <w:r w:rsidRPr="000A2EE1">
        <w:t>Electric double layer capacitors (with an energy storage capacity greater than 0.3 Wh)</w:t>
      </w:r>
      <w:r w:rsidR="00791E53" w:rsidRPr="000A2EE1">
        <w:rPr>
          <w:rFonts w:eastAsia="Calibri"/>
        </w:rPr>
        <w:t>”</w:t>
      </w:r>
      <w:r w:rsidRPr="000A2EE1">
        <w:rPr>
          <w:rFonts w:eastAsia="Calibri"/>
        </w:rPr>
        <w:t xml:space="preserve"> add a new line to read: </w:t>
      </w:r>
    </w:p>
    <w:p w:rsidR="00E3232B" w:rsidRPr="000A2EE1" w:rsidRDefault="00791E53" w:rsidP="00B75110">
      <w:pPr>
        <w:pStyle w:val="SingleTxtG"/>
        <w:tabs>
          <w:tab w:val="left" w:pos="1701"/>
          <w:tab w:val="left" w:pos="1985"/>
          <w:tab w:val="left" w:pos="2268"/>
        </w:tabs>
      </w:pPr>
      <w:r w:rsidRPr="000A2EE1">
        <w:rPr>
          <w:rFonts w:eastAsia="Calibri"/>
        </w:rPr>
        <w:t>“</w:t>
      </w:r>
      <w:r w:rsidR="00E3232B" w:rsidRPr="000A2EE1">
        <w:t>Engines and machinery, internal combustion.</w:t>
      </w:r>
      <w:r w:rsidRPr="000A2EE1">
        <w:rPr>
          <w:rFonts w:eastAsia="Calibri"/>
        </w:rPr>
        <w:t>”</w:t>
      </w:r>
      <w:r w:rsidR="00E3232B" w:rsidRPr="000A2EE1">
        <w:rPr>
          <w:rFonts w:eastAsia="Calibri"/>
        </w:rPr>
        <w:t>.</w:t>
      </w:r>
    </w:p>
    <w:p w:rsidR="00E3232B" w:rsidRPr="000A2EE1" w:rsidRDefault="00E3232B" w:rsidP="00B75110">
      <w:pPr>
        <w:pStyle w:val="SingleTxtG"/>
        <w:tabs>
          <w:tab w:val="left" w:pos="1701"/>
          <w:tab w:val="left" w:pos="1985"/>
          <w:tab w:val="left" w:pos="2268"/>
        </w:tabs>
        <w:rPr>
          <w:rFonts w:eastAsia="Calibri"/>
        </w:rPr>
      </w:pPr>
      <w:r w:rsidRPr="000A2EE1">
        <w:rPr>
          <w:rFonts w:eastAsia="Calibri"/>
        </w:rPr>
        <w:t>2.2.9.1.14</w:t>
      </w:r>
      <w:r w:rsidR="00B75110" w:rsidRPr="000A2EE1">
        <w:rPr>
          <w:rFonts w:eastAsia="Calibri"/>
        </w:rPr>
        <w:tab/>
      </w:r>
      <w:r w:rsidR="00B75110" w:rsidRPr="000A2EE1">
        <w:rPr>
          <w:rFonts w:eastAsia="Calibri"/>
        </w:rPr>
        <w:tab/>
      </w:r>
      <w:r w:rsidRPr="000A2EE1">
        <w:t>In the Note, delete the entries for UN Nos. 3166 and 3171.</w:t>
      </w:r>
    </w:p>
    <w:p w:rsidR="00E3232B" w:rsidRPr="000A2EE1" w:rsidRDefault="00E3232B" w:rsidP="00B75110">
      <w:pPr>
        <w:pStyle w:val="SingleTxtG"/>
        <w:tabs>
          <w:tab w:val="left" w:pos="1701"/>
          <w:tab w:val="left" w:pos="1985"/>
          <w:tab w:val="left" w:pos="2268"/>
        </w:tabs>
      </w:pPr>
      <w:r w:rsidRPr="000A2EE1">
        <w:t>2.2.9.3</w:t>
      </w:r>
      <w:r w:rsidRPr="000A2EE1">
        <w:tab/>
      </w:r>
      <w:r w:rsidRPr="000A2EE1">
        <w:tab/>
        <w:t xml:space="preserve">In the title of M2, replace </w:t>
      </w:r>
      <w:r w:rsidR="00791E53" w:rsidRPr="000A2EE1">
        <w:t>“</w:t>
      </w:r>
      <w:r w:rsidRPr="000A2EE1">
        <w:t>apparatus</w:t>
      </w:r>
      <w:r w:rsidR="00791E53" w:rsidRPr="000A2EE1">
        <w:t>”</w:t>
      </w:r>
      <w:r w:rsidRPr="000A2EE1">
        <w:t xml:space="preserve"> by </w:t>
      </w:r>
      <w:r w:rsidR="00791E53" w:rsidRPr="000A2EE1">
        <w:t>“</w:t>
      </w:r>
      <w:r w:rsidRPr="000A2EE1">
        <w:t>articles</w:t>
      </w:r>
      <w:r w:rsidR="00791E53" w:rsidRPr="000A2EE1">
        <w:t>”</w:t>
      </w:r>
      <w:r w:rsidRPr="000A2EE1">
        <w:t>.</w:t>
      </w:r>
    </w:p>
    <w:p w:rsidR="00E3232B" w:rsidRPr="000A2EE1" w:rsidRDefault="00E3232B" w:rsidP="00B75110">
      <w:pPr>
        <w:pStyle w:val="SingleTxtG"/>
        <w:tabs>
          <w:tab w:val="left" w:pos="1701"/>
          <w:tab w:val="left" w:pos="1985"/>
          <w:tab w:val="left" w:pos="2268"/>
        </w:tabs>
        <w:rPr>
          <w:rFonts w:eastAsia="Batang"/>
        </w:rPr>
      </w:pPr>
      <w:r w:rsidRPr="000A2EE1">
        <w:t xml:space="preserve">2.2.9.3, for M2 </w:t>
      </w:r>
      <w:r w:rsidR="002E348B" w:rsidRPr="000A2EE1">
        <w:tab/>
      </w:r>
      <w:r w:rsidRPr="000A2EE1">
        <w:t xml:space="preserve">After “3151 </w:t>
      </w:r>
      <w:r w:rsidRPr="000A2EE1">
        <w:rPr>
          <w:rFonts w:eastAsia="Batang"/>
          <w:caps/>
        </w:rPr>
        <w:t xml:space="preserve">Polyhalogenated biphenyls, liquid </w:t>
      </w:r>
      <w:r w:rsidRPr="000A2EE1">
        <w:rPr>
          <w:rFonts w:eastAsia="Batang"/>
        </w:rPr>
        <w:t>or</w:t>
      </w:r>
      <w:r w:rsidRPr="000A2EE1">
        <w:rPr>
          <w:rFonts w:eastAsia="Batang"/>
          <w:caps/>
        </w:rPr>
        <w:t xml:space="preserve">”, </w:t>
      </w:r>
      <w:r w:rsidRPr="000A2EE1">
        <w:rPr>
          <w:rFonts w:eastAsia="Batang"/>
        </w:rPr>
        <w:t xml:space="preserve">add a new entry to read as follows: “3151 </w:t>
      </w:r>
      <w:r w:rsidRPr="000A2EE1">
        <w:rPr>
          <w:rFonts w:eastAsia="Batang"/>
          <w:caps/>
        </w:rPr>
        <w:t xml:space="preserve">halogenated monomethyldiphenylmethanes, liquid </w:t>
      </w:r>
      <w:r w:rsidRPr="000A2EE1">
        <w:rPr>
          <w:rFonts w:eastAsia="Batang"/>
        </w:rPr>
        <w:t>or”.</w:t>
      </w:r>
      <w:r w:rsidR="002E348B" w:rsidRPr="000A2EE1">
        <w:rPr>
          <w:rFonts w:eastAsia="Batang"/>
        </w:rPr>
        <w:t xml:space="preserve"> </w:t>
      </w:r>
      <w:r w:rsidRPr="000A2EE1">
        <w:t xml:space="preserve">After “3152 </w:t>
      </w:r>
      <w:r w:rsidRPr="000A2EE1">
        <w:rPr>
          <w:rFonts w:eastAsia="Batang"/>
          <w:caps/>
        </w:rPr>
        <w:t xml:space="preserve">Polyhalogenated biphenyls, SOLID </w:t>
      </w:r>
      <w:r w:rsidRPr="000A2EE1">
        <w:rPr>
          <w:rFonts w:eastAsia="Batang"/>
        </w:rPr>
        <w:t>or</w:t>
      </w:r>
      <w:r w:rsidRPr="000A2EE1">
        <w:rPr>
          <w:rFonts w:eastAsia="Batang"/>
          <w:caps/>
        </w:rPr>
        <w:t xml:space="preserve">”, </w:t>
      </w:r>
      <w:r w:rsidRPr="000A2EE1">
        <w:rPr>
          <w:rFonts w:eastAsia="Batang"/>
        </w:rPr>
        <w:t xml:space="preserve">add a new entry to read as follows: “3152 </w:t>
      </w:r>
      <w:r w:rsidRPr="000A2EE1">
        <w:rPr>
          <w:rFonts w:eastAsia="Batang"/>
          <w:caps/>
        </w:rPr>
        <w:t xml:space="preserve">halogenated monomethyldiphenylmethanes, SOLID </w:t>
      </w:r>
      <w:r w:rsidRPr="000A2EE1">
        <w:rPr>
          <w:rFonts w:eastAsia="Batang"/>
        </w:rPr>
        <w:t>or”.</w:t>
      </w:r>
    </w:p>
    <w:p w:rsidR="00E3232B" w:rsidRPr="000A2EE1" w:rsidRDefault="00E3232B" w:rsidP="00B75110">
      <w:pPr>
        <w:pStyle w:val="SingleTxtG"/>
        <w:tabs>
          <w:tab w:val="left" w:pos="1701"/>
          <w:tab w:val="left" w:pos="1985"/>
          <w:tab w:val="left" w:pos="2268"/>
        </w:tabs>
      </w:pPr>
      <w:r w:rsidRPr="000A2EE1">
        <w:t>2.2.9.3</w:t>
      </w:r>
      <w:r w:rsidRPr="000A2EE1">
        <w:tab/>
      </w:r>
      <w:r w:rsidRPr="000A2EE1">
        <w:tab/>
        <w:t>In M11, insert the following new entries:</w:t>
      </w:r>
    </w:p>
    <w:p w:rsidR="00E3232B" w:rsidRPr="000A2EE1" w:rsidRDefault="00E3232B" w:rsidP="00B75110">
      <w:pPr>
        <w:pStyle w:val="SingleTxtG"/>
        <w:tabs>
          <w:tab w:val="left" w:pos="1701"/>
          <w:tab w:val="left" w:pos="1985"/>
          <w:tab w:val="left" w:pos="2268"/>
        </w:tabs>
      </w:pPr>
      <w:r w:rsidRPr="000A2EE1">
        <w:t>“3166</w:t>
      </w:r>
      <w:r w:rsidR="00B75110" w:rsidRPr="000A2EE1">
        <w:tab/>
      </w:r>
      <w:r w:rsidRPr="000A2EE1">
        <w:t>VEHICLE, FLAMMABLE GAS POWERED or 3166 VEHICLE, FLAMMABLE LIQUID POWERED or 3166 VEHICLE, FUEL CELL, FLAMMABLE GAS POWERED or 3166 VEHICLE, FUEL CELL, FLAMMABLE LIQUID POWERED”</w:t>
      </w:r>
    </w:p>
    <w:p w:rsidR="00E3232B" w:rsidRPr="000A2EE1" w:rsidRDefault="00E3232B" w:rsidP="00B75110">
      <w:pPr>
        <w:pStyle w:val="SingleTxtG"/>
        <w:tabs>
          <w:tab w:val="left" w:pos="1701"/>
          <w:tab w:val="left" w:pos="1985"/>
          <w:tab w:val="left" w:pos="2268"/>
        </w:tabs>
      </w:pPr>
      <w:r w:rsidRPr="000A2EE1">
        <w:t>“3171</w:t>
      </w:r>
      <w:r w:rsidR="00B75110" w:rsidRPr="000A2EE1">
        <w:tab/>
      </w:r>
      <w:r w:rsidRPr="000A2EE1">
        <w:t xml:space="preserve">BATTERY POWERED VEHICLE or 3171 BATTERY POWERED EQUIPMENT” </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3.1</w:t>
      </w:r>
    </w:p>
    <w:p w:rsidR="00E3232B" w:rsidRPr="000A2EE1" w:rsidRDefault="00E3232B" w:rsidP="00B75110">
      <w:pPr>
        <w:pStyle w:val="SingleTxtG"/>
        <w:tabs>
          <w:tab w:val="left" w:pos="1701"/>
          <w:tab w:val="left" w:pos="1985"/>
          <w:tab w:val="left" w:pos="2268"/>
        </w:tabs>
      </w:pPr>
      <w:r w:rsidRPr="000A2EE1">
        <w:t>3.1.2.2</w:t>
      </w:r>
      <w:r w:rsidRPr="000A2EE1">
        <w:tab/>
      </w:r>
      <w:r w:rsidRPr="000A2EE1">
        <w:tab/>
        <w:t>At the end of the first sentence, replace “package marking” by “package marks”.</w:t>
      </w:r>
    </w:p>
    <w:p w:rsidR="00E3232B" w:rsidRPr="000A2EE1" w:rsidRDefault="00E3232B" w:rsidP="00B75110">
      <w:pPr>
        <w:pStyle w:val="SingleTxtG"/>
        <w:tabs>
          <w:tab w:val="left" w:pos="1701"/>
          <w:tab w:val="left" w:pos="1985"/>
          <w:tab w:val="left" w:pos="2268"/>
        </w:tabs>
      </w:pPr>
      <w:r w:rsidRPr="000A2EE1">
        <w:t>3.1.2.3</w:t>
      </w:r>
      <w:r w:rsidRPr="000A2EE1">
        <w:tab/>
      </w:r>
      <w:r w:rsidRPr="000A2EE1">
        <w:tab/>
        <w:t>At the end of the second sentence, replace “package marking” by “package marks”.</w:t>
      </w:r>
    </w:p>
    <w:p w:rsidR="00E3232B" w:rsidRPr="000A2EE1" w:rsidRDefault="00E3232B" w:rsidP="00B75110">
      <w:pPr>
        <w:pStyle w:val="SingleTxtG"/>
        <w:tabs>
          <w:tab w:val="left" w:pos="1701"/>
          <w:tab w:val="left" w:pos="1985"/>
          <w:tab w:val="left" w:pos="2268"/>
        </w:tabs>
      </w:pPr>
      <w:r w:rsidRPr="000A2EE1">
        <w:t>3.1.2.6</w:t>
      </w:r>
      <w:r w:rsidRPr="000A2EE1">
        <w:tab/>
      </w:r>
      <w:r w:rsidRPr="000A2EE1">
        <w:tab/>
        <w:t>In the introductory sentence, before subparagraphs (a) and (b), at the end, before “then:” insert “or the evolution of excessive heat, or when chemical stabilization is used in combination with temperature control,”.</w:t>
      </w:r>
    </w:p>
    <w:p w:rsidR="00E3232B" w:rsidRPr="000A2EE1" w:rsidRDefault="00E3232B" w:rsidP="00B75110">
      <w:pPr>
        <w:pStyle w:val="SingleTxtG"/>
        <w:tabs>
          <w:tab w:val="left" w:pos="1701"/>
          <w:tab w:val="left" w:pos="1985"/>
          <w:tab w:val="left" w:pos="2268"/>
        </w:tabs>
      </w:pPr>
      <w:r w:rsidRPr="000A2EE1">
        <w:t>3.1.2.6 (a)</w:t>
      </w:r>
      <w:r w:rsidRPr="000A2EE1">
        <w:tab/>
      </w:r>
      <w:r w:rsidR="00B75110" w:rsidRPr="000A2EE1">
        <w:tab/>
      </w:r>
      <w:r w:rsidRPr="000A2EE1">
        <w:t>Amend to read as follows:</w:t>
      </w:r>
    </w:p>
    <w:p w:rsidR="00E3232B" w:rsidRPr="000A2EE1" w:rsidRDefault="00E3232B" w:rsidP="00B75110">
      <w:pPr>
        <w:pStyle w:val="SingleTxtG"/>
        <w:tabs>
          <w:tab w:val="left" w:pos="1701"/>
          <w:tab w:val="left" w:pos="1985"/>
          <w:tab w:val="left" w:pos="2268"/>
        </w:tabs>
      </w:pPr>
      <w:r w:rsidRPr="000A2EE1">
        <w:t>“(a)</w:t>
      </w:r>
      <w:r w:rsidRPr="000A2EE1">
        <w:tab/>
        <w:t>For liquids and solids where the SAPT</w:t>
      </w:r>
      <w:r w:rsidRPr="000A2EE1">
        <w:rPr>
          <w:vertAlign w:val="superscript"/>
        </w:rPr>
        <w:t>1</w:t>
      </w:r>
      <w:r w:rsidRPr="000A2EE1">
        <w:t xml:space="preserve"> (measured without or with inhibitor, when chemical stabilization is applied) is less than or equal to that prescribed in 2.2.41.1.21, the provisions of 2.2.41.1.17, special provision 386 of Chapter 3.3, special provision V8 of Chapter 7.2, special provision S4 of Chapter 8.5 and the requirements of Chapter 9.6 apply except that the term “SADT” as used in these paragraphs is understood to include also “SAPT” when the substance concerned reacts by polymerization;”.</w:t>
      </w:r>
    </w:p>
    <w:p w:rsidR="00E3232B" w:rsidRPr="000A2EE1" w:rsidRDefault="00E3232B" w:rsidP="00B75110">
      <w:pPr>
        <w:pStyle w:val="SingleTxtG"/>
        <w:tabs>
          <w:tab w:val="left" w:pos="1701"/>
          <w:tab w:val="left" w:pos="1985"/>
          <w:tab w:val="left" w:pos="2268"/>
        </w:tabs>
      </w:pPr>
      <w:r w:rsidRPr="000A2EE1">
        <w:t xml:space="preserve">Footnote </w:t>
      </w:r>
      <w:r w:rsidRPr="000A2EE1">
        <w:rPr>
          <w:vertAlign w:val="superscript"/>
        </w:rPr>
        <w:t>1</w:t>
      </w:r>
      <w:r w:rsidRPr="000A2EE1">
        <w:t xml:space="preserve"> reads as follows: “</w:t>
      </w:r>
      <w:r w:rsidRPr="000A2EE1">
        <w:rPr>
          <w:vertAlign w:val="superscript"/>
        </w:rPr>
        <w:t>1</w:t>
      </w:r>
      <w:r w:rsidRPr="000A2EE1">
        <w:tab/>
      </w:r>
      <w:r w:rsidRPr="000A2EE1">
        <w:rPr>
          <w:i/>
        </w:rPr>
        <w:t>For the definition of self-accelerating polymerization temperature (SAPT), see 1.2.1.</w:t>
      </w:r>
      <w:r w:rsidRPr="000A2EE1">
        <w:t>”.</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3.2</w:t>
      </w:r>
    </w:p>
    <w:p w:rsidR="00E3232B" w:rsidRPr="000A2EE1" w:rsidRDefault="00E3232B" w:rsidP="00B75110">
      <w:pPr>
        <w:pStyle w:val="SingleTxtG"/>
        <w:tabs>
          <w:tab w:val="left" w:pos="1701"/>
        </w:tabs>
      </w:pPr>
      <w:r w:rsidRPr="000A2EE1">
        <w:t>3.2.1</w:t>
      </w:r>
      <w:r w:rsidRPr="000A2EE1">
        <w:tab/>
        <w:t xml:space="preserve">In the description for column (17) amend the third sentence after the heading to read as follows: “If no special provision, identified by the code </w:t>
      </w:r>
      <w:r w:rsidR="00791E53" w:rsidRPr="000A2EE1">
        <w:t>“</w:t>
      </w:r>
      <w:r w:rsidRPr="000A2EE1">
        <w:t>VC</w:t>
      </w:r>
      <w:r w:rsidR="00791E53" w:rsidRPr="000A2EE1">
        <w:t>”</w:t>
      </w:r>
      <w:r w:rsidRPr="000A2EE1">
        <w:t xml:space="preserve"> or a reference to a specific paragraph, explicitly authorizing this mode of carriage is indicated in this column, and no special provision, identified by the code </w:t>
      </w:r>
      <w:r w:rsidR="00791E53" w:rsidRPr="000A2EE1">
        <w:t>“</w:t>
      </w:r>
      <w:r w:rsidRPr="000A2EE1">
        <w:t>BK</w:t>
      </w:r>
      <w:r w:rsidR="00791E53" w:rsidRPr="000A2EE1">
        <w:t>”</w:t>
      </w:r>
      <w:r w:rsidRPr="000A2EE1">
        <w:t xml:space="preserve"> or a reference to a specific paragraph, explicitly authorizing this mode of carriage is indicated in column (10), carriage in bulk is not permitted.”.</w:t>
      </w:r>
    </w:p>
    <w:p w:rsidR="00E3232B" w:rsidRPr="000A2EE1" w:rsidRDefault="00E3232B" w:rsidP="00B75110">
      <w:pPr>
        <w:pStyle w:val="SingleTxtG"/>
        <w:tabs>
          <w:tab w:val="left" w:pos="1701"/>
        </w:tabs>
        <w:rPr>
          <w:i/>
        </w:rPr>
      </w:pPr>
      <w:r w:rsidRPr="000A2EE1">
        <w:t>3.2.1</w:t>
      </w:r>
      <w:r w:rsidRPr="000A2EE1">
        <w:tab/>
        <w:t>In the description for “Column 20”, replace “orange-coloured marking” by “orange-coloured plates”.</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3.2, Table A</w:t>
      </w:r>
    </w:p>
    <w:p w:rsidR="00E3232B" w:rsidRPr="000A2EE1" w:rsidRDefault="00E3232B" w:rsidP="00E3232B">
      <w:pPr>
        <w:pStyle w:val="SingleTxtG"/>
        <w:rPr>
          <w:lang w:eastAsia="fr-FR"/>
        </w:rPr>
      </w:pPr>
      <w:r w:rsidRPr="000A2EE1">
        <w:t>For UN No. 0015, insert a new row with the same information as for the other entries for UN No. 0015 except that the designation in column (2) reads “</w:t>
      </w:r>
      <w:r w:rsidRPr="000A2EE1">
        <w:rPr>
          <w:lang w:eastAsia="fr-FR"/>
        </w:rPr>
        <w:t>AMMUNITION, SMOKE with or without burster, expelling charge or propelling charge, containing toxic by inhalation substances” and the codes for labels in column (5) read “1 +6.1”.</w:t>
      </w:r>
    </w:p>
    <w:p w:rsidR="00E3232B" w:rsidRPr="000A2EE1" w:rsidRDefault="00E3232B" w:rsidP="00E3232B">
      <w:pPr>
        <w:pStyle w:val="SingleTxtG"/>
        <w:rPr>
          <w:lang w:eastAsia="fr-FR"/>
        </w:rPr>
      </w:pPr>
      <w:r w:rsidRPr="000A2EE1">
        <w:t>For UN No. 0016, insert a new row with the same information as for the other entries for UN No. 0016 except that the designation in column (2) reads “AMMUNITION, SMOKE with or without burster, expelling charge or propelling charge</w:t>
      </w:r>
      <w:r w:rsidRPr="000A2EE1">
        <w:rPr>
          <w:lang w:eastAsia="fr-FR"/>
        </w:rPr>
        <w:t>, containing toxic by inhalation substances” and the codes for labels in column (5) read “1 +6.1”.</w:t>
      </w:r>
    </w:p>
    <w:p w:rsidR="00E3232B" w:rsidRPr="000A2EE1" w:rsidRDefault="00E3232B" w:rsidP="00E3232B">
      <w:pPr>
        <w:pStyle w:val="SingleTxtG"/>
        <w:rPr>
          <w:lang w:eastAsia="fr-FR"/>
        </w:rPr>
      </w:pPr>
      <w:r w:rsidRPr="000A2EE1">
        <w:t xml:space="preserve">For UN No. 0303, insert a new row with the same information as for the other entries for UN No. 0303 except that the designation in column (2) reads “AMMUNITION, SMOKE with or without burster, expelling charge or propelling charge, </w:t>
      </w:r>
      <w:r w:rsidRPr="000A2EE1">
        <w:rPr>
          <w:lang w:eastAsia="fr-FR"/>
        </w:rPr>
        <w:t>containing toxic by inhalation substances” and the codes for labels in column (5) read “1.4 +6.1”.</w:t>
      </w:r>
    </w:p>
    <w:p w:rsidR="00E3232B" w:rsidRPr="000A2EE1" w:rsidRDefault="00E3232B" w:rsidP="00E3232B">
      <w:pPr>
        <w:pStyle w:val="SingleTxtG"/>
        <w:tabs>
          <w:tab w:val="left" w:pos="3828"/>
        </w:tabs>
      </w:pPr>
      <w:r w:rsidRPr="000A2EE1">
        <w:t>For UN Nos. 1005 and 3516, add “379” in column (6).</w:t>
      </w:r>
    </w:p>
    <w:p w:rsidR="00E3232B" w:rsidRPr="000A2EE1" w:rsidRDefault="00E3232B" w:rsidP="00E3232B">
      <w:pPr>
        <w:pStyle w:val="SingleTxtG"/>
        <w:tabs>
          <w:tab w:val="left" w:pos="6379"/>
          <w:tab w:val="left" w:pos="6663"/>
        </w:tabs>
      </w:pPr>
      <w:r w:rsidRPr="000A2EE1">
        <w:t>For UN Nos. 1006, 1013, 1046, 1056, 1065, 1066, 1956, 2036, add “378” in column (6).</w:t>
      </w:r>
    </w:p>
    <w:p w:rsidR="00E3232B" w:rsidRPr="000A2EE1" w:rsidRDefault="00E3232B" w:rsidP="00E3232B">
      <w:pPr>
        <w:pStyle w:val="SingleTxtG"/>
        <w:rPr>
          <w:iCs/>
        </w:rPr>
      </w:pPr>
      <w:r w:rsidRPr="000A2EE1">
        <w:rPr>
          <w:iCs/>
        </w:rPr>
        <w:t xml:space="preserve">For UN Nos. </w:t>
      </w:r>
      <w:r w:rsidRPr="000A2EE1">
        <w:t xml:space="preserve">1010, 1051, 1060, 1081, 1082, 1085, 1086, 1087, 1092, 1093, 1143, 1167, 1185, 1218, 1246, 1247, 1251, 1301, 1302, 1303, 1304, 1545, 1589, 1614, 1724, 1829, 1860, 1917, 1919, 1921, 1991, 2055, 2200, 2218, 2227, 2251, 2277, 2283, 2348, 2352, 2383, 2396, 2452, 2521, 2527, 2531, 2607, 2618, 2838, 3022, 3073 and 3079, </w:t>
      </w:r>
      <w:r w:rsidRPr="000A2EE1">
        <w:rPr>
          <w:iCs/>
        </w:rPr>
        <w:t>in column (6) insert “386”. Insert “V8” in column (16) and insert “S4” in column (19).</w:t>
      </w:r>
    </w:p>
    <w:p w:rsidR="00E3232B" w:rsidRPr="000A2EE1" w:rsidRDefault="00E3232B" w:rsidP="00E3232B">
      <w:pPr>
        <w:pStyle w:val="SingleTxtG"/>
      </w:pPr>
      <w:r w:rsidRPr="000A2EE1">
        <w:t xml:space="preserve">For UN Nos.1092, 1098, 1143, 1163, 1238, 1239, 1244, 1595, 1695, 1752, 1809, 2334, 2337, 2646 and 3023, in column (11), delete </w:t>
      </w:r>
      <w:r w:rsidR="00791E53" w:rsidRPr="000A2EE1">
        <w:t>“</w:t>
      </w:r>
      <w:r w:rsidRPr="000A2EE1">
        <w:t>TP35</w:t>
      </w:r>
      <w:r w:rsidR="00791E53" w:rsidRPr="000A2EE1">
        <w:t>”</w:t>
      </w:r>
      <w:r w:rsidRPr="000A2EE1">
        <w:t>.</w:t>
      </w:r>
    </w:p>
    <w:p w:rsidR="00E3232B" w:rsidRPr="000A2EE1" w:rsidRDefault="00E3232B" w:rsidP="00E3232B">
      <w:pPr>
        <w:pStyle w:val="SingleTxtG"/>
      </w:pPr>
      <w:r w:rsidRPr="000A2EE1">
        <w:t xml:space="preserve">For UN Nos. 1135, 1182, 1251, 1541, 1580, 1605, 1670, 1810, 1838, 1892, 2232, 2382, 2474, 2477, 2481, 2482, 2483, 2484, 2485, 2486, 2487, 2488, 2521, 2605, 2606, 2644, 2668, 3079 and 3246, in column (11), delete </w:t>
      </w:r>
      <w:r w:rsidR="00791E53" w:rsidRPr="000A2EE1">
        <w:t>“</w:t>
      </w:r>
      <w:r w:rsidRPr="000A2EE1">
        <w:t>TP37</w:t>
      </w:r>
      <w:r w:rsidR="00791E53" w:rsidRPr="000A2EE1">
        <w:t>”</w:t>
      </w:r>
      <w:r w:rsidRPr="000A2EE1">
        <w:t>.</w:t>
      </w:r>
    </w:p>
    <w:p w:rsidR="00E3232B" w:rsidRPr="000A2EE1" w:rsidRDefault="00E3232B" w:rsidP="00E3232B">
      <w:pPr>
        <w:pStyle w:val="SingleTxtG"/>
        <w:rPr>
          <w:lang w:eastAsia="de-DE"/>
        </w:rPr>
      </w:pPr>
      <w:r w:rsidRPr="000A2EE1">
        <w:rPr>
          <w:iCs/>
          <w:snapToGrid w:val="0"/>
        </w:rPr>
        <w:t xml:space="preserve">For UN No. 1202, in column (2), replace </w:t>
      </w:r>
      <w:r w:rsidR="00791E53" w:rsidRPr="000A2EE1">
        <w:rPr>
          <w:iCs/>
          <w:snapToGrid w:val="0"/>
        </w:rPr>
        <w:t>“</w:t>
      </w:r>
      <w:r w:rsidRPr="000A2EE1">
        <w:rPr>
          <w:lang w:eastAsia="de-DE"/>
        </w:rPr>
        <w:t>EN 590:2009 + A1:2010</w:t>
      </w:r>
      <w:r w:rsidR="00791E53" w:rsidRPr="000A2EE1">
        <w:rPr>
          <w:iCs/>
          <w:snapToGrid w:val="0"/>
        </w:rPr>
        <w:t>”</w:t>
      </w:r>
      <w:r w:rsidRPr="000A2EE1">
        <w:rPr>
          <w:iCs/>
          <w:snapToGrid w:val="0"/>
        </w:rPr>
        <w:t xml:space="preserve"> by </w:t>
      </w:r>
      <w:r w:rsidR="00791E53" w:rsidRPr="000A2EE1">
        <w:rPr>
          <w:iCs/>
          <w:snapToGrid w:val="0"/>
        </w:rPr>
        <w:t>“</w:t>
      </w:r>
      <w:r w:rsidRPr="000A2EE1">
        <w:rPr>
          <w:lang w:eastAsia="de-DE"/>
        </w:rPr>
        <w:t>EN 590:2013 + AC:2014</w:t>
      </w:r>
      <w:r w:rsidR="00791E53" w:rsidRPr="000A2EE1">
        <w:rPr>
          <w:lang w:eastAsia="de-DE"/>
        </w:rPr>
        <w:t>”</w:t>
      </w:r>
      <w:r w:rsidRPr="000A2EE1">
        <w:rPr>
          <w:lang w:eastAsia="de-DE"/>
        </w:rPr>
        <w:t xml:space="preserve"> (twice).</w:t>
      </w:r>
    </w:p>
    <w:p w:rsidR="00E3232B" w:rsidRPr="000A2EE1" w:rsidRDefault="00E3232B" w:rsidP="00E3232B">
      <w:pPr>
        <w:pStyle w:val="SingleTxtG"/>
        <w:rPr>
          <w:iCs/>
        </w:rPr>
      </w:pPr>
      <w:r w:rsidRPr="000A2EE1">
        <w:rPr>
          <w:iCs/>
        </w:rPr>
        <w:t xml:space="preserve">For UN Nos. </w:t>
      </w:r>
      <w:r w:rsidRPr="000A2EE1">
        <w:rPr>
          <w:rFonts w:eastAsia="Calibri"/>
        </w:rPr>
        <w:t>1202</w:t>
      </w:r>
      <w:r w:rsidRPr="000A2EE1">
        <w:rPr>
          <w:iCs/>
        </w:rPr>
        <w:t xml:space="preserve">, </w:t>
      </w:r>
      <w:r w:rsidRPr="000A2EE1">
        <w:rPr>
          <w:rFonts w:eastAsia="Calibri"/>
        </w:rPr>
        <w:t xml:space="preserve">1203, 1223, 1268 (all entries), 1863 (all entries) and 3475, </w:t>
      </w:r>
      <w:r w:rsidRPr="000A2EE1">
        <w:rPr>
          <w:iCs/>
        </w:rPr>
        <w:t>in column (6) delete “363”.</w:t>
      </w:r>
    </w:p>
    <w:p w:rsidR="00E3232B" w:rsidRPr="000A2EE1" w:rsidRDefault="00E3232B" w:rsidP="00E3232B">
      <w:pPr>
        <w:pStyle w:val="SingleTxtG"/>
      </w:pPr>
      <w:r w:rsidRPr="000A2EE1">
        <w:t>For UN Nos. 1334, 1350, 1454, 1474, 1486, 1498, 1499, 1942, 2067, 2213, 3077, 3</w:t>
      </w:r>
      <w:r w:rsidR="0069073E" w:rsidRPr="000A2EE1">
        <w:t xml:space="preserve">377 and 3378 PG III, </w:t>
      </w:r>
      <w:r w:rsidRPr="000A2EE1">
        <w:t>in column (10) add “BK3”.</w:t>
      </w:r>
    </w:p>
    <w:p w:rsidR="00E3232B" w:rsidRPr="000A2EE1" w:rsidRDefault="00E3232B" w:rsidP="00E3232B">
      <w:pPr>
        <w:pStyle w:val="SingleTxtG"/>
      </w:pPr>
      <w:r w:rsidRPr="000A2EE1">
        <w:t>For UN No. 1415, add “T9” in column (10). Add “TP7” and “TP33” in column (11).</w:t>
      </w:r>
    </w:p>
    <w:p w:rsidR="00E3232B" w:rsidRPr="000A2EE1" w:rsidRDefault="00E3232B" w:rsidP="00E3232B">
      <w:pPr>
        <w:pStyle w:val="SingleTxtG"/>
      </w:pPr>
      <w:r w:rsidRPr="000A2EE1">
        <w:t>For UN No. 1845</w:t>
      </w:r>
      <w:r w:rsidR="0069073E" w:rsidRPr="000A2EE1">
        <w:t>, r</w:t>
      </w:r>
      <w:r w:rsidRPr="000A2EE1">
        <w:t>eplace “NOT SUBJECT TO ADR - When used as a coolant, see 5.5.3” by “NOT SUBJECT TO ADR except for 5.5.3”.</w:t>
      </w:r>
    </w:p>
    <w:p w:rsidR="00E3232B" w:rsidRPr="000A2EE1" w:rsidRDefault="00E3232B" w:rsidP="00E3232B">
      <w:pPr>
        <w:pStyle w:val="SingleTxtG"/>
      </w:pPr>
      <w:r w:rsidRPr="000A2EE1">
        <w:t>For UN No. 1950, in column (8), replace “LP02” by “LP200”.</w:t>
      </w:r>
    </w:p>
    <w:p w:rsidR="00E3232B" w:rsidRPr="000A2EE1" w:rsidRDefault="00E3232B" w:rsidP="00E3232B">
      <w:pPr>
        <w:pStyle w:val="SingleTxtG"/>
      </w:pPr>
      <w:r w:rsidRPr="000A2EE1">
        <w:t>For UN No. 1966, delete “TP23” in column (11).</w:t>
      </w:r>
    </w:p>
    <w:p w:rsidR="00E3232B" w:rsidRPr="000A2EE1" w:rsidRDefault="00E3232B" w:rsidP="00E3232B">
      <w:pPr>
        <w:pStyle w:val="SingleTxtG"/>
        <w:rPr>
          <w:iCs/>
        </w:rPr>
      </w:pPr>
      <w:r w:rsidRPr="000A2EE1">
        <w:rPr>
          <w:iCs/>
        </w:rPr>
        <w:t>For UN No. 2000, insert “383” in column (6).</w:t>
      </w:r>
    </w:p>
    <w:p w:rsidR="00E3232B" w:rsidRPr="000A2EE1" w:rsidRDefault="00E3232B" w:rsidP="00E3232B">
      <w:pPr>
        <w:pStyle w:val="SingleTxtG"/>
      </w:pPr>
      <w:r w:rsidRPr="000A2EE1">
        <w:t xml:space="preserve">For UN No. 2015 (both entries), in column (14) replace </w:t>
      </w:r>
      <w:r w:rsidR="00791E53" w:rsidRPr="000A2EE1">
        <w:t>“</w:t>
      </w:r>
      <w:r w:rsidRPr="000A2EE1">
        <w:t>OX</w:t>
      </w:r>
      <w:r w:rsidR="00791E53" w:rsidRPr="000A2EE1">
        <w:t>”</w:t>
      </w:r>
      <w:r w:rsidRPr="000A2EE1">
        <w:t xml:space="preserve"> by </w:t>
      </w:r>
      <w:r w:rsidR="00791E53" w:rsidRPr="000A2EE1">
        <w:t>“</w:t>
      </w:r>
      <w:r w:rsidRPr="000A2EE1">
        <w:t>FL</w:t>
      </w:r>
      <w:r w:rsidR="00791E53" w:rsidRPr="000A2EE1">
        <w:t>”</w:t>
      </w:r>
      <w:r w:rsidRPr="000A2EE1">
        <w:t>.</w:t>
      </w:r>
    </w:p>
    <w:p w:rsidR="00E3232B" w:rsidRPr="000A2EE1" w:rsidRDefault="00E3232B" w:rsidP="00E3232B">
      <w:pPr>
        <w:pStyle w:val="SingleTxtG"/>
        <w:rPr>
          <w:iCs/>
        </w:rPr>
      </w:pPr>
      <w:r w:rsidRPr="000A2EE1">
        <w:rPr>
          <w:iCs/>
        </w:rPr>
        <w:t>For UN No. 2211, replace “207” by “382” in column (6).</w:t>
      </w:r>
    </w:p>
    <w:p w:rsidR="00E3232B" w:rsidRPr="000A2EE1" w:rsidRDefault="00E3232B" w:rsidP="00E3232B">
      <w:pPr>
        <w:pStyle w:val="SingleTxtG"/>
      </w:pPr>
      <w:r w:rsidRPr="000A2EE1">
        <w:t xml:space="preserve">For UN Nos. 2211 and 3314, in column (18) add </w:t>
      </w:r>
      <w:r w:rsidR="00791E53" w:rsidRPr="000A2EE1">
        <w:t>“</w:t>
      </w:r>
      <w:r w:rsidRPr="000A2EE1">
        <w:t>CV36</w:t>
      </w:r>
      <w:r w:rsidR="00791E53" w:rsidRPr="000A2EE1">
        <w:t>”</w:t>
      </w:r>
      <w:r w:rsidRPr="000A2EE1">
        <w:t>.</w:t>
      </w:r>
    </w:p>
    <w:p w:rsidR="00E3232B" w:rsidRPr="000A2EE1" w:rsidRDefault="00E3232B" w:rsidP="00E3232B">
      <w:pPr>
        <w:pStyle w:val="SingleTxtG"/>
      </w:pPr>
      <w:r w:rsidRPr="000A2EE1">
        <w:t>For UN No. 2813, all entries, in column (9a), delete “PP83”.</w:t>
      </w:r>
    </w:p>
    <w:p w:rsidR="00E3232B" w:rsidRPr="000A2EE1" w:rsidRDefault="00E3232B" w:rsidP="00E3232B">
      <w:pPr>
        <w:pStyle w:val="SingleTxtG"/>
      </w:pPr>
      <w:r w:rsidRPr="000A2EE1">
        <w:t>For UN Nos. 2814 (first entry), 2900 (first entry), 3077 and 3082</w:t>
      </w:r>
      <w:r w:rsidR="0069073E" w:rsidRPr="000A2EE1">
        <w:t>, i</w:t>
      </w:r>
      <w:r w:rsidRPr="000A2EE1">
        <w:t>n column (15), replace “(E)” by “(-)”.</w:t>
      </w:r>
    </w:p>
    <w:p w:rsidR="00E3232B" w:rsidRPr="000A2EE1" w:rsidRDefault="00E3232B" w:rsidP="00E3232B">
      <w:pPr>
        <w:pStyle w:val="SingleTxtG"/>
        <w:rPr>
          <w:iCs/>
        </w:rPr>
      </w:pPr>
      <w:r w:rsidRPr="000A2EE1">
        <w:rPr>
          <w:iCs/>
        </w:rPr>
        <w:t>For UN No. 2815</w:t>
      </w:r>
      <w:r w:rsidRPr="000A2EE1">
        <w:t xml:space="preserve">, </w:t>
      </w:r>
      <w:r w:rsidRPr="000A2EE1">
        <w:rPr>
          <w:iCs/>
        </w:rPr>
        <w:t xml:space="preserve">in column (5) insert “+ 6.1” and in column (3b) replace “C7” by “CT1”. In column (20), replace </w:t>
      </w:r>
      <w:r w:rsidR="00791E53" w:rsidRPr="000A2EE1">
        <w:rPr>
          <w:iCs/>
        </w:rPr>
        <w:t>“</w:t>
      </w:r>
      <w:r w:rsidRPr="000A2EE1">
        <w:rPr>
          <w:iCs/>
        </w:rPr>
        <w:t>80</w:t>
      </w:r>
      <w:r w:rsidR="00791E53" w:rsidRPr="000A2EE1">
        <w:rPr>
          <w:iCs/>
        </w:rPr>
        <w:t>”</w:t>
      </w:r>
      <w:r w:rsidRPr="000A2EE1">
        <w:rPr>
          <w:iCs/>
        </w:rPr>
        <w:t xml:space="preserve"> by </w:t>
      </w:r>
      <w:r w:rsidR="00791E53" w:rsidRPr="000A2EE1">
        <w:rPr>
          <w:iCs/>
        </w:rPr>
        <w:t>“</w:t>
      </w:r>
      <w:r w:rsidRPr="000A2EE1">
        <w:rPr>
          <w:iCs/>
        </w:rPr>
        <w:t>86</w:t>
      </w:r>
      <w:r w:rsidR="00791E53" w:rsidRPr="000A2EE1">
        <w:rPr>
          <w:iCs/>
        </w:rPr>
        <w:t>”</w:t>
      </w:r>
      <w:r w:rsidRPr="000A2EE1">
        <w:rPr>
          <w:iCs/>
        </w:rPr>
        <w:t>.</w:t>
      </w:r>
      <w:r w:rsidRPr="000A2EE1">
        <w:t xml:space="preserve"> </w:t>
      </w:r>
    </w:p>
    <w:p w:rsidR="00E3232B" w:rsidRPr="000A2EE1" w:rsidRDefault="00E3232B" w:rsidP="00E3232B">
      <w:pPr>
        <w:pStyle w:val="SingleTxtG"/>
      </w:pPr>
      <w:r w:rsidRPr="000A2EE1">
        <w:t>For UN Nos. 2977 and 2978, in column (</w:t>
      </w:r>
      <w:r w:rsidRPr="000A2EE1">
        <w:rPr>
          <w:iCs/>
        </w:rPr>
        <w:t xml:space="preserve"> 5</w:t>
      </w:r>
      <w:r w:rsidRPr="000A2EE1">
        <w:t xml:space="preserve">) insert “+ 6.1” before “+ 8”. In column (20), replace “78” by “768”. </w:t>
      </w:r>
    </w:p>
    <w:p w:rsidR="00E3232B" w:rsidRPr="000A2EE1" w:rsidRDefault="00E3232B" w:rsidP="00E3232B">
      <w:pPr>
        <w:pStyle w:val="SingleTxtG"/>
      </w:pPr>
      <w:r w:rsidRPr="000A2EE1">
        <w:t xml:space="preserve">For UN Nos. 3090, 3091, 3480 and 3481, </w:t>
      </w:r>
      <w:r w:rsidRPr="000A2EE1">
        <w:rPr>
          <w:iCs/>
        </w:rPr>
        <w:t xml:space="preserve">in column (5), replace “9” by “9A” and </w:t>
      </w:r>
      <w:r w:rsidRPr="000A2EE1">
        <w:t>in column (8), insert “P910”.</w:t>
      </w:r>
    </w:p>
    <w:p w:rsidR="00E3232B" w:rsidRPr="000A2EE1" w:rsidRDefault="00E3232B" w:rsidP="00E3232B">
      <w:pPr>
        <w:pStyle w:val="SingleTxtG"/>
      </w:pPr>
      <w:r w:rsidRPr="000A2EE1">
        <w:t>For UN Nos. 3091 and 3481, insert “310” in column (6).</w:t>
      </w:r>
    </w:p>
    <w:p w:rsidR="00E3232B" w:rsidRPr="000A2EE1" w:rsidRDefault="00E3232B" w:rsidP="00E3232B">
      <w:pPr>
        <w:pStyle w:val="SingleTxtG"/>
        <w:rPr>
          <w:iCs/>
        </w:rPr>
      </w:pPr>
      <w:r w:rsidRPr="000A2EE1">
        <w:rPr>
          <w:iCs/>
        </w:rPr>
        <w:t>For UN No. 3151, amend column (2) to read as follows: “</w:t>
      </w:r>
      <w:r w:rsidRPr="000A2EE1">
        <w:rPr>
          <w:rFonts w:eastAsia="Batang"/>
          <w:caps/>
        </w:rPr>
        <w:t xml:space="preserve">Polyhalogenated biphenyls, liquid </w:t>
      </w:r>
      <w:r w:rsidRPr="000A2EE1">
        <w:rPr>
          <w:rFonts w:eastAsia="Batang"/>
        </w:rPr>
        <w:t>or</w:t>
      </w:r>
      <w:r w:rsidRPr="000A2EE1">
        <w:rPr>
          <w:rFonts w:eastAsia="Batang"/>
          <w:caps/>
        </w:rPr>
        <w:t xml:space="preserve"> halogenated monomethyldiphenylmethanes, liquid </w:t>
      </w:r>
      <w:r w:rsidRPr="000A2EE1">
        <w:rPr>
          <w:rFonts w:eastAsia="Batang"/>
        </w:rPr>
        <w:t>or</w:t>
      </w:r>
      <w:r w:rsidRPr="000A2EE1">
        <w:rPr>
          <w:rFonts w:eastAsia="Batang"/>
          <w:caps/>
        </w:rPr>
        <w:t xml:space="preserve"> Polyhalogenated terphenyls, liquid</w:t>
      </w:r>
      <w:r w:rsidRPr="000A2EE1">
        <w:rPr>
          <w:iCs/>
        </w:rPr>
        <w:t>”.</w:t>
      </w:r>
    </w:p>
    <w:p w:rsidR="00E3232B" w:rsidRPr="000A2EE1" w:rsidRDefault="00E3232B" w:rsidP="00E3232B">
      <w:pPr>
        <w:pStyle w:val="SingleTxtG"/>
        <w:rPr>
          <w:iCs/>
        </w:rPr>
      </w:pPr>
      <w:r w:rsidRPr="000A2EE1">
        <w:rPr>
          <w:iCs/>
        </w:rPr>
        <w:t>For UN No. 3152, amend column (2) to read as follows: “</w:t>
      </w:r>
      <w:r w:rsidRPr="000A2EE1">
        <w:rPr>
          <w:rFonts w:eastAsia="Batang"/>
          <w:caps/>
        </w:rPr>
        <w:t xml:space="preserve">Polyhalogenated biphenyls, solid </w:t>
      </w:r>
      <w:r w:rsidRPr="000A2EE1">
        <w:rPr>
          <w:rFonts w:eastAsia="Batang"/>
        </w:rPr>
        <w:t>or</w:t>
      </w:r>
      <w:r w:rsidRPr="000A2EE1">
        <w:rPr>
          <w:rFonts w:eastAsia="Batang"/>
          <w:caps/>
        </w:rPr>
        <w:t xml:space="preserve"> halogenated monomethyldiphenylmethanes, solid </w:t>
      </w:r>
      <w:r w:rsidRPr="000A2EE1">
        <w:rPr>
          <w:rFonts w:eastAsia="Batang"/>
        </w:rPr>
        <w:t>or</w:t>
      </w:r>
      <w:r w:rsidRPr="000A2EE1">
        <w:rPr>
          <w:rFonts w:eastAsia="Batang"/>
          <w:caps/>
        </w:rPr>
        <w:t xml:space="preserve"> Polyhalogenated terphenyls, solid</w:t>
      </w:r>
      <w:r w:rsidRPr="000A2EE1">
        <w:rPr>
          <w:iCs/>
        </w:rPr>
        <w:t>”.</w:t>
      </w:r>
    </w:p>
    <w:p w:rsidR="000A2896" w:rsidRPr="000A2EE1" w:rsidRDefault="00E3232B" w:rsidP="00E3232B">
      <w:pPr>
        <w:pStyle w:val="SingleTxtG"/>
      </w:pPr>
      <w:r w:rsidRPr="000A2EE1">
        <w:t>Amend the entries for UN Nos. 3166 and 3171 to read as follows:</w:t>
      </w:r>
    </w:p>
    <w:tbl>
      <w:tblPr>
        <w:tblW w:w="3747" w:type="pct"/>
        <w:jc w:val="center"/>
        <w:tblInd w:w="-796" w:type="dxa"/>
        <w:tblCellMar>
          <w:top w:w="28" w:type="dxa"/>
          <w:left w:w="18" w:type="dxa"/>
          <w:bottom w:w="28" w:type="dxa"/>
          <w:right w:w="28" w:type="dxa"/>
        </w:tblCellMar>
        <w:tblLook w:val="0000" w:firstRow="0" w:lastRow="0" w:firstColumn="0" w:lastColumn="0" w:noHBand="0" w:noVBand="0"/>
      </w:tblPr>
      <w:tblGrid>
        <w:gridCol w:w="511"/>
        <w:gridCol w:w="3260"/>
        <w:gridCol w:w="408"/>
        <w:gridCol w:w="462"/>
        <w:gridCol w:w="279"/>
        <w:gridCol w:w="705"/>
        <w:gridCol w:w="705"/>
        <w:gridCol w:w="928"/>
      </w:tblGrid>
      <w:tr w:rsidR="00E3232B" w:rsidRPr="000A2EE1" w:rsidTr="009B5E14">
        <w:trPr>
          <w:cantSplit/>
          <w:tblHeader/>
          <w:jc w:val="center"/>
        </w:trPr>
        <w:tc>
          <w:tcPr>
            <w:tcW w:w="352"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jc w:val="center"/>
              <w:rPr>
                <w:bCs/>
                <w:sz w:val="16"/>
                <w:szCs w:val="16"/>
              </w:rPr>
            </w:pPr>
            <w:r w:rsidRPr="000A2EE1">
              <w:rPr>
                <w:bCs/>
                <w:sz w:val="16"/>
                <w:szCs w:val="16"/>
              </w:rPr>
              <w:t>(1)</w:t>
            </w:r>
          </w:p>
        </w:tc>
        <w:tc>
          <w:tcPr>
            <w:tcW w:w="2246"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jc w:val="center"/>
              <w:rPr>
                <w:bCs/>
                <w:sz w:val="16"/>
                <w:szCs w:val="16"/>
              </w:rPr>
            </w:pPr>
            <w:r w:rsidRPr="000A2EE1">
              <w:rPr>
                <w:bCs/>
                <w:sz w:val="16"/>
                <w:szCs w:val="16"/>
              </w:rPr>
              <w:t>(2)</w:t>
            </w:r>
          </w:p>
        </w:tc>
        <w:tc>
          <w:tcPr>
            <w:tcW w:w="281"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jc w:val="center"/>
              <w:rPr>
                <w:bCs/>
                <w:sz w:val="16"/>
                <w:szCs w:val="16"/>
              </w:rPr>
            </w:pPr>
            <w:r w:rsidRPr="000A2EE1">
              <w:rPr>
                <w:bCs/>
                <w:sz w:val="16"/>
                <w:szCs w:val="16"/>
              </w:rPr>
              <w:t>(3a)</w:t>
            </w:r>
          </w:p>
        </w:tc>
        <w:tc>
          <w:tcPr>
            <w:tcW w:w="318"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jc w:val="center"/>
              <w:rPr>
                <w:bCs/>
                <w:sz w:val="16"/>
                <w:szCs w:val="16"/>
              </w:rPr>
            </w:pPr>
            <w:r w:rsidRPr="000A2EE1">
              <w:rPr>
                <w:bCs/>
                <w:sz w:val="16"/>
                <w:szCs w:val="16"/>
              </w:rPr>
              <w:t>(3b)</w:t>
            </w:r>
          </w:p>
        </w:tc>
        <w:tc>
          <w:tcPr>
            <w:tcW w:w="192"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jc w:val="center"/>
              <w:rPr>
                <w:bCs/>
                <w:sz w:val="16"/>
                <w:szCs w:val="16"/>
              </w:rPr>
            </w:pPr>
            <w:r w:rsidRPr="000A2EE1">
              <w:rPr>
                <w:bCs/>
                <w:sz w:val="16"/>
                <w:szCs w:val="16"/>
              </w:rPr>
              <w:t>(4)</w:t>
            </w:r>
          </w:p>
        </w:tc>
        <w:tc>
          <w:tcPr>
            <w:tcW w:w="486"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jc w:val="center"/>
              <w:rPr>
                <w:bCs/>
                <w:sz w:val="16"/>
                <w:szCs w:val="16"/>
              </w:rPr>
            </w:pPr>
            <w:r w:rsidRPr="000A2EE1">
              <w:rPr>
                <w:bCs/>
                <w:sz w:val="16"/>
                <w:szCs w:val="16"/>
              </w:rPr>
              <w:t>(5)</w:t>
            </w:r>
          </w:p>
        </w:tc>
        <w:tc>
          <w:tcPr>
            <w:tcW w:w="486"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jc w:val="center"/>
              <w:rPr>
                <w:bCs/>
                <w:sz w:val="16"/>
                <w:szCs w:val="16"/>
              </w:rPr>
            </w:pPr>
            <w:r w:rsidRPr="000A2EE1">
              <w:rPr>
                <w:bCs/>
                <w:sz w:val="16"/>
                <w:szCs w:val="16"/>
              </w:rPr>
              <w:t>(6)</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rsidR="00E3232B" w:rsidRPr="000A2EE1" w:rsidRDefault="00E3232B" w:rsidP="00E3232B">
            <w:pPr>
              <w:spacing w:line="240" w:lineRule="auto"/>
              <w:jc w:val="center"/>
              <w:rPr>
                <w:bCs/>
                <w:sz w:val="16"/>
                <w:szCs w:val="16"/>
              </w:rPr>
            </w:pPr>
            <w:r w:rsidRPr="000A2EE1">
              <w:rPr>
                <w:bCs/>
                <w:sz w:val="16"/>
                <w:szCs w:val="16"/>
              </w:rPr>
              <w:t>(7a) to (20)</w:t>
            </w:r>
          </w:p>
        </w:tc>
      </w:tr>
      <w:tr w:rsidR="00E3232B" w:rsidRPr="000A2EE1" w:rsidTr="009B5E14">
        <w:trPr>
          <w:cantSplit/>
          <w:jc w:val="center"/>
        </w:trPr>
        <w:tc>
          <w:tcPr>
            <w:tcW w:w="352"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r w:rsidRPr="000A2EE1">
              <w:rPr>
                <w:sz w:val="16"/>
                <w:szCs w:val="16"/>
              </w:rPr>
              <w:t>3166</w:t>
            </w:r>
          </w:p>
        </w:tc>
        <w:tc>
          <w:tcPr>
            <w:tcW w:w="2246"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pStyle w:val="SingleTxtG"/>
              <w:spacing w:after="0" w:line="240" w:lineRule="auto"/>
              <w:ind w:left="0" w:right="113"/>
              <w:jc w:val="left"/>
              <w:rPr>
                <w:sz w:val="16"/>
                <w:szCs w:val="16"/>
              </w:rPr>
            </w:pPr>
            <w:r w:rsidRPr="000A2EE1">
              <w:rPr>
                <w:sz w:val="16"/>
                <w:szCs w:val="16"/>
              </w:rPr>
              <w:t>VEHICLE, FLAMMABLE GAS POWERED or VEHICLE, FLAMMABLE LIQUID POWERED or VEHICLE, FUEL CELL, FLAMMABLE GAS POWERED or VEHICLE, FUEL CELL, FLAMMABLE LIQUID POWERED</w:t>
            </w:r>
          </w:p>
        </w:tc>
        <w:tc>
          <w:tcPr>
            <w:tcW w:w="281"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r w:rsidRPr="000A2EE1">
              <w:rPr>
                <w:sz w:val="16"/>
                <w:szCs w:val="16"/>
              </w:rPr>
              <w:t>9</w:t>
            </w:r>
          </w:p>
        </w:tc>
        <w:tc>
          <w:tcPr>
            <w:tcW w:w="318"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r w:rsidRPr="000A2EE1">
              <w:rPr>
                <w:sz w:val="16"/>
                <w:szCs w:val="16"/>
              </w:rPr>
              <w:t>M11</w:t>
            </w:r>
          </w:p>
        </w:tc>
        <w:tc>
          <w:tcPr>
            <w:tcW w:w="192"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p>
        </w:tc>
        <w:tc>
          <w:tcPr>
            <w:tcW w:w="486"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p>
        </w:tc>
        <w:tc>
          <w:tcPr>
            <w:tcW w:w="486"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r w:rsidRPr="000A2EE1">
              <w:rPr>
                <w:sz w:val="16"/>
                <w:szCs w:val="16"/>
              </w:rPr>
              <w:t xml:space="preserve">312 </w:t>
            </w:r>
          </w:p>
          <w:p w:rsidR="00E3232B" w:rsidRPr="000A2EE1" w:rsidRDefault="00E3232B" w:rsidP="00E3232B">
            <w:pPr>
              <w:spacing w:line="240" w:lineRule="auto"/>
              <w:ind w:right="113"/>
              <w:rPr>
                <w:sz w:val="16"/>
                <w:szCs w:val="16"/>
              </w:rPr>
            </w:pPr>
            <w:r w:rsidRPr="000A2EE1">
              <w:rPr>
                <w:sz w:val="16"/>
                <w:szCs w:val="16"/>
              </w:rPr>
              <w:t>385</w:t>
            </w:r>
          </w:p>
          <w:p w:rsidR="00E3232B" w:rsidRPr="000A2EE1" w:rsidRDefault="00E3232B" w:rsidP="00E3232B">
            <w:pPr>
              <w:spacing w:line="240" w:lineRule="auto"/>
              <w:ind w:right="113"/>
              <w:rPr>
                <w:sz w:val="16"/>
                <w:szCs w:val="16"/>
              </w:rPr>
            </w:pPr>
            <w:r w:rsidRPr="000A2EE1">
              <w:rPr>
                <w:sz w:val="16"/>
                <w:szCs w:val="16"/>
              </w:rPr>
              <w:t>666</w:t>
            </w:r>
          </w:p>
          <w:p w:rsidR="00E3232B" w:rsidRPr="000A2EE1" w:rsidRDefault="00E3232B" w:rsidP="00E3232B">
            <w:pPr>
              <w:spacing w:line="240" w:lineRule="auto"/>
              <w:ind w:right="113"/>
              <w:rPr>
                <w:sz w:val="16"/>
                <w:szCs w:val="16"/>
              </w:rPr>
            </w:pPr>
            <w:r w:rsidRPr="000A2EE1">
              <w:rPr>
                <w:sz w:val="16"/>
                <w:szCs w:val="16"/>
              </w:rPr>
              <w:t>667</w:t>
            </w:r>
          </w:p>
          <w:p w:rsidR="00E3232B" w:rsidRPr="000A2EE1" w:rsidRDefault="00E3232B" w:rsidP="00E3232B">
            <w:pPr>
              <w:spacing w:line="240" w:lineRule="auto"/>
              <w:ind w:right="113"/>
              <w:rPr>
                <w:sz w:val="16"/>
                <w:szCs w:val="16"/>
              </w:rPr>
            </w:pP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rsidR="00E3232B" w:rsidRPr="000A2EE1" w:rsidRDefault="00E3232B" w:rsidP="00E3232B">
            <w:pPr>
              <w:spacing w:line="240" w:lineRule="auto"/>
              <w:jc w:val="center"/>
              <w:rPr>
                <w:sz w:val="16"/>
                <w:szCs w:val="16"/>
              </w:rPr>
            </w:pPr>
          </w:p>
        </w:tc>
      </w:tr>
      <w:tr w:rsidR="00E3232B" w:rsidRPr="000A2EE1" w:rsidTr="009B5E14">
        <w:trPr>
          <w:cantSplit/>
          <w:trHeight w:val="569"/>
          <w:jc w:val="center"/>
        </w:trPr>
        <w:tc>
          <w:tcPr>
            <w:tcW w:w="352"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r w:rsidRPr="000A2EE1">
              <w:rPr>
                <w:sz w:val="16"/>
                <w:szCs w:val="16"/>
              </w:rPr>
              <w:t>3171</w:t>
            </w:r>
          </w:p>
        </w:tc>
        <w:tc>
          <w:tcPr>
            <w:tcW w:w="2246"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r w:rsidRPr="000A2EE1">
              <w:rPr>
                <w:sz w:val="16"/>
                <w:szCs w:val="16"/>
              </w:rPr>
              <w:t>BATTERY POWERED VEHICLE or BATTERY POWERED EQUIPMENT</w:t>
            </w:r>
          </w:p>
        </w:tc>
        <w:tc>
          <w:tcPr>
            <w:tcW w:w="281"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r w:rsidRPr="000A2EE1">
              <w:rPr>
                <w:sz w:val="16"/>
                <w:szCs w:val="16"/>
              </w:rPr>
              <w:t>9</w:t>
            </w:r>
          </w:p>
        </w:tc>
        <w:tc>
          <w:tcPr>
            <w:tcW w:w="318"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r w:rsidRPr="000A2EE1">
              <w:rPr>
                <w:sz w:val="16"/>
                <w:szCs w:val="16"/>
              </w:rPr>
              <w:t>M11</w:t>
            </w:r>
          </w:p>
        </w:tc>
        <w:tc>
          <w:tcPr>
            <w:tcW w:w="192"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p>
        </w:tc>
        <w:tc>
          <w:tcPr>
            <w:tcW w:w="486"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p>
        </w:tc>
        <w:tc>
          <w:tcPr>
            <w:tcW w:w="486" w:type="pct"/>
            <w:tcBorders>
              <w:top w:val="single" w:sz="4" w:space="0" w:color="000000"/>
              <w:left w:val="single" w:sz="4" w:space="0" w:color="000000"/>
              <w:bottom w:val="single" w:sz="4" w:space="0" w:color="000000"/>
            </w:tcBorders>
            <w:shd w:val="clear" w:color="auto" w:fill="FFFFFF"/>
          </w:tcPr>
          <w:p w:rsidR="00E3232B" w:rsidRPr="000A2EE1" w:rsidRDefault="00E3232B" w:rsidP="00E3232B">
            <w:pPr>
              <w:spacing w:line="240" w:lineRule="auto"/>
              <w:ind w:right="113"/>
              <w:rPr>
                <w:sz w:val="16"/>
                <w:szCs w:val="16"/>
              </w:rPr>
            </w:pPr>
            <w:r w:rsidRPr="000A2EE1">
              <w:rPr>
                <w:sz w:val="16"/>
                <w:szCs w:val="16"/>
              </w:rPr>
              <w:t>240</w:t>
            </w:r>
            <w:r w:rsidRPr="000A2EE1">
              <w:rPr>
                <w:sz w:val="16"/>
                <w:szCs w:val="16"/>
              </w:rPr>
              <w:br/>
              <w:t>666</w:t>
            </w:r>
          </w:p>
          <w:p w:rsidR="00E3232B" w:rsidRPr="000A2EE1" w:rsidRDefault="00E3232B" w:rsidP="00E3232B">
            <w:pPr>
              <w:spacing w:line="240" w:lineRule="auto"/>
              <w:ind w:right="113"/>
              <w:rPr>
                <w:sz w:val="16"/>
                <w:szCs w:val="16"/>
              </w:rPr>
            </w:pPr>
            <w:r w:rsidRPr="000A2EE1">
              <w:rPr>
                <w:sz w:val="16"/>
                <w:szCs w:val="16"/>
              </w:rPr>
              <w:t>667</w:t>
            </w:r>
          </w:p>
        </w:tc>
        <w:tc>
          <w:tcPr>
            <w:tcW w:w="639" w:type="pct"/>
            <w:tcBorders>
              <w:top w:val="single" w:sz="4" w:space="0" w:color="000000"/>
              <w:left w:val="single" w:sz="4" w:space="0" w:color="000000"/>
              <w:bottom w:val="single" w:sz="4" w:space="0" w:color="000000"/>
              <w:right w:val="single" w:sz="4" w:space="0" w:color="000000"/>
            </w:tcBorders>
            <w:shd w:val="clear" w:color="auto" w:fill="FFFFFF"/>
          </w:tcPr>
          <w:p w:rsidR="00E3232B" w:rsidRPr="000A2EE1" w:rsidRDefault="00E3232B" w:rsidP="00E3232B">
            <w:pPr>
              <w:spacing w:line="240" w:lineRule="auto"/>
              <w:jc w:val="center"/>
              <w:rPr>
                <w:sz w:val="16"/>
                <w:szCs w:val="16"/>
              </w:rPr>
            </w:pPr>
          </w:p>
        </w:tc>
      </w:tr>
    </w:tbl>
    <w:p w:rsidR="00E3232B" w:rsidRPr="000A2EE1" w:rsidRDefault="00E3232B" w:rsidP="008A4160">
      <w:pPr>
        <w:pStyle w:val="SingleTxtG"/>
        <w:spacing w:before="120"/>
        <w:rPr>
          <w:i/>
        </w:rPr>
      </w:pPr>
      <w:r w:rsidRPr="000A2EE1">
        <w:t>For UN No. 3257</w:t>
      </w:r>
      <w:r w:rsidR="00387F29" w:rsidRPr="000A2EE1">
        <w:t>, i</w:t>
      </w:r>
      <w:r w:rsidRPr="000A2EE1">
        <w:t>n column (6), insert “668”.</w:t>
      </w:r>
    </w:p>
    <w:p w:rsidR="00E3232B" w:rsidRPr="000A2EE1" w:rsidRDefault="00E3232B" w:rsidP="00E3232B">
      <w:pPr>
        <w:pStyle w:val="SingleTxtG"/>
      </w:pPr>
      <w:r w:rsidRPr="000A2EE1">
        <w:t>For UN No. 3269, packing groups II and III, in column (2) add the following text at the end of the description: “, liquid base material”.</w:t>
      </w:r>
    </w:p>
    <w:p w:rsidR="00E3232B" w:rsidRPr="000A2EE1" w:rsidRDefault="00E3232B" w:rsidP="00E3232B">
      <w:pPr>
        <w:pStyle w:val="SingleTxtG"/>
      </w:pPr>
      <w:r w:rsidRPr="000A2EE1">
        <w:t>For UN No. 3507, in column (3), replace “8” by “6.1” and in column (</w:t>
      </w:r>
      <w:r w:rsidRPr="000A2EE1">
        <w:rPr>
          <w:iCs/>
        </w:rPr>
        <w:t>5</w:t>
      </w:r>
      <w:r w:rsidRPr="000A2EE1">
        <w:t>), replace “8” by “6.1 +8”. In column (8), replace “P805” by “P603”.</w:t>
      </w:r>
    </w:p>
    <w:p w:rsidR="00E3232B" w:rsidRPr="000A2EE1" w:rsidRDefault="00E3232B" w:rsidP="00E3232B">
      <w:pPr>
        <w:pStyle w:val="SingleTxtG"/>
      </w:pPr>
      <w:r w:rsidRPr="000A2EE1">
        <w:t xml:space="preserve">Add the </w:t>
      </w:r>
      <w:r w:rsidR="00387F29" w:rsidRPr="000A2EE1">
        <w:t xml:space="preserve">following new </w:t>
      </w:r>
      <w:r w:rsidRPr="000A2EE1">
        <w:t>entries:</w:t>
      </w:r>
    </w:p>
    <w:p w:rsidR="00E3232B" w:rsidRPr="000A2EE1" w:rsidRDefault="00E3232B" w:rsidP="000A2896">
      <w:pPr>
        <w:rPr>
          <w:b/>
        </w:rPr>
      </w:pPr>
    </w:p>
    <w:p w:rsidR="00E3232B" w:rsidRPr="000A2EE1" w:rsidRDefault="00E3232B" w:rsidP="000A2896">
      <w:pPr>
        <w:rPr>
          <w:b/>
        </w:rPr>
      </w:pPr>
    </w:p>
    <w:p w:rsidR="00E3232B" w:rsidRPr="000A2EE1" w:rsidRDefault="00E3232B" w:rsidP="000A2896">
      <w:pPr>
        <w:rPr>
          <w:b/>
        </w:rPr>
        <w:sectPr w:rsidR="00E3232B" w:rsidRPr="000A2EE1" w:rsidSect="000A2896">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9"/>
        <w:gridCol w:w="1625"/>
        <w:gridCol w:w="385"/>
        <w:gridCol w:w="464"/>
        <w:gridCol w:w="399"/>
        <w:gridCol w:w="348"/>
        <w:gridCol w:w="422"/>
        <w:gridCol w:w="382"/>
        <w:gridCol w:w="389"/>
        <w:gridCol w:w="576"/>
        <w:gridCol w:w="475"/>
        <w:gridCol w:w="501"/>
        <w:gridCol w:w="411"/>
        <w:gridCol w:w="466"/>
        <w:gridCol w:w="768"/>
        <w:gridCol w:w="634"/>
        <w:gridCol w:w="411"/>
        <w:gridCol w:w="421"/>
        <w:gridCol w:w="387"/>
        <w:gridCol w:w="387"/>
        <w:gridCol w:w="487"/>
        <w:gridCol w:w="763"/>
        <w:gridCol w:w="429"/>
      </w:tblGrid>
      <w:tr w:rsidR="00E3232B" w:rsidRPr="000A2EE1" w:rsidTr="009B5E14">
        <w:trPr>
          <w:cantSplit/>
          <w:tblHead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(1)</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(2)</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(3a)</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(3b)</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(4)</w:t>
            </w:r>
          </w:p>
        </w:tc>
        <w:tc>
          <w:tcPr>
            <w:tcW w:w="34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(5)</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(6)</w:t>
            </w:r>
          </w:p>
        </w:tc>
        <w:tc>
          <w:tcPr>
            <w:tcW w:w="38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(7a)</w:t>
            </w: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(7b)</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(8)</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(9a)</w:t>
            </w:r>
          </w:p>
        </w:tc>
        <w:tc>
          <w:tcPr>
            <w:tcW w:w="50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(9b)</w:t>
            </w: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sz w:val="18"/>
                <w:szCs w:val="18"/>
              </w:rPr>
            </w:pPr>
            <w:r w:rsidRPr="000A2EE1">
              <w:rPr>
                <w:bCs/>
                <w:sz w:val="18"/>
                <w:szCs w:val="18"/>
              </w:rPr>
              <w:t>(10)</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before="40" w:after="120" w:line="276" w:lineRule="auto"/>
              <w:jc w:val="center"/>
              <w:rPr>
                <w:bCs/>
                <w:iCs/>
                <w:sz w:val="18"/>
                <w:szCs w:val="18"/>
              </w:rPr>
            </w:pPr>
            <w:r w:rsidRPr="000A2EE1">
              <w:rPr>
                <w:bCs/>
                <w:iCs/>
                <w:sz w:val="18"/>
                <w:szCs w:val="18"/>
              </w:rPr>
              <w:t>(11)</w:t>
            </w:r>
          </w:p>
        </w:tc>
        <w:tc>
          <w:tcPr>
            <w:tcW w:w="76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before="40" w:after="120" w:line="276" w:lineRule="auto"/>
              <w:jc w:val="center"/>
              <w:rPr>
                <w:bCs/>
                <w:iCs/>
                <w:sz w:val="18"/>
                <w:szCs w:val="18"/>
              </w:rPr>
            </w:pPr>
            <w:r w:rsidRPr="000A2EE1">
              <w:rPr>
                <w:bCs/>
                <w:iCs/>
                <w:sz w:val="18"/>
                <w:szCs w:val="18"/>
              </w:rPr>
              <w:t>(12)</w:t>
            </w:r>
          </w:p>
        </w:tc>
        <w:tc>
          <w:tcPr>
            <w:tcW w:w="634"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before="40" w:after="120" w:line="276" w:lineRule="auto"/>
              <w:jc w:val="center"/>
              <w:rPr>
                <w:bCs/>
                <w:iCs/>
                <w:sz w:val="18"/>
                <w:szCs w:val="18"/>
              </w:rPr>
            </w:pPr>
            <w:r w:rsidRPr="000A2EE1">
              <w:rPr>
                <w:bCs/>
                <w:iCs/>
                <w:sz w:val="18"/>
                <w:szCs w:val="18"/>
              </w:rPr>
              <w:t>(13)</w:t>
            </w:r>
          </w:p>
        </w:tc>
        <w:tc>
          <w:tcPr>
            <w:tcW w:w="41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before="40" w:after="120" w:line="276" w:lineRule="auto"/>
              <w:jc w:val="center"/>
              <w:rPr>
                <w:bCs/>
                <w:iCs/>
                <w:sz w:val="18"/>
                <w:szCs w:val="18"/>
              </w:rPr>
            </w:pPr>
            <w:r w:rsidRPr="000A2EE1">
              <w:rPr>
                <w:bCs/>
                <w:iCs/>
                <w:sz w:val="18"/>
                <w:szCs w:val="18"/>
              </w:rPr>
              <w:t>(14)</w:t>
            </w:r>
          </w:p>
        </w:tc>
        <w:tc>
          <w:tcPr>
            <w:tcW w:w="42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before="40" w:after="120" w:line="276" w:lineRule="auto"/>
              <w:jc w:val="center"/>
              <w:rPr>
                <w:bCs/>
                <w:iCs/>
                <w:sz w:val="18"/>
                <w:szCs w:val="18"/>
              </w:rPr>
            </w:pPr>
            <w:r w:rsidRPr="000A2EE1">
              <w:rPr>
                <w:bCs/>
                <w:iCs/>
                <w:sz w:val="18"/>
                <w:szCs w:val="18"/>
              </w:rPr>
              <w:t>(15)</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before="40" w:after="120" w:line="276" w:lineRule="auto"/>
              <w:jc w:val="center"/>
              <w:rPr>
                <w:bCs/>
                <w:iCs/>
                <w:sz w:val="18"/>
                <w:szCs w:val="18"/>
              </w:rPr>
            </w:pPr>
            <w:r w:rsidRPr="000A2EE1">
              <w:rPr>
                <w:bCs/>
                <w:iCs/>
                <w:sz w:val="18"/>
                <w:szCs w:val="18"/>
              </w:rPr>
              <w:t>(16)</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before="40" w:after="120" w:line="276" w:lineRule="auto"/>
              <w:jc w:val="center"/>
              <w:rPr>
                <w:bCs/>
                <w:iCs/>
                <w:sz w:val="18"/>
                <w:szCs w:val="18"/>
              </w:rPr>
            </w:pPr>
            <w:r w:rsidRPr="000A2EE1">
              <w:rPr>
                <w:bCs/>
                <w:iCs/>
                <w:sz w:val="18"/>
                <w:szCs w:val="18"/>
              </w:rPr>
              <w:t>(17)</w:t>
            </w:r>
          </w:p>
        </w:tc>
        <w:tc>
          <w:tcPr>
            <w:tcW w:w="4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before="40" w:after="120" w:line="276" w:lineRule="auto"/>
              <w:jc w:val="center"/>
              <w:rPr>
                <w:bCs/>
                <w:iCs/>
                <w:sz w:val="18"/>
                <w:szCs w:val="18"/>
              </w:rPr>
            </w:pPr>
            <w:r w:rsidRPr="000A2EE1">
              <w:rPr>
                <w:bCs/>
                <w:iCs/>
                <w:sz w:val="18"/>
                <w:szCs w:val="18"/>
              </w:rPr>
              <w:t>(18)</w:t>
            </w:r>
          </w:p>
        </w:tc>
        <w:tc>
          <w:tcPr>
            <w:tcW w:w="763"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before="40" w:after="120" w:line="276" w:lineRule="auto"/>
              <w:jc w:val="center"/>
              <w:rPr>
                <w:bCs/>
                <w:iCs/>
                <w:sz w:val="18"/>
                <w:szCs w:val="18"/>
              </w:rPr>
            </w:pPr>
            <w:r w:rsidRPr="000A2EE1">
              <w:rPr>
                <w:bCs/>
                <w:iCs/>
                <w:sz w:val="18"/>
                <w:szCs w:val="18"/>
              </w:rPr>
              <w:t>(19)</w:t>
            </w:r>
          </w:p>
        </w:tc>
        <w:tc>
          <w:tcPr>
            <w:tcW w:w="42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before="40" w:after="120" w:line="276" w:lineRule="auto"/>
              <w:jc w:val="center"/>
              <w:rPr>
                <w:bCs/>
                <w:iCs/>
                <w:sz w:val="18"/>
                <w:szCs w:val="18"/>
              </w:rPr>
            </w:pPr>
            <w:r w:rsidRPr="000A2EE1">
              <w:rPr>
                <w:bCs/>
                <w:iCs/>
                <w:sz w:val="18"/>
                <w:szCs w:val="18"/>
              </w:rPr>
              <w:t>(20)</w:t>
            </w:r>
          </w:p>
        </w:tc>
      </w:tr>
      <w:tr w:rsidR="00E3232B" w:rsidRPr="000A2EE1" w:rsidTr="009B5E14">
        <w:trPr>
          <w:cantSplit/>
        </w:trPr>
        <w:tc>
          <w:tcPr>
            <w:tcW w:w="56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rPr>
                <w:sz w:val="18"/>
                <w:szCs w:val="18"/>
              </w:rPr>
            </w:pPr>
            <w:r w:rsidRPr="000A2EE1">
              <w:rPr>
                <w:sz w:val="18"/>
                <w:szCs w:val="18"/>
              </w:rPr>
              <w:t>3527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rPr>
                <w:sz w:val="18"/>
                <w:szCs w:val="18"/>
              </w:rPr>
            </w:pPr>
            <w:r w:rsidRPr="000A2EE1">
              <w:rPr>
                <w:sz w:val="18"/>
                <w:szCs w:val="18"/>
              </w:rPr>
              <w:t>POLYESTER RESIN KIT, solid base material</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r w:rsidRPr="000A2EE1">
              <w:rPr>
                <w:sz w:val="18"/>
                <w:szCs w:val="18"/>
                <w:lang w:eastAsia="nb-NO"/>
              </w:rPr>
              <w:t>4.1</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F4</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II</w:t>
            </w:r>
          </w:p>
        </w:tc>
        <w:tc>
          <w:tcPr>
            <w:tcW w:w="34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4.1</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236</w:t>
            </w:r>
            <w:r w:rsidRPr="000A2EE1">
              <w:rPr>
                <w:sz w:val="18"/>
                <w:szCs w:val="18"/>
                <w:lang w:eastAsia="nb-NO"/>
              </w:rPr>
              <w:br/>
              <w:t>340</w:t>
            </w:r>
          </w:p>
        </w:tc>
        <w:tc>
          <w:tcPr>
            <w:tcW w:w="38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5kg</w:t>
            </w: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E0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P412</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50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634"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2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2</w:t>
            </w:r>
          </w:p>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(E)</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763"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2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r>
      <w:tr w:rsidR="00E3232B" w:rsidRPr="000A2EE1" w:rsidTr="009B5E14">
        <w:trPr>
          <w:cantSplit/>
        </w:trPr>
        <w:tc>
          <w:tcPr>
            <w:tcW w:w="56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rPr>
                <w:sz w:val="18"/>
                <w:szCs w:val="18"/>
              </w:rPr>
            </w:pPr>
            <w:r w:rsidRPr="000A2EE1">
              <w:rPr>
                <w:sz w:val="18"/>
                <w:szCs w:val="18"/>
              </w:rPr>
              <w:t>3527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rPr>
                <w:sz w:val="18"/>
                <w:szCs w:val="18"/>
              </w:rPr>
            </w:pPr>
            <w:r w:rsidRPr="000A2EE1">
              <w:rPr>
                <w:sz w:val="18"/>
                <w:szCs w:val="18"/>
              </w:rPr>
              <w:t>POLYESTER RESIN KIT, solid base material</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r w:rsidRPr="000A2EE1">
              <w:rPr>
                <w:sz w:val="18"/>
                <w:szCs w:val="18"/>
                <w:lang w:eastAsia="nb-NO"/>
              </w:rPr>
              <w:t>4.1</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F4</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III</w:t>
            </w:r>
          </w:p>
        </w:tc>
        <w:tc>
          <w:tcPr>
            <w:tcW w:w="34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4.1</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236</w:t>
            </w:r>
            <w:r w:rsidRPr="000A2EE1">
              <w:rPr>
                <w:sz w:val="18"/>
                <w:szCs w:val="18"/>
                <w:lang w:eastAsia="nb-NO"/>
              </w:rPr>
              <w:br/>
              <w:t>340</w:t>
            </w:r>
          </w:p>
        </w:tc>
        <w:tc>
          <w:tcPr>
            <w:tcW w:w="38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5kg</w:t>
            </w: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E0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P412</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50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634"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2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3</w:t>
            </w:r>
          </w:p>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(E)</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763"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2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r>
      <w:tr w:rsidR="00E3232B" w:rsidRPr="000A2EE1" w:rsidTr="009B5E14">
        <w:trPr>
          <w:cantSplit/>
        </w:trPr>
        <w:tc>
          <w:tcPr>
            <w:tcW w:w="56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rPr>
                <w:sz w:val="18"/>
                <w:szCs w:val="18"/>
              </w:rPr>
            </w:pPr>
            <w:r w:rsidRPr="000A2EE1">
              <w:rPr>
                <w:sz w:val="18"/>
                <w:szCs w:val="18"/>
              </w:rPr>
              <w:t>0510</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rPr>
                <w:sz w:val="18"/>
                <w:szCs w:val="18"/>
              </w:rPr>
            </w:pPr>
            <w:r w:rsidRPr="000A2EE1">
              <w:rPr>
                <w:sz w:val="18"/>
                <w:szCs w:val="18"/>
              </w:rPr>
              <w:t>ROCKET MOTORS</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1</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1.4C</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34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1.4</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r w:rsidRPr="000A2EE1">
              <w:rPr>
                <w:sz w:val="18"/>
                <w:szCs w:val="18"/>
                <w:lang w:eastAsia="nb-NO"/>
              </w:rPr>
              <w:t>0</w:t>
            </w: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r w:rsidRPr="000A2EE1">
              <w:rPr>
                <w:sz w:val="18"/>
                <w:szCs w:val="18"/>
                <w:lang w:eastAsia="nb-NO"/>
              </w:rPr>
              <w:t>E0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P130 LP101</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PP67 L1</w:t>
            </w:r>
          </w:p>
        </w:tc>
        <w:tc>
          <w:tcPr>
            <w:tcW w:w="50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MP22</w:t>
            </w: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634"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2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2</w:t>
            </w:r>
          </w:p>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(E)</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V2</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CV1</w:t>
            </w:r>
          </w:p>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CV2</w:t>
            </w:r>
          </w:p>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CV3</w:t>
            </w:r>
          </w:p>
        </w:tc>
        <w:tc>
          <w:tcPr>
            <w:tcW w:w="763"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r w:rsidRPr="000A2EE1">
              <w:rPr>
                <w:sz w:val="18"/>
                <w:szCs w:val="18"/>
                <w:lang w:eastAsia="nb-NO"/>
              </w:rPr>
              <w:t>S1</w:t>
            </w:r>
          </w:p>
        </w:tc>
        <w:tc>
          <w:tcPr>
            <w:tcW w:w="42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r>
      <w:tr w:rsidR="00E3232B" w:rsidRPr="000A2EE1" w:rsidTr="009B5E14">
        <w:trPr>
          <w:cantSplit/>
        </w:trPr>
        <w:tc>
          <w:tcPr>
            <w:tcW w:w="56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Del="004D2651" w:rsidRDefault="00E3232B" w:rsidP="009B5E14">
            <w:pPr>
              <w:suppressAutoHyphens w:val="0"/>
              <w:spacing w:line="200" w:lineRule="exact"/>
              <w:rPr>
                <w:sz w:val="18"/>
                <w:szCs w:val="18"/>
              </w:rPr>
            </w:pPr>
            <w:r w:rsidRPr="000A2EE1">
              <w:rPr>
                <w:sz w:val="18"/>
                <w:szCs w:val="18"/>
              </w:rPr>
              <w:t>3528</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rPr>
                <w:sz w:val="18"/>
                <w:szCs w:val="18"/>
              </w:rPr>
            </w:pPr>
            <w:r w:rsidRPr="000A2EE1">
              <w:rPr>
                <w:sz w:val="18"/>
                <w:szCs w:val="18"/>
              </w:rPr>
              <w:t>ENGINE, INTERNAL COMBUSTION, FLAMMABLE LIQUID POWERED or ENGINE, FUEL CELL, FLAMMABLE LIQUID POWERED or MACHINERY, INTERNAL COMBUSTION, FLAMMABLE LIQUID POWERED or MACHINERY, FUEL CELL, FLAMMABLE LIQUID POWERED</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r w:rsidRPr="000A2EE1">
              <w:rPr>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 </w:t>
            </w:r>
          </w:p>
        </w:tc>
        <w:tc>
          <w:tcPr>
            <w:tcW w:w="34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rPr>
            </w:pPr>
            <w:r w:rsidRPr="000A2EE1">
              <w:rPr>
                <w:sz w:val="18"/>
                <w:szCs w:val="18"/>
              </w:rPr>
              <w:t>3</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363</w:t>
            </w:r>
            <w:r w:rsidRPr="000A2EE1">
              <w:rPr>
                <w:sz w:val="18"/>
                <w:szCs w:val="18"/>
              </w:rPr>
              <w:br/>
              <w:t>667 </w:t>
            </w:r>
          </w:p>
        </w:tc>
        <w:tc>
          <w:tcPr>
            <w:tcW w:w="38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0</w:t>
            </w: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E0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r w:rsidRPr="000A2EE1">
              <w:rPr>
                <w:sz w:val="18"/>
                <w:szCs w:val="18"/>
              </w:rPr>
              <w:t>P005</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p>
        </w:tc>
        <w:tc>
          <w:tcPr>
            <w:tcW w:w="50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634"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2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763"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2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r>
      <w:tr w:rsidR="00E3232B" w:rsidRPr="000A2EE1" w:rsidTr="009B5E14">
        <w:trPr>
          <w:cantSplit/>
        </w:trPr>
        <w:tc>
          <w:tcPr>
            <w:tcW w:w="56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Del="004D2651" w:rsidRDefault="00E3232B" w:rsidP="009B5E14">
            <w:pPr>
              <w:suppressAutoHyphens w:val="0"/>
              <w:spacing w:line="200" w:lineRule="exact"/>
              <w:rPr>
                <w:sz w:val="18"/>
                <w:szCs w:val="18"/>
              </w:rPr>
            </w:pPr>
            <w:r w:rsidRPr="000A2EE1">
              <w:rPr>
                <w:sz w:val="18"/>
                <w:szCs w:val="18"/>
              </w:rPr>
              <w:t>3529</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rPr>
                <w:sz w:val="18"/>
                <w:szCs w:val="18"/>
              </w:rPr>
            </w:pPr>
            <w:r w:rsidRPr="000A2EE1">
              <w:rPr>
                <w:sz w:val="18"/>
                <w:szCs w:val="18"/>
              </w:rPr>
              <w:t>ENGINE, INTERNAL COMBUSTION, FLAMMABLE GAS POWERED or ENGINE, FUEL CELL, FLAMMABLE GAS POWERED or MACHINERY, INTERNAL COMBUSTION, FLAMMABLE GAS POWERED or MACHINERY, FUEL CELL, FLAMMABLE GAS POWERED</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r w:rsidRPr="000A2EE1">
              <w:rPr>
                <w:sz w:val="18"/>
                <w:szCs w:val="18"/>
              </w:rPr>
              <w:t>2</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 </w:t>
            </w:r>
          </w:p>
        </w:tc>
        <w:tc>
          <w:tcPr>
            <w:tcW w:w="34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rPr>
            </w:pPr>
            <w:r w:rsidRPr="000A2EE1">
              <w:rPr>
                <w:sz w:val="18"/>
                <w:szCs w:val="18"/>
              </w:rPr>
              <w:t>2.1</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363</w:t>
            </w:r>
            <w:r w:rsidRPr="000A2EE1">
              <w:rPr>
                <w:sz w:val="18"/>
                <w:szCs w:val="18"/>
              </w:rPr>
              <w:br/>
              <w:t>667 </w:t>
            </w:r>
          </w:p>
        </w:tc>
        <w:tc>
          <w:tcPr>
            <w:tcW w:w="38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0</w:t>
            </w: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E0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r w:rsidRPr="000A2EE1">
              <w:rPr>
                <w:sz w:val="18"/>
                <w:szCs w:val="18"/>
              </w:rPr>
              <w:t>P005</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p>
        </w:tc>
        <w:tc>
          <w:tcPr>
            <w:tcW w:w="50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634"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2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763"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2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r>
      <w:tr w:rsidR="00E3232B" w:rsidRPr="000A2EE1" w:rsidTr="009B5E14">
        <w:trPr>
          <w:cantSplit/>
        </w:trPr>
        <w:tc>
          <w:tcPr>
            <w:tcW w:w="56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Del="004D2651" w:rsidRDefault="00E3232B" w:rsidP="009B5E14">
            <w:pPr>
              <w:suppressAutoHyphens w:val="0"/>
              <w:spacing w:line="200" w:lineRule="exact"/>
              <w:rPr>
                <w:sz w:val="18"/>
                <w:szCs w:val="18"/>
              </w:rPr>
            </w:pPr>
            <w:r w:rsidRPr="000A2EE1">
              <w:rPr>
                <w:sz w:val="18"/>
                <w:szCs w:val="18"/>
              </w:rPr>
              <w:t>3530</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rPr>
                <w:sz w:val="18"/>
                <w:szCs w:val="18"/>
              </w:rPr>
            </w:pPr>
            <w:r w:rsidRPr="000A2EE1">
              <w:rPr>
                <w:sz w:val="18"/>
                <w:szCs w:val="18"/>
              </w:rPr>
              <w:t>ENGINE, INTERNAL COMBUSTION or MACHINERY, INTERNAL COMBUSTION</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r w:rsidRPr="000A2EE1">
              <w:rPr>
                <w:sz w:val="18"/>
                <w:szCs w:val="18"/>
              </w:rPr>
              <w:t>9</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 </w:t>
            </w:r>
          </w:p>
        </w:tc>
        <w:tc>
          <w:tcPr>
            <w:tcW w:w="34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rPr>
            </w:pPr>
            <w:r w:rsidRPr="000A2EE1">
              <w:rPr>
                <w:sz w:val="18"/>
                <w:szCs w:val="18"/>
              </w:rPr>
              <w:t>9</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363</w:t>
            </w:r>
            <w:r w:rsidRPr="000A2EE1">
              <w:rPr>
                <w:sz w:val="18"/>
                <w:szCs w:val="18"/>
              </w:rPr>
              <w:br/>
              <w:t>667 </w:t>
            </w:r>
          </w:p>
        </w:tc>
        <w:tc>
          <w:tcPr>
            <w:tcW w:w="38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0</w:t>
            </w: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r w:rsidRPr="000A2EE1">
              <w:rPr>
                <w:sz w:val="18"/>
                <w:szCs w:val="18"/>
              </w:rPr>
              <w:t>E0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r w:rsidRPr="000A2EE1">
              <w:rPr>
                <w:sz w:val="18"/>
                <w:szCs w:val="18"/>
              </w:rPr>
              <w:t>P005</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rPr>
            </w:pPr>
          </w:p>
        </w:tc>
        <w:tc>
          <w:tcPr>
            <w:tcW w:w="50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suppressAutoHyphens w:val="0"/>
              <w:spacing w:line="200" w:lineRule="exact"/>
              <w:jc w:val="center"/>
              <w:rPr>
                <w:sz w:val="18"/>
                <w:szCs w:val="18"/>
                <w:lang w:eastAsia="nb-NO"/>
              </w:rPr>
            </w:pPr>
          </w:p>
        </w:tc>
        <w:tc>
          <w:tcPr>
            <w:tcW w:w="76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634"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2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763"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c>
          <w:tcPr>
            <w:tcW w:w="42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suppressAutoHyphens w:val="0"/>
              <w:spacing w:line="200" w:lineRule="exact"/>
              <w:jc w:val="center"/>
              <w:rPr>
                <w:sz w:val="18"/>
                <w:szCs w:val="18"/>
                <w:lang w:eastAsia="nb-NO"/>
              </w:rPr>
            </w:pPr>
          </w:p>
        </w:tc>
      </w:tr>
      <w:tr w:rsidR="00E3232B" w:rsidRPr="000A2EE1" w:rsidTr="009B5E14">
        <w:trPr>
          <w:cantSplit/>
        </w:trPr>
        <w:tc>
          <w:tcPr>
            <w:tcW w:w="56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rPr>
                <w:sz w:val="18"/>
                <w:szCs w:val="18"/>
              </w:rPr>
            </w:pPr>
            <w:r w:rsidRPr="000A2EE1">
              <w:rPr>
                <w:sz w:val="18"/>
                <w:szCs w:val="18"/>
              </w:rPr>
              <w:t>3531</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rPr>
                <w:sz w:val="18"/>
                <w:szCs w:val="18"/>
              </w:rPr>
            </w:pPr>
            <w:r w:rsidRPr="000A2EE1">
              <w:rPr>
                <w:sz w:val="18"/>
                <w:szCs w:val="18"/>
              </w:rPr>
              <w:t>POLYMERIZING SUBSTANCE, SOLID, STABILIZED, N.O.S.</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4.1</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PM1</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III</w:t>
            </w:r>
          </w:p>
        </w:tc>
        <w:tc>
          <w:tcPr>
            <w:tcW w:w="34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4.1</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274</w:t>
            </w:r>
          </w:p>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386</w:t>
            </w:r>
          </w:p>
        </w:tc>
        <w:tc>
          <w:tcPr>
            <w:tcW w:w="38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rPr>
              <w:t>0</w:t>
            </w: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rPr>
              <w:t>E0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P002</w:t>
            </w:r>
          </w:p>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IBC07</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PP92</w:t>
            </w:r>
          </w:p>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B18</w:t>
            </w:r>
          </w:p>
        </w:tc>
        <w:tc>
          <w:tcPr>
            <w:tcW w:w="50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T7</w:t>
            </w:r>
          </w:p>
          <w:p w:rsidR="00E3232B" w:rsidRPr="000A2EE1" w:rsidRDefault="00E3232B" w:rsidP="009B5E14">
            <w:pPr>
              <w:widowControl w:val="0"/>
              <w:suppressAutoHyphens w:val="0"/>
              <w:spacing w:line="200" w:lineRule="exact"/>
              <w:jc w:val="center"/>
              <w:rPr>
                <w:sz w:val="18"/>
                <w:szCs w:val="18"/>
                <w:lang w:eastAsia="nb-NO"/>
              </w:rPr>
            </w:pP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TP4</w:t>
            </w:r>
          </w:p>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TP6</w:t>
            </w:r>
          </w:p>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TP33</w:t>
            </w:r>
          </w:p>
        </w:tc>
        <w:tc>
          <w:tcPr>
            <w:tcW w:w="76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SGAN+</w:t>
            </w:r>
          </w:p>
        </w:tc>
        <w:tc>
          <w:tcPr>
            <w:tcW w:w="634"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TU30</w:t>
            </w:r>
            <w:r w:rsidRPr="000A2EE1">
              <w:rPr>
                <w:sz w:val="18"/>
                <w:szCs w:val="18"/>
                <w:lang w:eastAsia="nb-NO"/>
              </w:rPr>
              <w:br/>
            </w:r>
            <w:r w:rsidRPr="000A2EE1">
              <w:rPr>
                <w:sz w:val="18"/>
                <w:szCs w:val="18"/>
              </w:rPr>
              <w:t>TE11</w:t>
            </w:r>
          </w:p>
        </w:tc>
        <w:tc>
          <w:tcPr>
            <w:tcW w:w="41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AT</w:t>
            </w:r>
          </w:p>
        </w:tc>
        <w:tc>
          <w:tcPr>
            <w:tcW w:w="42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2</w:t>
            </w:r>
            <w:r w:rsidRPr="000A2EE1">
              <w:rPr>
                <w:sz w:val="18"/>
                <w:szCs w:val="18"/>
                <w:lang w:eastAsia="nb-NO"/>
              </w:rPr>
              <w:br/>
              <w:t>(D)</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V1</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p>
        </w:tc>
        <w:tc>
          <w:tcPr>
            <w:tcW w:w="4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CV15</w:t>
            </w:r>
            <w:r w:rsidRPr="000A2EE1">
              <w:rPr>
                <w:sz w:val="18"/>
                <w:szCs w:val="18"/>
                <w:lang w:eastAsia="nb-NO"/>
              </w:rPr>
              <w:br/>
              <w:t>CV22</w:t>
            </w:r>
            <w:r w:rsidRPr="000A2EE1">
              <w:rPr>
                <w:sz w:val="18"/>
                <w:szCs w:val="18"/>
                <w:lang w:eastAsia="nb-NO"/>
              </w:rPr>
              <w:br/>
            </w:r>
          </w:p>
        </w:tc>
        <w:tc>
          <w:tcPr>
            <w:tcW w:w="763"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p>
        </w:tc>
        <w:tc>
          <w:tcPr>
            <w:tcW w:w="42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40</w:t>
            </w:r>
          </w:p>
        </w:tc>
      </w:tr>
      <w:tr w:rsidR="00E3232B" w:rsidRPr="000A2EE1" w:rsidTr="009B5E14">
        <w:trPr>
          <w:cantSplit/>
        </w:trPr>
        <w:tc>
          <w:tcPr>
            <w:tcW w:w="56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rPr>
                <w:sz w:val="18"/>
                <w:szCs w:val="18"/>
              </w:rPr>
            </w:pPr>
            <w:r w:rsidRPr="000A2EE1">
              <w:rPr>
                <w:sz w:val="18"/>
                <w:szCs w:val="18"/>
              </w:rPr>
              <w:t>3532</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rPr>
                <w:sz w:val="18"/>
                <w:szCs w:val="18"/>
              </w:rPr>
            </w:pPr>
            <w:r w:rsidRPr="000A2EE1">
              <w:rPr>
                <w:sz w:val="18"/>
                <w:szCs w:val="18"/>
              </w:rPr>
              <w:t>POLYMERIZING SUBSTANCE, LIQUID, STABILIZED, N.O.S.</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4.1</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PM1</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III</w:t>
            </w:r>
          </w:p>
        </w:tc>
        <w:tc>
          <w:tcPr>
            <w:tcW w:w="34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4.1</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274</w:t>
            </w:r>
          </w:p>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386</w:t>
            </w:r>
          </w:p>
        </w:tc>
        <w:tc>
          <w:tcPr>
            <w:tcW w:w="38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rPr>
              <w:t>0</w:t>
            </w: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rPr>
              <w:t>E0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P001</w:t>
            </w:r>
          </w:p>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IBC03</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PP93</w:t>
            </w:r>
          </w:p>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B19</w:t>
            </w:r>
          </w:p>
        </w:tc>
        <w:tc>
          <w:tcPr>
            <w:tcW w:w="50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T7</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TP4</w:t>
            </w:r>
          </w:p>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TP6</w:t>
            </w:r>
          </w:p>
        </w:tc>
        <w:tc>
          <w:tcPr>
            <w:tcW w:w="76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L4BN+</w:t>
            </w:r>
          </w:p>
        </w:tc>
        <w:tc>
          <w:tcPr>
            <w:tcW w:w="634"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TU30</w:t>
            </w:r>
            <w:r w:rsidRPr="000A2EE1">
              <w:rPr>
                <w:sz w:val="18"/>
                <w:szCs w:val="18"/>
                <w:lang w:eastAsia="nb-NO"/>
              </w:rPr>
              <w:br/>
            </w:r>
            <w:r w:rsidRPr="000A2EE1">
              <w:rPr>
                <w:sz w:val="18"/>
                <w:szCs w:val="18"/>
              </w:rPr>
              <w:t>TE11</w:t>
            </w:r>
          </w:p>
        </w:tc>
        <w:tc>
          <w:tcPr>
            <w:tcW w:w="41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AT</w:t>
            </w:r>
          </w:p>
        </w:tc>
        <w:tc>
          <w:tcPr>
            <w:tcW w:w="42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2</w:t>
            </w:r>
            <w:r w:rsidRPr="000A2EE1">
              <w:rPr>
                <w:sz w:val="18"/>
                <w:szCs w:val="18"/>
                <w:lang w:eastAsia="nb-NO"/>
              </w:rPr>
              <w:br/>
              <w:t>(D)</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V1</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p>
        </w:tc>
        <w:tc>
          <w:tcPr>
            <w:tcW w:w="4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CV15</w:t>
            </w:r>
            <w:r w:rsidRPr="000A2EE1">
              <w:rPr>
                <w:sz w:val="18"/>
                <w:szCs w:val="18"/>
                <w:lang w:eastAsia="nb-NO"/>
              </w:rPr>
              <w:br/>
              <w:t>CV22</w:t>
            </w:r>
          </w:p>
        </w:tc>
        <w:tc>
          <w:tcPr>
            <w:tcW w:w="763"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p>
        </w:tc>
        <w:tc>
          <w:tcPr>
            <w:tcW w:w="42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40</w:t>
            </w:r>
          </w:p>
        </w:tc>
      </w:tr>
      <w:tr w:rsidR="00E3232B" w:rsidRPr="000A2EE1" w:rsidTr="009B5E14">
        <w:trPr>
          <w:cantSplit/>
        </w:trPr>
        <w:tc>
          <w:tcPr>
            <w:tcW w:w="56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rPr>
                <w:sz w:val="18"/>
                <w:szCs w:val="18"/>
              </w:rPr>
            </w:pPr>
            <w:r w:rsidRPr="000A2EE1">
              <w:rPr>
                <w:sz w:val="18"/>
                <w:szCs w:val="18"/>
              </w:rPr>
              <w:t>3533</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rPr>
                <w:sz w:val="18"/>
                <w:szCs w:val="18"/>
              </w:rPr>
            </w:pPr>
            <w:r w:rsidRPr="000A2EE1">
              <w:rPr>
                <w:sz w:val="18"/>
                <w:szCs w:val="18"/>
              </w:rPr>
              <w:t>POLYMERIZING SUBSTANCE, SOLID, TEMPERATURE CONTROLLED, N.O.S.</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4.1</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PM2</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III</w:t>
            </w:r>
          </w:p>
        </w:tc>
        <w:tc>
          <w:tcPr>
            <w:tcW w:w="34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4.1</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274</w:t>
            </w:r>
          </w:p>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386</w:t>
            </w:r>
          </w:p>
          <w:p w:rsidR="00E3232B" w:rsidRPr="000A2EE1" w:rsidRDefault="00E3232B" w:rsidP="009B5E14">
            <w:pPr>
              <w:widowControl w:val="0"/>
              <w:suppressAutoHyphens w:val="0"/>
              <w:spacing w:line="200" w:lineRule="exact"/>
              <w:jc w:val="center"/>
              <w:rPr>
                <w:sz w:val="18"/>
                <w:szCs w:val="18"/>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rPr>
              <w:t>0</w:t>
            </w: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rPr>
              <w:t>E0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P002</w:t>
            </w:r>
          </w:p>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IBC07</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PP92</w:t>
            </w:r>
          </w:p>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B18</w:t>
            </w:r>
          </w:p>
        </w:tc>
        <w:tc>
          <w:tcPr>
            <w:tcW w:w="50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T7</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TP4</w:t>
            </w:r>
          </w:p>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TP6</w:t>
            </w:r>
          </w:p>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TP33</w:t>
            </w:r>
          </w:p>
        </w:tc>
        <w:tc>
          <w:tcPr>
            <w:tcW w:w="76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SGAN+</w:t>
            </w:r>
          </w:p>
        </w:tc>
        <w:tc>
          <w:tcPr>
            <w:tcW w:w="634"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TU30</w:t>
            </w:r>
            <w:r w:rsidRPr="000A2EE1">
              <w:rPr>
                <w:sz w:val="18"/>
                <w:szCs w:val="18"/>
                <w:lang w:eastAsia="nb-NO"/>
              </w:rPr>
              <w:br/>
            </w:r>
            <w:r w:rsidRPr="000A2EE1">
              <w:rPr>
                <w:sz w:val="18"/>
                <w:szCs w:val="18"/>
              </w:rPr>
              <w:t>TE11</w:t>
            </w:r>
          </w:p>
        </w:tc>
        <w:tc>
          <w:tcPr>
            <w:tcW w:w="41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AT</w:t>
            </w:r>
          </w:p>
        </w:tc>
        <w:tc>
          <w:tcPr>
            <w:tcW w:w="42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1</w:t>
            </w:r>
            <w:r w:rsidRPr="000A2EE1">
              <w:rPr>
                <w:sz w:val="18"/>
                <w:szCs w:val="18"/>
                <w:lang w:eastAsia="nb-NO"/>
              </w:rPr>
              <w:br/>
              <w:t>(D)</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V8</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p>
        </w:tc>
        <w:tc>
          <w:tcPr>
            <w:tcW w:w="4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CV15</w:t>
            </w:r>
            <w:r w:rsidRPr="000A2EE1">
              <w:rPr>
                <w:sz w:val="18"/>
                <w:szCs w:val="18"/>
                <w:lang w:eastAsia="nb-NO"/>
              </w:rPr>
              <w:br/>
              <w:t>CV21</w:t>
            </w:r>
            <w:r w:rsidRPr="000A2EE1">
              <w:rPr>
                <w:sz w:val="18"/>
                <w:szCs w:val="18"/>
                <w:lang w:eastAsia="nb-NO"/>
              </w:rPr>
              <w:br/>
              <w:t>CV22</w:t>
            </w:r>
            <w:r w:rsidRPr="000A2EE1">
              <w:rPr>
                <w:sz w:val="18"/>
                <w:szCs w:val="18"/>
                <w:lang w:eastAsia="nb-NO"/>
              </w:rPr>
              <w:br/>
            </w:r>
          </w:p>
        </w:tc>
        <w:tc>
          <w:tcPr>
            <w:tcW w:w="763"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S4</w:t>
            </w:r>
          </w:p>
        </w:tc>
        <w:tc>
          <w:tcPr>
            <w:tcW w:w="42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40</w:t>
            </w:r>
          </w:p>
        </w:tc>
      </w:tr>
      <w:tr w:rsidR="00E3232B" w:rsidRPr="000A2EE1" w:rsidTr="009B5E14">
        <w:trPr>
          <w:cantSplit/>
        </w:trPr>
        <w:tc>
          <w:tcPr>
            <w:tcW w:w="56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rPr>
                <w:sz w:val="18"/>
                <w:szCs w:val="18"/>
              </w:rPr>
            </w:pPr>
            <w:r w:rsidRPr="000A2EE1">
              <w:rPr>
                <w:sz w:val="18"/>
                <w:szCs w:val="18"/>
              </w:rPr>
              <w:t>3534</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rPr>
                <w:sz w:val="18"/>
                <w:szCs w:val="18"/>
              </w:rPr>
            </w:pPr>
            <w:r w:rsidRPr="000A2EE1">
              <w:rPr>
                <w:sz w:val="18"/>
                <w:szCs w:val="18"/>
              </w:rPr>
              <w:t>POLYMERIZING SUBSTANCE, LIQUID, TEMPERATURE CONTROLLED, N.O.S.</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4.1</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PM2</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III</w:t>
            </w:r>
          </w:p>
        </w:tc>
        <w:tc>
          <w:tcPr>
            <w:tcW w:w="34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4.1</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274</w:t>
            </w:r>
          </w:p>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386</w:t>
            </w:r>
          </w:p>
          <w:p w:rsidR="00E3232B" w:rsidRPr="000A2EE1" w:rsidRDefault="00E3232B" w:rsidP="009B5E14">
            <w:pPr>
              <w:widowControl w:val="0"/>
              <w:suppressAutoHyphens w:val="0"/>
              <w:spacing w:line="200" w:lineRule="exact"/>
              <w:jc w:val="center"/>
              <w:rPr>
                <w:sz w:val="18"/>
                <w:szCs w:val="18"/>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rPr>
              <w:t>0</w:t>
            </w:r>
          </w:p>
        </w:tc>
        <w:tc>
          <w:tcPr>
            <w:tcW w:w="389"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rPr>
            </w:pPr>
            <w:r w:rsidRPr="000A2EE1">
              <w:rPr>
                <w:sz w:val="18"/>
                <w:szCs w:val="18"/>
              </w:rPr>
              <w:t>E0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P001</w:t>
            </w:r>
          </w:p>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IBC03</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PP93</w:t>
            </w:r>
          </w:p>
          <w:p w:rsidR="00E3232B" w:rsidRPr="000A2EE1" w:rsidRDefault="00E3232B" w:rsidP="009B5E14">
            <w:pPr>
              <w:widowControl w:val="0"/>
              <w:suppressAutoHyphens w:val="0"/>
              <w:spacing w:line="200" w:lineRule="exact"/>
              <w:jc w:val="center"/>
              <w:rPr>
                <w:sz w:val="18"/>
                <w:szCs w:val="18"/>
              </w:rPr>
            </w:pPr>
            <w:r w:rsidRPr="000A2EE1">
              <w:rPr>
                <w:sz w:val="18"/>
                <w:szCs w:val="18"/>
                <w:lang w:eastAsia="nb-NO"/>
              </w:rPr>
              <w:t>B19</w:t>
            </w:r>
          </w:p>
        </w:tc>
        <w:tc>
          <w:tcPr>
            <w:tcW w:w="50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T7</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9B5E14">
            <w:pPr>
              <w:widowControl w:val="0"/>
              <w:spacing w:line="200" w:lineRule="exact"/>
              <w:jc w:val="center"/>
              <w:rPr>
                <w:sz w:val="18"/>
                <w:szCs w:val="18"/>
                <w:lang w:eastAsia="nb-NO"/>
              </w:rPr>
            </w:pPr>
            <w:r w:rsidRPr="000A2EE1">
              <w:rPr>
                <w:sz w:val="18"/>
                <w:szCs w:val="18"/>
                <w:lang w:eastAsia="nb-NO"/>
              </w:rPr>
              <w:t>TP4</w:t>
            </w:r>
          </w:p>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TP6</w:t>
            </w:r>
          </w:p>
        </w:tc>
        <w:tc>
          <w:tcPr>
            <w:tcW w:w="76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L4BN+</w:t>
            </w:r>
          </w:p>
        </w:tc>
        <w:tc>
          <w:tcPr>
            <w:tcW w:w="634"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TU30</w:t>
            </w:r>
            <w:r w:rsidRPr="000A2EE1">
              <w:rPr>
                <w:sz w:val="18"/>
                <w:szCs w:val="18"/>
                <w:lang w:eastAsia="nb-NO"/>
              </w:rPr>
              <w:br/>
            </w:r>
            <w:r w:rsidRPr="000A2EE1">
              <w:rPr>
                <w:sz w:val="18"/>
                <w:szCs w:val="18"/>
              </w:rPr>
              <w:t>TE11</w:t>
            </w:r>
          </w:p>
        </w:tc>
        <w:tc>
          <w:tcPr>
            <w:tcW w:w="41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AT</w:t>
            </w:r>
          </w:p>
        </w:tc>
        <w:tc>
          <w:tcPr>
            <w:tcW w:w="421"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1</w:t>
            </w:r>
            <w:r w:rsidRPr="000A2EE1">
              <w:rPr>
                <w:sz w:val="18"/>
                <w:szCs w:val="18"/>
                <w:lang w:eastAsia="nb-NO"/>
              </w:rPr>
              <w:br/>
              <w:t>(D)</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V8</w:t>
            </w:r>
          </w:p>
        </w:tc>
        <w:tc>
          <w:tcPr>
            <w:tcW w:w="3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p>
        </w:tc>
        <w:tc>
          <w:tcPr>
            <w:tcW w:w="48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CV15</w:t>
            </w:r>
            <w:r w:rsidRPr="000A2EE1">
              <w:rPr>
                <w:sz w:val="18"/>
                <w:szCs w:val="18"/>
                <w:lang w:eastAsia="nb-NO"/>
              </w:rPr>
              <w:br/>
              <w:t>CV21</w:t>
            </w:r>
            <w:r w:rsidRPr="000A2EE1">
              <w:rPr>
                <w:sz w:val="18"/>
                <w:szCs w:val="18"/>
                <w:lang w:eastAsia="nb-NO"/>
              </w:rPr>
              <w:br/>
              <w:t>CV22</w:t>
            </w:r>
          </w:p>
        </w:tc>
        <w:tc>
          <w:tcPr>
            <w:tcW w:w="763"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S4</w:t>
            </w:r>
          </w:p>
        </w:tc>
        <w:tc>
          <w:tcPr>
            <w:tcW w:w="42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widowControl w:val="0"/>
              <w:suppressAutoHyphens w:val="0"/>
              <w:spacing w:line="200" w:lineRule="exact"/>
              <w:jc w:val="center"/>
              <w:rPr>
                <w:sz w:val="18"/>
                <w:szCs w:val="18"/>
                <w:lang w:eastAsia="nb-NO"/>
              </w:rPr>
            </w:pPr>
            <w:r w:rsidRPr="000A2EE1">
              <w:rPr>
                <w:sz w:val="18"/>
                <w:szCs w:val="18"/>
                <w:lang w:eastAsia="nb-NO"/>
              </w:rPr>
              <w:t>40</w:t>
            </w:r>
          </w:p>
        </w:tc>
      </w:tr>
    </w:tbl>
    <w:p w:rsidR="00E3232B" w:rsidRPr="000A2EE1" w:rsidRDefault="00E3232B" w:rsidP="00E3232B"/>
    <w:p w:rsidR="00E3232B" w:rsidRPr="000A2EE1" w:rsidRDefault="00E3232B" w:rsidP="00E3232B">
      <w:pPr>
        <w:pStyle w:val="SingleTxtG"/>
        <w:spacing w:line="240" w:lineRule="auto"/>
        <w:rPr>
          <w:rFonts w:eastAsia="Calibri"/>
        </w:rPr>
      </w:pPr>
    </w:p>
    <w:p w:rsidR="000A2896" w:rsidRPr="000A2EE1" w:rsidRDefault="000A2896" w:rsidP="000A2896">
      <w:pPr>
        <w:sectPr w:rsidR="000A2896" w:rsidRPr="000A2EE1" w:rsidSect="000A2896">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pPr>
    </w:p>
    <w:p w:rsidR="00E3232B" w:rsidRPr="000A2EE1" w:rsidRDefault="00E3232B" w:rsidP="00E3232B">
      <w:pPr>
        <w:pStyle w:val="H1G"/>
        <w:rPr>
          <w:rFonts w:ascii="Times New Roman Bold" w:hAnsi="Times New Roman Bold"/>
        </w:rPr>
      </w:pPr>
      <w:r w:rsidRPr="000A2EE1">
        <w:tab/>
      </w:r>
      <w:r w:rsidRPr="000A2EE1">
        <w:rPr>
          <w:rFonts w:ascii="Times New Roman Bold" w:hAnsi="Times New Roman Bold"/>
        </w:rPr>
        <w:tab/>
        <w:t>Chapter 3.3</w:t>
      </w:r>
    </w:p>
    <w:p w:rsidR="00E3232B" w:rsidRPr="000A2EE1" w:rsidRDefault="00E3232B" w:rsidP="0056126A">
      <w:pPr>
        <w:pStyle w:val="SingleTxtG"/>
        <w:tabs>
          <w:tab w:val="left" w:pos="1701"/>
          <w:tab w:val="left" w:pos="1985"/>
          <w:tab w:val="left" w:pos="2268"/>
        </w:tabs>
      </w:pPr>
      <w:r w:rsidRPr="000A2EE1">
        <w:t>3.3.1</w:t>
      </w:r>
      <w:r w:rsidRPr="000A2EE1">
        <w:tab/>
        <w:t>Add the following second sentence: “Where a special provision includes a requirement for package marking, the provisions of 5.2.1.2 (a) and (b) shall be met. If the required mark is in the form of specific wording indicated in quotation marks, such as “Damaged Lithium Batteries”, the size of the mark shall be at least 12 mm, unless otherwise indicated in the special provision or elsewhere in ADR.”.</w:t>
      </w:r>
    </w:p>
    <w:p w:rsidR="00E3232B" w:rsidRPr="000A2EE1" w:rsidRDefault="00E3232B" w:rsidP="0056126A">
      <w:pPr>
        <w:pStyle w:val="SingleTxtG"/>
        <w:tabs>
          <w:tab w:val="left" w:pos="1701"/>
          <w:tab w:val="left" w:pos="1985"/>
          <w:tab w:val="left" w:pos="2268"/>
        </w:tabs>
      </w:pPr>
      <w:r w:rsidRPr="000A2EE1">
        <w:t>SP 172 (b)</w:t>
      </w:r>
      <w:r w:rsidRPr="000A2EE1">
        <w:tab/>
        <w:t>Replace “vehicles or containers” by “cargo transport units”.</w:t>
      </w:r>
    </w:p>
    <w:p w:rsidR="00E3232B" w:rsidRPr="000A2EE1" w:rsidRDefault="00E3232B" w:rsidP="0056126A">
      <w:pPr>
        <w:pStyle w:val="SingleTxtG"/>
        <w:tabs>
          <w:tab w:val="left" w:pos="1701"/>
          <w:tab w:val="left" w:pos="1985"/>
          <w:tab w:val="left" w:pos="2268"/>
        </w:tabs>
        <w:rPr>
          <w:iCs/>
        </w:rPr>
      </w:pPr>
      <w:r w:rsidRPr="000A2EE1">
        <w:rPr>
          <w:iCs/>
        </w:rPr>
        <w:t>SP 188 (f)</w:t>
      </w:r>
      <w:r w:rsidRPr="000A2EE1">
        <w:rPr>
          <w:iCs/>
        </w:rPr>
        <w:tab/>
      </w:r>
      <w:r w:rsidR="0056126A" w:rsidRPr="000A2EE1">
        <w:rPr>
          <w:iCs/>
        </w:rPr>
        <w:tab/>
      </w:r>
      <w:r w:rsidRPr="000A2EE1">
        <w:rPr>
          <w:iCs/>
        </w:rPr>
        <w:t>Amend to read as follows:</w:t>
      </w:r>
    </w:p>
    <w:p w:rsidR="00E3232B" w:rsidRPr="000A2EE1" w:rsidRDefault="00E3232B" w:rsidP="0056126A">
      <w:pPr>
        <w:tabs>
          <w:tab w:val="left" w:pos="1701"/>
          <w:tab w:val="left" w:pos="1985"/>
          <w:tab w:val="left" w:pos="2268"/>
        </w:tabs>
        <w:suppressAutoHyphens w:val="0"/>
        <w:autoSpaceDE w:val="0"/>
        <w:autoSpaceDN w:val="0"/>
        <w:adjustRightInd w:val="0"/>
        <w:spacing w:after="120" w:line="240" w:lineRule="auto"/>
        <w:ind w:left="1134" w:right="1134"/>
        <w:jc w:val="both"/>
      </w:pPr>
      <w:r w:rsidRPr="000A2EE1">
        <w:rPr>
          <w:lang w:eastAsia="en-GB"/>
        </w:rPr>
        <w:t>“(f)</w:t>
      </w:r>
      <w:r w:rsidRPr="000A2EE1">
        <w:rPr>
          <w:lang w:eastAsia="en-GB"/>
        </w:rPr>
        <w:tab/>
        <w:t xml:space="preserve">Each package shall be marked with the </w:t>
      </w:r>
      <w:r w:rsidRPr="000A2EE1">
        <w:t>appropriate lithium battery mark, as illustrated in 5.2.1.9;</w:t>
      </w:r>
    </w:p>
    <w:p w:rsidR="00E3232B" w:rsidRPr="000A2EE1" w:rsidRDefault="00E3232B" w:rsidP="0056126A">
      <w:pPr>
        <w:tabs>
          <w:tab w:val="left" w:pos="1701"/>
          <w:tab w:val="left" w:pos="1985"/>
          <w:tab w:val="left" w:pos="2268"/>
        </w:tabs>
        <w:suppressAutoHyphens w:val="0"/>
        <w:autoSpaceDE w:val="0"/>
        <w:autoSpaceDN w:val="0"/>
        <w:adjustRightInd w:val="0"/>
        <w:spacing w:after="120" w:line="240" w:lineRule="auto"/>
        <w:ind w:left="1134" w:right="1134"/>
        <w:jc w:val="both"/>
        <w:rPr>
          <w:lang w:eastAsia="en-GB"/>
        </w:rPr>
      </w:pPr>
      <w:r w:rsidRPr="000A2EE1">
        <w:rPr>
          <w:lang w:eastAsia="en-GB"/>
        </w:rPr>
        <w:t>This requirement does not apply to:</w:t>
      </w:r>
    </w:p>
    <w:p w:rsidR="00E3232B" w:rsidRPr="000A2EE1" w:rsidRDefault="00311F62" w:rsidP="0056126A">
      <w:pPr>
        <w:tabs>
          <w:tab w:val="left" w:pos="1701"/>
          <w:tab w:val="left" w:pos="1985"/>
          <w:tab w:val="left" w:pos="2268"/>
        </w:tabs>
        <w:suppressAutoHyphens w:val="0"/>
        <w:autoSpaceDE w:val="0"/>
        <w:autoSpaceDN w:val="0"/>
        <w:adjustRightInd w:val="0"/>
        <w:spacing w:after="120" w:line="240" w:lineRule="auto"/>
        <w:ind w:left="1134" w:right="1134"/>
        <w:jc w:val="both"/>
        <w:rPr>
          <w:lang w:eastAsia="en-GB"/>
        </w:rPr>
      </w:pPr>
      <w:r w:rsidRPr="000A2EE1">
        <w:rPr>
          <w:lang w:eastAsia="en-GB"/>
        </w:rPr>
        <w:tab/>
        <w:t>(i)</w:t>
      </w:r>
      <w:r w:rsidRPr="000A2EE1">
        <w:rPr>
          <w:lang w:eastAsia="en-GB"/>
        </w:rPr>
        <w:tab/>
        <w:t>P</w:t>
      </w:r>
      <w:r w:rsidR="00E3232B" w:rsidRPr="000A2EE1">
        <w:rPr>
          <w:lang w:eastAsia="en-GB"/>
        </w:rPr>
        <w:t xml:space="preserve">ackages containing only button cell batteries installed in equipment (including </w:t>
      </w:r>
      <w:r w:rsidR="0056126A" w:rsidRPr="000A2EE1">
        <w:rPr>
          <w:lang w:eastAsia="en-GB"/>
        </w:rPr>
        <w:tab/>
      </w:r>
      <w:r w:rsidR="00E3232B" w:rsidRPr="000A2EE1">
        <w:rPr>
          <w:lang w:eastAsia="en-GB"/>
        </w:rPr>
        <w:t>circuit boards); and</w:t>
      </w:r>
    </w:p>
    <w:p w:rsidR="00E3232B" w:rsidRPr="000A2EE1" w:rsidRDefault="00311F62" w:rsidP="0056126A">
      <w:pPr>
        <w:tabs>
          <w:tab w:val="left" w:pos="1701"/>
          <w:tab w:val="left" w:pos="1985"/>
          <w:tab w:val="left" w:pos="2268"/>
        </w:tabs>
        <w:suppressAutoHyphens w:val="0"/>
        <w:autoSpaceDE w:val="0"/>
        <w:autoSpaceDN w:val="0"/>
        <w:adjustRightInd w:val="0"/>
        <w:spacing w:after="120" w:line="240" w:lineRule="auto"/>
        <w:ind w:left="1134" w:right="1134"/>
        <w:jc w:val="both"/>
        <w:rPr>
          <w:lang w:eastAsia="en-GB"/>
        </w:rPr>
      </w:pPr>
      <w:r w:rsidRPr="000A2EE1">
        <w:rPr>
          <w:lang w:eastAsia="en-GB"/>
        </w:rPr>
        <w:tab/>
        <w:t>(ii)</w:t>
      </w:r>
      <w:r w:rsidRPr="000A2EE1">
        <w:rPr>
          <w:lang w:eastAsia="en-GB"/>
        </w:rPr>
        <w:tab/>
        <w:t>P</w:t>
      </w:r>
      <w:r w:rsidR="00E3232B" w:rsidRPr="000A2EE1">
        <w:rPr>
          <w:lang w:eastAsia="en-GB"/>
        </w:rPr>
        <w:t xml:space="preserve">ackages containing no more than four cells or two batteries installed in </w:t>
      </w:r>
      <w:r w:rsidR="0056126A" w:rsidRPr="000A2EE1">
        <w:rPr>
          <w:lang w:eastAsia="en-GB"/>
        </w:rPr>
        <w:tab/>
      </w:r>
      <w:r w:rsidR="00E3232B" w:rsidRPr="000A2EE1">
        <w:rPr>
          <w:lang w:eastAsia="en-GB"/>
        </w:rPr>
        <w:t>equipment, where there are not more than two packages in the consignment.”.</w:t>
      </w:r>
    </w:p>
    <w:p w:rsidR="00E3232B" w:rsidRPr="000A2EE1" w:rsidRDefault="00E3232B" w:rsidP="0056126A">
      <w:pPr>
        <w:pStyle w:val="SingleTxtG"/>
        <w:tabs>
          <w:tab w:val="left" w:pos="1701"/>
          <w:tab w:val="left" w:pos="1985"/>
          <w:tab w:val="left" w:pos="2268"/>
        </w:tabs>
        <w:rPr>
          <w:iCs/>
        </w:rPr>
      </w:pPr>
      <w:r w:rsidRPr="000A2EE1">
        <w:rPr>
          <w:iCs/>
        </w:rPr>
        <w:t>SP 188 (g)</w:t>
      </w:r>
      <w:r w:rsidRPr="000A2EE1">
        <w:rPr>
          <w:iCs/>
        </w:rPr>
        <w:tab/>
        <w:t>Delete.</w:t>
      </w:r>
    </w:p>
    <w:p w:rsidR="00E3232B" w:rsidRPr="000A2EE1" w:rsidRDefault="00E3232B" w:rsidP="0056126A">
      <w:pPr>
        <w:pStyle w:val="SingleTxtG"/>
        <w:tabs>
          <w:tab w:val="left" w:pos="1701"/>
          <w:tab w:val="left" w:pos="1985"/>
          <w:tab w:val="left" w:pos="2268"/>
        </w:tabs>
        <w:rPr>
          <w:iCs/>
        </w:rPr>
      </w:pPr>
      <w:r w:rsidRPr="000A2EE1">
        <w:rPr>
          <w:iCs/>
        </w:rPr>
        <w:t>SP 188 (h) and (i)</w:t>
      </w:r>
      <w:r w:rsidRPr="000A2EE1">
        <w:rPr>
          <w:iCs/>
        </w:rPr>
        <w:tab/>
        <w:t>Renumber as (g) and (h) respectively.</w:t>
      </w:r>
    </w:p>
    <w:p w:rsidR="00E3232B" w:rsidRPr="000A2EE1" w:rsidRDefault="00E3232B" w:rsidP="0056126A">
      <w:pPr>
        <w:pStyle w:val="SingleTxtG"/>
        <w:tabs>
          <w:tab w:val="left" w:pos="1701"/>
          <w:tab w:val="left" w:pos="1985"/>
          <w:tab w:val="left" w:pos="2268"/>
        </w:tabs>
      </w:pPr>
      <w:r w:rsidRPr="000A2EE1">
        <w:t>SP 188</w:t>
      </w:r>
      <w:r w:rsidRPr="000A2EE1">
        <w:tab/>
        <w:t>Add the following paragraph at the end:</w:t>
      </w:r>
    </w:p>
    <w:p w:rsidR="00E3232B" w:rsidRPr="000A2EE1" w:rsidRDefault="00E3232B" w:rsidP="0056126A">
      <w:pPr>
        <w:pStyle w:val="SingleTxtG"/>
        <w:tabs>
          <w:tab w:val="left" w:pos="1701"/>
          <w:tab w:val="left" w:pos="1985"/>
          <w:tab w:val="left" w:pos="2268"/>
        </w:tabs>
      </w:pPr>
      <w:r w:rsidRPr="000A2EE1">
        <w:t xml:space="preserve">“A single cell battery as defined in Part III, sub-section 38.3.2.3 of the </w:t>
      </w:r>
      <w:r w:rsidRPr="000A2EE1">
        <w:rPr>
          <w:i/>
        </w:rPr>
        <w:t>Manual of Tests and Criteria</w:t>
      </w:r>
      <w:r w:rsidRPr="000A2EE1">
        <w:t xml:space="preserve"> is considered a “cell” and shall be carried according to the requirements for “cells” for the purpose of this special provision.”.</w:t>
      </w:r>
    </w:p>
    <w:p w:rsidR="00E3232B" w:rsidRPr="000A2EE1" w:rsidRDefault="00E3232B" w:rsidP="0056126A">
      <w:pPr>
        <w:pStyle w:val="SingleTxtG"/>
        <w:tabs>
          <w:tab w:val="left" w:pos="1418"/>
          <w:tab w:val="left" w:pos="1701"/>
          <w:tab w:val="left" w:pos="1985"/>
          <w:tab w:val="left" w:pos="2268"/>
        </w:tabs>
        <w:rPr>
          <w:lang w:eastAsia="fr-FR"/>
        </w:rPr>
      </w:pPr>
      <w:r w:rsidRPr="000A2EE1">
        <w:t>SP 207</w:t>
      </w:r>
      <w:r w:rsidRPr="000A2EE1">
        <w:tab/>
        <w:t>Delete “Polymeric beads and”</w:t>
      </w:r>
      <w:r w:rsidRPr="000A2EE1">
        <w:rPr>
          <w:lang w:eastAsia="fr-FR"/>
        </w:rPr>
        <w:t>.</w:t>
      </w:r>
    </w:p>
    <w:p w:rsidR="00E3232B" w:rsidRPr="000A2EE1" w:rsidRDefault="00E3232B" w:rsidP="0056126A">
      <w:pPr>
        <w:pStyle w:val="SingleTxtG"/>
        <w:tabs>
          <w:tab w:val="left" w:pos="1701"/>
          <w:tab w:val="left" w:pos="1985"/>
          <w:tab w:val="left" w:pos="2268"/>
          <w:tab w:val="left" w:pos="2410"/>
        </w:tabs>
      </w:pPr>
      <w:r w:rsidRPr="000A2EE1">
        <w:t>SP 216</w:t>
      </w:r>
      <w:r w:rsidRPr="000A2EE1">
        <w:tab/>
        <w:t>Replace “,vehicle or container” by “or cargo transport unit”.</w:t>
      </w:r>
    </w:p>
    <w:p w:rsidR="00E3232B" w:rsidRPr="000A2EE1" w:rsidRDefault="00E3232B" w:rsidP="0056126A">
      <w:pPr>
        <w:pStyle w:val="SingleTxtG"/>
        <w:tabs>
          <w:tab w:val="left" w:pos="1701"/>
          <w:tab w:val="left" w:pos="1985"/>
          <w:tab w:val="left" w:pos="2268"/>
          <w:tab w:val="left" w:pos="2410"/>
        </w:tabs>
      </w:pPr>
      <w:r w:rsidRPr="000A2EE1">
        <w:t>SP 217</w:t>
      </w:r>
      <w:r w:rsidRPr="000A2EE1">
        <w:tab/>
        <w:t>Replace “,vehicle or container” by “or cargo transport unit”.</w:t>
      </w:r>
    </w:p>
    <w:p w:rsidR="00E3232B" w:rsidRPr="000A2EE1" w:rsidRDefault="00E3232B" w:rsidP="0056126A">
      <w:pPr>
        <w:pStyle w:val="SingleTxtG"/>
        <w:tabs>
          <w:tab w:val="left" w:pos="1701"/>
          <w:tab w:val="left" w:pos="1985"/>
          <w:tab w:val="left" w:pos="2268"/>
          <w:tab w:val="left" w:pos="2410"/>
        </w:tabs>
      </w:pPr>
      <w:r w:rsidRPr="000A2EE1">
        <w:t>SP 218</w:t>
      </w:r>
      <w:r w:rsidRPr="000A2EE1">
        <w:tab/>
        <w:t>Replace “,vehicle or container” by “or cargo transport unit”.</w:t>
      </w:r>
    </w:p>
    <w:p w:rsidR="00E3232B" w:rsidRPr="000A2EE1" w:rsidRDefault="00E3232B" w:rsidP="0056126A">
      <w:pPr>
        <w:tabs>
          <w:tab w:val="left" w:pos="1701"/>
          <w:tab w:val="left" w:pos="1985"/>
          <w:tab w:val="left" w:pos="2268"/>
        </w:tabs>
        <w:spacing w:after="120"/>
        <w:ind w:left="1134" w:right="1134"/>
        <w:jc w:val="both"/>
      </w:pPr>
      <w:r w:rsidRPr="000A2EE1">
        <w:t>SP 225</w:t>
      </w:r>
      <w:r w:rsidRPr="000A2EE1">
        <w:tab/>
        <w:t>In the last Note, replace “applicable to the relevant gas” by “applicable to the relevant dangerous goods”.</w:t>
      </w:r>
    </w:p>
    <w:p w:rsidR="00E3232B" w:rsidRPr="000A2EE1" w:rsidRDefault="00E3232B" w:rsidP="0056126A">
      <w:pPr>
        <w:pStyle w:val="SingleTxtG"/>
        <w:tabs>
          <w:tab w:val="left" w:pos="1701"/>
          <w:tab w:val="left" w:pos="1985"/>
          <w:tab w:val="left" w:pos="2268"/>
        </w:tabs>
      </w:pPr>
      <w:r w:rsidRPr="000A2EE1">
        <w:t>SP 236</w:t>
      </w:r>
      <w:r w:rsidRPr="000A2EE1">
        <w:tab/>
        <w:t>Amend to read as follows:</w:t>
      </w:r>
    </w:p>
    <w:p w:rsidR="00E3232B" w:rsidRPr="000A2EE1" w:rsidRDefault="00E3232B" w:rsidP="0056126A">
      <w:pPr>
        <w:pStyle w:val="SingleTxtG"/>
        <w:tabs>
          <w:tab w:val="left" w:pos="1701"/>
          <w:tab w:val="left" w:pos="1985"/>
          <w:tab w:val="left" w:pos="2268"/>
        </w:tabs>
      </w:pPr>
      <w:r w:rsidRPr="000A2EE1">
        <w:t>“236</w:t>
      </w:r>
      <w:r w:rsidRPr="000A2EE1">
        <w:tab/>
        <w:t>Polyester resin kits consist of two components: a base material (either Class 3 or Class 4.1, packing group II or III) and an activator (organic peroxide). The organic peroxide shall be type D, E, or F, not requiring temperature control. The packing group shall be II or III, according to the criteria of either Class 3 or Class 4.1, as appropriate, applied to the base material. The quantity limit shown in column (7a) of Table A of Chapter 3.2 applies to the base material.”.</w:t>
      </w:r>
    </w:p>
    <w:p w:rsidR="00E3232B" w:rsidRPr="000A2EE1" w:rsidRDefault="00E3232B" w:rsidP="0056126A">
      <w:pPr>
        <w:pStyle w:val="SingleTxtG"/>
        <w:tabs>
          <w:tab w:val="left" w:pos="1701"/>
          <w:tab w:val="left" w:pos="1985"/>
          <w:tab w:val="left" w:pos="2268"/>
          <w:tab w:val="left" w:pos="2410"/>
        </w:tabs>
      </w:pPr>
      <w:r w:rsidRPr="000A2EE1">
        <w:t>SP 240</w:t>
      </w:r>
      <w:r w:rsidRPr="000A2EE1">
        <w:tab/>
        <w:t xml:space="preserve">Amend to read as follows: </w:t>
      </w:r>
    </w:p>
    <w:p w:rsidR="00E3232B" w:rsidRPr="000A2EE1" w:rsidRDefault="00791E53" w:rsidP="0056126A">
      <w:pPr>
        <w:pStyle w:val="SingleTxtG"/>
        <w:tabs>
          <w:tab w:val="left" w:pos="1701"/>
          <w:tab w:val="left" w:pos="1985"/>
          <w:tab w:val="left" w:pos="2268"/>
        </w:tabs>
      </w:pPr>
      <w:r w:rsidRPr="000A2EE1">
        <w:t>“</w:t>
      </w:r>
      <w:r w:rsidR="00E3232B" w:rsidRPr="000A2EE1">
        <w:t>240</w:t>
      </w:r>
      <w:r w:rsidR="00E3232B" w:rsidRPr="000A2EE1">
        <w:tab/>
        <w:t xml:space="preserve">This entry only applies to vehicles powered by wet batteries, sodium batteries, lithium metal batteries or lithium ion batteries and equipment powered by wet batteries or sodium batteries </w:t>
      </w:r>
      <w:r w:rsidR="00E3232B" w:rsidRPr="000A2EE1">
        <w:rPr>
          <w:shd w:val="clear" w:color="auto" w:fill="FFFFFF"/>
        </w:rPr>
        <w:t>carried</w:t>
      </w:r>
      <w:r w:rsidR="00E3232B" w:rsidRPr="000A2EE1">
        <w:t xml:space="preserve"> with these batteries installed. Lithium batteries shall meet the requirements of </w:t>
      </w:r>
      <w:r w:rsidR="00E3232B" w:rsidRPr="000A2EE1">
        <w:rPr>
          <w:rFonts w:eastAsia="Calibri"/>
        </w:rPr>
        <w:t>2.2.9.1.7</w:t>
      </w:r>
      <w:r w:rsidR="00E3232B" w:rsidRPr="000A2EE1">
        <w:t xml:space="preserve">, except as otherwise provided </w:t>
      </w:r>
      <w:r w:rsidR="00E3232B" w:rsidRPr="000A2EE1">
        <w:rPr>
          <w:shd w:val="clear" w:color="auto" w:fill="FFFFFF"/>
        </w:rPr>
        <w:t>for</w:t>
      </w:r>
      <w:r w:rsidR="00E3232B" w:rsidRPr="000A2EE1">
        <w:t xml:space="preserve"> in special provision 667.</w:t>
      </w:r>
    </w:p>
    <w:p w:rsidR="00E3232B" w:rsidRPr="000A2EE1" w:rsidRDefault="00311F62" w:rsidP="0056126A">
      <w:pPr>
        <w:pStyle w:val="SingleTxtG"/>
        <w:tabs>
          <w:tab w:val="left" w:pos="1701"/>
          <w:tab w:val="left" w:pos="1985"/>
          <w:tab w:val="left" w:pos="2268"/>
        </w:tabs>
      </w:pPr>
      <w:r w:rsidRPr="000A2EE1">
        <w:tab/>
      </w:r>
      <w:r w:rsidR="00E3232B" w:rsidRPr="000A2EE1">
        <w:t xml:space="preserve">For the purpose of this special provision, vehicles are self-propelled apparatus designed to carry one or more persons or goods. Examples of such vehicles are electrically-powered cars, motorcycles, scooters, three- and four-wheeled vehicles or motorcycles, trucks, locomotives, bicycles (pedal cycles with an electric motor) and other vehicles of this type (e.g. self-balancing vehicles or vehicles not equipped with at least one seating position),wheel chairs, lawn tractors, self-propelled farming and construction equipment, boats and aircraft. This includes vehicles </w:t>
      </w:r>
      <w:r w:rsidR="00E3232B" w:rsidRPr="000A2EE1">
        <w:rPr>
          <w:shd w:val="clear" w:color="auto" w:fill="FFFFFF"/>
        </w:rPr>
        <w:t>carried</w:t>
      </w:r>
      <w:r w:rsidR="00E3232B" w:rsidRPr="000A2EE1">
        <w:t xml:space="preserve"> in a packaging. In this case some parts of the vehicle may be detached from its frame to fit into the packaging. </w:t>
      </w:r>
    </w:p>
    <w:p w:rsidR="00E3232B" w:rsidRPr="000A2EE1" w:rsidRDefault="00311F62" w:rsidP="0056126A">
      <w:pPr>
        <w:pStyle w:val="SingleTxtG"/>
        <w:tabs>
          <w:tab w:val="left" w:pos="1701"/>
          <w:tab w:val="left" w:pos="1985"/>
          <w:tab w:val="left" w:pos="2268"/>
        </w:tabs>
      </w:pPr>
      <w:r w:rsidRPr="000A2EE1">
        <w:tab/>
      </w:r>
      <w:r w:rsidR="00E3232B" w:rsidRPr="000A2EE1">
        <w:t xml:space="preserve">Examples of equipment are lawnmowers, cleaning machines or model boats and model aircraft. Equipment powered by lithium metal batteries or lithium ion batteries shall be assigned to the entries UN 3091 LITHIUM METAL BATTERIES CONTAINED IN EQUIPMENT or UN 3091 LITHIUM METAL BATTERIES PACKED WITH EQUIPMENT or UN 3481 LITHIUM ION BATTERIES CONTAINED IN EQUIPMENT or UN 3481 LITHIUM ION BATTERIES PACKED WITH EQUIPMENT, as appropriate. Hybrid electric vehicles powered by both an internal combustion engine and wet batteries, sodium batteries, lithium metal batteries or lithium ion batteries, carried with the battery(ies) installed shall be </w:t>
      </w:r>
      <w:r w:rsidR="00E3232B" w:rsidRPr="000A2EE1">
        <w:rPr>
          <w:shd w:val="clear" w:color="auto" w:fill="FFFFFF"/>
        </w:rPr>
        <w:t>assigned to</w:t>
      </w:r>
      <w:r w:rsidR="00E3232B" w:rsidRPr="000A2EE1">
        <w:t xml:space="preserve"> the entries UN 3166 VEHICLE, FLAMMABLE GAS POWERED or UN 3166 VEHICLE, FLAMMABLE LIQUID POWERED, as appropriate. Vehicles which contain a fuel cell shall be </w:t>
      </w:r>
      <w:r w:rsidR="00E3232B" w:rsidRPr="000A2EE1">
        <w:rPr>
          <w:shd w:val="clear" w:color="auto" w:fill="FFFFFF"/>
        </w:rPr>
        <w:t>assigned to</w:t>
      </w:r>
      <w:r w:rsidR="00E3232B" w:rsidRPr="000A2EE1">
        <w:t xml:space="preserve"> the entries UN 3166 VEHICLE, FUEL CELL, FLAMMABLE GAS POWERED or UN 3166 VEHICLE, FUEL CELL, FLAMMABLE LIQUID POWERED, as appropriate. </w:t>
      </w:r>
    </w:p>
    <w:p w:rsidR="00E3232B" w:rsidRPr="000A2EE1" w:rsidRDefault="00311F62" w:rsidP="0056126A">
      <w:pPr>
        <w:pStyle w:val="SingleTxtG"/>
        <w:tabs>
          <w:tab w:val="left" w:pos="1701"/>
          <w:tab w:val="left" w:pos="1985"/>
          <w:tab w:val="left" w:pos="2268"/>
          <w:tab w:val="left" w:pos="2410"/>
        </w:tabs>
      </w:pPr>
      <w:r w:rsidRPr="000A2EE1">
        <w:tab/>
      </w:r>
      <w:r w:rsidR="00E3232B" w:rsidRPr="000A2EE1">
        <w:t>Vehicles may contain other dangerous goods than batteries (e.g. fire extinguishers, compressed gas accumulators or safety devices) required for their functioning or safe operation without being subject to any additional requirements for these other dangerous goods, unless otherwise specified in ADR.”.</w:t>
      </w:r>
    </w:p>
    <w:p w:rsidR="00E3232B" w:rsidRPr="000A2EE1" w:rsidRDefault="00E3232B" w:rsidP="0056126A">
      <w:pPr>
        <w:pStyle w:val="SingleTxtG"/>
        <w:tabs>
          <w:tab w:val="left" w:pos="1701"/>
          <w:tab w:val="left" w:pos="1985"/>
          <w:tab w:val="left" w:pos="2268"/>
        </w:tabs>
        <w:rPr>
          <w:i/>
        </w:rPr>
      </w:pPr>
      <w:r w:rsidRPr="000A2EE1">
        <w:t>SP 295</w:t>
      </w:r>
      <w:r w:rsidRPr="000A2EE1">
        <w:tab/>
        <w:t>Not applicable to the English text.</w:t>
      </w:r>
    </w:p>
    <w:p w:rsidR="00E3232B" w:rsidRPr="000A2EE1" w:rsidRDefault="00E3232B" w:rsidP="0056126A">
      <w:pPr>
        <w:pStyle w:val="SingleTxtG"/>
        <w:tabs>
          <w:tab w:val="left" w:pos="1701"/>
          <w:tab w:val="left" w:pos="1985"/>
          <w:tab w:val="left" w:pos="2268"/>
        </w:tabs>
      </w:pPr>
      <w:r w:rsidRPr="000A2EE1">
        <w:t>SP 310</w:t>
      </w:r>
      <w:r w:rsidRPr="000A2EE1">
        <w:tab/>
        <w:t>Amend to read as follows:</w:t>
      </w:r>
    </w:p>
    <w:p w:rsidR="00E3232B" w:rsidRPr="000A2EE1" w:rsidRDefault="00E3232B" w:rsidP="0056126A">
      <w:pPr>
        <w:pStyle w:val="SingleTxtG"/>
        <w:tabs>
          <w:tab w:val="left" w:pos="1701"/>
          <w:tab w:val="left" w:pos="1985"/>
          <w:tab w:val="left" w:pos="2268"/>
        </w:tabs>
      </w:pPr>
      <w:r w:rsidRPr="000A2EE1">
        <w:t>“310</w:t>
      </w:r>
      <w:r w:rsidRPr="000A2EE1">
        <w:tab/>
        <w:t>The testing requirements in the Manual of Tests and Criteria, part III sub-section 38.3 do not apply to production runs, consisting of not more than 100 cells and batteries, or to pre-production prototypes of cells and batteries when these prototypes are carried for testing when packaged in accordance with packing instruction P910 of 4.1.4.1</w:t>
      </w:r>
    </w:p>
    <w:p w:rsidR="00E3232B" w:rsidRPr="000A2EE1" w:rsidRDefault="00311F62" w:rsidP="0056126A">
      <w:pPr>
        <w:pStyle w:val="SingleTxtG"/>
        <w:tabs>
          <w:tab w:val="left" w:pos="1701"/>
          <w:tab w:val="left" w:pos="1985"/>
          <w:tab w:val="left" w:pos="2268"/>
        </w:tabs>
      </w:pPr>
      <w:r w:rsidRPr="000A2EE1">
        <w:tab/>
      </w:r>
      <w:r w:rsidR="00E3232B" w:rsidRPr="000A2EE1">
        <w:t>The transport document shall include the following statement: “Carriage in accordance with special provision 310”.</w:t>
      </w:r>
    </w:p>
    <w:p w:rsidR="00E3232B" w:rsidRPr="000A2EE1" w:rsidRDefault="00311F62" w:rsidP="0056126A">
      <w:pPr>
        <w:pStyle w:val="SingleTxtG"/>
        <w:tabs>
          <w:tab w:val="left" w:pos="1701"/>
          <w:tab w:val="left" w:pos="1985"/>
          <w:tab w:val="left" w:pos="2268"/>
        </w:tabs>
      </w:pPr>
      <w:r w:rsidRPr="000A2EE1">
        <w:tab/>
      </w:r>
      <w:r w:rsidR="00E3232B" w:rsidRPr="000A2EE1">
        <w:t>Damaged or defective cells, batteries, or cells and batteries contained in equipment shall be carried in accordance with special provision 376 and packaged in accordance with packing instructions P908 of 4.1.4.1 or LP904 of 4.1.4.3, as applicable.</w:t>
      </w:r>
    </w:p>
    <w:p w:rsidR="00E3232B" w:rsidRPr="000A2EE1" w:rsidRDefault="00311F62" w:rsidP="0056126A">
      <w:pPr>
        <w:pStyle w:val="SingleTxtG"/>
        <w:tabs>
          <w:tab w:val="left" w:pos="1701"/>
          <w:tab w:val="left" w:pos="1985"/>
          <w:tab w:val="left" w:pos="2268"/>
        </w:tabs>
      </w:pPr>
      <w:r w:rsidRPr="000A2EE1">
        <w:tab/>
      </w:r>
      <w:r w:rsidR="00E3232B" w:rsidRPr="000A2EE1">
        <w:t>Cells, batteries or cells and batteries contained in equipment carried for disposal or recycling may be packaged in accordance with special provision 377 and packing instruction P909 of 4.1.4.1.”.</w:t>
      </w:r>
    </w:p>
    <w:p w:rsidR="00E3232B" w:rsidRPr="000A2EE1" w:rsidRDefault="00E3232B" w:rsidP="0056126A">
      <w:pPr>
        <w:pStyle w:val="SingleTxtG"/>
        <w:tabs>
          <w:tab w:val="left" w:pos="1701"/>
          <w:tab w:val="left" w:pos="1985"/>
          <w:tab w:val="left" w:pos="2268"/>
        </w:tabs>
      </w:pPr>
      <w:r w:rsidRPr="000A2EE1">
        <w:t>SP 312</w:t>
      </w:r>
      <w:r w:rsidRPr="000A2EE1">
        <w:tab/>
        <w:t>Amend to read as follows:</w:t>
      </w:r>
    </w:p>
    <w:p w:rsidR="00E3232B" w:rsidRPr="000A2EE1" w:rsidRDefault="00791E53" w:rsidP="0056126A">
      <w:pPr>
        <w:pStyle w:val="SingleTxtG"/>
        <w:tabs>
          <w:tab w:val="left" w:pos="1701"/>
          <w:tab w:val="left" w:pos="1985"/>
          <w:tab w:val="left" w:pos="2268"/>
        </w:tabs>
      </w:pPr>
      <w:r w:rsidRPr="000A2EE1">
        <w:t>“</w:t>
      </w:r>
      <w:r w:rsidR="00E3232B" w:rsidRPr="000A2EE1">
        <w:t>312</w:t>
      </w:r>
      <w:r w:rsidR="00E3232B" w:rsidRPr="000A2EE1">
        <w:tab/>
        <w:t xml:space="preserve">Vehicles powered by a fuel cell engine shall be </w:t>
      </w:r>
      <w:r w:rsidR="00E3232B" w:rsidRPr="000A2EE1">
        <w:rPr>
          <w:shd w:val="clear" w:color="auto" w:fill="FFFFFF"/>
        </w:rPr>
        <w:t>assigned to</w:t>
      </w:r>
      <w:r w:rsidR="00E3232B" w:rsidRPr="000A2EE1">
        <w:t xml:space="preserve">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carried with the battery(ies) installed.</w:t>
      </w:r>
    </w:p>
    <w:p w:rsidR="00E3232B" w:rsidRPr="000A2EE1" w:rsidRDefault="00311F62" w:rsidP="0056126A">
      <w:pPr>
        <w:pStyle w:val="SingleTxtG"/>
        <w:tabs>
          <w:tab w:val="left" w:pos="1701"/>
          <w:tab w:val="left" w:pos="1985"/>
          <w:tab w:val="left" w:pos="2268"/>
        </w:tabs>
      </w:pPr>
      <w:r w:rsidRPr="000A2EE1">
        <w:tab/>
      </w:r>
      <w:r w:rsidR="00E3232B" w:rsidRPr="000A2EE1">
        <w:t xml:space="preserve">Other vehicles which contain an internal combustion engine shall be assigned to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carried with the battery(ies) installed. </w:t>
      </w:r>
    </w:p>
    <w:p w:rsidR="00E3232B" w:rsidRPr="000A2EE1" w:rsidRDefault="00311F62" w:rsidP="0056126A">
      <w:pPr>
        <w:pStyle w:val="SingleTxtG"/>
        <w:tabs>
          <w:tab w:val="left" w:pos="1701"/>
          <w:tab w:val="left" w:pos="1985"/>
          <w:tab w:val="left" w:pos="2268"/>
          <w:tab w:val="left" w:pos="2410"/>
        </w:tabs>
      </w:pPr>
      <w:r w:rsidRPr="000A2EE1">
        <w:tab/>
      </w:r>
      <w:r w:rsidR="00E3232B" w:rsidRPr="000A2EE1">
        <w:t xml:space="preserve">Lithium batteries shall meet the requirements of </w:t>
      </w:r>
      <w:r w:rsidR="00E3232B" w:rsidRPr="000A2EE1">
        <w:rPr>
          <w:rFonts w:eastAsia="Calibri"/>
        </w:rPr>
        <w:t>2.2.9.1.7</w:t>
      </w:r>
      <w:r w:rsidR="00E3232B" w:rsidRPr="000A2EE1">
        <w:t>, except as otherwise provided for in special provision 667.</w:t>
      </w:r>
      <w:r w:rsidR="00791E53" w:rsidRPr="000A2EE1">
        <w:t>”</w:t>
      </w:r>
      <w:r w:rsidR="00E3232B" w:rsidRPr="000A2EE1">
        <w:t>.</w:t>
      </w:r>
    </w:p>
    <w:p w:rsidR="00E3232B" w:rsidRPr="000A2EE1" w:rsidRDefault="00E3232B" w:rsidP="0056126A">
      <w:pPr>
        <w:pStyle w:val="SingleTxtG"/>
        <w:tabs>
          <w:tab w:val="left" w:pos="1701"/>
          <w:tab w:val="left" w:pos="1985"/>
          <w:tab w:val="left" w:pos="2268"/>
        </w:tabs>
      </w:pPr>
      <w:r w:rsidRPr="000A2EE1">
        <w:t>SP 317</w:t>
      </w:r>
      <w:r w:rsidRPr="000A2EE1">
        <w:tab/>
        <w:t>Amend to read as follows:</w:t>
      </w:r>
    </w:p>
    <w:p w:rsidR="00E3232B" w:rsidRPr="000A2EE1" w:rsidRDefault="00E3232B" w:rsidP="0056126A">
      <w:pPr>
        <w:pStyle w:val="SingleTxtG"/>
        <w:tabs>
          <w:tab w:val="left" w:pos="1701"/>
          <w:tab w:val="left" w:pos="1985"/>
          <w:tab w:val="left" w:pos="2268"/>
        </w:tabs>
        <w:rPr>
          <w:iCs/>
        </w:rPr>
      </w:pPr>
      <w:r w:rsidRPr="000A2EE1">
        <w:rPr>
          <w:iCs/>
        </w:rPr>
        <w:t>“317</w:t>
      </w:r>
      <w:r w:rsidRPr="000A2EE1">
        <w:rPr>
          <w:iCs/>
        </w:rPr>
        <w:tab/>
        <w:t>“Fissile-excepted” applies only to those fissile material and packages containing fissile material which are excepted in accordance with 2.2.7.2.3.5.”.</w:t>
      </w:r>
    </w:p>
    <w:p w:rsidR="00E3232B" w:rsidRPr="000A2EE1" w:rsidRDefault="00E3232B" w:rsidP="0056126A">
      <w:pPr>
        <w:pStyle w:val="SingleTxtG"/>
        <w:tabs>
          <w:tab w:val="left" w:pos="1701"/>
          <w:tab w:val="left" w:pos="1985"/>
          <w:tab w:val="left" w:pos="2268"/>
        </w:tabs>
      </w:pPr>
      <w:r w:rsidRPr="000A2EE1">
        <w:t>SP 327</w:t>
      </w:r>
      <w:r w:rsidRPr="000A2EE1">
        <w:tab/>
        <w:t>In the second sentence, insert “movement and” after “protected against”.</w:t>
      </w:r>
    </w:p>
    <w:p w:rsidR="00E3232B" w:rsidRPr="000A2EE1" w:rsidRDefault="00E3232B" w:rsidP="0056126A">
      <w:pPr>
        <w:pStyle w:val="SingleTxtG"/>
        <w:tabs>
          <w:tab w:val="left" w:pos="1701"/>
          <w:tab w:val="left" w:pos="1985"/>
          <w:tab w:val="left" w:pos="2268"/>
        </w:tabs>
      </w:pPr>
      <w:r w:rsidRPr="000A2EE1">
        <w:t>SP 327</w:t>
      </w:r>
      <w:r w:rsidRPr="000A2EE1">
        <w:tab/>
        <w:t>In the third sentence, replace “LP02” by “LP200”.</w:t>
      </w:r>
    </w:p>
    <w:p w:rsidR="00E3232B" w:rsidRPr="000A2EE1" w:rsidRDefault="00E3232B" w:rsidP="0056126A">
      <w:pPr>
        <w:pStyle w:val="SingleTxtG"/>
        <w:tabs>
          <w:tab w:val="left" w:pos="1701"/>
          <w:tab w:val="left" w:pos="1985"/>
          <w:tab w:val="left" w:pos="2268"/>
          <w:tab w:val="left" w:pos="2410"/>
        </w:tabs>
      </w:pPr>
      <w:r w:rsidRPr="000A2EE1">
        <w:t>SP 335</w:t>
      </w:r>
      <w:r w:rsidRPr="000A2EE1">
        <w:tab/>
        <w:t>Replace “vehicle or container” by “cargo transport unit”, 3 times.</w:t>
      </w:r>
    </w:p>
    <w:p w:rsidR="00E3232B" w:rsidRPr="000A2EE1" w:rsidRDefault="00E3232B" w:rsidP="0056126A">
      <w:pPr>
        <w:pStyle w:val="SingleTxtG"/>
        <w:tabs>
          <w:tab w:val="left" w:pos="1701"/>
          <w:tab w:val="left" w:pos="1985"/>
          <w:tab w:val="left" w:pos="2268"/>
        </w:tabs>
        <w:rPr>
          <w:i/>
        </w:rPr>
      </w:pPr>
      <w:r w:rsidRPr="000A2EE1">
        <w:t>SP 339</w:t>
      </w:r>
      <w:r w:rsidRPr="000A2EE1">
        <w:tab/>
        <w:t>Not applicable to the English text.</w:t>
      </w:r>
    </w:p>
    <w:p w:rsidR="00E3232B" w:rsidRPr="000A2EE1" w:rsidRDefault="00E3232B" w:rsidP="0056126A">
      <w:pPr>
        <w:pStyle w:val="SingleTxtG"/>
        <w:tabs>
          <w:tab w:val="left" w:pos="1701"/>
          <w:tab w:val="left" w:pos="1985"/>
          <w:tab w:val="left" w:pos="2268"/>
        </w:tabs>
        <w:rPr>
          <w:rFonts w:eastAsia="SimSun"/>
          <w:bCs/>
        </w:rPr>
      </w:pPr>
      <w:r w:rsidRPr="000A2EE1">
        <w:t>SP 356</w:t>
      </w:r>
      <w:r w:rsidRPr="000A2EE1">
        <w:tab/>
        <w:t xml:space="preserve">Delete “installed in vehicles, wagons, vessels or aircraft or in completed components or”. </w:t>
      </w:r>
    </w:p>
    <w:p w:rsidR="00E3232B" w:rsidRPr="000A2EE1" w:rsidRDefault="00E3232B" w:rsidP="0056126A">
      <w:pPr>
        <w:pStyle w:val="SingleTxtG"/>
        <w:tabs>
          <w:tab w:val="left" w:pos="1701"/>
          <w:tab w:val="left" w:pos="1985"/>
          <w:tab w:val="left" w:pos="2268"/>
        </w:tabs>
        <w:rPr>
          <w:iCs/>
        </w:rPr>
      </w:pPr>
      <w:r w:rsidRPr="000A2EE1">
        <w:rPr>
          <w:iCs/>
        </w:rPr>
        <w:t>SP 363</w:t>
      </w:r>
      <w:r w:rsidRPr="000A2EE1">
        <w:rPr>
          <w:iCs/>
        </w:rPr>
        <w:tab/>
        <w:t>Amend to read as follows:</w:t>
      </w:r>
    </w:p>
    <w:p w:rsidR="00E3232B" w:rsidRPr="000A2EE1" w:rsidRDefault="00E3232B" w:rsidP="0056126A">
      <w:pPr>
        <w:pStyle w:val="SingleTxtG"/>
        <w:tabs>
          <w:tab w:val="left" w:pos="1701"/>
          <w:tab w:val="left" w:pos="1985"/>
          <w:tab w:val="left" w:pos="2268"/>
        </w:tabs>
        <w:rPr>
          <w:rFonts w:eastAsia="Calibri"/>
        </w:rPr>
      </w:pPr>
      <w:r w:rsidRPr="000A2EE1">
        <w:rPr>
          <w:iCs/>
        </w:rPr>
        <w:t xml:space="preserve">“363 </w:t>
      </w:r>
      <w:r w:rsidRPr="000A2EE1">
        <w:rPr>
          <w:iCs/>
        </w:rPr>
        <w:tab/>
      </w:r>
      <w:r w:rsidRPr="000A2EE1">
        <w:rPr>
          <w:rFonts w:eastAsia="Calibri"/>
        </w:rPr>
        <w:t>(a)</w:t>
      </w:r>
      <w:r w:rsidRPr="000A2EE1">
        <w:rPr>
          <w:rFonts w:eastAsia="Calibri"/>
        </w:rPr>
        <w:tab/>
        <w:t xml:space="preserve">This entry applies to engines or machinery, powered by fuels classified as dangerous goods via internal combustion systems or fuel cells (e.g. combustion engines, generators, compressors, turbines, heating units, etc.), </w:t>
      </w:r>
      <w:r w:rsidRPr="000A2EE1">
        <w:t>in quantities above those specified in column (7a) of</w:t>
      </w:r>
      <w:r w:rsidRPr="000A2EE1">
        <w:rPr>
          <w:rFonts w:eastAsia="Calibri"/>
        </w:rPr>
        <w:t xml:space="preserve"> Table A of Chapter 3.2, except vehicle equipment assigned to UN No. 3166 referred to in SP 666.</w:t>
      </w:r>
    </w:p>
    <w:p w:rsidR="00E3232B" w:rsidRPr="000A2EE1" w:rsidRDefault="0062161A" w:rsidP="0056126A">
      <w:pPr>
        <w:pStyle w:val="SingleTxtG"/>
        <w:tabs>
          <w:tab w:val="left" w:pos="1701"/>
          <w:tab w:val="left" w:pos="1985"/>
          <w:tab w:val="left" w:pos="2268"/>
        </w:tabs>
        <w:rPr>
          <w:rFonts w:eastAsia="Calibri"/>
        </w:rPr>
      </w:pPr>
      <w:r w:rsidRPr="000A2EE1">
        <w:rPr>
          <w:rFonts w:eastAsia="Calibri"/>
          <w:b/>
          <w:i/>
        </w:rPr>
        <w:tab/>
      </w:r>
      <w:r w:rsidR="00E3232B" w:rsidRPr="000A2EE1">
        <w:rPr>
          <w:rFonts w:eastAsia="Calibri"/>
          <w:b/>
          <w:i/>
        </w:rPr>
        <w:t>NOTE</w:t>
      </w:r>
      <w:r w:rsidR="00E3232B" w:rsidRPr="000A2EE1">
        <w:rPr>
          <w:rFonts w:eastAsia="Calibri"/>
          <w:i/>
        </w:rPr>
        <w:t>:</w:t>
      </w:r>
      <w:r w:rsidR="00E3232B" w:rsidRPr="000A2EE1">
        <w:rPr>
          <w:rFonts w:eastAsia="Calibri"/>
          <w:i/>
        </w:rPr>
        <w:tab/>
        <w:t>This entry does not apply to equipment referred to in 1.1.3.3.</w:t>
      </w:r>
    </w:p>
    <w:p w:rsidR="00E3232B" w:rsidRPr="000A2EE1" w:rsidRDefault="00E3232B" w:rsidP="0056126A">
      <w:pPr>
        <w:pStyle w:val="SingleTxtG"/>
        <w:tabs>
          <w:tab w:val="left" w:pos="1701"/>
          <w:tab w:val="left" w:pos="1985"/>
          <w:tab w:val="left" w:pos="2268"/>
        </w:tabs>
        <w:rPr>
          <w:rFonts w:eastAsia="Calibri"/>
        </w:rPr>
      </w:pPr>
      <w:r w:rsidRPr="000A2EE1">
        <w:rPr>
          <w:rFonts w:eastAsia="Calibri"/>
        </w:rPr>
        <w:tab/>
        <w:t>(b)</w:t>
      </w:r>
      <w:r w:rsidRPr="000A2EE1">
        <w:rPr>
          <w:rFonts w:eastAsia="Calibri"/>
        </w:rPr>
        <w:tab/>
        <w:t>Engines or machinery which are empty of liquid or gaseous fuels and which do not contain other dangerous goods, are not subject to ADR.</w:t>
      </w:r>
    </w:p>
    <w:p w:rsidR="00E3232B" w:rsidRPr="000A2EE1" w:rsidRDefault="00E3232B" w:rsidP="0062161A">
      <w:pPr>
        <w:pStyle w:val="SingleTxtG"/>
        <w:tabs>
          <w:tab w:val="left" w:pos="1843"/>
          <w:tab w:val="left" w:pos="2410"/>
        </w:tabs>
        <w:ind w:left="1843"/>
        <w:rPr>
          <w:i/>
        </w:rPr>
      </w:pPr>
      <w:r w:rsidRPr="000A2EE1">
        <w:rPr>
          <w:b/>
          <w:i/>
        </w:rPr>
        <w:t>NOTE 1</w:t>
      </w:r>
      <w:r w:rsidRPr="000A2EE1">
        <w:rPr>
          <w:i/>
        </w:rPr>
        <w:t>: An engine or machinery is considered to be empty of liquid fuel when the liquid fuel tank has been drained and the engine or machinery cannot be operated due to a lack of fuel. Engine or machinery components such as fuel lines, fuel filters and injectors do not need to be cleaned, drained or purged to be considered empty of liquid fuels. In addition, the liquid fuel tank does not need to be cleaned or purged.</w:t>
      </w:r>
    </w:p>
    <w:p w:rsidR="00E3232B" w:rsidRPr="000A2EE1" w:rsidRDefault="00E3232B" w:rsidP="0062161A">
      <w:pPr>
        <w:pStyle w:val="SingleTxtG"/>
        <w:tabs>
          <w:tab w:val="left" w:pos="2268"/>
          <w:tab w:val="left" w:pos="2410"/>
        </w:tabs>
        <w:ind w:left="1843"/>
        <w:rPr>
          <w:i/>
        </w:rPr>
      </w:pPr>
      <w:r w:rsidRPr="000A2EE1">
        <w:rPr>
          <w:b/>
          <w:i/>
        </w:rPr>
        <w:t>NOTE 2</w:t>
      </w:r>
      <w:r w:rsidRPr="000A2EE1">
        <w:rPr>
          <w:i/>
        </w:rPr>
        <w:t>: An engine or machinery is considered to be empty of gaseous fuels when the gaseous fuel tanks are empty of liquid (for liquefied gases), the pressure in the tanks does not exceed 2 bar and the fuel shut-off or isolation valve is closed and secured.</w:t>
      </w:r>
    </w:p>
    <w:p w:rsidR="00E3232B" w:rsidRPr="000A2EE1" w:rsidRDefault="00E3232B" w:rsidP="0062161A">
      <w:pPr>
        <w:pStyle w:val="SingleTxtG"/>
        <w:tabs>
          <w:tab w:val="left" w:pos="1843"/>
          <w:tab w:val="left" w:pos="2410"/>
        </w:tabs>
        <w:rPr>
          <w:rFonts w:eastAsia="Calibri"/>
        </w:rPr>
      </w:pPr>
      <w:r w:rsidRPr="000A2EE1">
        <w:rPr>
          <w:rFonts w:eastAsia="Calibri"/>
        </w:rPr>
        <w:tab/>
        <w:t>(c)</w:t>
      </w:r>
      <w:r w:rsidRPr="000A2EE1">
        <w:rPr>
          <w:rFonts w:eastAsia="Calibri"/>
        </w:rPr>
        <w:tab/>
        <w:t xml:space="preserve">Engines and machinery containing fuels meeting the classification criteria of Class 3, shall be assigned to the entries </w:t>
      </w:r>
      <w:r w:rsidRPr="000A2EE1">
        <w:t>UN No. </w:t>
      </w:r>
      <w:r w:rsidRPr="000A2EE1">
        <w:rPr>
          <w:rFonts w:eastAsia="Calibri"/>
        </w:rPr>
        <w:t xml:space="preserve">3528 ENGINE, INTERNAL COMBUSTION, FLAMMABLE LIQUID POWERED or </w:t>
      </w:r>
      <w:r w:rsidRPr="000A2EE1">
        <w:t>UN No. </w:t>
      </w:r>
      <w:r w:rsidRPr="000A2EE1">
        <w:rPr>
          <w:rFonts w:eastAsia="Calibri"/>
        </w:rPr>
        <w:t xml:space="preserve">3528 ENGINE, FUEL CELL, FLAMMABLE LIQUID POWERED or </w:t>
      </w:r>
      <w:r w:rsidRPr="000A2EE1">
        <w:t>UN No. </w:t>
      </w:r>
      <w:r w:rsidRPr="000A2EE1">
        <w:rPr>
          <w:rFonts w:eastAsia="Calibri"/>
        </w:rPr>
        <w:t xml:space="preserve">3528 MACHINERY, INTERNAL COMBUSTION, FLAMMABLE LIQUID POWERED or </w:t>
      </w:r>
      <w:r w:rsidRPr="000A2EE1">
        <w:t>UN No. </w:t>
      </w:r>
      <w:r w:rsidRPr="000A2EE1">
        <w:rPr>
          <w:rFonts w:eastAsia="Calibri"/>
        </w:rPr>
        <w:t>3528 MACHINERY, FUEL CELL, FLAMMABLE LIQUID POWERED, as appropriate.</w:t>
      </w:r>
    </w:p>
    <w:p w:rsidR="00E3232B" w:rsidRPr="000A2EE1" w:rsidRDefault="00E3232B" w:rsidP="0062161A">
      <w:pPr>
        <w:pStyle w:val="SingleTxtG"/>
        <w:tabs>
          <w:tab w:val="left" w:pos="1843"/>
          <w:tab w:val="left" w:pos="2410"/>
        </w:tabs>
        <w:rPr>
          <w:rFonts w:eastAsia="Calibri"/>
        </w:rPr>
      </w:pPr>
      <w:r w:rsidRPr="000A2EE1">
        <w:rPr>
          <w:rFonts w:eastAsia="Calibri"/>
        </w:rPr>
        <w:tab/>
        <w:t>(d)</w:t>
      </w:r>
      <w:r w:rsidRPr="000A2EE1">
        <w:rPr>
          <w:rFonts w:eastAsia="Calibri"/>
        </w:rPr>
        <w:tab/>
        <w:t xml:space="preserve">Engines and machinery containing fuels meeting the classification criteria of flammable gases of Class 2, shall be assigned to the entries </w:t>
      </w:r>
      <w:r w:rsidRPr="000A2EE1">
        <w:t>UN No. </w:t>
      </w:r>
      <w:r w:rsidRPr="000A2EE1">
        <w:rPr>
          <w:rFonts w:eastAsia="Calibri"/>
        </w:rPr>
        <w:t xml:space="preserve">3529 ENGINE, INTERNAL COMBUSTION, FLAMMABLE GAS POWERED or </w:t>
      </w:r>
      <w:r w:rsidRPr="000A2EE1">
        <w:t>UN No. </w:t>
      </w:r>
      <w:r w:rsidRPr="000A2EE1">
        <w:rPr>
          <w:rFonts w:eastAsia="Calibri"/>
        </w:rPr>
        <w:t xml:space="preserve">3529 ENGINE, FUEL CELL, FLAMMABLE GAS POWERED or </w:t>
      </w:r>
      <w:r w:rsidRPr="000A2EE1">
        <w:t>UN No. </w:t>
      </w:r>
      <w:r w:rsidRPr="000A2EE1">
        <w:rPr>
          <w:rFonts w:eastAsia="Calibri"/>
        </w:rPr>
        <w:t xml:space="preserve">3529 MACHINERY, INTERNAL COMBUSTION, FLAMMABLE GAS POWERED or </w:t>
      </w:r>
      <w:r w:rsidRPr="000A2EE1">
        <w:t>UN No. </w:t>
      </w:r>
      <w:r w:rsidRPr="000A2EE1">
        <w:rPr>
          <w:rFonts w:eastAsia="Calibri"/>
        </w:rPr>
        <w:t>3529 MACHINERY, FUEL CELL, FLAMMABLE GAS POWERED, as appropriate.</w:t>
      </w:r>
    </w:p>
    <w:p w:rsidR="00E3232B" w:rsidRPr="000A2EE1" w:rsidRDefault="0062161A" w:rsidP="0062161A">
      <w:pPr>
        <w:pStyle w:val="SingleTxtG"/>
        <w:tabs>
          <w:tab w:val="left" w:pos="1843"/>
          <w:tab w:val="left" w:pos="2410"/>
        </w:tabs>
        <w:rPr>
          <w:rFonts w:eastAsia="Calibri"/>
        </w:rPr>
      </w:pPr>
      <w:r w:rsidRPr="000A2EE1">
        <w:rPr>
          <w:rFonts w:eastAsia="Calibri"/>
        </w:rPr>
        <w:tab/>
      </w:r>
      <w:r w:rsidR="00E3232B" w:rsidRPr="000A2EE1">
        <w:rPr>
          <w:rFonts w:eastAsia="Calibri"/>
        </w:rPr>
        <w:t xml:space="preserve">Engines and machinery powered by both a flammable gas and a flammable liquid shall be assigned to the appropriate </w:t>
      </w:r>
      <w:r w:rsidR="00E3232B" w:rsidRPr="000A2EE1">
        <w:t>UN No. </w:t>
      </w:r>
      <w:r w:rsidR="00E3232B" w:rsidRPr="000A2EE1">
        <w:rPr>
          <w:rFonts w:eastAsia="Calibri"/>
        </w:rPr>
        <w:t xml:space="preserve">3529 entry. </w:t>
      </w:r>
    </w:p>
    <w:p w:rsidR="00E3232B" w:rsidRPr="000A2EE1" w:rsidRDefault="00E3232B" w:rsidP="0062161A">
      <w:pPr>
        <w:pStyle w:val="SingleTxtG"/>
        <w:tabs>
          <w:tab w:val="left" w:pos="1843"/>
          <w:tab w:val="left" w:pos="2410"/>
        </w:tabs>
        <w:rPr>
          <w:rFonts w:eastAsia="Calibri"/>
        </w:rPr>
      </w:pPr>
      <w:r w:rsidRPr="000A2EE1">
        <w:rPr>
          <w:rFonts w:eastAsia="Calibri"/>
        </w:rPr>
        <w:tab/>
        <w:t>(e)</w:t>
      </w:r>
      <w:r w:rsidRPr="000A2EE1">
        <w:rPr>
          <w:rFonts w:eastAsia="Calibri"/>
        </w:rPr>
        <w:tab/>
        <w:t xml:space="preserve">Engines and machinery containing liquid fuels meeting the classification criteria of 2.2.9.1.10 for environmentally hazardous substances and not meeting the classification criteria of any other class shall be assigned to the entries </w:t>
      </w:r>
      <w:r w:rsidRPr="000A2EE1">
        <w:t>UN No. </w:t>
      </w:r>
      <w:r w:rsidRPr="000A2EE1">
        <w:rPr>
          <w:rFonts w:eastAsia="Calibri"/>
        </w:rPr>
        <w:t xml:space="preserve">3530 ENGINE, INTERNAL COMBUSTION or </w:t>
      </w:r>
      <w:r w:rsidRPr="000A2EE1">
        <w:t>UN No. </w:t>
      </w:r>
      <w:r w:rsidRPr="000A2EE1">
        <w:rPr>
          <w:rFonts w:eastAsia="Calibri"/>
        </w:rPr>
        <w:t>3530 MACHINERY, INTERNAL COMBUSTION, as appropriate.</w:t>
      </w:r>
    </w:p>
    <w:p w:rsidR="00E3232B" w:rsidRPr="000A2EE1" w:rsidRDefault="00E3232B" w:rsidP="0062161A">
      <w:pPr>
        <w:pStyle w:val="SingleTxtG"/>
        <w:tabs>
          <w:tab w:val="left" w:pos="1843"/>
          <w:tab w:val="left" w:pos="2268"/>
          <w:tab w:val="left" w:pos="2410"/>
        </w:tabs>
        <w:rPr>
          <w:rFonts w:eastAsia="Calibri"/>
        </w:rPr>
      </w:pPr>
      <w:r w:rsidRPr="000A2EE1">
        <w:rPr>
          <w:rFonts w:eastAsia="Calibri"/>
        </w:rPr>
        <w:tab/>
        <w:t>(f)</w:t>
      </w:r>
      <w:r w:rsidRPr="000A2EE1">
        <w:rPr>
          <w:rFonts w:eastAsia="Calibri"/>
        </w:rPr>
        <w:tab/>
        <w:t xml:space="preserve">Engines or machinery may contain other dangerous goods than fuels </w:t>
      </w:r>
      <w:r w:rsidRPr="000A2EE1">
        <w:t xml:space="preserve">(e.g. batteries, fire extinguishers, compressed gas accumulators or safety devices) </w:t>
      </w:r>
      <w:r w:rsidRPr="000A2EE1">
        <w:rPr>
          <w:rFonts w:eastAsia="Calibri"/>
        </w:rPr>
        <w:t>required for their functioning or safe operation without being subject to any additional requirements for these other dangerous goods</w:t>
      </w:r>
      <w:r w:rsidRPr="000A2EE1">
        <w:t xml:space="preserve">, unless otherwise specified in ADR. </w:t>
      </w:r>
      <w:r w:rsidRPr="000A2EE1">
        <w:rPr>
          <w:rFonts w:eastAsia="Calibri"/>
        </w:rPr>
        <w:t>However, lithium batteries shall meet the requirements of 2.2.9.1.7, except as provided for in special provision 667.</w:t>
      </w:r>
    </w:p>
    <w:p w:rsidR="00E3232B" w:rsidRPr="000A2EE1" w:rsidRDefault="00E3232B" w:rsidP="0062161A">
      <w:pPr>
        <w:pStyle w:val="SingleTxtG"/>
        <w:tabs>
          <w:tab w:val="left" w:pos="1843"/>
          <w:tab w:val="left" w:pos="2268"/>
          <w:tab w:val="left" w:pos="2410"/>
        </w:tabs>
        <w:rPr>
          <w:rFonts w:eastAsia="Calibri"/>
        </w:rPr>
      </w:pPr>
      <w:r w:rsidRPr="000A2EE1">
        <w:rPr>
          <w:rFonts w:eastAsia="Calibri"/>
        </w:rPr>
        <w:tab/>
        <w:t>(g)</w:t>
      </w:r>
      <w:r w:rsidRPr="000A2EE1">
        <w:rPr>
          <w:rFonts w:eastAsia="Calibri"/>
        </w:rPr>
        <w:tab/>
        <w:t>The engines or machinery are not subject to any other requirements of ADR if the following requirements are met:</w:t>
      </w:r>
    </w:p>
    <w:p w:rsidR="00E3232B" w:rsidRPr="000A2EE1" w:rsidRDefault="00E3232B" w:rsidP="00E3232B">
      <w:pPr>
        <w:pStyle w:val="SingleTxtG"/>
        <w:ind w:left="2835" w:hanging="567"/>
        <w:rPr>
          <w:rFonts w:eastAsia="Calibri"/>
        </w:rPr>
      </w:pPr>
      <w:r w:rsidRPr="000A2EE1">
        <w:rPr>
          <w:rFonts w:eastAsia="Calibri"/>
        </w:rPr>
        <w:t>(i)</w:t>
      </w:r>
      <w:r w:rsidRPr="000A2EE1">
        <w:rPr>
          <w:rFonts w:eastAsia="Calibri"/>
        </w:rPr>
        <w:tab/>
        <w:t>The engine or machinery, including the means of containment containing dangerous goods, shall be in compliance with the construction requirements specified by the competent authority of the country of manufacture</w:t>
      </w:r>
      <w:r w:rsidRPr="000A2EE1">
        <w:rPr>
          <w:rStyle w:val="Appelnotedebasdep"/>
          <w:rFonts w:eastAsia="Calibri"/>
        </w:rPr>
        <w:footnoteReference w:customMarkFollows="1" w:id="2"/>
        <w:t>2</w:t>
      </w:r>
      <w:r w:rsidRPr="000A2EE1">
        <w:rPr>
          <w:rFonts w:eastAsia="Calibri"/>
        </w:rPr>
        <w:t>;</w:t>
      </w:r>
    </w:p>
    <w:p w:rsidR="00E3232B" w:rsidRPr="000A2EE1" w:rsidRDefault="00E3232B" w:rsidP="00E3232B">
      <w:pPr>
        <w:pStyle w:val="SingleTxtG"/>
        <w:ind w:left="2835" w:hanging="567"/>
        <w:rPr>
          <w:rFonts w:eastAsia="Calibri"/>
        </w:rPr>
      </w:pPr>
      <w:r w:rsidRPr="000A2EE1">
        <w:rPr>
          <w:rFonts w:eastAsia="Calibri"/>
        </w:rPr>
        <w:t>(ii)</w:t>
      </w:r>
      <w:r w:rsidRPr="000A2EE1">
        <w:rPr>
          <w:rFonts w:eastAsia="Calibri"/>
        </w:rPr>
        <w:tab/>
        <w:t>Any valves or openings (e.g. venting devices) shall be closed during carriage;</w:t>
      </w:r>
    </w:p>
    <w:p w:rsidR="00E3232B" w:rsidRPr="000A2EE1" w:rsidRDefault="00E3232B" w:rsidP="00E3232B">
      <w:pPr>
        <w:pStyle w:val="SingleTxtG"/>
        <w:ind w:left="2835" w:hanging="567"/>
        <w:rPr>
          <w:rFonts w:eastAsia="Calibri"/>
        </w:rPr>
      </w:pPr>
      <w:r w:rsidRPr="000A2EE1">
        <w:rPr>
          <w:rFonts w:eastAsia="Calibri"/>
        </w:rPr>
        <w:t>(iii)</w:t>
      </w:r>
      <w:r w:rsidRPr="000A2EE1">
        <w:rPr>
          <w:rFonts w:eastAsia="Calibri"/>
        </w:rPr>
        <w:tab/>
        <w:t>The engines or machinery shall be oriented to prevent inadvertent leakage of dangerous goods and secured by means capable of restraining the engines or machinery to prevent any movement during carriage which would change the orientation or cause them to be damaged;</w:t>
      </w:r>
    </w:p>
    <w:p w:rsidR="00E3232B" w:rsidRPr="000A2EE1" w:rsidRDefault="00E3232B" w:rsidP="00E3232B">
      <w:pPr>
        <w:pStyle w:val="SingleTxtG"/>
        <w:ind w:left="2835" w:hanging="567"/>
        <w:rPr>
          <w:rFonts w:eastAsia="Calibri"/>
        </w:rPr>
      </w:pPr>
      <w:r w:rsidRPr="000A2EE1">
        <w:rPr>
          <w:rFonts w:eastAsia="Calibri"/>
        </w:rPr>
        <w:t>(iv)</w:t>
      </w:r>
      <w:r w:rsidRPr="000A2EE1">
        <w:rPr>
          <w:rFonts w:eastAsia="Calibri"/>
        </w:rPr>
        <w:tab/>
        <w:t xml:space="preserve">for </w:t>
      </w:r>
      <w:r w:rsidRPr="000A2EE1">
        <w:t>UN No. </w:t>
      </w:r>
      <w:r w:rsidRPr="000A2EE1">
        <w:rPr>
          <w:rFonts w:eastAsia="Calibri"/>
        </w:rPr>
        <w:t xml:space="preserve">3528 and </w:t>
      </w:r>
      <w:r w:rsidRPr="000A2EE1">
        <w:t>UN No. </w:t>
      </w:r>
      <w:r w:rsidRPr="000A2EE1">
        <w:rPr>
          <w:rFonts w:eastAsia="Calibri"/>
        </w:rPr>
        <w:t>3530:</w:t>
      </w:r>
    </w:p>
    <w:p w:rsidR="00E3232B" w:rsidRPr="000A2EE1" w:rsidRDefault="00E3232B" w:rsidP="00E3232B">
      <w:pPr>
        <w:pStyle w:val="SingleTxtG"/>
        <w:ind w:left="2835"/>
        <w:rPr>
          <w:rFonts w:eastAsia="Calibri"/>
        </w:rPr>
      </w:pPr>
      <w:r w:rsidRPr="000A2EE1">
        <w:rPr>
          <w:rFonts w:eastAsia="Calibri"/>
        </w:rPr>
        <w:t>Where the engine or machinery contains more than 60</w:t>
      </w:r>
      <w:r w:rsidRPr="000A2EE1">
        <w:t> </w:t>
      </w:r>
      <w:r w:rsidRPr="000A2EE1">
        <w:rPr>
          <w:rFonts w:eastAsia="Calibri"/>
        </w:rPr>
        <w:t>l of liquid fuel and has a capacity of more than 450</w:t>
      </w:r>
      <w:r w:rsidRPr="000A2EE1">
        <w:t> </w:t>
      </w:r>
      <w:r w:rsidRPr="000A2EE1">
        <w:rPr>
          <w:rFonts w:eastAsia="Calibri"/>
        </w:rPr>
        <w:t>l but not more than 3</w:t>
      </w:r>
      <w:r w:rsidRPr="000A2EE1">
        <w:t> </w:t>
      </w:r>
      <w:r w:rsidRPr="000A2EE1">
        <w:rPr>
          <w:rFonts w:eastAsia="Calibri"/>
        </w:rPr>
        <w:t xml:space="preserve">000 l, it shall be labelled on two opposite sides in accordance with 5.2.2. </w:t>
      </w:r>
    </w:p>
    <w:p w:rsidR="00E3232B" w:rsidRPr="000A2EE1" w:rsidRDefault="00E3232B" w:rsidP="00E3232B">
      <w:pPr>
        <w:pStyle w:val="SingleTxtG"/>
        <w:ind w:left="2835"/>
        <w:rPr>
          <w:rFonts w:eastAsia="Calibri"/>
        </w:rPr>
      </w:pPr>
      <w:r w:rsidRPr="000A2EE1">
        <w:rPr>
          <w:rFonts w:eastAsia="Calibri"/>
        </w:rPr>
        <w:t>Where the engine or machinery contains more than 60</w:t>
      </w:r>
      <w:r w:rsidRPr="000A2EE1">
        <w:t> </w:t>
      </w:r>
      <w:r w:rsidRPr="000A2EE1">
        <w:rPr>
          <w:rFonts w:eastAsia="Calibri"/>
        </w:rPr>
        <w:t>l of liquid fuel and has a capacity of more than 3</w:t>
      </w:r>
      <w:r w:rsidRPr="000A2EE1">
        <w:t> </w:t>
      </w:r>
      <w:r w:rsidRPr="000A2EE1">
        <w:rPr>
          <w:rFonts w:eastAsia="Calibri"/>
        </w:rPr>
        <w:t>000</w:t>
      </w:r>
      <w:r w:rsidRPr="000A2EE1">
        <w:t> </w:t>
      </w:r>
      <w:r w:rsidRPr="000A2EE1">
        <w:rPr>
          <w:rFonts w:eastAsia="Calibri"/>
        </w:rPr>
        <w:t>l, it shall be placarded on two opposite sides. Placards shall correspond to the labels required in Column (5) of Table A of Chapter 3.2 and shall conform to the specifications given in 5.3.1.7. Placards shall be displayed on a background of contrasting colour, or shall have either a dotted or solid outer boundary line.</w:t>
      </w:r>
    </w:p>
    <w:p w:rsidR="00E3232B" w:rsidRPr="000A2EE1" w:rsidRDefault="00E3232B" w:rsidP="00E3232B">
      <w:pPr>
        <w:pStyle w:val="SingleTxtG"/>
        <w:ind w:left="2835" w:hanging="567"/>
        <w:rPr>
          <w:rFonts w:eastAsia="Calibri"/>
        </w:rPr>
      </w:pPr>
      <w:r w:rsidRPr="000A2EE1">
        <w:rPr>
          <w:rFonts w:eastAsia="Calibri"/>
        </w:rPr>
        <w:t>(v)</w:t>
      </w:r>
      <w:r w:rsidRPr="000A2EE1">
        <w:rPr>
          <w:rFonts w:eastAsia="Calibri"/>
        </w:rPr>
        <w:tab/>
        <w:t xml:space="preserve">for </w:t>
      </w:r>
      <w:r w:rsidRPr="000A2EE1">
        <w:t>UN No. </w:t>
      </w:r>
      <w:r w:rsidRPr="000A2EE1">
        <w:rPr>
          <w:rFonts w:eastAsia="Calibri"/>
        </w:rPr>
        <w:t>3529:</w:t>
      </w:r>
    </w:p>
    <w:p w:rsidR="00E3232B" w:rsidRPr="000A2EE1" w:rsidRDefault="00E3232B" w:rsidP="00E3232B">
      <w:pPr>
        <w:pStyle w:val="SingleTxtG"/>
        <w:ind w:left="2835"/>
        <w:rPr>
          <w:rFonts w:eastAsia="Calibri"/>
        </w:rPr>
      </w:pPr>
      <w:r w:rsidRPr="000A2EE1">
        <w:rPr>
          <w:rFonts w:eastAsia="Calibri"/>
        </w:rPr>
        <w:t>Where the fuel tank of the engine or machinery has a water capacity of more than 450</w:t>
      </w:r>
      <w:r w:rsidRPr="000A2EE1">
        <w:t> </w:t>
      </w:r>
      <w:r w:rsidRPr="000A2EE1">
        <w:rPr>
          <w:rFonts w:eastAsia="Calibri"/>
        </w:rPr>
        <w:t>l but not more than 1</w:t>
      </w:r>
      <w:r w:rsidRPr="000A2EE1">
        <w:t> </w:t>
      </w:r>
      <w:r w:rsidRPr="000A2EE1">
        <w:rPr>
          <w:rFonts w:eastAsia="Calibri"/>
        </w:rPr>
        <w:t>000</w:t>
      </w:r>
      <w:r w:rsidRPr="000A2EE1">
        <w:t> </w:t>
      </w:r>
      <w:r w:rsidRPr="000A2EE1">
        <w:rPr>
          <w:rFonts w:eastAsia="Calibri"/>
        </w:rPr>
        <w:t xml:space="preserve">l, it shall be labelled on two opposite sides in accordance with 5.2.2. </w:t>
      </w:r>
    </w:p>
    <w:p w:rsidR="00E3232B" w:rsidRPr="000A2EE1" w:rsidRDefault="00E3232B" w:rsidP="00E3232B">
      <w:pPr>
        <w:pStyle w:val="SingleTxtG"/>
        <w:ind w:left="2835"/>
        <w:rPr>
          <w:rFonts w:eastAsia="Calibri"/>
        </w:rPr>
      </w:pPr>
      <w:r w:rsidRPr="000A2EE1">
        <w:rPr>
          <w:rFonts w:eastAsia="Calibri"/>
        </w:rPr>
        <w:t>Where the fuel tank of the engine or machinery has a water capacity of more than 1</w:t>
      </w:r>
      <w:r w:rsidRPr="000A2EE1">
        <w:t> </w:t>
      </w:r>
      <w:r w:rsidRPr="000A2EE1">
        <w:rPr>
          <w:rFonts w:eastAsia="Calibri"/>
        </w:rPr>
        <w:t>000</w:t>
      </w:r>
      <w:r w:rsidRPr="000A2EE1">
        <w:t> </w:t>
      </w:r>
      <w:r w:rsidRPr="000A2EE1">
        <w:rPr>
          <w:rFonts w:eastAsia="Calibri"/>
        </w:rPr>
        <w:t>l, it shall be placarded on two opposite sides. Placards shall correspond to the labels required in Column (5) of Table A of Chapter 3.2 and shall conform to the specifications given in 5.3.1.7. Placards shall be displayed on a background of contrasting colour, or shall have either a dotted or solid outer boundary line.</w:t>
      </w:r>
    </w:p>
    <w:p w:rsidR="00E3232B" w:rsidRPr="000A2EE1" w:rsidRDefault="00E3232B" w:rsidP="00311F62">
      <w:pPr>
        <w:pStyle w:val="SingleTxtG"/>
        <w:ind w:left="2835" w:hanging="567"/>
        <w:rPr>
          <w:rFonts w:eastAsia="Calibri"/>
        </w:rPr>
      </w:pPr>
      <w:r w:rsidRPr="000A2EE1">
        <w:rPr>
          <w:rFonts w:eastAsia="Calibri"/>
        </w:rPr>
        <w:t>(vi)</w:t>
      </w:r>
      <w:r w:rsidRPr="000A2EE1">
        <w:rPr>
          <w:rFonts w:eastAsia="Calibri"/>
        </w:rPr>
        <w:tab/>
        <w:t>A transport document in accordance with 5.4.1 is required only when the engine or machinery contains more than 1 000 l of liquid fuels, for UN 3528 and UN 3530, or the fuel tank has a water capacity of more than 1 000 l, for UN 3529.</w:t>
      </w:r>
    </w:p>
    <w:p w:rsidR="00E3232B" w:rsidRPr="000A2EE1" w:rsidRDefault="00E3232B" w:rsidP="00E3232B">
      <w:pPr>
        <w:pStyle w:val="SingleTxtG"/>
        <w:ind w:left="2835" w:hanging="567"/>
        <w:rPr>
          <w:rFonts w:eastAsia="Calibri"/>
        </w:rPr>
      </w:pPr>
      <w:r w:rsidRPr="000A2EE1">
        <w:rPr>
          <w:rFonts w:eastAsia="Calibri"/>
        </w:rPr>
        <w:tab/>
        <w:t>This transport document shall contain the following additional statement “Transport in accordance with special provision 363”.</w:t>
      </w:r>
    </w:p>
    <w:p w:rsidR="00E3232B" w:rsidRPr="000A2EE1" w:rsidRDefault="00E3232B" w:rsidP="0056126A">
      <w:pPr>
        <w:pStyle w:val="SingleTxtG"/>
        <w:tabs>
          <w:tab w:val="left" w:pos="1701"/>
          <w:tab w:val="left" w:pos="1985"/>
          <w:tab w:val="left" w:pos="2268"/>
        </w:tabs>
      </w:pPr>
      <w:r w:rsidRPr="000A2EE1">
        <w:t>SP 369</w:t>
      </w:r>
      <w:r w:rsidRPr="000A2EE1">
        <w:tab/>
        <w:t>Amend the first paragraph to read as follows:</w:t>
      </w:r>
    </w:p>
    <w:p w:rsidR="00E3232B" w:rsidRPr="000A2EE1" w:rsidRDefault="00E3232B" w:rsidP="0056126A">
      <w:pPr>
        <w:pStyle w:val="SingleTxtG"/>
        <w:tabs>
          <w:tab w:val="left" w:pos="1701"/>
          <w:tab w:val="left" w:pos="1985"/>
          <w:tab w:val="left" w:pos="2268"/>
        </w:tabs>
      </w:pPr>
      <w:r w:rsidRPr="000A2EE1">
        <w:t>“In accordance with 2.1.3.5.3 (a), this radioactive material in an excepted package possessing toxic and corrosive properties is classified in Class 6.1 radioactivity and corrosivity subsidiary risks.”.</w:t>
      </w:r>
    </w:p>
    <w:p w:rsidR="00E3232B" w:rsidRPr="000A2EE1" w:rsidRDefault="00E3232B" w:rsidP="0056126A">
      <w:pPr>
        <w:pStyle w:val="SingleTxtG"/>
        <w:tabs>
          <w:tab w:val="left" w:pos="1701"/>
          <w:tab w:val="left" w:pos="1985"/>
          <w:tab w:val="left" w:pos="2268"/>
        </w:tabs>
      </w:pPr>
      <w:r w:rsidRPr="000A2EE1">
        <w:t>SP 369</w:t>
      </w:r>
      <w:r w:rsidRPr="000A2EE1">
        <w:tab/>
        <w:t>Amend the third paragraph to read as follows:</w:t>
      </w:r>
    </w:p>
    <w:p w:rsidR="00E3232B" w:rsidRPr="000A2EE1" w:rsidRDefault="00E3232B" w:rsidP="0056126A">
      <w:pPr>
        <w:pStyle w:val="SingleTxtG"/>
        <w:tabs>
          <w:tab w:val="left" w:pos="1701"/>
          <w:tab w:val="left" w:pos="1985"/>
          <w:tab w:val="left" w:pos="2268"/>
        </w:tabs>
      </w:pPr>
      <w:r w:rsidRPr="000A2EE1">
        <w:t>“In addition to the provisions applicable to the carriage of Class 6.1 substances with a corrosivity subsidiary risk, the provisions of 5.1.3.2, 5.1.5.2.2, 5.1.5.4.1 (b), 7.5.11 CV33 (3.1), (5.1) to (5.4) and (6) shall apply.”.</w:t>
      </w:r>
    </w:p>
    <w:p w:rsidR="00E3232B" w:rsidRPr="000A2EE1" w:rsidRDefault="00E3232B" w:rsidP="0056126A">
      <w:pPr>
        <w:pStyle w:val="SingleTxtG"/>
        <w:tabs>
          <w:tab w:val="left" w:pos="1701"/>
          <w:tab w:val="left" w:pos="1985"/>
          <w:tab w:val="left" w:pos="2268"/>
        </w:tabs>
      </w:pPr>
      <w:r w:rsidRPr="000A2EE1">
        <w:t>SP 370</w:t>
      </w:r>
      <w:r w:rsidRPr="000A2EE1">
        <w:tab/>
        <w:t>In the second indent, replace “</w:t>
      </w:r>
      <w:r w:rsidRPr="000A2EE1">
        <w:rPr>
          <w:iCs/>
          <w:spacing w:val="-2"/>
          <w:szCs w:val="22"/>
        </w:rPr>
        <w:t>that is not too sensitive for acceptance into Class 1</w:t>
      </w:r>
      <w:r w:rsidRPr="000A2EE1">
        <w:t>” with “that gives a positive result”.</w:t>
      </w:r>
    </w:p>
    <w:p w:rsidR="00E3232B" w:rsidRPr="000A2EE1" w:rsidRDefault="00E3232B" w:rsidP="0056126A">
      <w:pPr>
        <w:pStyle w:val="SingleTxtG"/>
        <w:tabs>
          <w:tab w:val="left" w:pos="1701"/>
          <w:tab w:val="left" w:pos="1985"/>
          <w:tab w:val="left" w:pos="2268"/>
        </w:tabs>
      </w:pPr>
      <w:r w:rsidRPr="000A2EE1">
        <w:t xml:space="preserve">SP 373 (b) (i) and (c) (ii) </w:t>
      </w:r>
      <w:r w:rsidRPr="000A2EE1">
        <w:tab/>
        <w:t>Insert “or adsorbent” after “absorbent”. Insert “or adsorb” after “absorb”.</w:t>
      </w:r>
    </w:p>
    <w:p w:rsidR="00E3232B" w:rsidRPr="000A2EE1" w:rsidRDefault="00E3232B" w:rsidP="0056126A">
      <w:pPr>
        <w:pStyle w:val="SingleTxtG"/>
        <w:tabs>
          <w:tab w:val="left" w:pos="1701"/>
          <w:tab w:val="left" w:pos="1985"/>
          <w:tab w:val="left" w:pos="2268"/>
        </w:tabs>
      </w:pPr>
      <w:r w:rsidRPr="000A2EE1">
        <w:t xml:space="preserve">SP 373 </w:t>
      </w:r>
      <w:r w:rsidRPr="000A2EE1">
        <w:tab/>
        <w:t>In the penultimate paragraph, replace “carriage in accordance” by “transport in accordance”.</w:t>
      </w:r>
    </w:p>
    <w:p w:rsidR="00E3232B" w:rsidRPr="000A2EE1" w:rsidRDefault="00E3232B" w:rsidP="0056126A">
      <w:pPr>
        <w:pStyle w:val="SingleTxtG"/>
        <w:tabs>
          <w:tab w:val="left" w:pos="1701"/>
          <w:tab w:val="left" w:pos="1985"/>
          <w:tab w:val="left" w:pos="2268"/>
        </w:tabs>
      </w:pPr>
      <w:r w:rsidRPr="000A2EE1">
        <w:t>SP 376</w:t>
      </w:r>
      <w:r w:rsidRPr="000A2EE1">
        <w:tab/>
        <w:t xml:space="preserve">Amend the end of the last sentence to read as follows: </w:t>
      </w:r>
      <w:r w:rsidR="00791E53" w:rsidRPr="000A2EE1">
        <w:rPr>
          <w:lang w:eastAsia="en-GB" w:bidi="en-GB"/>
        </w:rPr>
        <w:t>“</w:t>
      </w:r>
      <w:r w:rsidRPr="000A2EE1">
        <w:rPr>
          <w:lang w:eastAsia="en-GB" w:bidi="en-GB"/>
        </w:rPr>
        <w:t>...shall not be carried except under conditions approved by the competent authority of any ADR Contracting Party who may also recognize an approval granted by the competent authority of a country which is not an ADR Contracting Party provided that this approval has been granted in accordance with the procedures applicable according to RID, ADR, ADN, the IMDG Code or the ICAO Technical Instructions.</w:t>
      </w:r>
      <w:r w:rsidRPr="000A2EE1">
        <w:t>”.</w:t>
      </w:r>
    </w:p>
    <w:p w:rsidR="0062161A" w:rsidRPr="000A2EE1" w:rsidRDefault="0062161A" w:rsidP="0056126A">
      <w:pPr>
        <w:pStyle w:val="SingleTxtG"/>
        <w:tabs>
          <w:tab w:val="left" w:pos="1701"/>
          <w:tab w:val="left" w:pos="1985"/>
          <w:tab w:val="left" w:pos="2268"/>
        </w:tabs>
      </w:pPr>
      <w:r w:rsidRPr="000A2EE1">
        <w:t>Delete “378-499 (Reserved)”.</w:t>
      </w:r>
    </w:p>
    <w:p w:rsidR="00E3232B" w:rsidRPr="000A2EE1" w:rsidRDefault="00E3232B" w:rsidP="0056126A">
      <w:pPr>
        <w:pStyle w:val="SingleTxtG"/>
        <w:tabs>
          <w:tab w:val="left" w:pos="1701"/>
          <w:tab w:val="left" w:pos="1985"/>
          <w:tab w:val="left" w:pos="2268"/>
        </w:tabs>
        <w:rPr>
          <w:iCs/>
        </w:rPr>
      </w:pPr>
      <w:r w:rsidRPr="000A2EE1">
        <w:rPr>
          <w:iCs/>
        </w:rPr>
        <w:t>SP 581</w:t>
      </w:r>
      <w:r w:rsidRPr="000A2EE1">
        <w:rPr>
          <w:iCs/>
        </w:rPr>
        <w:tab/>
        <w:t>Amend to read as follows:</w:t>
      </w:r>
    </w:p>
    <w:p w:rsidR="00E3232B" w:rsidRPr="000A2EE1" w:rsidRDefault="00E3232B" w:rsidP="0056126A">
      <w:pPr>
        <w:pStyle w:val="SingleTxtG"/>
        <w:tabs>
          <w:tab w:val="left" w:pos="1701"/>
          <w:tab w:val="left" w:pos="1985"/>
          <w:tab w:val="left" w:pos="2268"/>
        </w:tabs>
        <w:spacing w:after="240"/>
      </w:pPr>
      <w:r w:rsidRPr="000A2EE1">
        <w:rPr>
          <w:iCs/>
        </w:rPr>
        <w:t>“</w:t>
      </w:r>
      <w:r w:rsidRPr="000A2EE1">
        <w:t>581</w:t>
      </w:r>
      <w:r w:rsidRPr="000A2EE1">
        <w:tab/>
        <w:t>This entry covers mixtures of propadiene with 1 to 4% methylacetylene as well as the following mixtures: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55"/>
        <w:gridCol w:w="1304"/>
        <w:gridCol w:w="1758"/>
        <w:gridCol w:w="2155"/>
      </w:tblGrid>
      <w:tr w:rsidR="0062161A" w:rsidRPr="000A2EE1" w:rsidTr="0062161A">
        <w:tc>
          <w:tcPr>
            <w:tcW w:w="1134" w:type="dxa"/>
            <w:vMerge w:val="restart"/>
            <w:tcMar>
              <w:left w:w="0" w:type="dxa"/>
              <w:right w:w="0" w:type="dxa"/>
            </w:tcMar>
          </w:tcPr>
          <w:p w:rsidR="0062161A" w:rsidRPr="000A2EE1" w:rsidRDefault="0062161A" w:rsidP="0062161A">
            <w:pPr>
              <w:spacing w:before="60" w:after="60"/>
              <w:jc w:val="center"/>
            </w:pPr>
            <w:r w:rsidRPr="000A2EE1">
              <w:t>Mixture</w:t>
            </w:r>
          </w:p>
        </w:tc>
        <w:tc>
          <w:tcPr>
            <w:tcW w:w="5217" w:type="dxa"/>
            <w:gridSpan w:val="3"/>
            <w:tcMar>
              <w:left w:w="0" w:type="dxa"/>
              <w:right w:w="0" w:type="dxa"/>
            </w:tcMar>
          </w:tcPr>
          <w:p w:rsidR="0062161A" w:rsidRPr="000A2EE1" w:rsidRDefault="0062161A" w:rsidP="0062161A">
            <w:pPr>
              <w:spacing w:before="60" w:after="60"/>
              <w:jc w:val="center"/>
            </w:pPr>
            <w:r w:rsidRPr="000A2EE1">
              <w:t>Content, % by volume</w:t>
            </w:r>
          </w:p>
        </w:tc>
        <w:tc>
          <w:tcPr>
            <w:tcW w:w="2155" w:type="dxa"/>
            <w:vMerge w:val="restart"/>
            <w:tcMar>
              <w:left w:w="0" w:type="dxa"/>
              <w:right w:w="0" w:type="dxa"/>
            </w:tcMar>
          </w:tcPr>
          <w:p w:rsidR="0062161A" w:rsidRPr="000A2EE1" w:rsidRDefault="00043DC1" w:rsidP="0062161A">
            <w:pPr>
              <w:spacing w:before="60" w:after="60"/>
              <w:jc w:val="center"/>
            </w:pPr>
            <w:r w:rsidRPr="000A2EE1">
              <w:t>Permitted technical name for purposes of 5.4.1.1</w:t>
            </w:r>
          </w:p>
        </w:tc>
      </w:tr>
      <w:tr w:rsidR="0062161A" w:rsidRPr="000A2EE1" w:rsidTr="0062161A">
        <w:tc>
          <w:tcPr>
            <w:tcW w:w="1134" w:type="dxa"/>
            <w:vMerge/>
            <w:tcMar>
              <w:left w:w="0" w:type="dxa"/>
              <w:right w:w="0" w:type="dxa"/>
            </w:tcMar>
          </w:tcPr>
          <w:p w:rsidR="0062161A" w:rsidRPr="000A2EE1" w:rsidRDefault="0062161A" w:rsidP="0062161A">
            <w:pPr>
              <w:spacing w:before="60" w:after="60"/>
              <w:jc w:val="center"/>
            </w:pPr>
          </w:p>
        </w:tc>
        <w:tc>
          <w:tcPr>
            <w:tcW w:w="2155" w:type="dxa"/>
            <w:tcMar>
              <w:left w:w="0" w:type="dxa"/>
              <w:right w:w="0" w:type="dxa"/>
            </w:tcMar>
          </w:tcPr>
          <w:p w:rsidR="0062161A" w:rsidRPr="000A2EE1" w:rsidRDefault="0062161A" w:rsidP="0062161A">
            <w:pPr>
              <w:spacing w:before="60" w:after="60"/>
              <w:jc w:val="center"/>
            </w:pPr>
            <w:r w:rsidRPr="000A2EE1">
              <w:t>Methylacetylene and propadiene, not more than</w:t>
            </w:r>
          </w:p>
        </w:tc>
        <w:tc>
          <w:tcPr>
            <w:tcW w:w="1304" w:type="dxa"/>
            <w:tcMar>
              <w:left w:w="0" w:type="dxa"/>
              <w:right w:w="0" w:type="dxa"/>
            </w:tcMar>
          </w:tcPr>
          <w:p w:rsidR="0062161A" w:rsidRPr="000A2EE1" w:rsidRDefault="00043DC1" w:rsidP="0062161A">
            <w:pPr>
              <w:spacing w:before="60" w:after="60"/>
              <w:jc w:val="center"/>
            </w:pPr>
            <w:r w:rsidRPr="000A2EE1">
              <w:t>Propane and propylene, not more than</w:t>
            </w:r>
          </w:p>
        </w:tc>
        <w:tc>
          <w:tcPr>
            <w:tcW w:w="1758" w:type="dxa"/>
            <w:tcMar>
              <w:left w:w="0" w:type="dxa"/>
              <w:right w:w="0" w:type="dxa"/>
            </w:tcMar>
          </w:tcPr>
          <w:p w:rsidR="0062161A" w:rsidRPr="000A2EE1" w:rsidRDefault="00043DC1" w:rsidP="0062161A">
            <w:pPr>
              <w:spacing w:before="60" w:after="60"/>
              <w:jc w:val="center"/>
            </w:pPr>
            <w:r w:rsidRPr="000A2EE1">
              <w:t>С4-saturated hydrocarbons, not less than</w:t>
            </w:r>
          </w:p>
        </w:tc>
        <w:tc>
          <w:tcPr>
            <w:tcW w:w="2155" w:type="dxa"/>
            <w:vMerge/>
            <w:tcMar>
              <w:left w:w="0" w:type="dxa"/>
              <w:right w:w="0" w:type="dxa"/>
            </w:tcMar>
          </w:tcPr>
          <w:p w:rsidR="0062161A" w:rsidRPr="000A2EE1" w:rsidRDefault="0062161A" w:rsidP="0062161A">
            <w:pPr>
              <w:spacing w:before="60" w:after="60"/>
            </w:pPr>
          </w:p>
        </w:tc>
      </w:tr>
      <w:tr w:rsidR="0062161A" w:rsidRPr="000A2EE1" w:rsidTr="0062161A">
        <w:tc>
          <w:tcPr>
            <w:tcW w:w="1134" w:type="dxa"/>
            <w:tcMar>
              <w:left w:w="0" w:type="dxa"/>
              <w:right w:w="0" w:type="dxa"/>
            </w:tcMar>
          </w:tcPr>
          <w:p w:rsidR="0062161A" w:rsidRPr="000A2EE1" w:rsidRDefault="0062161A" w:rsidP="0062161A">
            <w:pPr>
              <w:spacing w:before="60" w:after="60"/>
              <w:jc w:val="center"/>
            </w:pPr>
            <w:r w:rsidRPr="000A2EE1">
              <w:t>P1</w:t>
            </w:r>
          </w:p>
        </w:tc>
        <w:tc>
          <w:tcPr>
            <w:tcW w:w="2155" w:type="dxa"/>
            <w:tcMar>
              <w:left w:w="0" w:type="dxa"/>
              <w:right w:w="0" w:type="dxa"/>
            </w:tcMar>
          </w:tcPr>
          <w:p w:rsidR="0062161A" w:rsidRPr="000A2EE1" w:rsidRDefault="0062161A" w:rsidP="0062161A">
            <w:pPr>
              <w:spacing w:before="60" w:after="60"/>
              <w:jc w:val="center"/>
            </w:pPr>
            <w:r w:rsidRPr="000A2EE1">
              <w:t>63</w:t>
            </w:r>
          </w:p>
        </w:tc>
        <w:tc>
          <w:tcPr>
            <w:tcW w:w="1304" w:type="dxa"/>
            <w:tcMar>
              <w:left w:w="0" w:type="dxa"/>
              <w:right w:w="0" w:type="dxa"/>
            </w:tcMar>
          </w:tcPr>
          <w:p w:rsidR="0062161A" w:rsidRPr="000A2EE1" w:rsidRDefault="0062161A" w:rsidP="0062161A">
            <w:pPr>
              <w:spacing w:before="60" w:after="60"/>
              <w:jc w:val="center"/>
            </w:pPr>
            <w:r w:rsidRPr="000A2EE1">
              <w:t>24</w:t>
            </w:r>
          </w:p>
        </w:tc>
        <w:tc>
          <w:tcPr>
            <w:tcW w:w="1758" w:type="dxa"/>
            <w:tcMar>
              <w:left w:w="0" w:type="dxa"/>
              <w:right w:w="0" w:type="dxa"/>
            </w:tcMar>
          </w:tcPr>
          <w:p w:rsidR="0062161A" w:rsidRPr="000A2EE1" w:rsidRDefault="0062161A" w:rsidP="0062161A">
            <w:pPr>
              <w:spacing w:before="60" w:after="60"/>
              <w:jc w:val="center"/>
            </w:pPr>
            <w:r w:rsidRPr="000A2EE1">
              <w:t>14</w:t>
            </w:r>
          </w:p>
        </w:tc>
        <w:tc>
          <w:tcPr>
            <w:tcW w:w="2155" w:type="dxa"/>
            <w:tcMar>
              <w:left w:w="0" w:type="dxa"/>
              <w:right w:w="0" w:type="dxa"/>
            </w:tcMar>
          </w:tcPr>
          <w:p w:rsidR="0062161A" w:rsidRPr="000A2EE1" w:rsidRDefault="00043DC1" w:rsidP="0062161A">
            <w:pPr>
              <w:spacing w:before="60" w:after="60"/>
              <w:jc w:val="center"/>
            </w:pPr>
            <w:r w:rsidRPr="000A2EE1">
              <w:t>“Mixture P1”</w:t>
            </w:r>
          </w:p>
        </w:tc>
      </w:tr>
      <w:tr w:rsidR="0062161A" w:rsidRPr="000A2EE1" w:rsidTr="0062161A">
        <w:tc>
          <w:tcPr>
            <w:tcW w:w="1134" w:type="dxa"/>
            <w:tcMar>
              <w:left w:w="0" w:type="dxa"/>
              <w:right w:w="0" w:type="dxa"/>
            </w:tcMar>
          </w:tcPr>
          <w:p w:rsidR="0062161A" w:rsidRPr="000A2EE1" w:rsidRDefault="0062161A" w:rsidP="0062161A">
            <w:pPr>
              <w:spacing w:before="60" w:after="60"/>
              <w:jc w:val="center"/>
            </w:pPr>
            <w:r w:rsidRPr="000A2EE1">
              <w:t>P2</w:t>
            </w:r>
          </w:p>
        </w:tc>
        <w:tc>
          <w:tcPr>
            <w:tcW w:w="2155" w:type="dxa"/>
            <w:tcMar>
              <w:left w:w="0" w:type="dxa"/>
              <w:right w:w="0" w:type="dxa"/>
            </w:tcMar>
          </w:tcPr>
          <w:p w:rsidR="0062161A" w:rsidRPr="000A2EE1" w:rsidRDefault="0062161A" w:rsidP="0062161A">
            <w:pPr>
              <w:spacing w:before="60" w:after="60"/>
              <w:jc w:val="center"/>
            </w:pPr>
            <w:r w:rsidRPr="000A2EE1">
              <w:t>48</w:t>
            </w:r>
          </w:p>
        </w:tc>
        <w:tc>
          <w:tcPr>
            <w:tcW w:w="1304" w:type="dxa"/>
            <w:tcMar>
              <w:left w:w="0" w:type="dxa"/>
              <w:right w:w="0" w:type="dxa"/>
            </w:tcMar>
          </w:tcPr>
          <w:p w:rsidR="0062161A" w:rsidRPr="000A2EE1" w:rsidRDefault="0062161A" w:rsidP="0062161A">
            <w:pPr>
              <w:spacing w:before="60" w:after="60"/>
              <w:jc w:val="center"/>
            </w:pPr>
            <w:r w:rsidRPr="000A2EE1">
              <w:t>50</w:t>
            </w:r>
          </w:p>
        </w:tc>
        <w:tc>
          <w:tcPr>
            <w:tcW w:w="1758" w:type="dxa"/>
            <w:tcMar>
              <w:left w:w="0" w:type="dxa"/>
              <w:right w:w="0" w:type="dxa"/>
            </w:tcMar>
          </w:tcPr>
          <w:p w:rsidR="0062161A" w:rsidRPr="000A2EE1" w:rsidRDefault="0062161A" w:rsidP="0062161A">
            <w:pPr>
              <w:spacing w:before="60" w:after="60"/>
              <w:jc w:val="center"/>
            </w:pPr>
            <w:r w:rsidRPr="000A2EE1">
              <w:t>5</w:t>
            </w:r>
          </w:p>
        </w:tc>
        <w:tc>
          <w:tcPr>
            <w:tcW w:w="2155" w:type="dxa"/>
            <w:tcMar>
              <w:left w:w="0" w:type="dxa"/>
              <w:right w:w="0" w:type="dxa"/>
            </w:tcMar>
          </w:tcPr>
          <w:p w:rsidR="0062161A" w:rsidRPr="000A2EE1" w:rsidRDefault="00043DC1" w:rsidP="0062161A">
            <w:pPr>
              <w:spacing w:before="60" w:after="60"/>
              <w:jc w:val="center"/>
            </w:pPr>
            <w:r w:rsidRPr="000A2EE1">
              <w:t>“Mixture P2”</w:t>
            </w:r>
          </w:p>
        </w:tc>
      </w:tr>
    </w:tbl>
    <w:p w:rsidR="00E3232B" w:rsidRPr="000A2EE1" w:rsidRDefault="00E3232B" w:rsidP="00E3232B">
      <w:pPr>
        <w:pStyle w:val="SingleTxtG"/>
        <w:rPr>
          <w:iCs/>
        </w:rPr>
      </w:pPr>
      <w:r w:rsidRPr="000A2EE1">
        <w:rPr>
          <w:iCs/>
        </w:rPr>
        <w:t>”</w:t>
      </w:r>
    </w:p>
    <w:p w:rsidR="00E3232B" w:rsidRPr="000A2EE1" w:rsidRDefault="00E3232B" w:rsidP="0056126A">
      <w:pPr>
        <w:pStyle w:val="SingleTxtG"/>
        <w:tabs>
          <w:tab w:val="left" w:pos="1701"/>
          <w:tab w:val="left" w:pos="1985"/>
          <w:tab w:val="left" w:pos="2268"/>
        </w:tabs>
        <w:ind w:right="521"/>
        <w:rPr>
          <w:rFonts w:eastAsia="Calibri"/>
        </w:rPr>
      </w:pPr>
      <w:r w:rsidRPr="000A2EE1">
        <w:t>SP 633</w:t>
      </w:r>
      <w:r w:rsidRPr="000A2EE1">
        <w:tab/>
        <w:t>Replace “</w:t>
      </w:r>
      <w:r w:rsidRPr="000A2EE1">
        <w:rPr>
          <w:rFonts w:eastAsia="Calibri"/>
        </w:rPr>
        <w:t>marking”</w:t>
      </w:r>
      <w:r w:rsidRPr="000A2EE1">
        <w:t xml:space="preserve"> by “</w:t>
      </w:r>
      <w:r w:rsidRPr="000A2EE1">
        <w:rPr>
          <w:rFonts w:eastAsia="Calibri"/>
        </w:rPr>
        <w:t>mark”, twice.</w:t>
      </w:r>
    </w:p>
    <w:p w:rsidR="00E3232B" w:rsidRPr="000A2EE1" w:rsidRDefault="00E3232B" w:rsidP="0056126A">
      <w:pPr>
        <w:pStyle w:val="SingleTxtG"/>
        <w:tabs>
          <w:tab w:val="left" w:pos="1701"/>
          <w:tab w:val="left" w:pos="1985"/>
          <w:tab w:val="left" w:pos="2268"/>
        </w:tabs>
        <w:ind w:right="521"/>
        <w:rPr>
          <w:rFonts w:eastAsia="Calibri"/>
        </w:rPr>
      </w:pPr>
      <w:r w:rsidRPr="000A2EE1">
        <w:t>SP 653</w:t>
      </w:r>
      <w:r w:rsidRPr="000A2EE1">
        <w:tab/>
        <w:t>In the last indent, replace “</w:t>
      </w:r>
      <w:r w:rsidRPr="000A2EE1">
        <w:rPr>
          <w:rFonts w:eastAsia="Calibri"/>
        </w:rPr>
        <w:t>marking”</w:t>
      </w:r>
      <w:r w:rsidRPr="000A2EE1">
        <w:t xml:space="preserve"> by “</w:t>
      </w:r>
      <w:r w:rsidRPr="000A2EE1">
        <w:rPr>
          <w:rFonts w:eastAsia="Calibri"/>
        </w:rPr>
        <w:t>mark”.</w:t>
      </w:r>
    </w:p>
    <w:p w:rsidR="00E3232B" w:rsidRPr="000A2EE1" w:rsidRDefault="00E3232B" w:rsidP="0056126A">
      <w:pPr>
        <w:pStyle w:val="SingleTxtG"/>
        <w:tabs>
          <w:tab w:val="left" w:pos="1701"/>
          <w:tab w:val="left" w:pos="2268"/>
        </w:tabs>
      </w:pPr>
      <w:r w:rsidRPr="000A2EE1">
        <w:t>SP 655</w:t>
      </w:r>
      <w:r w:rsidRPr="000A2EE1">
        <w:tab/>
        <w:t>In the first sentence, replace “</w:t>
      </w:r>
      <w:r w:rsidRPr="000A2EE1">
        <w:rPr>
          <w:rFonts w:eastAsia="SimSun"/>
        </w:rPr>
        <w:t>Directive 97/23/EC</w:t>
      </w:r>
      <w:r w:rsidRPr="000A2EE1">
        <w:rPr>
          <w:rFonts w:eastAsia="SimSun"/>
          <w:vertAlign w:val="superscript"/>
        </w:rPr>
        <w:t>4</w:t>
      </w:r>
      <w:r w:rsidRPr="000A2EE1">
        <w:t>” by “</w:t>
      </w:r>
      <w:r w:rsidRPr="000A2EE1">
        <w:rPr>
          <w:rFonts w:eastAsia="SimSun"/>
        </w:rPr>
        <w:t>Directive 97/23/EC</w:t>
      </w:r>
      <w:r w:rsidRPr="000A2EE1">
        <w:rPr>
          <w:rFonts w:eastAsia="SimSun"/>
          <w:vertAlign w:val="superscript"/>
        </w:rPr>
        <w:t>4</w:t>
      </w:r>
      <w:r w:rsidRPr="000A2EE1">
        <w:rPr>
          <w:rFonts w:eastAsia="SimSun"/>
        </w:rPr>
        <w:t xml:space="preserve"> or Directive 2014/68/EU</w:t>
      </w:r>
      <w:r w:rsidRPr="000A2EE1">
        <w:rPr>
          <w:rFonts w:eastAsia="SimSun"/>
          <w:vertAlign w:val="superscript"/>
        </w:rPr>
        <w:t>5</w:t>
      </w:r>
      <w:r w:rsidRPr="000A2EE1">
        <w:t xml:space="preserve">”. At the end of the second sentence, add </w:t>
      </w:r>
      <w:r w:rsidR="00791E53" w:rsidRPr="000A2EE1">
        <w:t>“</w:t>
      </w:r>
      <w:r w:rsidRPr="000A2EE1">
        <w:rPr>
          <w:rFonts w:eastAsia="SimSun"/>
        </w:rPr>
        <w:t>or Directive 2014/68/EU</w:t>
      </w:r>
      <w:r w:rsidR="00791E53" w:rsidRPr="000A2EE1">
        <w:rPr>
          <w:rFonts w:eastAsia="SimSun"/>
        </w:rPr>
        <w:t>”</w:t>
      </w:r>
      <w:r w:rsidRPr="000A2EE1">
        <w:rPr>
          <w:rFonts w:eastAsia="SimSun"/>
        </w:rPr>
        <w:t xml:space="preserve">. </w:t>
      </w:r>
    </w:p>
    <w:p w:rsidR="0090712D" w:rsidRPr="000A2EE1" w:rsidRDefault="00E3232B" w:rsidP="0056126A">
      <w:pPr>
        <w:pStyle w:val="SingleTxtG"/>
        <w:tabs>
          <w:tab w:val="left" w:pos="1701"/>
          <w:tab w:val="left" w:pos="2268"/>
        </w:tabs>
      </w:pPr>
      <w:r w:rsidRPr="000A2EE1">
        <w:t xml:space="preserve">Add a new footnote 5 to read as follows: </w:t>
      </w:r>
    </w:p>
    <w:p w:rsidR="00E3232B" w:rsidRPr="000A2EE1" w:rsidRDefault="00E3232B" w:rsidP="0056126A">
      <w:pPr>
        <w:pStyle w:val="SingleTxtG"/>
        <w:tabs>
          <w:tab w:val="left" w:pos="1701"/>
          <w:tab w:val="left" w:pos="2268"/>
        </w:tabs>
        <w:rPr>
          <w:iCs/>
        </w:rPr>
      </w:pPr>
      <w:r w:rsidRPr="000A2EE1">
        <w:t>“</w:t>
      </w:r>
      <w:r w:rsidRPr="000A2EE1">
        <w:rPr>
          <w:vertAlign w:val="superscript"/>
        </w:rPr>
        <w:t>5</w:t>
      </w:r>
      <w:r w:rsidRPr="000A2EE1">
        <w:rPr>
          <w:i/>
          <w:vertAlign w:val="superscript"/>
        </w:rPr>
        <w:tab/>
      </w:r>
      <w:r w:rsidRPr="000A2EE1">
        <w:rPr>
          <w:i/>
        </w:rPr>
        <w:t>Directive 2014/68/EU of the European Parliament and of the Council of 15 May 2014 on the harmonisation of the laws of the Member States relating to the making available on the market of pressure equipment (PED) (Official Journal of the European Union No. L 189 of 27 June 2014, p. 164 - 259)</w:t>
      </w:r>
      <w:r w:rsidRPr="000A2EE1">
        <w:rPr>
          <w:i/>
          <w:iCs/>
        </w:rPr>
        <w:t>.</w:t>
      </w:r>
      <w:r w:rsidRPr="000A2EE1">
        <w:rPr>
          <w:iCs/>
        </w:rPr>
        <w:t xml:space="preserve">”. </w:t>
      </w:r>
    </w:p>
    <w:p w:rsidR="00E3232B" w:rsidRPr="000A2EE1" w:rsidRDefault="0090712D" w:rsidP="0056126A">
      <w:pPr>
        <w:pStyle w:val="SingleTxtG"/>
        <w:tabs>
          <w:tab w:val="left" w:pos="1985"/>
        </w:tabs>
        <w:rPr>
          <w:iCs/>
        </w:rPr>
      </w:pPr>
      <w:r w:rsidRPr="000A2EE1">
        <w:rPr>
          <w:iCs/>
        </w:rPr>
        <w:t>Footnotes 5-9 are renumbered 6-10.</w:t>
      </w:r>
    </w:p>
    <w:p w:rsidR="00E3232B" w:rsidRPr="000A2EE1" w:rsidRDefault="00E3232B" w:rsidP="0056126A">
      <w:pPr>
        <w:pStyle w:val="SingleTxtG"/>
        <w:tabs>
          <w:tab w:val="left" w:pos="1985"/>
        </w:tabs>
        <w:rPr>
          <w:iCs/>
        </w:rPr>
      </w:pPr>
      <w:r w:rsidRPr="000A2EE1">
        <w:rPr>
          <w:iCs/>
        </w:rPr>
        <w:t>SP 658 (b)</w:t>
      </w:r>
      <w:r w:rsidRPr="000A2EE1">
        <w:rPr>
          <w:iCs/>
        </w:rPr>
        <w:tab/>
        <w:t>Insert “or large container” after “vehicle”.</w:t>
      </w:r>
    </w:p>
    <w:p w:rsidR="00E3232B" w:rsidRPr="000A2EE1" w:rsidRDefault="00E3232B" w:rsidP="0056126A">
      <w:pPr>
        <w:pStyle w:val="SingleTxtG"/>
        <w:tabs>
          <w:tab w:val="left" w:pos="1985"/>
        </w:tabs>
        <w:ind w:right="521"/>
        <w:rPr>
          <w:rFonts w:eastAsia="Calibri"/>
          <w:strike/>
        </w:rPr>
      </w:pPr>
      <w:r w:rsidRPr="000A2EE1">
        <w:t>SP 660 (f)</w:t>
      </w:r>
      <w:r w:rsidRPr="000A2EE1">
        <w:tab/>
      </w:r>
      <w:r w:rsidRPr="000A2EE1">
        <w:tab/>
        <w:t>In the last sentence, replace “</w:t>
      </w:r>
      <w:r w:rsidRPr="000A2EE1">
        <w:rPr>
          <w:rFonts w:eastAsia="Calibri"/>
        </w:rPr>
        <w:t>markings”</w:t>
      </w:r>
      <w:r w:rsidRPr="000A2EE1">
        <w:t xml:space="preserve"> by “</w:t>
      </w:r>
      <w:r w:rsidRPr="000A2EE1">
        <w:rPr>
          <w:rFonts w:eastAsia="Calibri"/>
        </w:rPr>
        <w:t>marks”.</w:t>
      </w:r>
    </w:p>
    <w:p w:rsidR="00E3232B" w:rsidRPr="000A2EE1" w:rsidRDefault="00E3232B" w:rsidP="0056126A">
      <w:pPr>
        <w:pStyle w:val="SingleTxtG"/>
        <w:tabs>
          <w:tab w:val="left" w:pos="1985"/>
        </w:tabs>
        <w:rPr>
          <w:iCs/>
          <w:snapToGrid w:val="0"/>
        </w:rPr>
      </w:pPr>
      <w:r w:rsidRPr="000A2EE1">
        <w:rPr>
          <w:iCs/>
          <w:snapToGrid w:val="0"/>
        </w:rPr>
        <w:t>SP</w:t>
      </w:r>
      <w:r w:rsidR="00F05045" w:rsidRPr="000A2EE1">
        <w:rPr>
          <w:iCs/>
          <w:snapToGrid w:val="0"/>
        </w:rPr>
        <w:t xml:space="preserve"> </w:t>
      </w:r>
      <w:r w:rsidRPr="000A2EE1">
        <w:rPr>
          <w:iCs/>
          <w:snapToGrid w:val="0"/>
        </w:rPr>
        <w:t>660</w:t>
      </w:r>
      <w:r w:rsidRPr="000A2EE1">
        <w:rPr>
          <w:iCs/>
          <w:snapToGrid w:val="0"/>
        </w:rPr>
        <w:tab/>
        <w:t>Amend footnote 5 to read as follows:</w:t>
      </w:r>
    </w:p>
    <w:p w:rsidR="00E3232B" w:rsidRPr="000A2EE1" w:rsidRDefault="00791E53" w:rsidP="0056126A">
      <w:pPr>
        <w:pStyle w:val="SingleTxtG"/>
        <w:tabs>
          <w:tab w:val="left" w:pos="1701"/>
          <w:tab w:val="left" w:pos="1985"/>
        </w:tabs>
        <w:rPr>
          <w:rStyle w:val="Accentuation"/>
          <w:i w:val="0"/>
        </w:rPr>
      </w:pPr>
      <w:r w:rsidRPr="000A2EE1">
        <w:rPr>
          <w:rStyle w:val="Accentuation"/>
          <w:i w:val="0"/>
        </w:rPr>
        <w:t>“</w:t>
      </w:r>
      <w:r w:rsidR="00E3232B" w:rsidRPr="000A2EE1">
        <w:rPr>
          <w:rStyle w:val="Accentuation"/>
          <w:i w:val="0"/>
          <w:vertAlign w:val="superscript"/>
        </w:rPr>
        <w:t>5</w:t>
      </w:r>
      <w:r w:rsidR="00E3232B" w:rsidRPr="000A2EE1">
        <w:rPr>
          <w:rStyle w:val="Accentuation"/>
        </w:rPr>
        <w:tab/>
        <w:t>ECE Regulation No. 67</w:t>
      </w:r>
      <w:r w:rsidR="00E3232B" w:rsidRPr="000A2EE1">
        <w:rPr>
          <w:i/>
        </w:rPr>
        <w:t xml:space="preserve"> (</w:t>
      </w:r>
      <w:r w:rsidR="00E3232B" w:rsidRPr="000A2EE1">
        <w:rPr>
          <w:rStyle w:val="Accentuation"/>
        </w:rPr>
        <w:t>Uniform provisions concerning the approval of:</w:t>
      </w:r>
    </w:p>
    <w:p w:rsidR="00E3232B" w:rsidRPr="000A2EE1" w:rsidRDefault="00E3232B" w:rsidP="0056126A">
      <w:pPr>
        <w:pStyle w:val="SingleTxtG"/>
        <w:tabs>
          <w:tab w:val="left" w:pos="1701"/>
          <w:tab w:val="left" w:pos="1985"/>
        </w:tabs>
        <w:ind w:left="1701"/>
        <w:rPr>
          <w:rStyle w:val="Accentuation"/>
        </w:rPr>
      </w:pPr>
      <w:r w:rsidRPr="000A2EE1">
        <w:rPr>
          <w:rStyle w:val="Accentuation"/>
        </w:rPr>
        <w:t>I.</w:t>
      </w:r>
      <w:r w:rsidRPr="000A2EE1">
        <w:rPr>
          <w:rStyle w:val="Accentuation"/>
        </w:rPr>
        <w:tab/>
        <w:t>Approval of specific equipment of vehicles of category M and N using liquefied petroleum gases in their propulsion system</w:t>
      </w:r>
    </w:p>
    <w:p w:rsidR="00E3232B" w:rsidRPr="000A2EE1" w:rsidRDefault="00E3232B" w:rsidP="0056126A">
      <w:pPr>
        <w:pStyle w:val="SingleTxtG"/>
        <w:tabs>
          <w:tab w:val="left" w:pos="1701"/>
          <w:tab w:val="left" w:pos="1985"/>
        </w:tabs>
        <w:ind w:left="1701"/>
        <w:rPr>
          <w:rStyle w:val="Accentuation"/>
          <w:iCs w:val="0"/>
        </w:rPr>
      </w:pPr>
      <w:r w:rsidRPr="000A2EE1">
        <w:rPr>
          <w:rStyle w:val="Accentuation"/>
        </w:rPr>
        <w:t>II.</w:t>
      </w:r>
      <w:r w:rsidRPr="000A2EE1">
        <w:rPr>
          <w:rStyle w:val="Accentuation"/>
        </w:rPr>
        <w:tab/>
        <w:t xml:space="preserve">Approval of vehicles of category M and N fitted with specific equipment for the use of liquefied petroleum gases in their propulsion system with regard to </w:t>
      </w:r>
      <w:r w:rsidRPr="000A2EE1">
        <w:rPr>
          <w:i/>
          <w:iCs/>
        </w:rPr>
        <w:t>the installation of such equipment</w:t>
      </w:r>
      <w:r w:rsidR="006C00AE" w:rsidRPr="000A2EE1">
        <w:rPr>
          <w:i/>
          <w:iCs/>
        </w:rPr>
        <w:t>.</w:t>
      </w:r>
      <w:r w:rsidRPr="000A2EE1">
        <w:rPr>
          <w:i/>
          <w:iCs/>
        </w:rPr>
        <w:t>).</w:t>
      </w:r>
      <w:r w:rsidR="00791E53" w:rsidRPr="000A2EE1">
        <w:rPr>
          <w:iCs/>
        </w:rPr>
        <w:t>”</w:t>
      </w:r>
      <w:r w:rsidRPr="000A2EE1">
        <w:rPr>
          <w:iCs/>
        </w:rPr>
        <w:t>.</w:t>
      </w:r>
    </w:p>
    <w:p w:rsidR="005B3EB2" w:rsidRPr="000A2EE1" w:rsidRDefault="005B3EB2" w:rsidP="00D962B3">
      <w:pPr>
        <w:pStyle w:val="SingleTxtG"/>
        <w:tabs>
          <w:tab w:val="left" w:pos="1985"/>
          <w:tab w:val="left" w:pos="2268"/>
        </w:tabs>
        <w:rPr>
          <w:rFonts w:eastAsia="Batang"/>
        </w:rPr>
      </w:pPr>
      <w:r w:rsidRPr="000A2EE1">
        <w:rPr>
          <w:rFonts w:eastAsia="Batang"/>
        </w:rPr>
        <w:t>SP 663</w:t>
      </w:r>
      <w:r w:rsidRPr="000A2EE1">
        <w:rPr>
          <w:rFonts w:eastAsia="Batang"/>
        </w:rPr>
        <w:tab/>
        <w:t>Under “Scope”, in the last indent, After “polyhalogenated biphenyls” insert “, halogenated monomethyldiphenylmethanes”.</w:t>
      </w:r>
    </w:p>
    <w:p w:rsidR="00E3232B" w:rsidRPr="000A2EE1" w:rsidRDefault="00E3232B" w:rsidP="00D962B3">
      <w:pPr>
        <w:pStyle w:val="SingleTxtG"/>
        <w:tabs>
          <w:tab w:val="left" w:pos="1985"/>
          <w:tab w:val="left" w:pos="2268"/>
        </w:tabs>
        <w:spacing w:line="240" w:lineRule="auto"/>
      </w:pPr>
      <w:r w:rsidRPr="000A2EE1">
        <w:t>SP 664</w:t>
      </w:r>
      <w:r w:rsidRPr="000A2EE1">
        <w:tab/>
        <w:t>Amend the last sentence of paragraph (a) (ii) to read as follows:</w:t>
      </w:r>
    </w:p>
    <w:p w:rsidR="00E3232B" w:rsidRPr="000A2EE1" w:rsidRDefault="00E3232B" w:rsidP="00D962B3">
      <w:pPr>
        <w:pStyle w:val="SingleTxtG"/>
      </w:pPr>
      <w:r w:rsidRPr="000A2EE1">
        <w:t>“Welding shall be carried out in accordance with the first paragraph of 6.8.2.1.23, except that other suitable methods may be applied to confirm the quality of the welding.”.</w:t>
      </w:r>
    </w:p>
    <w:p w:rsidR="00E3232B" w:rsidRPr="000A2EE1" w:rsidRDefault="00E3232B" w:rsidP="00D962B3">
      <w:pPr>
        <w:pStyle w:val="SingleTxtG"/>
      </w:pPr>
      <w:r w:rsidRPr="000A2EE1">
        <w:t>Add the following new special provisions:</w:t>
      </w:r>
    </w:p>
    <w:p w:rsidR="00E3232B" w:rsidRPr="000A2EE1" w:rsidRDefault="00E3232B" w:rsidP="00D962B3">
      <w:pPr>
        <w:pStyle w:val="SingleTxtG"/>
      </w:pPr>
      <w:r w:rsidRPr="000A2EE1">
        <w:t>“378</w:t>
      </w:r>
      <w:r w:rsidRPr="000A2EE1">
        <w:tab/>
        <w:t>Radiation detectors containing this gas in non-refillable pressure receptacles not meeting the requirements of Chapter 6.2 and packing instruction P200 of 4.1.4.1 may be carried under this entry provided:</w:t>
      </w:r>
    </w:p>
    <w:p w:rsidR="00E3232B" w:rsidRPr="000A2EE1" w:rsidRDefault="00FA45E3" w:rsidP="00D962B3">
      <w:pPr>
        <w:pStyle w:val="SingleTxtG"/>
      </w:pPr>
      <w:r w:rsidRPr="000A2EE1">
        <w:tab/>
      </w:r>
      <w:r w:rsidR="00E3232B" w:rsidRPr="000A2EE1">
        <w:t>(a)</w:t>
      </w:r>
      <w:r w:rsidR="00E3232B" w:rsidRPr="000A2EE1">
        <w:tab/>
        <w:t>The working pressure in each receptacle does not exceed 50 bar;</w:t>
      </w:r>
    </w:p>
    <w:p w:rsidR="00E3232B" w:rsidRPr="000A2EE1" w:rsidRDefault="00FA45E3" w:rsidP="00D962B3">
      <w:pPr>
        <w:pStyle w:val="SingleTxtG"/>
      </w:pPr>
      <w:r w:rsidRPr="000A2EE1">
        <w:tab/>
      </w:r>
      <w:r w:rsidR="00E3232B" w:rsidRPr="000A2EE1">
        <w:t>(b)</w:t>
      </w:r>
      <w:r w:rsidR="00E3232B" w:rsidRPr="000A2EE1">
        <w:tab/>
        <w:t>The receptacle capacity does not exceed 12 litres;</w:t>
      </w:r>
    </w:p>
    <w:p w:rsidR="00E3232B" w:rsidRPr="000A2EE1" w:rsidRDefault="00FA45E3" w:rsidP="00D962B3">
      <w:pPr>
        <w:pStyle w:val="SingleTxtG"/>
      </w:pPr>
      <w:r w:rsidRPr="000A2EE1">
        <w:tab/>
      </w:r>
      <w:r w:rsidR="00E3232B" w:rsidRPr="000A2EE1">
        <w:t>(c)</w:t>
      </w:r>
      <w:r w:rsidR="00E3232B" w:rsidRPr="000A2EE1">
        <w:tab/>
        <w:t>Each receptacle has a minimum burst pressure of at least 3 times the working pressure when a relief device is fitted and at least 4 times the working pressure when no relief device is fitted;</w:t>
      </w:r>
    </w:p>
    <w:p w:rsidR="00E3232B" w:rsidRPr="000A2EE1" w:rsidRDefault="00FA45E3" w:rsidP="00D962B3">
      <w:pPr>
        <w:pStyle w:val="SingleTxtG"/>
      </w:pPr>
      <w:r w:rsidRPr="000A2EE1">
        <w:tab/>
      </w:r>
      <w:r w:rsidR="00E3232B" w:rsidRPr="000A2EE1">
        <w:t>(d)</w:t>
      </w:r>
      <w:r w:rsidR="00E3232B" w:rsidRPr="000A2EE1">
        <w:tab/>
        <w:t xml:space="preserve">Each receptacle is manufactured from material which will not fragment upon rupture; </w:t>
      </w:r>
    </w:p>
    <w:p w:rsidR="00E3232B" w:rsidRPr="000A2EE1" w:rsidRDefault="00FA45E3" w:rsidP="00D962B3">
      <w:pPr>
        <w:pStyle w:val="SingleTxtG"/>
      </w:pPr>
      <w:r w:rsidRPr="000A2EE1">
        <w:tab/>
      </w:r>
      <w:r w:rsidR="00E3232B" w:rsidRPr="000A2EE1">
        <w:t>(e)</w:t>
      </w:r>
      <w:r w:rsidR="00E3232B" w:rsidRPr="000A2EE1">
        <w:tab/>
        <w:t>Each detector is manufactured under a registered quality assurance programme;</w:t>
      </w:r>
    </w:p>
    <w:p w:rsidR="00E3232B" w:rsidRPr="000A2EE1" w:rsidRDefault="00E3232B" w:rsidP="00E3232B">
      <w:pPr>
        <w:pStyle w:val="SingleTxtG"/>
        <w:ind w:left="1701"/>
        <w:rPr>
          <w:i/>
        </w:rPr>
      </w:pPr>
      <w:r w:rsidRPr="000A2EE1">
        <w:rPr>
          <w:b/>
          <w:i/>
        </w:rPr>
        <w:t>NOTE:</w:t>
      </w:r>
      <w:r w:rsidRPr="000A2EE1">
        <w:rPr>
          <w:i/>
        </w:rPr>
        <w:t xml:space="preserve"> ISO 9001:2008 may be used for this purpose.</w:t>
      </w:r>
    </w:p>
    <w:p w:rsidR="00E3232B" w:rsidRPr="000A2EE1" w:rsidRDefault="00FA45E3" w:rsidP="00D962B3">
      <w:pPr>
        <w:pStyle w:val="SingleTxtG"/>
        <w:tabs>
          <w:tab w:val="left" w:pos="1701"/>
          <w:tab w:val="left" w:pos="1985"/>
          <w:tab w:val="left" w:pos="2268"/>
        </w:tabs>
      </w:pPr>
      <w:r w:rsidRPr="000A2EE1">
        <w:tab/>
      </w:r>
      <w:r w:rsidR="00E3232B" w:rsidRPr="000A2EE1">
        <w:t>(f)</w:t>
      </w:r>
      <w:r w:rsidR="00E3232B" w:rsidRPr="000A2EE1">
        <w:tab/>
        <w:t>Detectors are carried in strong outer packagings. The complete package shall be capable of withstanding a 1.2 metre drop test without breakage of the detector or rupture of the outer packaging. Equipment that includes a detector shall be packed in a strong outer packaging unless the detector is afforded equivalent protection by the equipment in which it is contained; and</w:t>
      </w:r>
    </w:p>
    <w:p w:rsidR="00E3232B" w:rsidRPr="000A2EE1" w:rsidRDefault="00FA45E3" w:rsidP="00D962B3">
      <w:pPr>
        <w:pStyle w:val="SingleTxtG"/>
        <w:tabs>
          <w:tab w:val="left" w:pos="1701"/>
          <w:tab w:val="left" w:pos="1985"/>
          <w:tab w:val="left" w:pos="2268"/>
        </w:tabs>
      </w:pPr>
      <w:r w:rsidRPr="000A2EE1">
        <w:tab/>
      </w:r>
      <w:r w:rsidR="00E3232B" w:rsidRPr="000A2EE1">
        <w:t>(g)</w:t>
      </w:r>
      <w:r w:rsidR="00E3232B" w:rsidRPr="000A2EE1">
        <w:tab/>
        <w:t>The transport document includes the following statement “Transport in accordance with special provision 378”.</w:t>
      </w:r>
    </w:p>
    <w:p w:rsidR="00E3232B" w:rsidRPr="000A2EE1" w:rsidRDefault="00FA45E3" w:rsidP="00D962B3">
      <w:pPr>
        <w:pStyle w:val="SingleTxtG"/>
        <w:tabs>
          <w:tab w:val="left" w:pos="1701"/>
          <w:tab w:val="left" w:pos="1985"/>
          <w:tab w:val="left" w:pos="2268"/>
        </w:tabs>
      </w:pPr>
      <w:r w:rsidRPr="000A2EE1">
        <w:tab/>
      </w:r>
      <w:r w:rsidR="00E3232B" w:rsidRPr="000A2EE1">
        <w:t>Radiation detectors, including detectors in radiation detection systems, are not subject to any other requirements of ADR if the detectors meet the requirements in (a) to (f) above and the capacity of detector receptacles does not exceed 50 ml.”.</w:t>
      </w:r>
    </w:p>
    <w:p w:rsidR="00E3232B" w:rsidRPr="000A2EE1" w:rsidRDefault="00E3232B" w:rsidP="00D962B3">
      <w:pPr>
        <w:pStyle w:val="SingleTxtG"/>
        <w:tabs>
          <w:tab w:val="left" w:pos="1701"/>
          <w:tab w:val="left" w:pos="1985"/>
          <w:tab w:val="left" w:pos="2268"/>
        </w:tabs>
      </w:pPr>
      <w:r w:rsidRPr="000A2EE1">
        <w:t>“379</w:t>
      </w:r>
      <w:r w:rsidRPr="000A2EE1">
        <w:tab/>
        <w:t>Anhydrous ammonia adsorbed or absorbed on a solid contained in ammonia dispensing systems or receptacles intended to form part of such systems are not subject to the other provisions of ADR if the following conditions are observed:</w:t>
      </w:r>
    </w:p>
    <w:p w:rsidR="00E3232B" w:rsidRPr="000A2EE1" w:rsidRDefault="00FA45E3" w:rsidP="00D962B3">
      <w:pPr>
        <w:pStyle w:val="SingleTxtG"/>
        <w:tabs>
          <w:tab w:val="left" w:pos="1701"/>
          <w:tab w:val="left" w:pos="1985"/>
          <w:tab w:val="left" w:pos="2268"/>
        </w:tabs>
      </w:pPr>
      <w:r w:rsidRPr="000A2EE1">
        <w:tab/>
      </w:r>
      <w:r w:rsidR="00E3232B" w:rsidRPr="000A2EE1">
        <w:t>(a)</w:t>
      </w:r>
      <w:r w:rsidR="00E3232B" w:rsidRPr="000A2EE1">
        <w:tab/>
        <w:t>The adsorption or absorption presents the following properties:</w:t>
      </w:r>
    </w:p>
    <w:p w:rsidR="00E3232B" w:rsidRPr="000A2EE1" w:rsidRDefault="00E3232B" w:rsidP="00D962B3">
      <w:pPr>
        <w:pStyle w:val="SingleTxtG"/>
        <w:tabs>
          <w:tab w:val="left" w:pos="1701"/>
          <w:tab w:val="left" w:pos="1985"/>
          <w:tab w:val="left" w:pos="2410"/>
        </w:tabs>
        <w:ind w:left="1985"/>
      </w:pPr>
      <w:r w:rsidRPr="000A2EE1">
        <w:t>(i)</w:t>
      </w:r>
      <w:r w:rsidRPr="000A2EE1">
        <w:tab/>
        <w:t>The pressure at a temperature of 20 °C in the receptacle is less than 0.6 bar;</w:t>
      </w:r>
    </w:p>
    <w:p w:rsidR="00E3232B" w:rsidRPr="000A2EE1" w:rsidRDefault="00E3232B" w:rsidP="00D962B3">
      <w:pPr>
        <w:pStyle w:val="SingleTxtG"/>
        <w:tabs>
          <w:tab w:val="left" w:pos="1701"/>
          <w:tab w:val="left" w:pos="1985"/>
          <w:tab w:val="left" w:pos="2410"/>
        </w:tabs>
        <w:ind w:left="1985"/>
      </w:pPr>
      <w:r w:rsidRPr="000A2EE1">
        <w:t>(ii)</w:t>
      </w:r>
      <w:r w:rsidRPr="000A2EE1">
        <w:tab/>
        <w:t>The pressure at a temperature of 35 °C in the receptacle is less than 1 bar;</w:t>
      </w:r>
    </w:p>
    <w:p w:rsidR="00E3232B" w:rsidRPr="000A2EE1" w:rsidRDefault="00E3232B" w:rsidP="00D962B3">
      <w:pPr>
        <w:pStyle w:val="SingleTxtG"/>
        <w:tabs>
          <w:tab w:val="left" w:pos="1701"/>
          <w:tab w:val="left" w:pos="1985"/>
          <w:tab w:val="left" w:pos="2410"/>
        </w:tabs>
        <w:ind w:left="1985"/>
      </w:pPr>
      <w:r w:rsidRPr="000A2EE1">
        <w:t>(iii)</w:t>
      </w:r>
      <w:r w:rsidRPr="000A2EE1">
        <w:tab/>
        <w:t>The pressure at a temperature of 85 °C in the receptacle is less than 12 bar.</w:t>
      </w:r>
    </w:p>
    <w:p w:rsidR="00E3232B" w:rsidRPr="000A2EE1" w:rsidRDefault="00FA45E3" w:rsidP="00D962B3">
      <w:pPr>
        <w:pStyle w:val="SingleTxtG"/>
        <w:tabs>
          <w:tab w:val="left" w:pos="1701"/>
          <w:tab w:val="left" w:pos="1985"/>
          <w:tab w:val="left" w:pos="2268"/>
        </w:tabs>
        <w:ind w:left="1985" w:hanging="851"/>
      </w:pPr>
      <w:r w:rsidRPr="000A2EE1">
        <w:tab/>
      </w:r>
      <w:r w:rsidR="00E3232B" w:rsidRPr="000A2EE1">
        <w:t>(b)</w:t>
      </w:r>
      <w:r w:rsidR="00E3232B" w:rsidRPr="000A2EE1">
        <w:tab/>
        <w:t>The adsorbent or absorbent material shall not have dangerous properties listed in classes 1 to 8;</w:t>
      </w:r>
    </w:p>
    <w:p w:rsidR="00E3232B" w:rsidRPr="000A2EE1" w:rsidRDefault="00FA45E3" w:rsidP="00D962B3">
      <w:pPr>
        <w:pStyle w:val="SingleTxtG"/>
        <w:tabs>
          <w:tab w:val="left" w:pos="1701"/>
          <w:tab w:val="left" w:pos="1985"/>
          <w:tab w:val="left" w:pos="2268"/>
        </w:tabs>
        <w:ind w:left="1985" w:hanging="851"/>
      </w:pPr>
      <w:r w:rsidRPr="000A2EE1">
        <w:tab/>
      </w:r>
      <w:r w:rsidR="00E3232B" w:rsidRPr="000A2EE1">
        <w:t>(c)</w:t>
      </w:r>
      <w:r w:rsidR="00E3232B" w:rsidRPr="000A2EE1">
        <w:tab/>
        <w:t>The maximum contents of a receptacle shall be 10 kg of ammonia; and</w:t>
      </w:r>
    </w:p>
    <w:p w:rsidR="00E3232B" w:rsidRPr="000A2EE1" w:rsidRDefault="00FA45E3" w:rsidP="00D962B3">
      <w:pPr>
        <w:pStyle w:val="SingleTxtG"/>
        <w:tabs>
          <w:tab w:val="left" w:pos="1701"/>
          <w:tab w:val="left" w:pos="1985"/>
          <w:tab w:val="left" w:pos="2268"/>
        </w:tabs>
        <w:ind w:left="1985" w:hanging="851"/>
      </w:pPr>
      <w:r w:rsidRPr="000A2EE1">
        <w:tab/>
      </w:r>
      <w:r w:rsidR="00E3232B" w:rsidRPr="000A2EE1">
        <w:t>(d)</w:t>
      </w:r>
      <w:r w:rsidR="00E3232B" w:rsidRPr="000A2EE1">
        <w:tab/>
        <w:t>Receptacles containing adsorbed or absorbed ammonia shall meet the following conditions:</w:t>
      </w:r>
    </w:p>
    <w:p w:rsidR="00E3232B" w:rsidRPr="000A2EE1" w:rsidRDefault="00E3232B" w:rsidP="00D962B3">
      <w:pPr>
        <w:pStyle w:val="SingleTxtG"/>
        <w:tabs>
          <w:tab w:val="left" w:pos="1701"/>
          <w:tab w:val="left" w:pos="1985"/>
          <w:tab w:val="left" w:pos="2410"/>
        </w:tabs>
        <w:ind w:left="1985"/>
      </w:pPr>
      <w:r w:rsidRPr="000A2EE1">
        <w:t>(i)</w:t>
      </w:r>
      <w:r w:rsidRPr="000A2EE1">
        <w:tab/>
        <w:t>Receptacles shall be made of a material compatible with ammonia as specified in ISO 11114-1:2012;</w:t>
      </w:r>
    </w:p>
    <w:p w:rsidR="00E3232B" w:rsidRPr="000A2EE1" w:rsidRDefault="00E3232B" w:rsidP="00D962B3">
      <w:pPr>
        <w:pStyle w:val="SingleTxtG"/>
        <w:tabs>
          <w:tab w:val="left" w:pos="1701"/>
          <w:tab w:val="left" w:pos="1985"/>
          <w:tab w:val="left" w:pos="2410"/>
        </w:tabs>
        <w:ind w:left="1985"/>
      </w:pPr>
      <w:r w:rsidRPr="000A2EE1">
        <w:t>(ii)</w:t>
      </w:r>
      <w:r w:rsidRPr="000A2EE1">
        <w:tab/>
        <w:t>Receptacles and their means of closure shall be hermetically sealed and able to contain the generated ammonia;</w:t>
      </w:r>
    </w:p>
    <w:p w:rsidR="00E3232B" w:rsidRPr="000A2EE1" w:rsidRDefault="00E3232B" w:rsidP="00D962B3">
      <w:pPr>
        <w:pStyle w:val="SingleTxtG"/>
        <w:tabs>
          <w:tab w:val="left" w:pos="1701"/>
          <w:tab w:val="left" w:pos="1985"/>
          <w:tab w:val="left" w:pos="2410"/>
        </w:tabs>
        <w:ind w:left="1985"/>
      </w:pPr>
      <w:r w:rsidRPr="000A2EE1">
        <w:t>(iii)</w:t>
      </w:r>
      <w:r w:rsidRPr="000A2EE1">
        <w:tab/>
        <w:t>Each receptacle shall be able to withstand the pressure generated at 85 °C with a volumetric expansion no greater than 0.1%;</w:t>
      </w:r>
    </w:p>
    <w:p w:rsidR="00E3232B" w:rsidRPr="000A2EE1" w:rsidRDefault="00E3232B" w:rsidP="00D962B3">
      <w:pPr>
        <w:pStyle w:val="SingleTxtG"/>
        <w:tabs>
          <w:tab w:val="left" w:pos="1701"/>
          <w:tab w:val="left" w:pos="1985"/>
          <w:tab w:val="left" w:pos="2410"/>
        </w:tabs>
        <w:ind w:left="1985"/>
      </w:pPr>
      <w:r w:rsidRPr="000A2EE1">
        <w:t>(iv)</w:t>
      </w:r>
      <w:r w:rsidRPr="000A2EE1">
        <w:tab/>
        <w:t>Each receptacle shall be fitted with a device that allows for gas evacuation once pressure exceeds 15 bar without violent rupture, explosion or projection; and</w:t>
      </w:r>
    </w:p>
    <w:p w:rsidR="00E3232B" w:rsidRPr="000A2EE1" w:rsidRDefault="00E3232B" w:rsidP="00D962B3">
      <w:pPr>
        <w:pStyle w:val="SingleTxtG"/>
        <w:tabs>
          <w:tab w:val="left" w:pos="1701"/>
          <w:tab w:val="left" w:pos="1985"/>
          <w:tab w:val="left" w:pos="2410"/>
        </w:tabs>
        <w:ind w:left="1985"/>
      </w:pPr>
      <w:r w:rsidRPr="000A2EE1">
        <w:t>(v)</w:t>
      </w:r>
      <w:r w:rsidRPr="000A2EE1">
        <w:tab/>
        <w:t>Each receptacle shall be able to withstand a pressure of 20 bar without leakage when the pressure relief device is deactivated.</w:t>
      </w:r>
    </w:p>
    <w:p w:rsidR="00E3232B" w:rsidRPr="000A2EE1" w:rsidRDefault="00FA45E3" w:rsidP="00E3232B">
      <w:pPr>
        <w:pStyle w:val="SingleTxtG"/>
      </w:pPr>
      <w:r w:rsidRPr="000A2EE1">
        <w:tab/>
      </w:r>
      <w:r w:rsidR="00E3232B" w:rsidRPr="000A2EE1">
        <w:t>When carried in an ammonia dispenser, the receptacles shall be connected to the dispenser in such a way that the assembly is guaranteed to have the same strength as a single receptacle.</w:t>
      </w:r>
    </w:p>
    <w:p w:rsidR="00E3232B" w:rsidRPr="000A2EE1" w:rsidRDefault="00FA45E3" w:rsidP="00E3232B">
      <w:pPr>
        <w:pStyle w:val="SingleTxtG"/>
      </w:pPr>
      <w:r w:rsidRPr="000A2EE1">
        <w:tab/>
      </w:r>
      <w:r w:rsidR="00E3232B" w:rsidRPr="000A2EE1">
        <w:t>The properties of mechanical strength mentioned in this special provision shall be tested using a prototype of a receptacle and/or dispenser filled to nominal capacity, by increasing the temperature until the specified pressures are reached.</w:t>
      </w:r>
    </w:p>
    <w:p w:rsidR="00E3232B" w:rsidRPr="000A2EE1" w:rsidRDefault="00FA45E3" w:rsidP="00E3232B">
      <w:pPr>
        <w:pStyle w:val="SingleTxtG"/>
      </w:pPr>
      <w:r w:rsidRPr="000A2EE1">
        <w:tab/>
      </w:r>
      <w:r w:rsidR="00E3232B" w:rsidRPr="000A2EE1">
        <w:t>The test results shall be documented, shall be traceable and shall be communicated to the relevant authorities upon request.”.</w:t>
      </w:r>
    </w:p>
    <w:p w:rsidR="00E3232B" w:rsidRPr="000A2EE1" w:rsidRDefault="00E3232B" w:rsidP="00D962B3">
      <w:pPr>
        <w:pStyle w:val="SingleTxtG"/>
        <w:tabs>
          <w:tab w:val="left" w:pos="1701"/>
          <w:tab w:val="left" w:pos="1985"/>
          <w:tab w:val="left" w:pos="2268"/>
        </w:tabs>
      </w:pPr>
      <w:r w:rsidRPr="000A2EE1">
        <w:t>“380</w:t>
      </w:r>
      <w:r w:rsidRPr="000A2EE1">
        <w:tab/>
      </w:r>
      <w:r w:rsidRPr="000A2EE1">
        <w:rPr>
          <w:rFonts w:eastAsia="Calibri"/>
          <w:i/>
        </w:rPr>
        <w:t>(</w:t>
      </w:r>
      <w:r w:rsidRPr="000A2EE1">
        <w:rPr>
          <w:i/>
        </w:rPr>
        <w:t>Reserved)</w:t>
      </w:r>
      <w:r w:rsidRPr="000A2EE1">
        <w:t>”.</w:t>
      </w:r>
    </w:p>
    <w:p w:rsidR="00E3232B" w:rsidRPr="000A2EE1" w:rsidRDefault="00E3232B" w:rsidP="00D962B3">
      <w:pPr>
        <w:pStyle w:val="SingleTxtG"/>
        <w:tabs>
          <w:tab w:val="left" w:pos="1701"/>
          <w:tab w:val="left" w:pos="1985"/>
          <w:tab w:val="left" w:pos="2268"/>
        </w:tabs>
      </w:pPr>
      <w:r w:rsidRPr="000A2EE1">
        <w:t>“381</w:t>
      </w:r>
      <w:r w:rsidRPr="000A2EE1">
        <w:tab/>
      </w:r>
      <w:r w:rsidRPr="000A2EE1">
        <w:rPr>
          <w:rFonts w:eastAsia="Calibri"/>
          <w:i/>
        </w:rPr>
        <w:t>(</w:t>
      </w:r>
      <w:r w:rsidRPr="000A2EE1">
        <w:rPr>
          <w:i/>
        </w:rPr>
        <w:t>Reserved)</w:t>
      </w:r>
      <w:r w:rsidRPr="000A2EE1">
        <w:t>”.</w:t>
      </w:r>
    </w:p>
    <w:p w:rsidR="00E3232B" w:rsidRPr="000A2EE1" w:rsidRDefault="00E3232B" w:rsidP="00D962B3">
      <w:pPr>
        <w:pStyle w:val="SingleTxtG"/>
        <w:tabs>
          <w:tab w:val="left" w:pos="1701"/>
          <w:tab w:val="left" w:pos="1985"/>
          <w:tab w:val="left" w:pos="2268"/>
        </w:tabs>
        <w:rPr>
          <w:iCs/>
        </w:rPr>
      </w:pPr>
      <w:r w:rsidRPr="000A2EE1">
        <w:rPr>
          <w:iCs/>
        </w:rPr>
        <w:t>“382</w:t>
      </w:r>
      <w:r w:rsidRPr="000A2EE1">
        <w:rPr>
          <w:iCs/>
        </w:rPr>
        <w:tab/>
      </w:r>
      <w:r w:rsidRPr="000A2EE1">
        <w:rPr>
          <w:lang w:eastAsia="zh-CN"/>
        </w:rPr>
        <w:t xml:space="preserve">Polymeric beads may be made from polystyrene, poly (methyl methacrylate) or other polymeric material. </w:t>
      </w:r>
      <w:r w:rsidRPr="000A2EE1">
        <w:t xml:space="preserve">When it can be demonstrated that no flammable vapour, resulting in a flammable atmosphere, is evolved according to test U1 (Test method for substances liable to evolve flammable vapours) of Part III, sub-section </w:t>
      </w:r>
      <w:r w:rsidRPr="000A2EE1">
        <w:rPr>
          <w:lang w:eastAsia="zh-CN"/>
        </w:rPr>
        <w:t>38.4.4</w:t>
      </w:r>
      <w:r w:rsidRPr="000A2EE1">
        <w:t xml:space="preserve"> </w:t>
      </w:r>
      <w:r w:rsidRPr="000A2EE1">
        <w:rPr>
          <w:lang w:eastAsia="nl-NL"/>
        </w:rPr>
        <w:t xml:space="preserve">of the Manual of Tests and Criteria, </w:t>
      </w:r>
      <w:r w:rsidRPr="000A2EE1">
        <w:t>polymeric beads, expandable need not be classified under this UN number. This test should only be performed when de-classification of a substance is considered.</w:t>
      </w:r>
      <w:r w:rsidRPr="000A2EE1">
        <w:rPr>
          <w:iCs/>
        </w:rPr>
        <w:t>”.</w:t>
      </w:r>
    </w:p>
    <w:p w:rsidR="00E3232B" w:rsidRPr="000A2EE1" w:rsidRDefault="00E3232B" w:rsidP="00D962B3">
      <w:pPr>
        <w:pStyle w:val="SingleTxtG"/>
        <w:tabs>
          <w:tab w:val="left" w:pos="1701"/>
          <w:tab w:val="left" w:pos="1985"/>
          <w:tab w:val="left" w:pos="2268"/>
        </w:tabs>
        <w:rPr>
          <w:iCs/>
        </w:rPr>
      </w:pPr>
      <w:r w:rsidRPr="000A2EE1">
        <w:t>“383</w:t>
      </w:r>
      <w:r w:rsidRPr="000A2EE1">
        <w:tab/>
        <w:t>Table tennis balls manufactured from celluloid are not subject to ADR where the net mass of each table tennis ball does not exceed 3.0 g and the total net mass of table tennis balls does not exceed 500 g per package.</w:t>
      </w:r>
      <w:r w:rsidRPr="000A2EE1">
        <w:rPr>
          <w:iCs/>
        </w:rPr>
        <w:t>”.</w:t>
      </w:r>
    </w:p>
    <w:p w:rsidR="00E3232B" w:rsidRPr="000A2EE1" w:rsidRDefault="00E3232B" w:rsidP="00D962B3">
      <w:pPr>
        <w:pStyle w:val="SingleTxtG"/>
        <w:tabs>
          <w:tab w:val="left" w:pos="1701"/>
          <w:tab w:val="left" w:pos="1985"/>
          <w:tab w:val="left" w:pos="2268"/>
        </w:tabs>
      </w:pPr>
      <w:r w:rsidRPr="000A2EE1">
        <w:t>“384</w:t>
      </w:r>
      <w:r w:rsidRPr="000A2EE1">
        <w:tab/>
      </w:r>
      <w:r w:rsidRPr="000A2EE1">
        <w:rPr>
          <w:rFonts w:eastAsia="Calibri"/>
          <w:i/>
        </w:rPr>
        <w:t>(</w:t>
      </w:r>
      <w:r w:rsidRPr="000A2EE1">
        <w:rPr>
          <w:i/>
        </w:rPr>
        <w:t>Reserved)</w:t>
      </w:r>
      <w:r w:rsidRPr="000A2EE1">
        <w:t>”.</w:t>
      </w:r>
    </w:p>
    <w:p w:rsidR="00E3232B" w:rsidRPr="000A2EE1" w:rsidRDefault="00E3232B" w:rsidP="00D962B3">
      <w:pPr>
        <w:pStyle w:val="SingleTxtG"/>
        <w:tabs>
          <w:tab w:val="left" w:pos="1701"/>
          <w:tab w:val="left" w:pos="1985"/>
          <w:tab w:val="left" w:pos="2268"/>
        </w:tabs>
      </w:pPr>
      <w:r w:rsidRPr="000A2EE1">
        <w:t>“385</w:t>
      </w:r>
      <w:r w:rsidRPr="000A2EE1">
        <w:tab/>
        <w:t>This entry applies to vehicles powered by flammable liquid or gas internal combustion engines or fuel cells.</w:t>
      </w:r>
    </w:p>
    <w:p w:rsidR="00E3232B" w:rsidRPr="000A2EE1" w:rsidRDefault="00E3232B" w:rsidP="00D962B3">
      <w:pPr>
        <w:pStyle w:val="SingleTxtG"/>
        <w:tabs>
          <w:tab w:val="left" w:pos="1701"/>
          <w:tab w:val="left" w:pos="1985"/>
          <w:tab w:val="left" w:pos="2268"/>
        </w:tabs>
      </w:pPr>
      <w:r w:rsidRPr="000A2EE1">
        <w:t xml:space="preserve">Hybrid electric vehicles powered by both, an internal combustion engine and wet batteries, sodium batteries, lithium metal batteries or lithium ion batteries, carried with the batteries installed shall be assigned to this entry. Vehicles powered by wet batteries, sodium batteries, lithium metal batteries or lithium ion batteries, carried with the batteries installed, shall be assigned to the entry UN No. 3171 BATTERYPOWERED VEHICLE (see special provision 240). </w:t>
      </w:r>
    </w:p>
    <w:p w:rsidR="00E3232B" w:rsidRPr="000A2EE1" w:rsidRDefault="00E3232B" w:rsidP="00D962B3">
      <w:pPr>
        <w:pStyle w:val="SingleTxtG"/>
        <w:tabs>
          <w:tab w:val="left" w:pos="1701"/>
          <w:tab w:val="left" w:pos="1985"/>
          <w:tab w:val="left" w:pos="2268"/>
        </w:tabs>
      </w:pPr>
      <w:r w:rsidRPr="000A2EE1">
        <w:t>For the purpose of this special provision, vehicles are self-propelled apparatus designed to carry one or more persons or goods. Examples of such vehicles are cars, motorcycles, trucks, locomotives, scooters, three- and four-wheeled vehicles or motorcycles, lawn tractors, self-propelled farming and construction equipment, boats and aircraft.</w:t>
      </w:r>
    </w:p>
    <w:p w:rsidR="00E3232B" w:rsidRPr="000A2EE1" w:rsidRDefault="00E3232B" w:rsidP="00D962B3">
      <w:pPr>
        <w:pStyle w:val="SingleTxtG"/>
        <w:tabs>
          <w:tab w:val="left" w:pos="1701"/>
          <w:tab w:val="left" w:pos="1985"/>
          <w:tab w:val="left" w:pos="2268"/>
        </w:tabs>
      </w:pPr>
      <w:r w:rsidRPr="000A2EE1">
        <w:t xml:space="preserve">Dangerous goods such as batteries, air 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ADR. However, lithium batteries shall meet the requirements of </w:t>
      </w:r>
      <w:r w:rsidRPr="000A2EE1">
        <w:rPr>
          <w:rFonts w:eastAsia="Calibri"/>
        </w:rPr>
        <w:t>2.2.9.1.7</w:t>
      </w:r>
      <w:r w:rsidRPr="000A2EE1">
        <w:t>, except as otherwise provided for in special provision 667. ”.</w:t>
      </w:r>
    </w:p>
    <w:p w:rsidR="00E3232B" w:rsidRPr="000A2EE1" w:rsidRDefault="00E3232B" w:rsidP="00D962B3">
      <w:pPr>
        <w:pStyle w:val="SingleTxtG"/>
        <w:tabs>
          <w:tab w:val="left" w:pos="1701"/>
          <w:tab w:val="left" w:pos="1985"/>
          <w:tab w:val="left" w:pos="2268"/>
        </w:tabs>
        <w:rPr>
          <w:iCs/>
        </w:rPr>
      </w:pPr>
      <w:r w:rsidRPr="000A2EE1">
        <w:rPr>
          <w:iCs/>
        </w:rPr>
        <w:t>“386</w:t>
      </w:r>
      <w:r w:rsidRPr="000A2EE1">
        <w:rPr>
          <w:iCs/>
        </w:rPr>
        <w:tab/>
      </w:r>
      <w:r w:rsidRPr="000A2EE1">
        <w:t>When substances are stabilized by temperature control, the provisions of 2.2.41.1.17, special provision V8 of Chapter 7.2, special provision S4 of Chapter 8.5 and the requirements of Chapter 9.6 apply. When chemical stabilization is employed, the person offering the packaging, IBC or tank for carriage shall ensure that the level of stabilization is sufficient to prevent the substance in the packaging, IBC or tank from dangerous polymerization at a bulk mean temperature of 50</w:t>
      </w:r>
      <w:r w:rsidRPr="000A2EE1">
        <w:rPr>
          <w:iCs/>
        </w:rPr>
        <w:t> </w:t>
      </w:r>
      <w:r w:rsidRPr="000A2EE1">
        <w:t>°C, or, in the case of a portable tank, 45</w:t>
      </w:r>
      <w:r w:rsidRPr="000A2EE1">
        <w:rPr>
          <w:iCs/>
        </w:rPr>
        <w:t> </w:t>
      </w:r>
      <w:r w:rsidRPr="000A2EE1">
        <w:t>°C. Where chemical stabilization becomes ineffective at lower temperatures within the anticipated duration of carriage, temperature control is required. In making this determination factors to be taken into consideration include, but are not limited to, the capacity and geometry of the packaging, IBC or tank and the effect of any insulation present, the temperature of the substance when offered for carriage, the duration of the journey and the ambient temperature conditions typically encountered in the journey (considering also the season of year), the effectiveness and other properties of the stabilizer employed, applicable operational controls imposed by regulation (e.g. requirements to protect from sources of heat, including other cargo carried at a temperature above ambient) and any other relevant factors.</w:t>
      </w:r>
      <w:r w:rsidRPr="000A2EE1">
        <w:rPr>
          <w:iCs/>
        </w:rPr>
        <w:t>”.</w:t>
      </w:r>
    </w:p>
    <w:p w:rsidR="00E3232B" w:rsidRPr="000A2EE1" w:rsidRDefault="00791E53" w:rsidP="00D962B3">
      <w:pPr>
        <w:pStyle w:val="SingleTxtG"/>
        <w:tabs>
          <w:tab w:val="left" w:pos="1701"/>
          <w:tab w:val="left" w:pos="1985"/>
          <w:tab w:val="left" w:pos="2268"/>
        </w:tabs>
        <w:rPr>
          <w:i/>
        </w:rPr>
      </w:pPr>
      <w:r w:rsidRPr="000A2EE1">
        <w:t>“</w:t>
      </w:r>
      <w:r w:rsidR="00E3232B" w:rsidRPr="000A2EE1">
        <w:t>387-499</w:t>
      </w:r>
      <w:r w:rsidR="00D962B3" w:rsidRPr="000A2EE1">
        <w:tab/>
      </w:r>
      <w:r w:rsidR="00E3232B" w:rsidRPr="000A2EE1">
        <w:rPr>
          <w:i/>
        </w:rPr>
        <w:t>(Reserved)</w:t>
      </w:r>
      <w:r w:rsidRPr="000A2EE1">
        <w:t>”</w:t>
      </w:r>
      <w:r w:rsidR="00E3232B" w:rsidRPr="000A2EE1">
        <w:t>.</w:t>
      </w:r>
    </w:p>
    <w:p w:rsidR="00E3232B" w:rsidRPr="000A2EE1" w:rsidRDefault="00E3232B" w:rsidP="00D962B3">
      <w:pPr>
        <w:pStyle w:val="SingleTxtG"/>
        <w:tabs>
          <w:tab w:val="left" w:pos="1701"/>
          <w:tab w:val="left" w:pos="1985"/>
          <w:tab w:val="left" w:pos="2268"/>
        </w:tabs>
      </w:pPr>
      <w:r w:rsidRPr="000A2EE1">
        <w:rPr>
          <w:iCs/>
        </w:rPr>
        <w:t>“</w:t>
      </w:r>
      <w:r w:rsidRPr="000A2EE1">
        <w:t>665</w:t>
      </w:r>
      <w:r w:rsidR="00D962B3" w:rsidRPr="000A2EE1">
        <w:tab/>
      </w:r>
      <w:r w:rsidRPr="000A2EE1">
        <w:rPr>
          <w:i/>
        </w:rPr>
        <w:t>(Reserved)</w:t>
      </w:r>
      <w:r w:rsidRPr="000A2EE1">
        <w:rPr>
          <w:iCs/>
        </w:rPr>
        <w:t>”</w:t>
      </w:r>
      <w:r w:rsidRPr="000A2EE1">
        <w:t>.</w:t>
      </w:r>
    </w:p>
    <w:p w:rsidR="00E3232B" w:rsidRPr="000A2EE1" w:rsidRDefault="00E3232B" w:rsidP="00D962B3">
      <w:pPr>
        <w:pStyle w:val="SingleTxtG"/>
        <w:tabs>
          <w:tab w:val="left" w:pos="1701"/>
          <w:tab w:val="left" w:pos="1985"/>
          <w:tab w:val="left" w:pos="2268"/>
        </w:tabs>
      </w:pPr>
      <w:r w:rsidRPr="000A2EE1">
        <w:rPr>
          <w:bCs/>
        </w:rPr>
        <w:t>“666</w:t>
      </w:r>
      <w:r w:rsidRPr="000A2EE1">
        <w:tab/>
        <w:t>Vehicles assigned to UN No. 3166 or UN No. 3171 and battery powered equipment assigned to UN 3171 in conformity with special provisions 240, 312 and 385, as well as any dangerous goods they contain that are necessary for their operation or the operation of their equipment, when carried as a load, are not subject to any other provisions of ADR, provided the following conditions are met:</w:t>
      </w:r>
    </w:p>
    <w:p w:rsidR="00E3232B" w:rsidRPr="000A2EE1" w:rsidRDefault="00FA45E3" w:rsidP="00D962B3">
      <w:pPr>
        <w:pStyle w:val="SingleTxtG"/>
        <w:tabs>
          <w:tab w:val="left" w:pos="1701"/>
          <w:tab w:val="left" w:pos="1985"/>
          <w:tab w:val="left" w:pos="2268"/>
        </w:tabs>
        <w:ind w:left="1985" w:hanging="851"/>
      </w:pPr>
      <w:r w:rsidRPr="000A2EE1">
        <w:tab/>
      </w:r>
      <w:r w:rsidR="00E3232B" w:rsidRPr="000A2EE1">
        <w:t>(a)</w:t>
      </w:r>
      <w:r w:rsidR="00E3232B" w:rsidRPr="000A2EE1">
        <w:tab/>
        <w:t>For liquid fuels, any valves between the engine or equipment and the fuel tank shall be closed during carriage unless it is essential for the equipment to remain operational. Where appropriate, the vehicles shall be loaded upright and secured against falling;</w:t>
      </w:r>
    </w:p>
    <w:p w:rsidR="00E3232B" w:rsidRPr="000A2EE1" w:rsidRDefault="00FA45E3" w:rsidP="00D962B3">
      <w:pPr>
        <w:pStyle w:val="SingleTxtG"/>
        <w:tabs>
          <w:tab w:val="left" w:pos="1701"/>
          <w:tab w:val="left" w:pos="1985"/>
          <w:tab w:val="left" w:pos="2268"/>
        </w:tabs>
        <w:ind w:left="1985" w:hanging="851"/>
      </w:pPr>
      <w:r w:rsidRPr="000A2EE1">
        <w:tab/>
      </w:r>
      <w:r w:rsidR="00E3232B" w:rsidRPr="000A2EE1">
        <w:t>(b)</w:t>
      </w:r>
      <w:r w:rsidR="00E3232B" w:rsidRPr="000A2EE1">
        <w:tab/>
        <w:t>For gaseous fuels, the valve between the gas tank and engine shall be closed and the electric contact open;</w:t>
      </w:r>
    </w:p>
    <w:p w:rsidR="00E3232B" w:rsidRPr="000A2EE1" w:rsidRDefault="00FA45E3" w:rsidP="00D962B3">
      <w:pPr>
        <w:pStyle w:val="SingleTxtG"/>
        <w:tabs>
          <w:tab w:val="left" w:pos="1701"/>
          <w:tab w:val="left" w:pos="1985"/>
          <w:tab w:val="left" w:pos="2268"/>
        </w:tabs>
        <w:ind w:left="1985" w:hanging="851"/>
      </w:pPr>
      <w:r w:rsidRPr="000A2EE1">
        <w:tab/>
      </w:r>
      <w:r w:rsidR="00E3232B" w:rsidRPr="000A2EE1">
        <w:t>(c)</w:t>
      </w:r>
      <w:r w:rsidR="00E3232B" w:rsidRPr="000A2EE1">
        <w:tab/>
        <w:t>Metal hydride storage systems shall be approved by the competent authority of the country of manufacture. If the country of manufacture is not a contracting party to ADR the approval shall be recognized by the competent authority of a contracting party to ADR;</w:t>
      </w:r>
    </w:p>
    <w:p w:rsidR="00E3232B" w:rsidRPr="000A2EE1" w:rsidRDefault="00FA45E3" w:rsidP="00D962B3">
      <w:pPr>
        <w:pStyle w:val="SingleTxtG"/>
        <w:tabs>
          <w:tab w:val="left" w:pos="1701"/>
          <w:tab w:val="left" w:pos="1985"/>
          <w:tab w:val="left" w:pos="2268"/>
        </w:tabs>
        <w:ind w:left="1985" w:hanging="851"/>
        <w:rPr>
          <w:b/>
          <w:i/>
        </w:rPr>
      </w:pPr>
      <w:r w:rsidRPr="000A2EE1">
        <w:tab/>
      </w:r>
      <w:r w:rsidR="00E3232B" w:rsidRPr="000A2EE1">
        <w:t>(d)</w:t>
      </w:r>
      <w:r w:rsidR="00E3232B" w:rsidRPr="000A2EE1">
        <w:rPr>
          <w:rFonts w:eastAsia="Calibri"/>
        </w:rPr>
        <w:tab/>
        <w:t>The provisions of (a) and (b) do not apply to vehicles which are empty of liquid or gaseous fuels,</w:t>
      </w:r>
    </w:p>
    <w:p w:rsidR="00E3232B" w:rsidRPr="000A2EE1" w:rsidRDefault="00E3232B" w:rsidP="00D962B3">
      <w:pPr>
        <w:pStyle w:val="SingleTxtG"/>
        <w:ind w:left="1985"/>
        <w:rPr>
          <w:b/>
          <w:i/>
        </w:rPr>
      </w:pPr>
      <w:r w:rsidRPr="000A2EE1">
        <w:rPr>
          <w:b/>
          <w:i/>
        </w:rPr>
        <w:t>NOTE 1:</w:t>
      </w:r>
      <w:r w:rsidRPr="000A2EE1">
        <w:rPr>
          <w:i/>
        </w:rPr>
        <w:t xml:space="preserve"> A vehicle is considered to be empty of liquid fuel when the liquid fuel tank has been drained and the vehicle cannot be operated due to a lack of fuel. Vehicle components such as fuel lines, fuel filters and injectors do not need to be cleaned, drained or purged to be considered empty of liquid fuels. In addition, the liquid fuel tank does not need to be cleaned or purged.</w:t>
      </w:r>
    </w:p>
    <w:p w:rsidR="00E3232B" w:rsidRPr="000A2EE1" w:rsidRDefault="00E3232B" w:rsidP="00D962B3">
      <w:pPr>
        <w:pStyle w:val="SingleTxtG"/>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1985"/>
        <w:rPr>
          <w:i/>
        </w:rPr>
      </w:pPr>
      <w:r w:rsidRPr="000A2EE1">
        <w:rPr>
          <w:b/>
          <w:i/>
        </w:rPr>
        <w:t>NOTE 2:</w:t>
      </w:r>
      <w:r w:rsidRPr="000A2EE1">
        <w:rPr>
          <w:i/>
        </w:rPr>
        <w:t xml:space="preserve"> A vehicle is considered to be empty of gaseous fuels when the gaseous fuel tanks are empty of liquid (for liquefied gases), the pressure in the tanks does not exceed 2 bar and the fuel shut-off or isolation valve is closed and secured.</w:t>
      </w:r>
      <w:r w:rsidRPr="000A2EE1">
        <w:t>”.</w:t>
      </w:r>
    </w:p>
    <w:p w:rsidR="00E3232B" w:rsidRPr="000A2EE1" w:rsidRDefault="00E3232B" w:rsidP="00E3232B">
      <w:pPr>
        <w:pStyle w:val="SingleTxtG"/>
      </w:pPr>
      <w:r w:rsidRPr="000A2EE1">
        <w:t>Footnote * does not apply to the English text.</w:t>
      </w:r>
    </w:p>
    <w:p w:rsidR="00E3232B" w:rsidRPr="000A2EE1" w:rsidRDefault="00E3232B" w:rsidP="00E3232B">
      <w:pPr>
        <w:pStyle w:val="SingleTxtG"/>
      </w:pPr>
      <w:r w:rsidRPr="000A2EE1">
        <w:rPr>
          <w:bCs/>
        </w:rPr>
        <w:t>“667</w:t>
      </w:r>
      <w:r w:rsidRPr="000A2EE1">
        <w:tab/>
        <w:t>(a) The requirements of 2.2.9.1.7 (a) do not apply when pre-production prototype lithium cells or batteries or lithium cells or batteries of a small production run, consisting of not more than 100 cells or batteries, are installed in the vehicle, engine or machinery;</w:t>
      </w:r>
    </w:p>
    <w:p w:rsidR="00E3232B" w:rsidRPr="000A2EE1" w:rsidRDefault="00F63D69" w:rsidP="00E3232B">
      <w:pPr>
        <w:pStyle w:val="SingleTxtG"/>
      </w:pPr>
      <w:r w:rsidRPr="000A2EE1">
        <w:tab/>
      </w:r>
      <w:r w:rsidR="00E3232B" w:rsidRPr="000A2EE1">
        <w:t>(b)</w:t>
      </w:r>
      <w:r w:rsidR="00E3232B" w:rsidRPr="000A2EE1">
        <w:tab/>
        <w:t>The requirements of 2.2.9.1.7 do not apply to lithium cells or batteries installed in damaged or defective vehicles, engine or machinery. In such cases the following conditions shall be met:</w:t>
      </w:r>
    </w:p>
    <w:p w:rsidR="00E3232B" w:rsidRPr="000A2EE1" w:rsidRDefault="00E3232B" w:rsidP="00F63D69">
      <w:pPr>
        <w:pStyle w:val="SingleTxtG"/>
        <w:ind w:left="2694" w:hanging="425"/>
      </w:pPr>
      <w:r w:rsidRPr="000A2EE1">
        <w:t>(i)</w:t>
      </w:r>
      <w:r w:rsidRPr="000A2EE1">
        <w:tab/>
        <w:t>If the damage or defect has no significant impact on the safety of the cell or battery, damaged and defective vehicles, engines or machinery, may be carried under the conditions defined in special provisions 363 or 666, as appropriate;</w:t>
      </w:r>
    </w:p>
    <w:p w:rsidR="00E3232B" w:rsidRPr="000A2EE1" w:rsidRDefault="00E3232B" w:rsidP="00F63D69">
      <w:pPr>
        <w:pStyle w:val="SingleTxtG"/>
        <w:ind w:left="2694" w:hanging="425"/>
      </w:pPr>
      <w:r w:rsidRPr="000A2EE1">
        <w:t>(ii)</w:t>
      </w:r>
      <w:r w:rsidRPr="000A2EE1">
        <w:tab/>
        <w:t>If the damage or defect has a significant impact on the safety of the cell or battery, the lithium cell or battery shall be removed and carried according to special provision 376.</w:t>
      </w:r>
    </w:p>
    <w:p w:rsidR="00E3232B" w:rsidRPr="000A2EE1" w:rsidRDefault="00F63D69" w:rsidP="00F63D69">
      <w:pPr>
        <w:pStyle w:val="SingleTxtG"/>
        <w:ind w:left="2694" w:hanging="425"/>
      </w:pPr>
      <w:r w:rsidRPr="000A2EE1">
        <w:tab/>
      </w:r>
      <w:r w:rsidR="00E3232B" w:rsidRPr="000A2EE1">
        <w:t>However if it is not possible to safely remove the cell or battery or it is not possible to verify the status of the cell or battery, the vehicle, engine or machinery may be towed or carried as specified in (i).</w:t>
      </w:r>
      <w:r w:rsidR="00791E53" w:rsidRPr="000A2EE1">
        <w:t>”</w:t>
      </w:r>
      <w:r w:rsidR="00E3232B" w:rsidRPr="000A2EE1">
        <w:t xml:space="preserve">. </w:t>
      </w:r>
    </w:p>
    <w:p w:rsidR="00E3232B" w:rsidRPr="000A2EE1" w:rsidRDefault="00AB25C6" w:rsidP="00E3232B">
      <w:pPr>
        <w:pStyle w:val="SingleTxtG"/>
      </w:pPr>
      <w:r w:rsidRPr="000A2EE1">
        <w:t xml:space="preserve"> </w:t>
      </w:r>
      <w:r w:rsidR="00E3232B" w:rsidRPr="000A2EE1">
        <w:t>“668</w:t>
      </w:r>
      <w:r w:rsidR="00E3232B" w:rsidRPr="000A2EE1">
        <w:tab/>
        <w:t>Elevated temperature substances for the purpose of applying road markings are not subject to the requirements of ADR, provided that the following conditions are met:</w:t>
      </w:r>
    </w:p>
    <w:p w:rsidR="00E3232B" w:rsidRPr="000A2EE1" w:rsidRDefault="00F63D69" w:rsidP="004111B0">
      <w:pPr>
        <w:pStyle w:val="SingleTxtG"/>
        <w:tabs>
          <w:tab w:val="left" w:pos="1701"/>
          <w:tab w:val="left" w:pos="1985"/>
          <w:tab w:val="left" w:pos="2268"/>
        </w:tabs>
        <w:ind w:left="1985" w:hanging="851"/>
        <w:rPr>
          <w:bCs/>
        </w:rPr>
      </w:pPr>
      <w:r w:rsidRPr="000A2EE1">
        <w:rPr>
          <w:bCs/>
        </w:rPr>
        <w:tab/>
        <w:t>(a)</w:t>
      </w:r>
      <w:r w:rsidRPr="000A2EE1">
        <w:rPr>
          <w:bCs/>
        </w:rPr>
        <w:tab/>
      </w:r>
      <w:r w:rsidR="00E3232B" w:rsidRPr="000A2EE1">
        <w:rPr>
          <w:bCs/>
        </w:rPr>
        <w:t>They do not fulfil the criteria of any class other than Class 9;</w:t>
      </w:r>
    </w:p>
    <w:p w:rsidR="00E3232B" w:rsidRPr="000A2EE1" w:rsidRDefault="00F63D69" w:rsidP="004111B0">
      <w:pPr>
        <w:pStyle w:val="SingleTxtG"/>
        <w:tabs>
          <w:tab w:val="left" w:pos="1701"/>
          <w:tab w:val="left" w:pos="1985"/>
          <w:tab w:val="left" w:pos="2268"/>
        </w:tabs>
        <w:ind w:left="1985" w:hanging="851"/>
        <w:rPr>
          <w:bCs/>
        </w:rPr>
      </w:pPr>
      <w:r w:rsidRPr="000A2EE1">
        <w:rPr>
          <w:bCs/>
        </w:rPr>
        <w:tab/>
        <w:t>(b)</w:t>
      </w:r>
      <w:r w:rsidRPr="000A2EE1">
        <w:rPr>
          <w:bCs/>
        </w:rPr>
        <w:tab/>
      </w:r>
      <w:r w:rsidR="00E3232B" w:rsidRPr="000A2EE1">
        <w:t xml:space="preserve">The temperature of the outer surface of the boiler does not exceed 70 </w:t>
      </w:r>
      <w:r w:rsidR="00E3232B" w:rsidRPr="000A2EE1">
        <w:rPr>
          <w:rFonts w:ascii="Cambria Math" w:hAnsi="Cambria Math"/>
        </w:rPr>
        <w:t>℃</w:t>
      </w:r>
      <w:r w:rsidR="00E3232B" w:rsidRPr="000A2EE1">
        <w:t>;</w:t>
      </w:r>
    </w:p>
    <w:p w:rsidR="00E3232B" w:rsidRPr="000A2EE1" w:rsidRDefault="00F63D69" w:rsidP="004111B0">
      <w:pPr>
        <w:pStyle w:val="SingleTxtG"/>
        <w:tabs>
          <w:tab w:val="left" w:pos="1701"/>
          <w:tab w:val="left" w:pos="1985"/>
          <w:tab w:val="left" w:pos="2268"/>
        </w:tabs>
        <w:ind w:left="1985" w:hanging="851"/>
        <w:rPr>
          <w:bCs/>
        </w:rPr>
      </w:pPr>
      <w:r w:rsidRPr="000A2EE1">
        <w:rPr>
          <w:bCs/>
        </w:rPr>
        <w:tab/>
        <w:t>(c)</w:t>
      </w:r>
      <w:r w:rsidRPr="000A2EE1">
        <w:rPr>
          <w:bCs/>
        </w:rPr>
        <w:tab/>
      </w:r>
      <w:r w:rsidR="00E3232B" w:rsidRPr="000A2EE1">
        <w:t>The boiler is closed in such a way that any loss of product is prevented during carriage;</w:t>
      </w:r>
    </w:p>
    <w:p w:rsidR="00E3232B" w:rsidRPr="000A2EE1" w:rsidRDefault="00F63D69" w:rsidP="004111B0">
      <w:pPr>
        <w:pStyle w:val="SingleTxtG"/>
        <w:tabs>
          <w:tab w:val="left" w:pos="1701"/>
          <w:tab w:val="left" w:pos="1985"/>
          <w:tab w:val="left" w:pos="2268"/>
        </w:tabs>
        <w:ind w:left="1985" w:hanging="851"/>
        <w:rPr>
          <w:bCs/>
        </w:rPr>
      </w:pPr>
      <w:r w:rsidRPr="000A2EE1">
        <w:rPr>
          <w:bCs/>
        </w:rPr>
        <w:tab/>
        <w:t>(d)</w:t>
      </w:r>
      <w:r w:rsidRPr="000A2EE1">
        <w:rPr>
          <w:bCs/>
        </w:rPr>
        <w:tab/>
      </w:r>
      <w:r w:rsidR="00E3232B" w:rsidRPr="000A2EE1">
        <w:t>The maximum capacity of the boiler is limited to 3 000</w:t>
      </w:r>
      <w:r w:rsidR="00E3232B" w:rsidRPr="000A2EE1">
        <w:rPr>
          <w:i/>
        </w:rPr>
        <w:t xml:space="preserve"> l</w:t>
      </w:r>
      <w:r w:rsidR="00E3232B" w:rsidRPr="000A2EE1">
        <w:rPr>
          <w:bCs/>
        </w:rPr>
        <w:t>.”.</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3.4</w:t>
      </w:r>
    </w:p>
    <w:p w:rsidR="00605E2A" w:rsidRPr="000A2EE1" w:rsidRDefault="00605E2A" w:rsidP="004111B0">
      <w:pPr>
        <w:pStyle w:val="SingleTxtG"/>
        <w:tabs>
          <w:tab w:val="left" w:pos="1701"/>
          <w:tab w:val="left" w:pos="1985"/>
          <w:tab w:val="left" w:pos="2268"/>
        </w:tabs>
        <w:rPr>
          <w:rFonts w:ascii="Times New Roman Bold" w:hAnsi="Times New Roman Bold"/>
        </w:rPr>
      </w:pPr>
      <w:r w:rsidRPr="000A2EE1">
        <w:rPr>
          <w:rFonts w:ascii="TimesNewRomanPSMT" w:hAnsi="TimesNewRomanPSMT" w:cs="TimesNewRomanPSMT"/>
          <w:lang w:eastAsia="fr-FR"/>
        </w:rPr>
        <w:t>3.4.1 (e)</w:t>
      </w:r>
      <w:r w:rsidR="00F05045" w:rsidRPr="000A2EE1">
        <w:rPr>
          <w:rFonts w:ascii="TimesNewRomanPSMT" w:hAnsi="TimesNewRomanPSMT" w:cs="TimesNewRomanPSMT"/>
          <w:lang w:eastAsia="fr-FR"/>
        </w:rPr>
        <w:tab/>
      </w:r>
      <w:r w:rsidRPr="000A2EE1">
        <w:rPr>
          <w:rFonts w:ascii="TimesNewRomanPSMT" w:hAnsi="TimesNewRomanPSMT" w:cs="TimesNewRomanPSMT"/>
          <w:lang w:eastAsia="fr-FR"/>
        </w:rPr>
        <w:t>Replace “5.2.1.9” by “5.2.1.10”.</w:t>
      </w:r>
    </w:p>
    <w:p w:rsidR="00E3232B" w:rsidRPr="000A2EE1" w:rsidRDefault="00E3232B" w:rsidP="004111B0">
      <w:pPr>
        <w:pStyle w:val="SingleTxtG"/>
        <w:tabs>
          <w:tab w:val="left" w:pos="1701"/>
          <w:tab w:val="left" w:pos="1985"/>
          <w:tab w:val="left" w:pos="2268"/>
        </w:tabs>
      </w:pPr>
      <w:r w:rsidRPr="000A2EE1">
        <w:t>3.4.7</w:t>
      </w:r>
      <w:r w:rsidRPr="000A2EE1">
        <w:tab/>
        <w:t>In the heading, replace “Marking for” by “Marking of”.</w:t>
      </w:r>
    </w:p>
    <w:p w:rsidR="00E3232B" w:rsidRPr="000A2EE1" w:rsidRDefault="00E3232B" w:rsidP="004111B0">
      <w:pPr>
        <w:pStyle w:val="SingleTxtG"/>
        <w:tabs>
          <w:tab w:val="left" w:pos="1701"/>
          <w:tab w:val="left" w:pos="1985"/>
          <w:tab w:val="left" w:pos="2268"/>
        </w:tabs>
        <w:ind w:right="521"/>
        <w:rPr>
          <w:rFonts w:eastAsia="Calibri"/>
        </w:rPr>
      </w:pPr>
      <w:r w:rsidRPr="000A2EE1">
        <w:t>3.4.7.1</w:t>
      </w:r>
      <w:r w:rsidRPr="000A2EE1">
        <w:tab/>
      </w:r>
      <w:r w:rsidR="004111B0" w:rsidRPr="000A2EE1">
        <w:tab/>
      </w:r>
      <w:r w:rsidRPr="000A2EE1">
        <w:t>Replace “</w:t>
      </w:r>
      <w:r w:rsidRPr="000A2EE1">
        <w:rPr>
          <w:rFonts w:eastAsia="Calibri"/>
        </w:rPr>
        <w:t>marking”</w:t>
      </w:r>
      <w:r w:rsidRPr="000A2EE1">
        <w:t xml:space="preserve"> by “</w:t>
      </w:r>
      <w:r w:rsidRPr="000A2EE1">
        <w:rPr>
          <w:rFonts w:eastAsia="Calibri"/>
        </w:rPr>
        <w:t>mark” wherever it appears (4 times).</w:t>
      </w:r>
    </w:p>
    <w:p w:rsidR="00E3232B" w:rsidRPr="000A2EE1" w:rsidRDefault="00E3232B" w:rsidP="004111B0">
      <w:pPr>
        <w:pStyle w:val="SingleTxtG"/>
        <w:tabs>
          <w:tab w:val="left" w:pos="1701"/>
          <w:tab w:val="left" w:pos="1985"/>
          <w:tab w:val="left" w:pos="2268"/>
        </w:tabs>
        <w:ind w:right="521"/>
        <w:rPr>
          <w:rFonts w:eastAsia="Calibri"/>
        </w:rPr>
      </w:pPr>
      <w:r w:rsidRPr="000A2EE1">
        <w:t>3.4.7.2</w:t>
      </w:r>
      <w:r w:rsidRPr="000A2EE1">
        <w:tab/>
      </w:r>
      <w:r w:rsidR="004111B0" w:rsidRPr="000A2EE1">
        <w:tab/>
      </w:r>
      <w:r w:rsidRPr="000A2EE1">
        <w:t>At the end of the first sentence, replace “</w:t>
      </w:r>
      <w:r w:rsidRPr="000A2EE1">
        <w:rPr>
          <w:rFonts w:eastAsia="Calibri"/>
        </w:rPr>
        <w:t>marking”</w:t>
      </w:r>
      <w:r w:rsidRPr="000A2EE1">
        <w:t xml:space="preserve"> by “</w:t>
      </w:r>
      <w:r w:rsidRPr="000A2EE1">
        <w:rPr>
          <w:rFonts w:eastAsia="Calibri"/>
        </w:rPr>
        <w:t>mark”.</w:t>
      </w:r>
    </w:p>
    <w:p w:rsidR="00E3232B" w:rsidRPr="000A2EE1" w:rsidRDefault="00E3232B" w:rsidP="004111B0">
      <w:pPr>
        <w:pStyle w:val="SingleTxtG"/>
        <w:tabs>
          <w:tab w:val="left" w:pos="1701"/>
          <w:tab w:val="left" w:pos="1985"/>
          <w:tab w:val="left" w:pos="2268"/>
        </w:tabs>
      </w:pPr>
      <w:r w:rsidRPr="000A2EE1">
        <w:t>3.4.8</w:t>
      </w:r>
      <w:r w:rsidRPr="000A2EE1">
        <w:tab/>
        <w:t>In the heading, replace “Marking for” by “Marking of”.</w:t>
      </w:r>
    </w:p>
    <w:p w:rsidR="00E3232B" w:rsidRPr="000A2EE1" w:rsidRDefault="00E3232B" w:rsidP="004111B0">
      <w:pPr>
        <w:pStyle w:val="SingleTxtG"/>
        <w:tabs>
          <w:tab w:val="left" w:pos="1701"/>
          <w:tab w:val="left" w:pos="1985"/>
          <w:tab w:val="left" w:pos="2268"/>
        </w:tabs>
        <w:ind w:right="521"/>
        <w:rPr>
          <w:rFonts w:eastAsia="Calibri"/>
        </w:rPr>
      </w:pPr>
      <w:r w:rsidRPr="000A2EE1">
        <w:t>3.4.8.1</w:t>
      </w:r>
      <w:r w:rsidRPr="000A2EE1">
        <w:tab/>
      </w:r>
      <w:r w:rsidR="004111B0" w:rsidRPr="000A2EE1">
        <w:tab/>
      </w:r>
      <w:r w:rsidRPr="000A2EE1">
        <w:t>Replace “</w:t>
      </w:r>
      <w:r w:rsidRPr="000A2EE1">
        <w:rPr>
          <w:rFonts w:eastAsia="Calibri"/>
        </w:rPr>
        <w:t>marking”</w:t>
      </w:r>
      <w:r w:rsidRPr="000A2EE1">
        <w:t xml:space="preserve"> by “</w:t>
      </w:r>
      <w:r w:rsidRPr="000A2EE1">
        <w:rPr>
          <w:rFonts w:eastAsia="Calibri"/>
        </w:rPr>
        <w:t>mark” wherever it appears (4 times).</w:t>
      </w:r>
    </w:p>
    <w:p w:rsidR="00E3232B" w:rsidRPr="000A2EE1" w:rsidRDefault="00E3232B" w:rsidP="004111B0">
      <w:pPr>
        <w:pStyle w:val="SingleTxtG"/>
        <w:tabs>
          <w:tab w:val="left" w:pos="1701"/>
          <w:tab w:val="left" w:pos="1985"/>
          <w:tab w:val="left" w:pos="2268"/>
        </w:tabs>
        <w:ind w:right="521"/>
        <w:rPr>
          <w:rFonts w:eastAsia="Calibri"/>
        </w:rPr>
      </w:pPr>
      <w:r w:rsidRPr="000A2EE1">
        <w:t>3.4.8.2</w:t>
      </w:r>
      <w:r w:rsidRPr="000A2EE1">
        <w:tab/>
      </w:r>
      <w:r w:rsidR="004111B0" w:rsidRPr="000A2EE1">
        <w:tab/>
      </w:r>
      <w:r w:rsidRPr="000A2EE1">
        <w:t>At the end of the first sentence, replace “</w:t>
      </w:r>
      <w:r w:rsidRPr="000A2EE1">
        <w:rPr>
          <w:rFonts w:eastAsia="Calibri"/>
        </w:rPr>
        <w:t>marking”</w:t>
      </w:r>
      <w:r w:rsidRPr="000A2EE1">
        <w:t xml:space="preserve"> by “</w:t>
      </w:r>
      <w:r w:rsidRPr="000A2EE1">
        <w:rPr>
          <w:rFonts w:eastAsia="Calibri"/>
        </w:rPr>
        <w:t>mark”.</w:t>
      </w:r>
    </w:p>
    <w:p w:rsidR="00E3232B" w:rsidRPr="000A2EE1" w:rsidRDefault="00E3232B" w:rsidP="004111B0">
      <w:pPr>
        <w:pStyle w:val="SingleTxtG"/>
        <w:tabs>
          <w:tab w:val="left" w:pos="1701"/>
          <w:tab w:val="left" w:pos="1985"/>
          <w:tab w:val="left" w:pos="2268"/>
        </w:tabs>
        <w:rPr>
          <w:rFonts w:eastAsia="Calibri"/>
        </w:rPr>
      </w:pPr>
      <w:r w:rsidRPr="000A2EE1">
        <w:t>3.4.9</w:t>
      </w:r>
      <w:r w:rsidRPr="000A2EE1">
        <w:tab/>
        <w:t>Replace “</w:t>
      </w:r>
      <w:r w:rsidRPr="000A2EE1">
        <w:rPr>
          <w:rFonts w:eastAsia="Calibri"/>
        </w:rPr>
        <w:t>marking”</w:t>
      </w:r>
      <w:r w:rsidRPr="000A2EE1">
        <w:t xml:space="preserve"> by “</w:t>
      </w:r>
      <w:r w:rsidRPr="000A2EE1">
        <w:rPr>
          <w:rFonts w:eastAsia="Calibri"/>
        </w:rPr>
        <w:t xml:space="preserve">mark” (twice) and </w:t>
      </w:r>
      <w:r w:rsidRPr="000A2EE1">
        <w:t>“</w:t>
      </w:r>
      <w:r w:rsidRPr="000A2EE1">
        <w:rPr>
          <w:rFonts w:eastAsia="Calibri"/>
        </w:rPr>
        <w:t>markings”</w:t>
      </w:r>
      <w:r w:rsidRPr="000A2EE1">
        <w:t xml:space="preserve"> by “</w:t>
      </w:r>
      <w:r w:rsidRPr="000A2EE1">
        <w:rPr>
          <w:rFonts w:eastAsia="Calibri"/>
        </w:rPr>
        <w:t xml:space="preserve">marks”. </w:t>
      </w:r>
    </w:p>
    <w:p w:rsidR="00E3232B" w:rsidRPr="000A2EE1" w:rsidRDefault="00E3232B" w:rsidP="004111B0">
      <w:pPr>
        <w:pStyle w:val="SingleTxtG"/>
        <w:tabs>
          <w:tab w:val="left" w:pos="1701"/>
          <w:tab w:val="left" w:pos="1985"/>
          <w:tab w:val="left" w:pos="2268"/>
        </w:tabs>
        <w:ind w:right="521"/>
        <w:rPr>
          <w:rFonts w:eastAsia="Calibri"/>
        </w:rPr>
      </w:pPr>
      <w:r w:rsidRPr="000A2EE1">
        <w:t>3.4.10</w:t>
      </w:r>
      <w:r w:rsidRPr="000A2EE1">
        <w:tab/>
        <w:t>Replace “</w:t>
      </w:r>
      <w:r w:rsidRPr="000A2EE1">
        <w:rPr>
          <w:rFonts w:eastAsia="Calibri"/>
        </w:rPr>
        <w:t>marking”</w:t>
      </w:r>
      <w:r w:rsidRPr="000A2EE1">
        <w:t xml:space="preserve"> by “</w:t>
      </w:r>
      <w:r w:rsidRPr="000A2EE1">
        <w:rPr>
          <w:rFonts w:eastAsia="Calibri"/>
        </w:rPr>
        <w:t>mark”.</w:t>
      </w:r>
    </w:p>
    <w:p w:rsidR="00E3232B" w:rsidRPr="000A2EE1" w:rsidRDefault="00E3232B" w:rsidP="004111B0">
      <w:pPr>
        <w:pStyle w:val="SingleTxtG"/>
        <w:tabs>
          <w:tab w:val="left" w:pos="1701"/>
          <w:tab w:val="left" w:pos="1985"/>
          <w:tab w:val="left" w:pos="2127"/>
          <w:tab w:val="left" w:pos="2268"/>
        </w:tabs>
      </w:pPr>
      <w:r w:rsidRPr="000A2EE1">
        <w:t>3.4.11</w:t>
      </w:r>
      <w:r w:rsidRPr="000A2EE1">
        <w:tab/>
        <w:t>Amend to read as follows:</w:t>
      </w:r>
    </w:p>
    <w:p w:rsidR="00E3232B" w:rsidRPr="000A2EE1" w:rsidRDefault="00E3232B" w:rsidP="004111B0">
      <w:pPr>
        <w:pStyle w:val="SingleTxtG"/>
        <w:tabs>
          <w:tab w:val="left" w:pos="1701"/>
          <w:tab w:val="left" w:pos="1985"/>
          <w:tab w:val="left" w:pos="2127"/>
          <w:tab w:val="left" w:pos="2268"/>
        </w:tabs>
        <w:rPr>
          <w:b/>
        </w:rPr>
      </w:pPr>
      <w:r w:rsidRPr="000A2EE1">
        <w:t>“</w:t>
      </w:r>
      <w:r w:rsidRPr="000A2EE1">
        <w:rPr>
          <w:b/>
        </w:rPr>
        <w:t>3.4.11</w:t>
      </w:r>
      <w:r w:rsidRPr="000A2EE1">
        <w:tab/>
      </w:r>
      <w:r w:rsidRPr="000A2EE1">
        <w:rPr>
          <w:b/>
        </w:rPr>
        <w:t>Use of overpacks</w:t>
      </w:r>
    </w:p>
    <w:p w:rsidR="00E3232B" w:rsidRPr="000A2EE1" w:rsidRDefault="00203E3E" w:rsidP="004111B0">
      <w:pPr>
        <w:pStyle w:val="SingleTxtG"/>
        <w:tabs>
          <w:tab w:val="left" w:pos="1701"/>
          <w:tab w:val="left" w:pos="1985"/>
          <w:tab w:val="left" w:pos="2268"/>
        </w:tabs>
        <w:spacing w:line="240" w:lineRule="auto"/>
      </w:pPr>
      <w:r w:rsidRPr="000A2EE1">
        <w:tab/>
      </w:r>
      <w:r w:rsidR="004111B0" w:rsidRPr="000A2EE1">
        <w:tab/>
      </w:r>
      <w:r w:rsidR="00E3232B" w:rsidRPr="000A2EE1">
        <w:t>For an overpack containing dangerous goods packed in limited quantities, the following applies:</w:t>
      </w:r>
    </w:p>
    <w:p w:rsidR="00E3232B" w:rsidRPr="000A2EE1" w:rsidRDefault="00203E3E" w:rsidP="004111B0">
      <w:pPr>
        <w:pStyle w:val="SingleTxtG"/>
        <w:tabs>
          <w:tab w:val="left" w:pos="1701"/>
          <w:tab w:val="left" w:pos="1985"/>
          <w:tab w:val="left" w:pos="2268"/>
        </w:tabs>
        <w:spacing w:line="240" w:lineRule="auto"/>
      </w:pPr>
      <w:r w:rsidRPr="000A2EE1">
        <w:tab/>
      </w:r>
      <w:r w:rsidR="004111B0" w:rsidRPr="000A2EE1">
        <w:tab/>
      </w:r>
      <w:r w:rsidR="00E3232B" w:rsidRPr="000A2EE1">
        <w:t>Unless the marks representative of all dangerous goods in an overpack are visible, the overpack shall be:</w:t>
      </w:r>
    </w:p>
    <w:p w:rsidR="00E3232B" w:rsidRPr="000A2EE1" w:rsidRDefault="00203E3E" w:rsidP="004111B0">
      <w:pPr>
        <w:pStyle w:val="SingleTxtG"/>
        <w:tabs>
          <w:tab w:val="left" w:pos="1701"/>
          <w:tab w:val="left" w:pos="1985"/>
          <w:tab w:val="left" w:pos="2268"/>
        </w:tabs>
        <w:spacing w:line="240" w:lineRule="auto"/>
      </w:pPr>
      <w:r w:rsidRPr="000A2EE1">
        <w:tab/>
      </w:r>
      <w:r w:rsidR="004111B0" w:rsidRPr="000A2EE1">
        <w:tab/>
      </w:r>
      <w:r w:rsidR="00E3232B" w:rsidRPr="000A2EE1">
        <w:t>–</w:t>
      </w:r>
      <w:r w:rsidR="00E3232B" w:rsidRPr="000A2EE1">
        <w:tab/>
        <w:t>marked with the word “OVERPACK”. The lettering of the “OVERPACK” mark shall be at least 12 mm high. The mark shall be in an official language of the country of origin and also, if that language is not English, French or German, in English, French or German, unless agreements, if any, concluded between the countries concerned in the transport operation provide otherwise; and</w:t>
      </w:r>
    </w:p>
    <w:p w:rsidR="00E3232B" w:rsidRPr="000A2EE1" w:rsidRDefault="00203E3E" w:rsidP="004111B0">
      <w:pPr>
        <w:pStyle w:val="SingleTxtG"/>
        <w:tabs>
          <w:tab w:val="left" w:pos="1701"/>
          <w:tab w:val="left" w:pos="1985"/>
          <w:tab w:val="left" w:pos="2268"/>
        </w:tabs>
        <w:spacing w:line="240" w:lineRule="auto"/>
      </w:pPr>
      <w:r w:rsidRPr="000A2EE1">
        <w:tab/>
      </w:r>
      <w:r w:rsidR="004111B0" w:rsidRPr="000A2EE1">
        <w:tab/>
      </w:r>
      <w:r w:rsidR="00E3232B" w:rsidRPr="000A2EE1">
        <w:t>–</w:t>
      </w:r>
      <w:r w:rsidR="00E3232B" w:rsidRPr="000A2EE1">
        <w:tab/>
        <w:t>marked with the marks required by this Chapter.</w:t>
      </w:r>
    </w:p>
    <w:p w:rsidR="00E3232B" w:rsidRPr="000A2EE1" w:rsidRDefault="00203E3E" w:rsidP="004111B0">
      <w:pPr>
        <w:pStyle w:val="SingleTxtG"/>
        <w:tabs>
          <w:tab w:val="left" w:pos="1701"/>
          <w:tab w:val="left" w:pos="1985"/>
          <w:tab w:val="left" w:pos="2268"/>
        </w:tabs>
        <w:spacing w:line="240" w:lineRule="auto"/>
      </w:pPr>
      <w:r w:rsidRPr="000A2EE1">
        <w:tab/>
      </w:r>
      <w:r w:rsidR="004111B0" w:rsidRPr="000A2EE1">
        <w:tab/>
      </w:r>
      <w:r w:rsidR="00E3232B" w:rsidRPr="000A2EE1">
        <w:t>Except for air transport, the other provisions of 5.1.2.1 apply only if other dangerous goods which are not packed in limited quantities are contained in the overpack and only in relation to these other dangerous goods.”.</w:t>
      </w:r>
    </w:p>
    <w:p w:rsidR="00E3232B" w:rsidRPr="000A2EE1" w:rsidRDefault="00E3232B" w:rsidP="004111B0">
      <w:pPr>
        <w:pStyle w:val="SingleTxtG"/>
        <w:tabs>
          <w:tab w:val="left" w:pos="1701"/>
          <w:tab w:val="left" w:pos="1985"/>
          <w:tab w:val="left" w:pos="2268"/>
        </w:tabs>
      </w:pPr>
      <w:r w:rsidRPr="000A2EE1">
        <w:t>3.4.13 (a)</w:t>
      </w:r>
      <w:r w:rsidRPr="000A2EE1">
        <w:tab/>
      </w:r>
      <w:r w:rsidRPr="000A2EE1">
        <w:rPr>
          <w:rFonts w:eastAsia="Calibri"/>
        </w:rPr>
        <w:t>Amend the end of the second sentence to read as follows: “…</w:t>
      </w:r>
      <w:r w:rsidRPr="000A2EE1">
        <w:t>and the marks in accordance with 3.4.15.”.</w:t>
      </w:r>
    </w:p>
    <w:p w:rsidR="00E3232B" w:rsidRPr="000A2EE1" w:rsidRDefault="00E3232B" w:rsidP="004111B0">
      <w:pPr>
        <w:pStyle w:val="SingleTxtG"/>
        <w:tabs>
          <w:tab w:val="left" w:pos="1701"/>
          <w:tab w:val="left" w:pos="1985"/>
          <w:tab w:val="left" w:pos="2268"/>
        </w:tabs>
      </w:pPr>
      <w:r w:rsidRPr="000A2EE1">
        <w:t>3.4.13 (b)</w:t>
      </w:r>
      <w:r w:rsidRPr="000A2EE1">
        <w:tab/>
      </w:r>
      <w:r w:rsidRPr="000A2EE1">
        <w:rPr>
          <w:rFonts w:eastAsia="Calibri"/>
        </w:rPr>
        <w:t>Amend the end of the first paragraph to read as follows: “…</w:t>
      </w:r>
      <w:r w:rsidRPr="000A2EE1">
        <w:t>and the marks in accordance with 3.4.15.”. In the second paragraph, replace “marking affixed to the container is” by “marks affixed to the container are” and at the end, replace “markings” by “marks”.</w:t>
      </w:r>
    </w:p>
    <w:p w:rsidR="00E3232B" w:rsidRPr="000A2EE1" w:rsidRDefault="00E3232B" w:rsidP="004111B0">
      <w:pPr>
        <w:pStyle w:val="SingleTxtG"/>
        <w:tabs>
          <w:tab w:val="left" w:pos="1701"/>
          <w:tab w:val="left" w:pos="1985"/>
          <w:tab w:val="left" w:pos="2127"/>
          <w:tab w:val="left" w:pos="2268"/>
          <w:tab w:val="left" w:pos="2694"/>
        </w:tabs>
      </w:pPr>
      <w:r w:rsidRPr="000A2EE1">
        <w:t>3.4.14</w:t>
      </w:r>
      <w:r w:rsidRPr="000A2EE1">
        <w:tab/>
      </w:r>
      <w:r w:rsidR="004111B0" w:rsidRPr="000A2EE1">
        <w:tab/>
      </w:r>
      <w:r w:rsidRPr="000A2EE1">
        <w:t>Replace “</w:t>
      </w:r>
      <w:r w:rsidRPr="000A2EE1">
        <w:rPr>
          <w:rFonts w:eastAsia="Calibri"/>
        </w:rPr>
        <w:t>Markings”</w:t>
      </w:r>
      <w:r w:rsidRPr="000A2EE1">
        <w:t xml:space="preserve"> by “The m</w:t>
      </w:r>
      <w:r w:rsidRPr="000A2EE1">
        <w:rPr>
          <w:rFonts w:eastAsia="Calibri"/>
        </w:rPr>
        <w:t>arks”.</w:t>
      </w:r>
    </w:p>
    <w:p w:rsidR="00E3232B" w:rsidRPr="000A2EE1" w:rsidRDefault="00E3232B" w:rsidP="004111B0">
      <w:pPr>
        <w:pStyle w:val="SingleTxtG"/>
        <w:tabs>
          <w:tab w:val="left" w:pos="1701"/>
          <w:tab w:val="left" w:pos="1985"/>
          <w:tab w:val="left" w:pos="2268"/>
        </w:tabs>
      </w:pPr>
      <w:r w:rsidRPr="000A2EE1">
        <w:t>3.4.15</w:t>
      </w:r>
      <w:r w:rsidRPr="000A2EE1">
        <w:tab/>
      </w:r>
      <w:r w:rsidRPr="000A2EE1">
        <w:tab/>
        <w:t xml:space="preserve">Amend to read as follows: </w:t>
      </w:r>
    </w:p>
    <w:p w:rsidR="00E3232B" w:rsidRPr="000A2EE1" w:rsidRDefault="00E3232B" w:rsidP="004111B0">
      <w:pPr>
        <w:pStyle w:val="SingleTxtG"/>
        <w:tabs>
          <w:tab w:val="left" w:pos="1701"/>
          <w:tab w:val="left" w:pos="1985"/>
          <w:tab w:val="left" w:pos="2268"/>
        </w:tabs>
      </w:pPr>
      <w:r w:rsidRPr="000A2EE1">
        <w:t>“3.4.15</w:t>
      </w:r>
      <w:r w:rsidRPr="000A2EE1">
        <w:tab/>
        <w:t>The marks specified in 3.4.13 shall be the same as the one required in 3.4.7, except that their minimum dimensions shall be 250 mm x 250 mm. These marks shall be removed or covered if no dangerous goods in limited quantities are carried.”.</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3.5</w:t>
      </w:r>
    </w:p>
    <w:p w:rsidR="00E3232B" w:rsidRPr="000A2EE1" w:rsidRDefault="00E3232B" w:rsidP="004111B0">
      <w:pPr>
        <w:pStyle w:val="SingleTxtG"/>
        <w:tabs>
          <w:tab w:val="left" w:pos="1701"/>
          <w:tab w:val="left" w:pos="1985"/>
          <w:tab w:val="left" w:pos="2268"/>
        </w:tabs>
      </w:pPr>
      <w:r w:rsidRPr="000A2EE1">
        <w:t>3.5.2 (b)</w:t>
      </w:r>
      <w:r w:rsidRPr="000A2EE1">
        <w:tab/>
        <w:t>After the first sentence, amend the remainder of sub-paragraph (b) to read as follows:</w:t>
      </w:r>
    </w:p>
    <w:p w:rsidR="00E3232B" w:rsidRPr="000A2EE1" w:rsidRDefault="00E3232B" w:rsidP="004111B0">
      <w:pPr>
        <w:pStyle w:val="SingleTxtG"/>
        <w:tabs>
          <w:tab w:val="left" w:pos="1701"/>
          <w:tab w:val="left" w:pos="1985"/>
          <w:tab w:val="left" w:pos="2268"/>
        </w:tabs>
      </w:pPr>
      <w:r w:rsidRPr="000A2EE1">
        <w:t>“For liquid dangerous goods, the intermediate or outer packaging shall contain sufficient absorbent material to absorb the entire contents of the inner packagings. When placed in the intermediate packaging, the absorbent material may be the cushioning material. Dangerous goods shall not react dangerously with cushioning, absorbent material and packaging material or reduce the integrity or function of the materials. Regardless of its orientation, the package shall completely contain the contents in case of breakage or leakage;”.</w:t>
      </w:r>
    </w:p>
    <w:p w:rsidR="00E3232B" w:rsidRPr="000A2EE1" w:rsidRDefault="00E3232B" w:rsidP="004111B0">
      <w:pPr>
        <w:pStyle w:val="SingleTxtG"/>
        <w:tabs>
          <w:tab w:val="left" w:pos="1701"/>
          <w:tab w:val="left" w:pos="1985"/>
          <w:tab w:val="left" w:pos="2127"/>
          <w:tab w:val="left" w:pos="2268"/>
        </w:tabs>
      </w:pPr>
      <w:r w:rsidRPr="000A2EE1">
        <w:t>3.5.2 (e)</w:t>
      </w:r>
      <w:r w:rsidRPr="000A2EE1">
        <w:tab/>
        <w:t>Replace “markings” by “marks”.</w:t>
      </w:r>
    </w:p>
    <w:p w:rsidR="00E3232B" w:rsidRPr="000A2EE1" w:rsidRDefault="00E3232B" w:rsidP="004111B0">
      <w:pPr>
        <w:pStyle w:val="SingleTxtG"/>
        <w:tabs>
          <w:tab w:val="left" w:pos="1701"/>
          <w:tab w:val="left" w:pos="1985"/>
          <w:tab w:val="left" w:pos="2127"/>
          <w:tab w:val="left" w:pos="2268"/>
        </w:tabs>
        <w:rPr>
          <w:rFonts w:eastAsia="Calibri"/>
        </w:rPr>
      </w:pPr>
      <w:r w:rsidRPr="000A2EE1">
        <w:t>3.5.4.2</w:t>
      </w:r>
      <w:r w:rsidRPr="000A2EE1">
        <w:tab/>
      </w:r>
      <w:r w:rsidR="004111B0" w:rsidRPr="000A2EE1">
        <w:tab/>
      </w:r>
      <w:r w:rsidRPr="000A2EE1">
        <w:t>In the paragraph after the figure, replace “</w:t>
      </w:r>
      <w:r w:rsidRPr="000A2EE1">
        <w:rPr>
          <w:rFonts w:eastAsia="Calibri"/>
        </w:rPr>
        <w:t>marking”</w:t>
      </w:r>
      <w:r w:rsidRPr="000A2EE1">
        <w:t xml:space="preserve"> by “</w:t>
      </w:r>
      <w:r w:rsidRPr="000A2EE1">
        <w:rPr>
          <w:rFonts w:eastAsia="Calibri"/>
        </w:rPr>
        <w:t>mark”.</w:t>
      </w:r>
    </w:p>
    <w:p w:rsidR="00E3232B" w:rsidRPr="000A2EE1" w:rsidRDefault="00E3232B" w:rsidP="004111B0">
      <w:pPr>
        <w:pStyle w:val="SingleTxtG"/>
        <w:tabs>
          <w:tab w:val="left" w:pos="1701"/>
          <w:tab w:val="left" w:pos="1985"/>
          <w:tab w:val="left" w:pos="2127"/>
          <w:tab w:val="left" w:pos="2268"/>
        </w:tabs>
      </w:pPr>
      <w:r w:rsidRPr="000A2EE1">
        <w:t>3.5.4.3</w:t>
      </w:r>
      <w:r w:rsidRPr="000A2EE1">
        <w:tab/>
      </w:r>
      <w:r w:rsidR="004111B0" w:rsidRPr="000A2EE1">
        <w:tab/>
      </w:r>
      <w:r w:rsidRPr="000A2EE1">
        <w:t>Amend to read as follows:</w:t>
      </w:r>
    </w:p>
    <w:p w:rsidR="00E3232B" w:rsidRPr="000A2EE1" w:rsidRDefault="00E3232B" w:rsidP="004111B0">
      <w:pPr>
        <w:pStyle w:val="SingleTxtG"/>
        <w:tabs>
          <w:tab w:val="left" w:pos="1701"/>
          <w:tab w:val="left" w:pos="1985"/>
          <w:tab w:val="left" w:pos="2127"/>
          <w:tab w:val="left" w:pos="2268"/>
        </w:tabs>
        <w:rPr>
          <w:b/>
          <w:i/>
        </w:rPr>
      </w:pPr>
      <w:r w:rsidRPr="000A2EE1">
        <w:t>“</w:t>
      </w:r>
      <w:r w:rsidRPr="000A2EE1">
        <w:rPr>
          <w:b/>
        </w:rPr>
        <w:t>3.5.4.3</w:t>
      </w:r>
      <w:r w:rsidRPr="000A2EE1">
        <w:tab/>
      </w:r>
      <w:r w:rsidRPr="000A2EE1">
        <w:rPr>
          <w:b/>
          <w:i/>
        </w:rPr>
        <w:t>Use of overpacks</w:t>
      </w:r>
    </w:p>
    <w:p w:rsidR="00E3232B" w:rsidRPr="000A2EE1" w:rsidRDefault="00F4409B" w:rsidP="004111B0">
      <w:pPr>
        <w:pStyle w:val="SingleTxtG"/>
        <w:tabs>
          <w:tab w:val="left" w:pos="1701"/>
          <w:tab w:val="left" w:pos="1985"/>
          <w:tab w:val="left" w:pos="2268"/>
        </w:tabs>
      </w:pPr>
      <w:r w:rsidRPr="000A2EE1">
        <w:tab/>
      </w:r>
      <w:r w:rsidR="004111B0" w:rsidRPr="000A2EE1">
        <w:tab/>
      </w:r>
      <w:r w:rsidR="00E3232B" w:rsidRPr="000A2EE1">
        <w:t>For an overpack containing dangerous goods packed in excepted quantities, the following applies:</w:t>
      </w:r>
    </w:p>
    <w:p w:rsidR="00E3232B" w:rsidRPr="000A2EE1" w:rsidRDefault="00F4409B" w:rsidP="004111B0">
      <w:pPr>
        <w:pStyle w:val="SingleTxtG"/>
        <w:tabs>
          <w:tab w:val="left" w:pos="1701"/>
          <w:tab w:val="left" w:pos="1985"/>
          <w:tab w:val="left" w:pos="2268"/>
        </w:tabs>
      </w:pPr>
      <w:r w:rsidRPr="000A2EE1">
        <w:tab/>
      </w:r>
      <w:r w:rsidR="004111B0" w:rsidRPr="000A2EE1">
        <w:tab/>
      </w:r>
      <w:r w:rsidR="00E3232B" w:rsidRPr="000A2EE1">
        <w:t>Unless the marks representative of all dangerous goods in an overpack are visible, the overpack shall be:</w:t>
      </w:r>
    </w:p>
    <w:p w:rsidR="00E3232B" w:rsidRPr="000A2EE1" w:rsidRDefault="00F4409B" w:rsidP="004111B0">
      <w:pPr>
        <w:pStyle w:val="SingleTxtG"/>
        <w:tabs>
          <w:tab w:val="left" w:pos="1701"/>
          <w:tab w:val="left" w:pos="1985"/>
          <w:tab w:val="left" w:pos="2268"/>
        </w:tabs>
        <w:spacing w:line="240" w:lineRule="auto"/>
      </w:pPr>
      <w:r w:rsidRPr="000A2EE1">
        <w:tab/>
      </w:r>
      <w:r w:rsidR="004111B0" w:rsidRPr="000A2EE1">
        <w:tab/>
      </w:r>
      <w:r w:rsidR="00E3232B" w:rsidRPr="000A2EE1">
        <w:t>–</w:t>
      </w:r>
      <w:r w:rsidR="00E3232B" w:rsidRPr="000A2EE1">
        <w:tab/>
        <w:t>marked with the word “OVERPACK”. The lettering of the “OVERPACK” mark shall be at least 12 mm high. The mark shall be in an official language of the country of origin and also, if that language is not English, French or German, in English, French or German, unless agreements, if any, concluded between the countries concerned in the transport operation provide otherwise; and</w:t>
      </w:r>
    </w:p>
    <w:p w:rsidR="00E3232B" w:rsidRPr="000A2EE1" w:rsidRDefault="00F4409B" w:rsidP="004111B0">
      <w:pPr>
        <w:pStyle w:val="SingleTxtG"/>
        <w:tabs>
          <w:tab w:val="left" w:pos="1701"/>
          <w:tab w:val="left" w:pos="1985"/>
          <w:tab w:val="left" w:pos="2268"/>
        </w:tabs>
        <w:spacing w:line="240" w:lineRule="auto"/>
      </w:pPr>
      <w:r w:rsidRPr="000A2EE1">
        <w:tab/>
      </w:r>
      <w:r w:rsidR="004111B0" w:rsidRPr="000A2EE1">
        <w:tab/>
      </w:r>
      <w:r w:rsidR="00E3232B" w:rsidRPr="000A2EE1">
        <w:t>–</w:t>
      </w:r>
      <w:r w:rsidR="00E3232B" w:rsidRPr="000A2EE1">
        <w:tab/>
        <w:t xml:space="preserve">marked with the marks required by this Chapter. </w:t>
      </w:r>
    </w:p>
    <w:p w:rsidR="00E3232B" w:rsidRPr="000A2EE1" w:rsidRDefault="004111B0" w:rsidP="004111B0">
      <w:pPr>
        <w:pStyle w:val="SingleTxtG"/>
        <w:tabs>
          <w:tab w:val="left" w:pos="1701"/>
          <w:tab w:val="left" w:pos="1985"/>
          <w:tab w:val="left" w:pos="2268"/>
        </w:tabs>
      </w:pPr>
      <w:r w:rsidRPr="000A2EE1">
        <w:tab/>
      </w:r>
      <w:r w:rsidR="00F4409B" w:rsidRPr="000A2EE1">
        <w:tab/>
      </w:r>
      <w:r w:rsidR="00E3232B" w:rsidRPr="000A2EE1">
        <w:t>The other provisions of 5.1.2.1 apply only if other dangerous goods which are not packed in excepted quantities are contained in the overpack and only in relation to these other dangerous goods.”.</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4.1</w:t>
      </w:r>
    </w:p>
    <w:p w:rsidR="00E3232B" w:rsidRPr="000A2EE1" w:rsidRDefault="00E3232B" w:rsidP="004111B0">
      <w:pPr>
        <w:pStyle w:val="SingleTxtG"/>
        <w:tabs>
          <w:tab w:val="left" w:pos="1701"/>
          <w:tab w:val="left" w:pos="1985"/>
          <w:tab w:val="left" w:pos="2268"/>
        </w:tabs>
        <w:ind w:right="521"/>
      </w:pPr>
      <w:r w:rsidRPr="000A2EE1">
        <w:t>4.1.1</w:t>
      </w:r>
      <w:r w:rsidRPr="000A2EE1">
        <w:tab/>
        <w:t>In the NOTE, replace “LP02” by “LP200”.</w:t>
      </w:r>
    </w:p>
    <w:p w:rsidR="00E3232B" w:rsidRPr="000A2EE1" w:rsidRDefault="00E3232B" w:rsidP="004111B0">
      <w:pPr>
        <w:pStyle w:val="SingleTxtG"/>
        <w:tabs>
          <w:tab w:val="left" w:pos="1701"/>
          <w:tab w:val="left" w:pos="1985"/>
          <w:tab w:val="left" w:pos="2268"/>
        </w:tabs>
      </w:pPr>
      <w:r w:rsidRPr="000A2EE1">
        <w:t>4.1.1.1</w:t>
      </w:r>
      <w:r w:rsidRPr="000A2EE1">
        <w:tab/>
      </w:r>
      <w:r w:rsidRPr="000A2EE1">
        <w:tab/>
        <w:t>In the first sentence, replace “between transport units” by “between cargo transport units”, twice.</w:t>
      </w:r>
    </w:p>
    <w:p w:rsidR="00B566F3" w:rsidRPr="000A2EE1" w:rsidRDefault="00E3232B" w:rsidP="004111B0">
      <w:pPr>
        <w:pStyle w:val="SingleTxtG"/>
        <w:tabs>
          <w:tab w:val="left" w:pos="1701"/>
          <w:tab w:val="left" w:pos="1985"/>
          <w:tab w:val="left" w:pos="2268"/>
        </w:tabs>
        <w:rPr>
          <w:rFonts w:ascii="Times New Roman Bold" w:hAnsi="Times New Roman Bold"/>
        </w:rPr>
      </w:pPr>
      <w:r w:rsidRPr="000A2EE1">
        <w:t>4.1.1.5</w:t>
      </w:r>
      <w:r w:rsidR="00B566F3" w:rsidRPr="000A2EE1">
        <w:tab/>
      </w:r>
      <w:r w:rsidRPr="000A2EE1">
        <w:tab/>
        <w:t>In the second sentence, replace “markings” by “marks”.</w:t>
      </w:r>
      <w:r w:rsidR="00B566F3" w:rsidRPr="000A2EE1">
        <w:rPr>
          <w:rFonts w:ascii="TimesNewRomanPSMT" w:hAnsi="TimesNewRomanPSMT" w:cs="TimesNewRomanPSMT"/>
          <w:lang w:eastAsia="fr-FR"/>
        </w:rPr>
        <w:t xml:space="preserve"> Replace “5.2.1.9” by “5.2.1.10”.</w:t>
      </w:r>
    </w:p>
    <w:p w:rsidR="00E3232B" w:rsidRPr="000A2EE1" w:rsidRDefault="00E3232B" w:rsidP="004111B0">
      <w:pPr>
        <w:pStyle w:val="SingleTxtG"/>
        <w:tabs>
          <w:tab w:val="left" w:pos="1701"/>
          <w:tab w:val="left" w:pos="1985"/>
          <w:tab w:val="left" w:pos="2268"/>
        </w:tabs>
      </w:pPr>
      <w:r w:rsidRPr="000A2EE1">
        <w:t>4.1.1.12</w:t>
      </w:r>
      <w:r w:rsidRPr="000A2EE1">
        <w:tab/>
        <w:t>Amend the introductory sentence</w:t>
      </w:r>
      <w:r w:rsidRPr="000A2EE1" w:rsidDel="004E7901">
        <w:t xml:space="preserve"> </w:t>
      </w:r>
      <w:r w:rsidRPr="000A2EE1">
        <w:t>to read as follows:</w:t>
      </w:r>
    </w:p>
    <w:p w:rsidR="00E3232B" w:rsidRPr="000A2EE1" w:rsidRDefault="00E3232B" w:rsidP="004111B0">
      <w:pPr>
        <w:pStyle w:val="SingleTxtG"/>
        <w:tabs>
          <w:tab w:val="left" w:pos="1701"/>
          <w:tab w:val="left" w:pos="1985"/>
          <w:tab w:val="left" w:pos="2268"/>
        </w:tabs>
      </w:pPr>
      <w:r w:rsidRPr="000A2EE1">
        <w:t>“4.1.1.12</w:t>
      </w:r>
      <w:r w:rsidRPr="000A2EE1">
        <w:tab/>
        <w:t>Every packaging as specified in Chapter 6.1 intended to contain liquids shall successfully undergo a suitable leakproofness test. This test is part of a quality assurance programme as stipulated in 6.1.1.4 which shows the capability of meeting the appropriate test level indicated in 6.1.5.4.3:”.</w:t>
      </w:r>
    </w:p>
    <w:p w:rsidR="00E3232B" w:rsidRPr="000A2EE1" w:rsidRDefault="00E3232B" w:rsidP="004111B0">
      <w:pPr>
        <w:pStyle w:val="SingleTxtG"/>
        <w:tabs>
          <w:tab w:val="left" w:pos="1701"/>
          <w:tab w:val="left" w:pos="1985"/>
          <w:tab w:val="left" w:pos="2127"/>
          <w:tab w:val="left" w:pos="2268"/>
          <w:tab w:val="left" w:pos="2694"/>
          <w:tab w:val="left" w:pos="2835"/>
          <w:tab w:val="left" w:pos="2977"/>
          <w:tab w:val="left" w:pos="3119"/>
        </w:tabs>
      </w:pPr>
      <w:r w:rsidRPr="000A2EE1">
        <w:t>4.1.1.17</w:t>
      </w:r>
      <w:r w:rsidRPr="000A2EE1">
        <w:tab/>
        <w:t>Not applicable to the English text.</w:t>
      </w:r>
    </w:p>
    <w:p w:rsidR="00E3232B" w:rsidRPr="000A2EE1" w:rsidRDefault="00E3232B" w:rsidP="004111B0">
      <w:pPr>
        <w:pStyle w:val="SingleTxtG"/>
        <w:tabs>
          <w:tab w:val="left" w:pos="1701"/>
          <w:tab w:val="left" w:pos="1985"/>
          <w:tab w:val="left" w:pos="2268"/>
        </w:tabs>
      </w:pPr>
      <w:r w:rsidRPr="000A2EE1">
        <w:t>4.1.1.19.1</w:t>
      </w:r>
      <w:r w:rsidRPr="000A2EE1">
        <w:tab/>
      </w:r>
      <w:r w:rsidR="004111B0" w:rsidRPr="000A2EE1">
        <w:tab/>
      </w:r>
      <w:r w:rsidRPr="000A2EE1">
        <w:t xml:space="preserve">Amend the second sentence to read as follows: “This does not prevent the use of a larger size packaging </w:t>
      </w:r>
      <w:r w:rsidRPr="000A2EE1">
        <w:rPr>
          <w:bCs/>
        </w:rPr>
        <w:t xml:space="preserve">or large packaging </w:t>
      </w:r>
      <w:r w:rsidRPr="000A2EE1">
        <w:t>of appropriate type and performance level and under the conditions of 4.1.1.19.2 and 4.1.1.19.3.”.</w:t>
      </w:r>
    </w:p>
    <w:p w:rsidR="00E3232B" w:rsidRPr="000A2EE1" w:rsidRDefault="00E3232B" w:rsidP="004111B0">
      <w:pPr>
        <w:pStyle w:val="SingleTxtG"/>
        <w:tabs>
          <w:tab w:val="left" w:pos="1701"/>
          <w:tab w:val="left" w:pos="1985"/>
          <w:tab w:val="left" w:pos="2268"/>
        </w:tabs>
        <w:ind w:right="521"/>
      </w:pPr>
      <w:r w:rsidRPr="000A2EE1">
        <w:t>4.1.1.20.1</w:t>
      </w:r>
      <w:r w:rsidRPr="000A2EE1">
        <w:tab/>
      </w:r>
      <w:r w:rsidR="004111B0" w:rsidRPr="000A2EE1">
        <w:tab/>
      </w:r>
      <w:r w:rsidRPr="000A2EE1">
        <w:t>In the Note, replace “markings” by “marks”.</w:t>
      </w:r>
    </w:p>
    <w:p w:rsidR="00E3232B" w:rsidRPr="000A2EE1" w:rsidRDefault="00E3232B" w:rsidP="004111B0">
      <w:pPr>
        <w:pStyle w:val="SingleTxtG"/>
        <w:tabs>
          <w:tab w:val="left" w:pos="1701"/>
          <w:tab w:val="left" w:pos="1985"/>
          <w:tab w:val="left" w:pos="2268"/>
        </w:tabs>
      </w:pPr>
      <w:r w:rsidRPr="000A2EE1">
        <w:t>4.1.1.20.2</w:t>
      </w:r>
      <w:r w:rsidRPr="000A2EE1">
        <w:tab/>
      </w:r>
      <w:r w:rsidR="004111B0" w:rsidRPr="000A2EE1">
        <w:tab/>
      </w:r>
      <w:r w:rsidRPr="000A2EE1">
        <w:t>Add a second sentence to read as follows: “The maximum size of the placed pressure receptacle is limited to a water capacity of 1 000 litres.”. Add a penultimate sentence to read as follows: “In this case the total sum of water capacities of the placed pressure receptacles shall not exceed 1 000 litres.”.</w:t>
      </w:r>
    </w:p>
    <w:p w:rsidR="00E3232B" w:rsidRPr="000A2EE1" w:rsidRDefault="00E3232B" w:rsidP="004111B0">
      <w:pPr>
        <w:pStyle w:val="SingleTxtG"/>
        <w:tabs>
          <w:tab w:val="left" w:pos="1701"/>
          <w:tab w:val="left" w:pos="1985"/>
          <w:tab w:val="left" w:pos="2268"/>
        </w:tabs>
        <w:rPr>
          <w:iCs/>
          <w:snapToGrid w:val="0"/>
        </w:rPr>
      </w:pPr>
      <w:r w:rsidRPr="000A2EE1">
        <w:rPr>
          <w:iCs/>
          <w:snapToGrid w:val="0"/>
        </w:rPr>
        <w:t>4.1.1.21.6</w:t>
      </w:r>
      <w:r w:rsidR="00434CC5" w:rsidRPr="000A2EE1">
        <w:rPr>
          <w:iCs/>
          <w:snapToGrid w:val="0"/>
        </w:rPr>
        <w:tab/>
      </w:r>
      <w:r w:rsidR="004111B0" w:rsidRPr="000A2EE1">
        <w:rPr>
          <w:iCs/>
          <w:snapToGrid w:val="0"/>
        </w:rPr>
        <w:tab/>
      </w:r>
      <w:r w:rsidR="00434CC5" w:rsidRPr="000A2EE1">
        <w:rPr>
          <w:iCs/>
          <w:snapToGrid w:val="0"/>
        </w:rPr>
        <w:t>I</w:t>
      </w:r>
      <w:r w:rsidRPr="000A2EE1">
        <w:rPr>
          <w:iCs/>
          <w:snapToGrid w:val="0"/>
        </w:rPr>
        <w:t>n the Table</w:t>
      </w:r>
      <w:r w:rsidR="00434CC5" w:rsidRPr="000A2EE1">
        <w:rPr>
          <w:iCs/>
          <w:snapToGrid w:val="0"/>
        </w:rPr>
        <w:t xml:space="preserve">, </w:t>
      </w:r>
      <w:r w:rsidRPr="000A2EE1">
        <w:rPr>
          <w:iCs/>
          <w:snapToGrid w:val="0"/>
        </w:rPr>
        <w:t xml:space="preserve">for </w:t>
      </w:r>
      <w:r w:rsidR="00791E53" w:rsidRPr="000A2EE1">
        <w:rPr>
          <w:iCs/>
          <w:snapToGrid w:val="0"/>
        </w:rPr>
        <w:t>“</w:t>
      </w:r>
      <w:r w:rsidRPr="000A2EE1">
        <w:rPr>
          <w:iCs/>
          <w:snapToGrid w:val="0"/>
        </w:rPr>
        <w:t>1202 Diesel fuel</w:t>
      </w:r>
      <w:r w:rsidR="00791E53" w:rsidRPr="000A2EE1">
        <w:rPr>
          <w:iCs/>
          <w:snapToGrid w:val="0"/>
        </w:rPr>
        <w:t>”</w:t>
      </w:r>
      <w:r w:rsidRPr="000A2EE1">
        <w:rPr>
          <w:iCs/>
          <w:snapToGrid w:val="0"/>
        </w:rPr>
        <w:t xml:space="preserve"> and </w:t>
      </w:r>
      <w:r w:rsidR="00791E53" w:rsidRPr="000A2EE1">
        <w:rPr>
          <w:iCs/>
          <w:snapToGrid w:val="0"/>
        </w:rPr>
        <w:t>“</w:t>
      </w:r>
      <w:r w:rsidRPr="000A2EE1">
        <w:rPr>
          <w:iCs/>
          <w:snapToGrid w:val="0"/>
        </w:rPr>
        <w:t>1202 Heating oil, light</w:t>
      </w:r>
      <w:r w:rsidR="00791E53" w:rsidRPr="000A2EE1">
        <w:rPr>
          <w:iCs/>
          <w:snapToGrid w:val="0"/>
        </w:rPr>
        <w:t>”</w:t>
      </w:r>
      <w:r w:rsidRPr="000A2EE1">
        <w:rPr>
          <w:iCs/>
          <w:snapToGrid w:val="0"/>
        </w:rPr>
        <w:t xml:space="preserve">, </w:t>
      </w:r>
      <w:r w:rsidRPr="000A2EE1">
        <w:rPr>
          <w:lang w:eastAsia="de-DE"/>
        </w:rPr>
        <w:t xml:space="preserve">in column (2b) </w:t>
      </w:r>
      <w:r w:rsidRPr="000A2EE1">
        <w:rPr>
          <w:iCs/>
          <w:snapToGrid w:val="0"/>
        </w:rPr>
        <w:t xml:space="preserve">replace </w:t>
      </w:r>
      <w:r w:rsidR="00791E53" w:rsidRPr="000A2EE1">
        <w:rPr>
          <w:iCs/>
          <w:snapToGrid w:val="0"/>
        </w:rPr>
        <w:t>“</w:t>
      </w:r>
      <w:r w:rsidRPr="000A2EE1">
        <w:rPr>
          <w:lang w:eastAsia="de-DE"/>
        </w:rPr>
        <w:t>EN 590:2009 + A1:2010</w:t>
      </w:r>
      <w:r w:rsidR="00791E53" w:rsidRPr="000A2EE1">
        <w:rPr>
          <w:iCs/>
          <w:snapToGrid w:val="0"/>
        </w:rPr>
        <w:t>”</w:t>
      </w:r>
      <w:r w:rsidRPr="000A2EE1">
        <w:rPr>
          <w:iCs/>
          <w:snapToGrid w:val="0"/>
        </w:rPr>
        <w:t xml:space="preserve"> by </w:t>
      </w:r>
      <w:r w:rsidR="00791E53" w:rsidRPr="000A2EE1">
        <w:rPr>
          <w:iCs/>
          <w:snapToGrid w:val="0"/>
        </w:rPr>
        <w:t>“</w:t>
      </w:r>
      <w:r w:rsidRPr="000A2EE1">
        <w:rPr>
          <w:lang w:eastAsia="de-DE"/>
        </w:rPr>
        <w:t>EN 590:2013 + AC:2014</w:t>
      </w:r>
      <w:r w:rsidR="00791E53" w:rsidRPr="000A2EE1">
        <w:rPr>
          <w:lang w:eastAsia="de-DE"/>
        </w:rPr>
        <w:t>”</w:t>
      </w:r>
      <w:r w:rsidRPr="000A2EE1">
        <w:rPr>
          <w:lang w:eastAsia="de-DE"/>
        </w:rPr>
        <w:t>.</w:t>
      </w:r>
    </w:p>
    <w:p w:rsidR="00000551" w:rsidRPr="000A2EE1" w:rsidRDefault="00000551" w:rsidP="004111B0">
      <w:pPr>
        <w:pStyle w:val="SingleTxtG"/>
        <w:tabs>
          <w:tab w:val="left" w:pos="1701"/>
          <w:tab w:val="left" w:pos="1985"/>
          <w:tab w:val="left" w:pos="2268"/>
        </w:tabs>
        <w:rPr>
          <w:iCs/>
        </w:rPr>
      </w:pPr>
      <w:r w:rsidRPr="000A2EE1">
        <w:rPr>
          <w:bCs/>
          <w:lang w:eastAsia="fr-FR"/>
        </w:rPr>
        <w:t>4.1.1.21.6</w:t>
      </w:r>
      <w:r w:rsidRPr="000A2EE1">
        <w:rPr>
          <w:bCs/>
          <w:lang w:eastAsia="fr-FR"/>
        </w:rPr>
        <w:tab/>
      </w:r>
      <w:r w:rsidR="004111B0" w:rsidRPr="000A2EE1">
        <w:rPr>
          <w:bCs/>
          <w:lang w:eastAsia="fr-FR"/>
        </w:rPr>
        <w:tab/>
      </w:r>
      <w:r w:rsidRPr="000A2EE1">
        <w:rPr>
          <w:iCs/>
        </w:rPr>
        <w:t xml:space="preserve">In Table </w:t>
      </w:r>
      <w:r w:rsidRPr="000A2EE1">
        <w:rPr>
          <w:bCs/>
          <w:lang w:eastAsia="fr-FR"/>
        </w:rPr>
        <w:t xml:space="preserve">4.1.1.21.6, for UN No. 2815, amend the classification code to read </w:t>
      </w:r>
      <w:r w:rsidRPr="000A2EE1">
        <w:rPr>
          <w:iCs/>
        </w:rPr>
        <w:t>“CT1”.</w:t>
      </w:r>
    </w:p>
    <w:p w:rsidR="00E3232B" w:rsidRPr="000A2EE1" w:rsidRDefault="00E3232B" w:rsidP="004111B0">
      <w:pPr>
        <w:pStyle w:val="SingleTxtG"/>
        <w:tabs>
          <w:tab w:val="left" w:pos="1701"/>
          <w:tab w:val="left" w:pos="1985"/>
          <w:tab w:val="left" w:pos="2268"/>
        </w:tabs>
      </w:pPr>
      <w:r w:rsidRPr="000A2EE1">
        <w:t>4.1.2.4</w:t>
      </w:r>
      <w:r w:rsidRPr="000A2EE1">
        <w:tab/>
      </w:r>
      <w:r w:rsidR="004111B0" w:rsidRPr="000A2EE1">
        <w:tab/>
      </w:r>
      <w:r w:rsidRPr="000A2EE1">
        <w:t>At the end of the introductory sentence, before the subparagraphs, replace “marking” by “mark”.</w:t>
      </w:r>
    </w:p>
    <w:p w:rsidR="00E3232B" w:rsidRPr="000A2EE1" w:rsidRDefault="00E3232B" w:rsidP="004111B0">
      <w:pPr>
        <w:pStyle w:val="SingleTxtG"/>
        <w:tabs>
          <w:tab w:val="left" w:pos="1701"/>
          <w:tab w:val="left" w:pos="1985"/>
          <w:tab w:val="left" w:pos="2268"/>
        </w:tabs>
      </w:pPr>
      <w:r w:rsidRPr="000A2EE1">
        <w:t>4.1.3.8.1 (a)</w:t>
      </w:r>
      <w:r w:rsidRPr="000A2EE1">
        <w:tab/>
        <w:t>Replace “between transport units” by “between cargo transport units”, twice.</w:t>
      </w:r>
    </w:p>
    <w:p w:rsidR="00E3232B" w:rsidRPr="000A2EE1" w:rsidRDefault="00E3232B" w:rsidP="004111B0">
      <w:pPr>
        <w:pStyle w:val="SingleTxtG"/>
        <w:tabs>
          <w:tab w:val="left" w:pos="1701"/>
          <w:tab w:val="left" w:pos="1985"/>
          <w:tab w:val="left" w:pos="2268"/>
        </w:tabs>
      </w:pPr>
      <w:r w:rsidRPr="000A2EE1">
        <w:t>4.1.3.8.1 (e)</w:t>
      </w:r>
      <w:r w:rsidRPr="000A2EE1">
        <w:tab/>
        <w:t>Replace “or to the transport unit or container” by “or to the cargo transport unit”.</w:t>
      </w:r>
    </w:p>
    <w:p w:rsidR="00E3232B" w:rsidRPr="000A2EE1" w:rsidRDefault="00E3232B" w:rsidP="004111B0">
      <w:pPr>
        <w:pStyle w:val="SingleTxtG"/>
        <w:tabs>
          <w:tab w:val="left" w:pos="1701"/>
          <w:tab w:val="left" w:pos="1985"/>
          <w:tab w:val="left" w:pos="2268"/>
        </w:tabs>
        <w:rPr>
          <w:rFonts w:eastAsia="Calibri"/>
        </w:rPr>
      </w:pPr>
      <w:r w:rsidRPr="000A2EE1">
        <w:rPr>
          <w:rFonts w:eastAsia="Calibri"/>
        </w:rPr>
        <w:t>4.1.4.1</w:t>
      </w:r>
      <w:r w:rsidRPr="000A2EE1">
        <w:rPr>
          <w:rFonts w:eastAsia="Calibri"/>
        </w:rPr>
        <w:tab/>
      </w:r>
      <w:r w:rsidRPr="000A2EE1">
        <w:rPr>
          <w:rFonts w:eastAsia="Calibri"/>
        </w:rPr>
        <w:tab/>
      </w:r>
      <w:r w:rsidRPr="000A2EE1">
        <w:t>For packing instruction P001, add a new special packing provision “PP93” to read:</w:t>
      </w:r>
    </w:p>
    <w:p w:rsidR="00E3232B" w:rsidRPr="000A2EE1" w:rsidRDefault="00E3232B" w:rsidP="004111B0">
      <w:pPr>
        <w:pStyle w:val="SingleTxtG"/>
        <w:tabs>
          <w:tab w:val="left" w:pos="1701"/>
          <w:tab w:val="left" w:pos="1985"/>
          <w:tab w:val="left" w:pos="2268"/>
        </w:tabs>
      </w:pPr>
      <w:r w:rsidRPr="000A2EE1">
        <w:t>“PP93</w:t>
      </w:r>
      <w:r w:rsidRPr="000A2EE1">
        <w:tab/>
      </w:r>
      <w:r w:rsidRPr="000A2EE1">
        <w:tab/>
        <w:t>For UN Nos. 3532 and 3534, packagings shall be designed and constructed to permit the release of gas or vapour to prevent a build-up of pressure that could rupture the packagings in the event of loss of stabilization.”.</w:t>
      </w:r>
    </w:p>
    <w:p w:rsidR="00E3232B" w:rsidRPr="000A2EE1" w:rsidRDefault="00E3232B" w:rsidP="004111B0">
      <w:pPr>
        <w:pStyle w:val="SingleTxtG"/>
        <w:tabs>
          <w:tab w:val="left" w:pos="1701"/>
          <w:tab w:val="left" w:pos="1985"/>
          <w:tab w:val="left" w:pos="2268"/>
        </w:tabs>
      </w:pPr>
      <w:r w:rsidRPr="000A2EE1">
        <w:rPr>
          <w:rFonts w:eastAsia="Calibri"/>
        </w:rPr>
        <w:t>4.1.4.1</w:t>
      </w:r>
      <w:r w:rsidRPr="000A2EE1">
        <w:rPr>
          <w:rFonts w:eastAsia="Calibri"/>
        </w:rPr>
        <w:tab/>
      </w:r>
      <w:r w:rsidRPr="000A2EE1">
        <w:rPr>
          <w:rFonts w:eastAsia="Calibri"/>
        </w:rPr>
        <w:tab/>
      </w:r>
      <w:r w:rsidRPr="000A2EE1">
        <w:t>For packing instruction P002, add a new special packing provision “PP92” to read:</w:t>
      </w:r>
    </w:p>
    <w:p w:rsidR="00E3232B" w:rsidRPr="000A2EE1" w:rsidRDefault="00E3232B" w:rsidP="004111B0">
      <w:pPr>
        <w:pStyle w:val="SingleTxtG"/>
        <w:tabs>
          <w:tab w:val="left" w:pos="1701"/>
          <w:tab w:val="left" w:pos="1985"/>
          <w:tab w:val="left" w:pos="2268"/>
        </w:tabs>
      </w:pPr>
      <w:r w:rsidRPr="000A2EE1">
        <w:t>“PP92</w:t>
      </w:r>
      <w:r w:rsidRPr="000A2EE1">
        <w:tab/>
      </w:r>
      <w:r w:rsidRPr="000A2EE1">
        <w:tab/>
        <w:t>For UN Nos. 3531 and 3533, packagings shall be designed and constructed to permit the release of gas or vapour to prevent a build-up of pressure that could rupture the packagings in the event of loss of stabilization.”.</w:t>
      </w:r>
    </w:p>
    <w:p w:rsidR="00E3232B" w:rsidRPr="000A2EE1" w:rsidRDefault="00E3232B" w:rsidP="00E3232B">
      <w:pPr>
        <w:pStyle w:val="SingleTxtG"/>
      </w:pPr>
      <w:r w:rsidRPr="000A2EE1">
        <w:t>4.1.4.1, packing instructions P112 (c), P114 (b) and P406</w:t>
      </w:r>
      <w:r w:rsidRPr="000A2EE1">
        <w:tab/>
        <w:t>In special packing provision PP48, add a new last sentence to read as follows: “Packagings of other material with a small amount of metal, for example metal closures or other metal fittings such as those mentioned in 6.1.4, are not considered metal packagings.”.</w:t>
      </w:r>
    </w:p>
    <w:p w:rsidR="00E3232B" w:rsidRPr="000A2EE1" w:rsidRDefault="00E3232B" w:rsidP="00E3232B">
      <w:pPr>
        <w:pStyle w:val="SingleTxtG"/>
        <w:tabs>
          <w:tab w:val="left" w:pos="4253"/>
        </w:tabs>
      </w:pPr>
      <w:r w:rsidRPr="000A2EE1">
        <w:t>4.1.4.1, packing instruction P130</w:t>
      </w:r>
      <w:r w:rsidRPr="000A2EE1">
        <w:tab/>
        <w:t>In special packing provision PP67, replace “</w:t>
      </w:r>
      <w:r w:rsidRPr="000A2EE1">
        <w:rPr>
          <w:lang w:eastAsia="fr-FR"/>
        </w:rPr>
        <w:t>and 0502</w:t>
      </w:r>
      <w:r w:rsidRPr="000A2EE1">
        <w:t>” by “</w:t>
      </w:r>
      <w:r w:rsidRPr="000A2EE1">
        <w:rPr>
          <w:lang w:eastAsia="fr-FR"/>
        </w:rPr>
        <w:t>, 0502 and 0510</w:t>
      </w:r>
      <w:r w:rsidRPr="000A2EE1">
        <w:t>”.</w:t>
      </w:r>
    </w:p>
    <w:p w:rsidR="00E3232B" w:rsidRPr="000A2EE1" w:rsidRDefault="00E3232B" w:rsidP="00E3232B">
      <w:pPr>
        <w:pStyle w:val="SingleTxtG"/>
        <w:tabs>
          <w:tab w:val="left" w:pos="4111"/>
        </w:tabs>
      </w:pPr>
      <w:r w:rsidRPr="000A2EE1">
        <w:t>4.1.4.1, packing instruction P131</w:t>
      </w:r>
      <w:r w:rsidRPr="000A2EE1">
        <w:tab/>
        <w:t>Under “Outer packagings”, for “Boxes”, move the line “plastics, solid (4H2)” after “fibreboard (4G)”.</w:t>
      </w:r>
    </w:p>
    <w:p w:rsidR="00E3232B" w:rsidRPr="000A2EE1" w:rsidRDefault="00E3232B" w:rsidP="00E3232B">
      <w:pPr>
        <w:pStyle w:val="SingleTxtG"/>
        <w:tabs>
          <w:tab w:val="left" w:pos="4111"/>
        </w:tabs>
      </w:pPr>
      <w:r w:rsidRPr="000A2EE1">
        <w:t>4.1.4.1, packing instruction P137</w:t>
      </w:r>
      <w:r w:rsidRPr="000A2EE1">
        <w:tab/>
        <w:t>Under “Outer packagings”, for “Boxes”, move the line “plastics, solid (4H2)” after “fibreboard (4G)”.</w:t>
      </w:r>
    </w:p>
    <w:p w:rsidR="00E3232B" w:rsidRPr="000A2EE1" w:rsidRDefault="00E3232B" w:rsidP="00E3232B">
      <w:pPr>
        <w:pStyle w:val="SingleTxtG"/>
      </w:pPr>
      <w:r w:rsidRPr="000A2EE1">
        <w:t>4.1.4.1, packing instruction P137</w:t>
      </w:r>
      <w:r w:rsidRPr="000A2EE1">
        <w:tab/>
      </w:r>
      <w:r w:rsidR="004E3FB8" w:rsidRPr="000A2EE1">
        <w:tab/>
      </w:r>
      <w:r w:rsidRPr="000A2EE1">
        <w:t>In special packing provision PP70, replace “the package marked THIS SIDE UP” by “the package shall be marked in accordance with 5.2.1.10.1”.</w:t>
      </w:r>
    </w:p>
    <w:p w:rsidR="00E3232B" w:rsidRPr="000A2EE1" w:rsidRDefault="00E3232B" w:rsidP="00E3232B">
      <w:pPr>
        <w:pStyle w:val="SingleTxtG"/>
      </w:pPr>
      <w:r w:rsidRPr="000A2EE1">
        <w:t>4.1.4.1, packing instruction P200 (3) (d)</w:t>
      </w:r>
      <w:r w:rsidRPr="000A2EE1">
        <w:tab/>
      </w:r>
      <w:r w:rsidR="004E3FB8" w:rsidRPr="000A2EE1">
        <w:tab/>
      </w:r>
      <w:r w:rsidRPr="000A2EE1">
        <w:t>Amend the NOTE to read as follows:</w:t>
      </w:r>
    </w:p>
    <w:p w:rsidR="00E3232B" w:rsidRPr="000A2EE1" w:rsidRDefault="00E3232B" w:rsidP="00E3232B">
      <w:pPr>
        <w:pStyle w:val="SingleTxtG"/>
        <w:rPr>
          <w:bCs/>
        </w:rPr>
      </w:pPr>
      <w:r w:rsidRPr="000A2EE1">
        <w:rPr>
          <w:bCs/>
          <w:i/>
          <w:iCs/>
        </w:rPr>
        <w:t>“</w:t>
      </w:r>
      <w:r w:rsidRPr="000A2EE1">
        <w:rPr>
          <w:b/>
          <w:bCs/>
          <w:i/>
          <w:iCs/>
        </w:rPr>
        <w:t>NOTE:</w:t>
      </w:r>
      <w:r w:rsidRPr="000A2EE1">
        <w:rPr>
          <w:bCs/>
          <w:i/>
          <w:iCs/>
        </w:rPr>
        <w:t xml:space="preserve"> For pressure receptacles which make use of composite materials, the maximum test period</w:t>
      </w:r>
      <w:r w:rsidRPr="000A2EE1">
        <w:rPr>
          <w:b/>
          <w:bCs/>
          <w:i/>
          <w:iCs/>
        </w:rPr>
        <w:t xml:space="preserve"> </w:t>
      </w:r>
      <w:r w:rsidRPr="000A2EE1">
        <w:rPr>
          <w:bCs/>
          <w:i/>
          <w:iCs/>
        </w:rPr>
        <w:t>shall be 5 years. The test period may be extended to that specified in Tables 1 and 2 (i.e. up to 10 years), if approved by the competent authority or body designated by this authority which issued the type approval.”.</w:t>
      </w:r>
    </w:p>
    <w:p w:rsidR="00E3232B" w:rsidRPr="000A2EE1" w:rsidRDefault="00E3232B" w:rsidP="00E3232B">
      <w:pPr>
        <w:pStyle w:val="SingleTxtG"/>
      </w:pPr>
      <w:r w:rsidRPr="000A2EE1">
        <w:t>4.1.4.1, packing instruction P200 (3) (f)</w:t>
      </w:r>
      <w:r w:rsidRPr="000A2EE1">
        <w:tab/>
        <w:t>Amend to read as follows:</w:t>
      </w:r>
    </w:p>
    <w:p w:rsidR="00E3232B" w:rsidRPr="000A2EE1" w:rsidRDefault="004E3FB8" w:rsidP="00E3232B">
      <w:pPr>
        <w:pStyle w:val="SingleTxtG"/>
      </w:pPr>
      <w:r w:rsidRPr="000A2EE1">
        <w:t>“</w:t>
      </w:r>
      <w:r w:rsidR="00E3232B" w:rsidRPr="000A2EE1">
        <w:t>(f)</w:t>
      </w:r>
      <w:r w:rsidR="00E3232B" w:rsidRPr="000A2EE1">
        <w:tab/>
        <w:t>The maximum working pressure of the pressure receptacles for compressed gases (where no value is given, the working pressure shall not exceed two thirds of the test pressure) or the maximum filling ratio(s) dependent on the test pressure(s) for liquefied and dissolved gases;”.</w:t>
      </w:r>
    </w:p>
    <w:p w:rsidR="00E3232B" w:rsidRPr="000A2EE1" w:rsidRDefault="00E3232B" w:rsidP="00E3232B">
      <w:pPr>
        <w:pStyle w:val="SingleTxtG"/>
      </w:pPr>
      <w:r w:rsidRPr="000A2EE1">
        <w:t>4.1.4.1, packing instruction P200 (5)</w:t>
      </w:r>
      <w:r w:rsidRPr="000A2EE1">
        <w:tab/>
        <w:t>Insert a new subparagraph (e) to read as follows:</w:t>
      </w:r>
    </w:p>
    <w:p w:rsidR="00E3232B" w:rsidRPr="000A2EE1" w:rsidRDefault="00E3232B" w:rsidP="00E3232B">
      <w:pPr>
        <w:pStyle w:val="SingleTxtG"/>
        <w:ind w:left="1701"/>
      </w:pPr>
      <w:r w:rsidRPr="000A2EE1">
        <w:t>“(e)</w:t>
      </w:r>
      <w:r w:rsidRPr="000A2EE1">
        <w:tab/>
        <w:t>For liquefied gases charged with compressed gases, both components – the liquid phase and the compressed gas – have to be taken into consideration in the calculation of the internal pressure in the pressure receptacle.</w:t>
      </w:r>
    </w:p>
    <w:p w:rsidR="00E3232B" w:rsidRPr="000A2EE1" w:rsidRDefault="00E3232B" w:rsidP="00E3232B">
      <w:pPr>
        <w:pStyle w:val="SingleTxtG"/>
        <w:ind w:left="1701"/>
      </w:pPr>
      <w:r w:rsidRPr="000A2EE1">
        <w:t>The maximum mass of contents per litre of water capacity shall not exceed 0.95 times the density of the liquid phase at 50 °C; in addition, the liquid phase shall not completely fill the pressure receptacle at any temperature up to 60 °C.</w:t>
      </w:r>
    </w:p>
    <w:p w:rsidR="00E3232B" w:rsidRPr="000A2EE1" w:rsidRDefault="00E3232B" w:rsidP="00E3232B">
      <w:pPr>
        <w:pStyle w:val="SingleTxtG"/>
        <w:ind w:left="1701"/>
      </w:pPr>
      <w:r w:rsidRPr="000A2EE1">
        <w:t>When filled, the internal pressure at 65 °C shall not exceed the test pressure of the pressure receptacles. The vapour pressures and volumetric expansions of all substances in the pressure receptacles shall be considered. When experimental data is not available, the following steps shall be carried out:</w:t>
      </w:r>
    </w:p>
    <w:p w:rsidR="00E3232B" w:rsidRPr="000A2EE1" w:rsidRDefault="00E3232B" w:rsidP="00E3232B">
      <w:pPr>
        <w:pStyle w:val="SingleTxtG"/>
        <w:ind w:left="2268"/>
      </w:pPr>
      <w:r w:rsidRPr="000A2EE1">
        <w:t>(i)</w:t>
      </w:r>
      <w:r w:rsidRPr="000A2EE1">
        <w:tab/>
        <w:t>Calculation of the vapour pressure of the liquid component and of the partial pressure of the compressed gas at 15 °C (filling temperature);</w:t>
      </w:r>
    </w:p>
    <w:p w:rsidR="00E3232B" w:rsidRPr="000A2EE1" w:rsidRDefault="00E3232B" w:rsidP="00E3232B">
      <w:pPr>
        <w:pStyle w:val="SingleTxtG"/>
        <w:ind w:left="2268"/>
      </w:pPr>
      <w:r w:rsidRPr="000A2EE1">
        <w:t>(ii)</w:t>
      </w:r>
      <w:r w:rsidRPr="000A2EE1">
        <w:tab/>
        <w:t>Calculation of the volumetric expansion of the liquid phase resulting from the heating from 15 °C to 65 °C and calculation of the remaining volume for the gaseous phase;</w:t>
      </w:r>
    </w:p>
    <w:p w:rsidR="00E3232B" w:rsidRPr="000A2EE1" w:rsidRDefault="00E3232B" w:rsidP="00E3232B">
      <w:pPr>
        <w:pStyle w:val="SingleTxtG"/>
        <w:ind w:left="2268"/>
      </w:pPr>
      <w:r w:rsidRPr="000A2EE1">
        <w:t>(iii)</w:t>
      </w:r>
      <w:r w:rsidRPr="000A2EE1">
        <w:tab/>
        <w:t>Calculation of the partial pressure of the compressed gas at 65 °C considering the volumetric expansion of the liquid phase;</w:t>
      </w:r>
    </w:p>
    <w:p w:rsidR="00E3232B" w:rsidRPr="000A2EE1" w:rsidRDefault="00E3232B" w:rsidP="00E3232B">
      <w:pPr>
        <w:pStyle w:val="SingleTxtG"/>
        <w:ind w:left="2268"/>
        <w:rPr>
          <w:i/>
        </w:rPr>
      </w:pPr>
      <w:r w:rsidRPr="000A2EE1">
        <w:rPr>
          <w:b/>
          <w:i/>
        </w:rPr>
        <w:t>NOTE:</w:t>
      </w:r>
      <w:r w:rsidRPr="000A2EE1">
        <w:rPr>
          <w:i/>
        </w:rPr>
        <w:t xml:space="preserve"> The compressibility factor of the compressed gas at 15</w:t>
      </w:r>
      <w:r w:rsidRPr="000A2EE1">
        <w:t> </w:t>
      </w:r>
      <w:r w:rsidRPr="000A2EE1">
        <w:rPr>
          <w:i/>
        </w:rPr>
        <w:t>°C and 65</w:t>
      </w:r>
      <w:r w:rsidRPr="000A2EE1">
        <w:t> </w:t>
      </w:r>
      <w:r w:rsidRPr="000A2EE1">
        <w:rPr>
          <w:i/>
        </w:rPr>
        <w:t>°C shall be considered.</w:t>
      </w:r>
    </w:p>
    <w:p w:rsidR="00E3232B" w:rsidRPr="000A2EE1" w:rsidRDefault="00E3232B" w:rsidP="00E3232B">
      <w:pPr>
        <w:pStyle w:val="SingleTxtG"/>
        <w:ind w:left="2268"/>
      </w:pPr>
      <w:r w:rsidRPr="000A2EE1">
        <w:t>(iv)</w:t>
      </w:r>
      <w:r w:rsidRPr="000A2EE1">
        <w:tab/>
        <w:t>Calculation of the vapour pressure of the liquid component at 65 °C;</w:t>
      </w:r>
    </w:p>
    <w:p w:rsidR="00E3232B" w:rsidRPr="000A2EE1" w:rsidRDefault="00E3232B" w:rsidP="00E3232B">
      <w:pPr>
        <w:pStyle w:val="SingleTxtG"/>
        <w:ind w:left="2268"/>
      </w:pPr>
      <w:r w:rsidRPr="000A2EE1">
        <w:t>(v)</w:t>
      </w:r>
      <w:r w:rsidRPr="000A2EE1">
        <w:tab/>
        <w:t>The total pressure is the sum of the vapour pressure of the liquid component and the partial pressure of the compressed gas at 65 °C;</w:t>
      </w:r>
    </w:p>
    <w:p w:rsidR="00E3232B" w:rsidRPr="000A2EE1" w:rsidRDefault="00E3232B" w:rsidP="00E3232B">
      <w:pPr>
        <w:pStyle w:val="SingleTxtG"/>
        <w:ind w:left="2268"/>
      </w:pPr>
      <w:r w:rsidRPr="000A2EE1">
        <w:t>(vi)</w:t>
      </w:r>
      <w:r w:rsidRPr="000A2EE1">
        <w:tab/>
        <w:t>Consideration of the solubility of the compressed gas at 65 °C in the liquid phase;</w:t>
      </w:r>
    </w:p>
    <w:p w:rsidR="00E3232B" w:rsidRPr="000A2EE1" w:rsidRDefault="00E3232B" w:rsidP="00E3232B">
      <w:pPr>
        <w:pStyle w:val="SingleTxtG"/>
        <w:ind w:left="1701"/>
      </w:pPr>
      <w:r w:rsidRPr="000A2EE1">
        <w:t xml:space="preserve">The test pressure of the pressure receptacle shall not be less than the calculated total pressure minus 100 kPa (1bar). </w:t>
      </w:r>
    </w:p>
    <w:p w:rsidR="00E3232B" w:rsidRPr="000A2EE1" w:rsidRDefault="00E3232B" w:rsidP="00E3232B">
      <w:pPr>
        <w:pStyle w:val="SingleTxtG"/>
        <w:ind w:left="1701"/>
      </w:pPr>
      <w:r w:rsidRPr="000A2EE1">
        <w:t>If the solubility of the compressed gas in the liquid component is not known for the calculation, the test pressure can be calculated without taking the gas solubility (sub-paragraph (vi)) into account.”.</w:t>
      </w:r>
    </w:p>
    <w:p w:rsidR="00E3232B" w:rsidRPr="000A2EE1" w:rsidRDefault="00E3232B" w:rsidP="00E3232B">
      <w:pPr>
        <w:pStyle w:val="SingleTxtG"/>
      </w:pPr>
      <w:r w:rsidRPr="000A2EE1">
        <w:t>4.1.4.1, packing instruction P200 (7) (a)</w:t>
      </w:r>
      <w:r w:rsidRPr="000A2EE1">
        <w:tab/>
        <w:t>Amend the first indent to read as follows:</w:t>
      </w:r>
    </w:p>
    <w:p w:rsidR="00E3232B" w:rsidRPr="000A2EE1" w:rsidRDefault="00E3232B" w:rsidP="00E3232B">
      <w:pPr>
        <w:pStyle w:val="SingleTxtG"/>
      </w:pPr>
      <w:r w:rsidRPr="000A2EE1">
        <w:t>“</w:t>
      </w:r>
      <w:r w:rsidRPr="000A2EE1">
        <w:tab/>
        <w:t>-</w:t>
      </w:r>
      <w:r w:rsidRPr="000A2EE1">
        <w:tab/>
        <w:t>of the conformity of receptacles and accessories with ADR;”.</w:t>
      </w:r>
    </w:p>
    <w:p w:rsidR="00E3232B" w:rsidRPr="000A2EE1" w:rsidRDefault="00E3232B" w:rsidP="00E3232B">
      <w:pPr>
        <w:pStyle w:val="SingleTxtG"/>
      </w:pPr>
      <w:r w:rsidRPr="000A2EE1">
        <w:t>Amend the last indent to read as follows:</w:t>
      </w:r>
    </w:p>
    <w:p w:rsidR="00E3232B" w:rsidRPr="000A2EE1" w:rsidRDefault="00E3232B" w:rsidP="00E3232B">
      <w:pPr>
        <w:pStyle w:val="SingleTxtG"/>
      </w:pPr>
      <w:r w:rsidRPr="000A2EE1">
        <w:t>“</w:t>
      </w:r>
      <w:r w:rsidRPr="000A2EE1">
        <w:tab/>
        <w:t>-</w:t>
      </w:r>
      <w:r w:rsidRPr="000A2EE1">
        <w:tab/>
        <w:t>of marks and identification.”.</w:t>
      </w:r>
    </w:p>
    <w:p w:rsidR="005724D1" w:rsidRPr="000A2EE1" w:rsidRDefault="005724D1" w:rsidP="004E3FB8">
      <w:pPr>
        <w:pStyle w:val="SingleTxtG"/>
      </w:pPr>
      <w:r w:rsidRPr="000A2EE1">
        <w:t>4.1.4.1, packing instruction P200 (9)</w:t>
      </w:r>
      <w:r w:rsidRPr="000A2EE1">
        <w:tab/>
        <w:t>Amend the last paragraph to read as follows:</w:t>
      </w:r>
    </w:p>
    <w:p w:rsidR="005724D1" w:rsidRPr="000A2EE1" w:rsidRDefault="005724D1" w:rsidP="004E3FB8">
      <w:pPr>
        <w:pStyle w:val="SingleTxtG"/>
        <w:rPr>
          <w:bCs/>
          <w:iCs/>
        </w:rPr>
      </w:pPr>
      <w:r w:rsidRPr="000A2EE1">
        <w:rPr>
          <w:bCs/>
          <w:iCs/>
        </w:rPr>
        <w:t>“For pressure receptacles which make use of composite materials, the maximum test period</w:t>
      </w:r>
      <w:r w:rsidRPr="000A2EE1">
        <w:rPr>
          <w:b/>
          <w:bCs/>
          <w:iCs/>
        </w:rPr>
        <w:t xml:space="preserve"> </w:t>
      </w:r>
      <w:r w:rsidRPr="000A2EE1">
        <w:rPr>
          <w:bCs/>
          <w:iCs/>
        </w:rPr>
        <w:t>shall be 5 years. The test period may be extended to that specified in Tables 1 and 2 (i.e. up to 10 years), if approved by the competent authority or body designated by this authority which issued the type approval.”.</w:t>
      </w:r>
    </w:p>
    <w:p w:rsidR="00E3232B" w:rsidRPr="000A2EE1" w:rsidRDefault="00E3232B" w:rsidP="00E3232B">
      <w:pPr>
        <w:pStyle w:val="SingleTxtG"/>
        <w:rPr>
          <w:iCs/>
        </w:rPr>
      </w:pPr>
      <w:r w:rsidRPr="000A2EE1">
        <w:rPr>
          <w:iCs/>
        </w:rPr>
        <w:t>4.1.4.1, packing instruction P200</w:t>
      </w:r>
      <w:r w:rsidRPr="000A2EE1">
        <w:rPr>
          <w:iCs/>
        </w:rPr>
        <w:tab/>
      </w:r>
      <w:r w:rsidR="004E3FB8" w:rsidRPr="000A2EE1">
        <w:t>(10)</w:t>
      </w:r>
      <w:r w:rsidR="004E3FB8" w:rsidRPr="000A2EE1">
        <w:rPr>
          <w:iCs/>
        </w:rPr>
        <w:tab/>
      </w:r>
      <w:r w:rsidRPr="000A2EE1">
        <w:t>Amend as follows:</w:t>
      </w:r>
    </w:p>
    <w:p w:rsidR="00E3232B" w:rsidRPr="000A2EE1" w:rsidRDefault="00E3232B" w:rsidP="004E3FB8">
      <w:pPr>
        <w:pStyle w:val="SingleTxtG"/>
        <w:ind w:left="1701"/>
      </w:pPr>
      <w:r w:rsidRPr="000A2EE1">
        <w:rPr>
          <w:iCs/>
        </w:rPr>
        <w:t xml:space="preserve">In special provision p, in the two first paragraphs, replace </w:t>
      </w:r>
      <w:r w:rsidRPr="000A2EE1">
        <w:t>“or ISO 3807-2:2000” by “, ISO 3807-2:2000 or ISO 3807:2013”. In the last paragraph, replace “conforming to ISO 3807-2:2000” by “fitted with a fusible plug”.</w:t>
      </w:r>
    </w:p>
    <w:p w:rsidR="00E3232B" w:rsidRPr="000A2EE1" w:rsidRDefault="00E3232B" w:rsidP="004E3FB8">
      <w:pPr>
        <w:pStyle w:val="SingleTxtG"/>
        <w:ind w:left="1701"/>
      </w:pPr>
      <w:r w:rsidRPr="000A2EE1">
        <w:t>In special provision u, replace “ISO 7866:2012” by “ISO 7866:2012 + Cor 1:2014”.</w:t>
      </w:r>
    </w:p>
    <w:p w:rsidR="00E3232B" w:rsidRPr="000A2EE1" w:rsidRDefault="00E3232B" w:rsidP="00E3232B">
      <w:pPr>
        <w:pStyle w:val="SingleTxtG"/>
      </w:pPr>
      <w:r w:rsidRPr="000A2EE1">
        <w:t>4.1.4.1, packing instruction P200 (11)</w:t>
      </w:r>
      <w:r w:rsidRPr="000A2EE1">
        <w:tab/>
        <w:t>In the table, after the third row, insert the following new rows:</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4541"/>
      </w:tblGrid>
      <w:tr w:rsidR="00E3232B" w:rsidRPr="000A2EE1" w:rsidTr="009B5E14">
        <w:trPr>
          <w:cantSplit/>
        </w:trPr>
        <w:tc>
          <w:tcPr>
            <w:tcW w:w="1415" w:type="dxa"/>
          </w:tcPr>
          <w:p w:rsidR="00E3232B" w:rsidRPr="000A2EE1" w:rsidRDefault="00E3232B" w:rsidP="004E3FB8">
            <w:pPr>
              <w:jc w:val="center"/>
              <w:rPr>
                <w:sz w:val="18"/>
                <w:szCs w:val="18"/>
              </w:rPr>
            </w:pPr>
            <w:r w:rsidRPr="000A2EE1">
              <w:rPr>
                <w:sz w:val="18"/>
                <w:szCs w:val="18"/>
              </w:rPr>
              <w:t>(7) (a)</w:t>
            </w:r>
          </w:p>
        </w:tc>
        <w:tc>
          <w:tcPr>
            <w:tcW w:w="1415" w:type="dxa"/>
            <w:shd w:val="clear" w:color="auto" w:fill="auto"/>
          </w:tcPr>
          <w:p w:rsidR="00E3232B" w:rsidRPr="000A2EE1" w:rsidRDefault="00E3232B" w:rsidP="004E3FB8">
            <w:pPr>
              <w:rPr>
                <w:sz w:val="18"/>
                <w:szCs w:val="18"/>
              </w:rPr>
            </w:pPr>
            <w:r w:rsidRPr="000A2EE1">
              <w:rPr>
                <w:sz w:val="18"/>
                <w:szCs w:val="18"/>
              </w:rPr>
              <w:t xml:space="preserve">ISO 10691:2004 </w:t>
            </w:r>
          </w:p>
        </w:tc>
        <w:tc>
          <w:tcPr>
            <w:tcW w:w="4541" w:type="dxa"/>
            <w:shd w:val="clear" w:color="auto" w:fill="auto"/>
          </w:tcPr>
          <w:p w:rsidR="00E3232B" w:rsidRPr="000A2EE1" w:rsidRDefault="00E3232B" w:rsidP="004E3FB8">
            <w:pPr>
              <w:rPr>
                <w:sz w:val="18"/>
                <w:szCs w:val="18"/>
              </w:rPr>
            </w:pPr>
            <w:r w:rsidRPr="000A2EE1">
              <w:rPr>
                <w:sz w:val="18"/>
                <w:szCs w:val="18"/>
              </w:rPr>
              <w:t>Gas cylinders – Refillable welded steel cylinders for liquefied petroleum gas (LPG) – Procedures for checking before, during and after filling.</w:t>
            </w:r>
          </w:p>
        </w:tc>
      </w:tr>
      <w:tr w:rsidR="00E3232B" w:rsidRPr="000A2EE1" w:rsidTr="009B5E14">
        <w:trPr>
          <w:cantSplit/>
        </w:trPr>
        <w:tc>
          <w:tcPr>
            <w:tcW w:w="1415" w:type="dxa"/>
          </w:tcPr>
          <w:p w:rsidR="00E3232B" w:rsidRPr="000A2EE1" w:rsidRDefault="00E3232B" w:rsidP="004E3FB8">
            <w:pPr>
              <w:jc w:val="center"/>
              <w:rPr>
                <w:sz w:val="18"/>
                <w:szCs w:val="18"/>
              </w:rPr>
            </w:pPr>
            <w:r w:rsidRPr="000A2EE1">
              <w:rPr>
                <w:sz w:val="18"/>
                <w:szCs w:val="18"/>
              </w:rPr>
              <w:t>(7) (a)</w:t>
            </w:r>
          </w:p>
        </w:tc>
        <w:tc>
          <w:tcPr>
            <w:tcW w:w="1415" w:type="dxa"/>
            <w:shd w:val="clear" w:color="auto" w:fill="auto"/>
          </w:tcPr>
          <w:p w:rsidR="00E3232B" w:rsidRPr="000A2EE1" w:rsidRDefault="00E3232B" w:rsidP="004E3FB8">
            <w:pPr>
              <w:rPr>
                <w:sz w:val="18"/>
                <w:szCs w:val="18"/>
              </w:rPr>
            </w:pPr>
            <w:r w:rsidRPr="000A2EE1">
              <w:rPr>
                <w:sz w:val="18"/>
                <w:szCs w:val="18"/>
              </w:rPr>
              <w:t>ISO 11755:2005</w:t>
            </w:r>
          </w:p>
        </w:tc>
        <w:tc>
          <w:tcPr>
            <w:tcW w:w="4541" w:type="dxa"/>
            <w:shd w:val="clear" w:color="auto" w:fill="auto"/>
          </w:tcPr>
          <w:p w:rsidR="00E3232B" w:rsidRPr="000A2EE1" w:rsidRDefault="00E3232B" w:rsidP="004E3FB8">
            <w:pPr>
              <w:rPr>
                <w:sz w:val="18"/>
                <w:szCs w:val="18"/>
              </w:rPr>
            </w:pPr>
            <w:r w:rsidRPr="000A2EE1">
              <w:rPr>
                <w:sz w:val="18"/>
                <w:szCs w:val="18"/>
              </w:rPr>
              <w:t>Gas cylinders – Cylinder bundles for compressed and liquefied gases (excluding acetylene) – Inspection at time of filling</w:t>
            </w:r>
          </w:p>
        </w:tc>
      </w:tr>
      <w:tr w:rsidR="00E3232B" w:rsidRPr="000A2EE1" w:rsidTr="009B5E14">
        <w:trPr>
          <w:cantSplit/>
        </w:trPr>
        <w:tc>
          <w:tcPr>
            <w:tcW w:w="1415" w:type="dxa"/>
          </w:tcPr>
          <w:p w:rsidR="00E3232B" w:rsidRPr="000A2EE1" w:rsidRDefault="00E3232B" w:rsidP="004E3FB8">
            <w:pPr>
              <w:jc w:val="center"/>
              <w:rPr>
                <w:sz w:val="18"/>
                <w:szCs w:val="18"/>
              </w:rPr>
            </w:pPr>
            <w:r w:rsidRPr="000A2EE1">
              <w:rPr>
                <w:sz w:val="18"/>
                <w:szCs w:val="18"/>
              </w:rPr>
              <w:t>(7) (a)</w:t>
            </w:r>
          </w:p>
        </w:tc>
        <w:tc>
          <w:tcPr>
            <w:tcW w:w="1415" w:type="dxa"/>
            <w:shd w:val="clear" w:color="auto" w:fill="auto"/>
          </w:tcPr>
          <w:p w:rsidR="00E3232B" w:rsidRPr="000A2EE1" w:rsidRDefault="00E3232B" w:rsidP="004E3FB8">
            <w:pPr>
              <w:rPr>
                <w:sz w:val="18"/>
                <w:szCs w:val="18"/>
              </w:rPr>
            </w:pPr>
            <w:r w:rsidRPr="000A2EE1">
              <w:rPr>
                <w:sz w:val="18"/>
                <w:szCs w:val="18"/>
              </w:rPr>
              <w:t>ISO 24431:2006</w:t>
            </w:r>
          </w:p>
        </w:tc>
        <w:tc>
          <w:tcPr>
            <w:tcW w:w="4541" w:type="dxa"/>
            <w:shd w:val="clear" w:color="auto" w:fill="auto"/>
          </w:tcPr>
          <w:p w:rsidR="00E3232B" w:rsidRPr="000A2EE1" w:rsidRDefault="00E3232B" w:rsidP="004E3FB8">
            <w:pPr>
              <w:rPr>
                <w:sz w:val="18"/>
                <w:szCs w:val="18"/>
              </w:rPr>
            </w:pPr>
            <w:r w:rsidRPr="000A2EE1">
              <w:rPr>
                <w:sz w:val="18"/>
                <w:szCs w:val="18"/>
              </w:rPr>
              <w:t>Gas cylinders – Cylinders for compressed and liquefied gases (excluding acetylene) – Inspection at time of filling</w:t>
            </w:r>
          </w:p>
        </w:tc>
      </w:tr>
      <w:tr w:rsidR="00E3232B" w:rsidRPr="000A2EE1" w:rsidTr="009B5E14">
        <w:trPr>
          <w:cantSplit/>
        </w:trPr>
        <w:tc>
          <w:tcPr>
            <w:tcW w:w="1415" w:type="dxa"/>
            <w:tcBorders>
              <w:top w:val="single" w:sz="4" w:space="0" w:color="auto"/>
              <w:left w:val="single" w:sz="4" w:space="0" w:color="auto"/>
              <w:bottom w:val="single" w:sz="4" w:space="0" w:color="auto"/>
              <w:right w:val="single" w:sz="4" w:space="0" w:color="auto"/>
            </w:tcBorders>
          </w:tcPr>
          <w:p w:rsidR="00E3232B" w:rsidRPr="000A2EE1" w:rsidRDefault="00E3232B" w:rsidP="004E3FB8">
            <w:pPr>
              <w:jc w:val="center"/>
              <w:rPr>
                <w:sz w:val="18"/>
                <w:szCs w:val="18"/>
              </w:rPr>
            </w:pPr>
            <w:r w:rsidRPr="000A2EE1">
              <w:rPr>
                <w:sz w:val="18"/>
                <w:szCs w:val="18"/>
              </w:rPr>
              <w:t>(7) (a) and (10) p</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4E3FB8">
            <w:pPr>
              <w:rPr>
                <w:sz w:val="18"/>
                <w:szCs w:val="18"/>
              </w:rPr>
            </w:pPr>
            <w:r w:rsidRPr="000A2EE1">
              <w:rPr>
                <w:sz w:val="18"/>
                <w:szCs w:val="18"/>
              </w:rPr>
              <w:t>ISO 11372:2011</w:t>
            </w:r>
          </w:p>
        </w:tc>
        <w:tc>
          <w:tcPr>
            <w:tcW w:w="454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4E3FB8">
            <w:pPr>
              <w:rPr>
                <w:sz w:val="18"/>
                <w:szCs w:val="18"/>
              </w:rPr>
            </w:pPr>
            <w:r w:rsidRPr="000A2EE1">
              <w:rPr>
                <w:sz w:val="18"/>
                <w:szCs w:val="18"/>
              </w:rPr>
              <w:t>Gas cylinders – Acetylene cylinders – Filling conditions and filling inspection</w:t>
            </w:r>
          </w:p>
          <w:p w:rsidR="00E3232B" w:rsidRPr="000A2EE1" w:rsidRDefault="00E3232B" w:rsidP="004E3FB8">
            <w:pPr>
              <w:rPr>
                <w:i/>
                <w:sz w:val="18"/>
                <w:szCs w:val="18"/>
              </w:rPr>
            </w:pPr>
            <w:r w:rsidRPr="000A2EE1">
              <w:rPr>
                <w:b/>
                <w:i/>
                <w:sz w:val="18"/>
                <w:szCs w:val="18"/>
              </w:rPr>
              <w:t>NOTE:</w:t>
            </w:r>
            <w:r w:rsidRPr="000A2EE1">
              <w:rPr>
                <w:i/>
                <w:sz w:val="18"/>
                <w:szCs w:val="18"/>
              </w:rPr>
              <w:t xml:space="preserve"> The EN version of this ISO standard fulfils the requirements and may also be used.</w:t>
            </w:r>
          </w:p>
        </w:tc>
      </w:tr>
      <w:tr w:rsidR="00E3232B" w:rsidRPr="000A2EE1" w:rsidTr="009B5E14">
        <w:trPr>
          <w:cantSplit/>
        </w:trPr>
        <w:tc>
          <w:tcPr>
            <w:tcW w:w="1415" w:type="dxa"/>
            <w:tcBorders>
              <w:top w:val="single" w:sz="4" w:space="0" w:color="auto"/>
              <w:left w:val="single" w:sz="4" w:space="0" w:color="auto"/>
              <w:bottom w:val="single" w:sz="4" w:space="0" w:color="auto"/>
              <w:right w:val="single" w:sz="4" w:space="0" w:color="auto"/>
            </w:tcBorders>
          </w:tcPr>
          <w:p w:rsidR="00E3232B" w:rsidRPr="000A2EE1" w:rsidRDefault="00E3232B" w:rsidP="004E3FB8">
            <w:pPr>
              <w:jc w:val="center"/>
              <w:rPr>
                <w:sz w:val="18"/>
                <w:szCs w:val="18"/>
              </w:rPr>
            </w:pPr>
            <w:r w:rsidRPr="000A2EE1">
              <w:rPr>
                <w:sz w:val="18"/>
                <w:szCs w:val="18"/>
              </w:rPr>
              <w:t>(7) (a) and (10) p</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4E3FB8">
            <w:pPr>
              <w:rPr>
                <w:sz w:val="18"/>
                <w:szCs w:val="18"/>
              </w:rPr>
            </w:pPr>
            <w:r w:rsidRPr="000A2EE1">
              <w:rPr>
                <w:sz w:val="18"/>
                <w:szCs w:val="18"/>
              </w:rPr>
              <w:t>ISO 13088:2011</w:t>
            </w:r>
          </w:p>
        </w:tc>
        <w:tc>
          <w:tcPr>
            <w:tcW w:w="4541" w:type="dxa"/>
            <w:tcBorders>
              <w:top w:val="single" w:sz="4" w:space="0" w:color="auto"/>
              <w:left w:val="single" w:sz="4" w:space="0" w:color="auto"/>
              <w:bottom w:val="single" w:sz="4" w:space="0" w:color="auto"/>
              <w:right w:val="single" w:sz="4" w:space="0" w:color="auto"/>
            </w:tcBorders>
            <w:shd w:val="clear" w:color="auto" w:fill="auto"/>
          </w:tcPr>
          <w:p w:rsidR="00E3232B" w:rsidRPr="000A2EE1" w:rsidRDefault="00E3232B" w:rsidP="004E3FB8">
            <w:pPr>
              <w:rPr>
                <w:sz w:val="18"/>
                <w:szCs w:val="18"/>
              </w:rPr>
            </w:pPr>
            <w:r w:rsidRPr="000A2EE1">
              <w:rPr>
                <w:sz w:val="18"/>
                <w:szCs w:val="18"/>
              </w:rPr>
              <w:t>Gas cylinders – Acetylene cylinder bundles – Filling conditions and filling inspection</w:t>
            </w:r>
          </w:p>
          <w:p w:rsidR="00E3232B" w:rsidRPr="000A2EE1" w:rsidRDefault="00E3232B" w:rsidP="004E3FB8">
            <w:pPr>
              <w:rPr>
                <w:i/>
                <w:sz w:val="18"/>
                <w:szCs w:val="18"/>
              </w:rPr>
            </w:pPr>
            <w:r w:rsidRPr="000A2EE1">
              <w:rPr>
                <w:b/>
                <w:i/>
                <w:sz w:val="18"/>
                <w:szCs w:val="18"/>
              </w:rPr>
              <w:t>NOTE:</w:t>
            </w:r>
            <w:r w:rsidRPr="000A2EE1">
              <w:rPr>
                <w:i/>
                <w:sz w:val="18"/>
                <w:szCs w:val="18"/>
              </w:rPr>
              <w:t xml:space="preserve"> The EN version of this ISO standard fulfils the requirements and may also be used.</w:t>
            </w:r>
          </w:p>
        </w:tc>
      </w:tr>
    </w:tbl>
    <w:p w:rsidR="00E3232B" w:rsidRPr="000A2EE1" w:rsidRDefault="00E3232B" w:rsidP="00E3232B">
      <w:pPr>
        <w:pStyle w:val="SingleTxtG"/>
        <w:spacing w:before="120"/>
      </w:pPr>
      <w:r w:rsidRPr="000A2EE1">
        <w:t>Delete the two last rows.</w:t>
      </w:r>
    </w:p>
    <w:p w:rsidR="00E3232B" w:rsidRPr="000A2EE1" w:rsidRDefault="00E3232B" w:rsidP="004111B0">
      <w:pPr>
        <w:pStyle w:val="SingleTxtG"/>
        <w:tabs>
          <w:tab w:val="left" w:pos="1843"/>
          <w:tab w:val="left" w:pos="1985"/>
          <w:tab w:val="left" w:pos="2268"/>
          <w:tab w:val="left" w:pos="4678"/>
        </w:tabs>
      </w:pPr>
      <w:r w:rsidRPr="000A2EE1">
        <w:t>4.1.4.1, packing instruction P200 (12) 4.</w:t>
      </w:r>
      <w:r w:rsidRPr="000A2EE1">
        <w:tab/>
        <w:t>In the text under the heading and in the Note, replace “</w:t>
      </w:r>
      <w:r w:rsidRPr="000A2EE1">
        <w:rPr>
          <w:rFonts w:eastAsia="Calibri"/>
        </w:rPr>
        <w:t>marking”</w:t>
      </w:r>
      <w:r w:rsidRPr="000A2EE1">
        <w:t xml:space="preserve"> by “</w:t>
      </w:r>
      <w:r w:rsidRPr="000A2EE1">
        <w:rPr>
          <w:rFonts w:eastAsia="Calibri"/>
        </w:rPr>
        <w:t>mark”.</w:t>
      </w:r>
    </w:p>
    <w:p w:rsidR="00E3232B" w:rsidRPr="000A2EE1" w:rsidRDefault="00E3232B" w:rsidP="004111B0">
      <w:pPr>
        <w:pStyle w:val="SingleTxtG"/>
        <w:tabs>
          <w:tab w:val="left" w:pos="4678"/>
        </w:tabs>
      </w:pPr>
      <w:r w:rsidRPr="000A2EE1">
        <w:t>4.1.4.1, packing instruction P200 (13) 4.</w:t>
      </w:r>
      <w:r w:rsidRPr="000A2EE1">
        <w:tab/>
        <w:t>In the second sentence, replace “</w:t>
      </w:r>
      <w:r w:rsidRPr="000A2EE1">
        <w:rPr>
          <w:rFonts w:eastAsia="Calibri"/>
        </w:rPr>
        <w:t>marking”</w:t>
      </w:r>
      <w:r w:rsidRPr="000A2EE1">
        <w:t xml:space="preserve"> by “</w:t>
      </w:r>
      <w:r w:rsidRPr="000A2EE1">
        <w:rPr>
          <w:rFonts w:eastAsia="Calibri"/>
        </w:rPr>
        <w:t>mark”.</w:t>
      </w:r>
    </w:p>
    <w:p w:rsidR="00E3232B" w:rsidRPr="000A2EE1" w:rsidRDefault="00E3232B" w:rsidP="004111B0">
      <w:pPr>
        <w:pStyle w:val="SingleTxtG"/>
        <w:tabs>
          <w:tab w:val="left" w:pos="4678"/>
        </w:tabs>
      </w:pPr>
      <w:r w:rsidRPr="000A2EE1">
        <w:t>4.1.4.1, packing instruction P200, table 2</w:t>
      </w:r>
      <w:r w:rsidR="00833E5F" w:rsidRPr="000A2EE1">
        <w:tab/>
        <w:t xml:space="preserve">In </w:t>
      </w:r>
      <w:r w:rsidRPr="000A2EE1">
        <w:t>column “Special packi</w:t>
      </w:r>
      <w:r w:rsidR="00833E5F" w:rsidRPr="000A2EE1">
        <w:t>ng provisions”, for UN No. 1058, i</w:t>
      </w:r>
      <w:r w:rsidRPr="000A2EE1">
        <w:t>nsert “z”.</w:t>
      </w:r>
    </w:p>
    <w:p w:rsidR="00E3232B" w:rsidRPr="000A2EE1" w:rsidRDefault="00E3232B" w:rsidP="004111B0">
      <w:pPr>
        <w:pStyle w:val="SingleTxtG"/>
        <w:tabs>
          <w:tab w:val="left" w:pos="4678"/>
        </w:tabs>
        <w:ind w:right="521"/>
      </w:pPr>
      <w:r w:rsidRPr="000A2EE1">
        <w:t>4.1.4.1, packing instruction P205 (6)</w:t>
      </w:r>
      <w:r w:rsidRPr="000A2EE1">
        <w:tab/>
        <w:t>Replace “markings” by “mark”.</w:t>
      </w:r>
    </w:p>
    <w:p w:rsidR="00E3232B" w:rsidRPr="000A2EE1" w:rsidRDefault="00E3232B" w:rsidP="004111B0">
      <w:pPr>
        <w:pStyle w:val="SingleTxtG"/>
        <w:tabs>
          <w:tab w:val="left" w:pos="4678"/>
        </w:tabs>
      </w:pPr>
      <w:r w:rsidRPr="000A2EE1">
        <w:t>4.1.4.1, packing instruction P206 (3)</w:t>
      </w:r>
      <w:r w:rsidRPr="000A2EE1">
        <w:tab/>
        <w:t>At the end add the following paragraph:</w:t>
      </w:r>
    </w:p>
    <w:p w:rsidR="00E3232B" w:rsidRPr="000A2EE1" w:rsidRDefault="00E3232B" w:rsidP="00E3232B">
      <w:pPr>
        <w:pStyle w:val="SingleTxtG"/>
      </w:pPr>
      <w:r w:rsidRPr="000A2EE1">
        <w:t>“For liquids charged with a compressed gas both components – the liquid phase and the compressed gas – have to be taken into consideration in the calculation of the internal pressure in the pressure receptacle. When experimental data is not available, the following steps shall be carried out:</w:t>
      </w:r>
    </w:p>
    <w:p w:rsidR="00E3232B" w:rsidRPr="000A2EE1" w:rsidRDefault="00E3232B" w:rsidP="00E3232B">
      <w:pPr>
        <w:pStyle w:val="SingleTxtG"/>
        <w:ind w:left="1701"/>
      </w:pPr>
      <w:r w:rsidRPr="000A2EE1">
        <w:t>(a)</w:t>
      </w:r>
      <w:r w:rsidRPr="000A2EE1">
        <w:tab/>
        <w:t xml:space="preserve">Calculation of the vapour pressure of the liquid component and of the partial pressure of the compressed gas at 15 °C (filling temperature); </w:t>
      </w:r>
    </w:p>
    <w:p w:rsidR="00E3232B" w:rsidRPr="000A2EE1" w:rsidRDefault="00E3232B" w:rsidP="00E3232B">
      <w:pPr>
        <w:pStyle w:val="SingleTxtG"/>
        <w:ind w:left="1701"/>
      </w:pPr>
      <w:r w:rsidRPr="000A2EE1">
        <w:t>(b)</w:t>
      </w:r>
      <w:r w:rsidRPr="000A2EE1">
        <w:tab/>
        <w:t>Calculation of the volumetric expansion of the liquid phase resulting from the heating from 15 °C to 65 °C and calculation of the remaining volume for the gaseous phase;</w:t>
      </w:r>
    </w:p>
    <w:p w:rsidR="00E3232B" w:rsidRPr="000A2EE1" w:rsidRDefault="00E3232B" w:rsidP="00E3232B">
      <w:pPr>
        <w:pStyle w:val="SingleTxtG"/>
        <w:ind w:left="1701"/>
      </w:pPr>
      <w:r w:rsidRPr="000A2EE1">
        <w:t>(c)</w:t>
      </w:r>
      <w:r w:rsidRPr="000A2EE1">
        <w:tab/>
        <w:t>Calculation of the partial pressure of the compressed gas at 65 °C considering the volumetric expansion of the liquid phase;</w:t>
      </w:r>
    </w:p>
    <w:p w:rsidR="00E3232B" w:rsidRPr="000A2EE1" w:rsidRDefault="00E3232B" w:rsidP="00E3232B">
      <w:pPr>
        <w:pStyle w:val="SingleTxtG"/>
        <w:ind w:left="1701"/>
      </w:pPr>
      <w:r w:rsidRPr="000A2EE1">
        <w:rPr>
          <w:b/>
          <w:i/>
        </w:rPr>
        <w:t>NOTE:</w:t>
      </w:r>
      <w:r w:rsidRPr="000A2EE1">
        <w:rPr>
          <w:i/>
        </w:rPr>
        <w:t xml:space="preserve"> The compressibility factor of the compressed gas at 15</w:t>
      </w:r>
      <w:r w:rsidRPr="000A2EE1">
        <w:t> </w:t>
      </w:r>
      <w:r w:rsidRPr="000A2EE1">
        <w:rPr>
          <w:i/>
        </w:rPr>
        <w:t>°C and 65</w:t>
      </w:r>
      <w:r w:rsidRPr="000A2EE1">
        <w:t> </w:t>
      </w:r>
      <w:r w:rsidRPr="000A2EE1">
        <w:rPr>
          <w:i/>
        </w:rPr>
        <w:t>°C shall be considered.</w:t>
      </w:r>
    </w:p>
    <w:p w:rsidR="00E3232B" w:rsidRPr="000A2EE1" w:rsidRDefault="00E3232B" w:rsidP="00E3232B">
      <w:pPr>
        <w:pStyle w:val="SingleTxtG"/>
        <w:ind w:left="1701"/>
      </w:pPr>
      <w:r w:rsidRPr="000A2EE1">
        <w:t>(d)</w:t>
      </w:r>
      <w:r w:rsidRPr="000A2EE1">
        <w:tab/>
        <w:t>Calculation of the vapour pressure of the liquid component at 65 °C;</w:t>
      </w:r>
    </w:p>
    <w:p w:rsidR="00E3232B" w:rsidRPr="000A2EE1" w:rsidRDefault="00E3232B" w:rsidP="00E3232B">
      <w:pPr>
        <w:pStyle w:val="SingleTxtG"/>
        <w:ind w:left="1701"/>
      </w:pPr>
      <w:r w:rsidRPr="000A2EE1">
        <w:t>(e)</w:t>
      </w:r>
      <w:r w:rsidRPr="000A2EE1">
        <w:tab/>
        <w:t>The total pressure is the sum of the vapour pressure of the liquid component and the partial pressure of the compressed gas at 65 °C;</w:t>
      </w:r>
    </w:p>
    <w:p w:rsidR="00E3232B" w:rsidRPr="000A2EE1" w:rsidRDefault="00E3232B" w:rsidP="00E3232B">
      <w:pPr>
        <w:pStyle w:val="SingleTxtG"/>
        <w:ind w:left="1701"/>
      </w:pPr>
      <w:r w:rsidRPr="000A2EE1">
        <w:t>(f)</w:t>
      </w:r>
      <w:r w:rsidRPr="000A2EE1">
        <w:tab/>
        <w:t>Consideration of the solubility of the compressed gas at 65 °C in the liquid phase.</w:t>
      </w:r>
    </w:p>
    <w:p w:rsidR="00E3232B" w:rsidRPr="000A2EE1" w:rsidRDefault="00E3232B" w:rsidP="00E3232B">
      <w:pPr>
        <w:pStyle w:val="SingleTxtG"/>
      </w:pPr>
      <w:r w:rsidRPr="000A2EE1">
        <w:t>The test pressure of the cylinders or pressure drums shall not be less than the calculated total pressure minus 100 kPa (1bar).</w:t>
      </w:r>
    </w:p>
    <w:p w:rsidR="00E3232B" w:rsidRPr="000A2EE1" w:rsidRDefault="00E3232B" w:rsidP="00E3232B">
      <w:pPr>
        <w:pStyle w:val="SingleTxtG"/>
      </w:pPr>
      <w:r w:rsidRPr="000A2EE1">
        <w:t>If the solubility of the compressed gas in the liquid component is not known for the calculation, the test pressure can be calculated without taking the gas solubility (sub-paragraph (f)) into account.”.</w:t>
      </w:r>
    </w:p>
    <w:p w:rsidR="00E3232B" w:rsidRPr="000A2EE1" w:rsidRDefault="00E3232B" w:rsidP="004111B0">
      <w:pPr>
        <w:pStyle w:val="SingleTxtG"/>
        <w:tabs>
          <w:tab w:val="left" w:pos="4111"/>
        </w:tabs>
      </w:pPr>
      <w:r w:rsidRPr="000A2EE1">
        <w:t>4.1.4.1, packing instruction P207</w:t>
      </w:r>
      <w:r w:rsidRPr="000A2EE1">
        <w:tab/>
        <w:t>In the last sentence before the special packing provision, insert the word “excessive” after “to prevent”.</w:t>
      </w:r>
    </w:p>
    <w:p w:rsidR="00E3232B" w:rsidRPr="000A2EE1" w:rsidRDefault="00E3232B" w:rsidP="004111B0">
      <w:pPr>
        <w:pStyle w:val="SingleTxtG"/>
        <w:tabs>
          <w:tab w:val="left" w:pos="4536"/>
        </w:tabs>
      </w:pPr>
      <w:r w:rsidRPr="000A2EE1">
        <w:t>4.1.4.1, packing instructions P403 and P410</w:t>
      </w:r>
      <w:r w:rsidRPr="000A2EE1">
        <w:tab/>
        <w:t>Delete special packing provision “PP83” and insert “PP83</w:t>
      </w:r>
      <w:r w:rsidR="004111B0" w:rsidRPr="000A2EE1">
        <w:t xml:space="preserve"> </w:t>
      </w:r>
      <w:r w:rsidRPr="000A2EE1">
        <w:rPr>
          <w:i/>
        </w:rPr>
        <w:t>Deleted</w:t>
      </w:r>
      <w:r w:rsidRPr="000A2EE1">
        <w:t>”.</w:t>
      </w:r>
    </w:p>
    <w:p w:rsidR="00E3232B" w:rsidRPr="000A2EE1" w:rsidRDefault="00E3232B" w:rsidP="004111B0">
      <w:pPr>
        <w:pStyle w:val="SingleTxtG"/>
        <w:tabs>
          <w:tab w:val="left" w:pos="4111"/>
        </w:tabs>
      </w:pPr>
      <w:r w:rsidRPr="000A2EE1">
        <w:t>4.1.4.1, packing instruction P502</w:t>
      </w:r>
      <w:r w:rsidRPr="000A2EE1">
        <w:tab/>
        <w:t>Amend special packing provision “PP28” to read as follows:</w:t>
      </w:r>
      <w:r w:rsidR="004111B0" w:rsidRPr="000A2EE1">
        <w:t xml:space="preserve"> </w:t>
      </w:r>
      <w:r w:rsidRPr="000A2EE1">
        <w:t>“</w:t>
      </w:r>
      <w:r w:rsidRPr="000A2EE1">
        <w:rPr>
          <w:b/>
        </w:rPr>
        <w:t>PP28</w:t>
      </w:r>
      <w:r w:rsidR="004111B0" w:rsidRPr="000A2EE1">
        <w:rPr>
          <w:b/>
        </w:rPr>
        <w:t xml:space="preserve"> </w:t>
      </w:r>
      <w:r w:rsidRPr="000A2EE1">
        <w:t>For UN No. 1873, parts of packagings which are in direct contact with perchloric acid shall be constructed of glass or plastics.”.</w:t>
      </w:r>
    </w:p>
    <w:p w:rsidR="00E3232B" w:rsidRPr="000A2EE1" w:rsidRDefault="00E3232B" w:rsidP="004111B0">
      <w:pPr>
        <w:pStyle w:val="SingleTxtG"/>
        <w:tabs>
          <w:tab w:val="left" w:pos="4536"/>
        </w:tabs>
        <w:ind w:right="521"/>
      </w:pPr>
      <w:r w:rsidRPr="000A2EE1">
        <w:t xml:space="preserve">4.1.4.1, </w:t>
      </w:r>
      <w:r w:rsidR="00A919FA" w:rsidRPr="000A2EE1">
        <w:t xml:space="preserve">packing instruction </w:t>
      </w:r>
      <w:r w:rsidRPr="000A2EE1">
        <w:t>P650 (1)</w:t>
      </w:r>
      <w:r w:rsidRPr="000A2EE1">
        <w:tab/>
        <w:t>Replace “vehicles or containers” by “cargo transport units”, twice.</w:t>
      </w:r>
    </w:p>
    <w:p w:rsidR="00E3232B" w:rsidRPr="000A2EE1" w:rsidRDefault="00E3232B" w:rsidP="004111B0">
      <w:pPr>
        <w:pStyle w:val="SingleTxtG"/>
        <w:tabs>
          <w:tab w:val="left" w:pos="4536"/>
        </w:tabs>
        <w:ind w:right="521"/>
      </w:pPr>
      <w:r w:rsidRPr="000A2EE1">
        <w:t>4.1.4.1, packing instruction P650 (10)</w:t>
      </w:r>
      <w:r w:rsidRPr="000A2EE1">
        <w:tab/>
        <w:t>Replace “markings” by “marks”.</w:t>
      </w:r>
    </w:p>
    <w:p w:rsidR="00E3232B" w:rsidRPr="000A2EE1" w:rsidRDefault="00E3232B" w:rsidP="004111B0">
      <w:pPr>
        <w:pStyle w:val="SingleTxtG"/>
        <w:tabs>
          <w:tab w:val="left" w:pos="4536"/>
        </w:tabs>
        <w:ind w:right="521"/>
      </w:pPr>
      <w:r w:rsidRPr="000A2EE1">
        <w:t xml:space="preserve">4.1.4.1, </w:t>
      </w:r>
      <w:r w:rsidR="00A919FA" w:rsidRPr="000A2EE1">
        <w:t xml:space="preserve">packing instruction </w:t>
      </w:r>
      <w:r w:rsidRPr="000A2EE1">
        <w:t>P650 (14)</w:t>
      </w:r>
      <w:r w:rsidRPr="000A2EE1">
        <w:tab/>
        <w:t>Replace “vehicle or container” by “cargo transport unit”.</w:t>
      </w:r>
    </w:p>
    <w:p w:rsidR="00E3232B" w:rsidRPr="000A2EE1" w:rsidRDefault="00E3232B" w:rsidP="004111B0">
      <w:pPr>
        <w:pStyle w:val="SingleTxtG"/>
        <w:tabs>
          <w:tab w:val="left" w:pos="4111"/>
          <w:tab w:val="left" w:pos="4536"/>
        </w:tabs>
      </w:pPr>
      <w:r w:rsidRPr="000A2EE1">
        <w:t>4.1.4.1, packing instruction P805</w:t>
      </w:r>
      <w:r w:rsidRPr="000A2EE1">
        <w:tab/>
        <w:t>Renumber as “P603” and reorder accordingly.</w:t>
      </w:r>
    </w:p>
    <w:p w:rsidR="00E3232B" w:rsidRPr="000A2EE1" w:rsidRDefault="00E3232B" w:rsidP="004111B0">
      <w:pPr>
        <w:pStyle w:val="SingleTxtG"/>
        <w:tabs>
          <w:tab w:val="left" w:pos="2552"/>
          <w:tab w:val="left" w:pos="4111"/>
          <w:tab w:val="left" w:pos="4536"/>
        </w:tabs>
      </w:pPr>
      <w:r w:rsidRPr="000A2EE1">
        <w:t xml:space="preserve">4.1.4.1, </w:t>
      </w:r>
      <w:r w:rsidR="00A919FA" w:rsidRPr="000A2EE1">
        <w:t xml:space="preserve">packing instruction </w:t>
      </w:r>
      <w:r w:rsidRPr="000A2EE1">
        <w:t>P902</w:t>
      </w:r>
      <w:r w:rsidRPr="000A2EE1">
        <w:tab/>
        <w:t>Under “Unpackaged articles”, replace “, vehicles or containers” by “or cargo transport units”.</w:t>
      </w:r>
    </w:p>
    <w:p w:rsidR="00E3232B" w:rsidRPr="000A2EE1" w:rsidRDefault="00E3232B" w:rsidP="004111B0">
      <w:pPr>
        <w:pStyle w:val="SingleTxtG"/>
        <w:tabs>
          <w:tab w:val="left" w:pos="4111"/>
        </w:tabs>
      </w:pPr>
      <w:r w:rsidRPr="000A2EE1">
        <w:t>4.1.4.1, packing instruction P903</w:t>
      </w:r>
      <w:r w:rsidRPr="000A2EE1">
        <w:tab/>
        <w:t>The amendment does not apply to the English text.</w:t>
      </w:r>
    </w:p>
    <w:p w:rsidR="00E3232B" w:rsidRPr="000A2EE1" w:rsidRDefault="00E3232B" w:rsidP="004111B0">
      <w:pPr>
        <w:pStyle w:val="SingleTxtG"/>
        <w:tabs>
          <w:tab w:val="left" w:pos="4536"/>
        </w:tabs>
      </w:pPr>
      <w:r w:rsidRPr="000A2EE1">
        <w:t>4.1.4.1, packing instruction P906 (1)</w:t>
      </w:r>
      <w:r w:rsidRPr="000A2EE1">
        <w:tab/>
        <w:t>Amend to read as follows: “For liquids and solids containing or contaminated with PCBs, polyhalogenated biphenyls, polyhalogenated terphenyls or halogenated monomethyldiphenylmethanes: Packagings in accordance with P001 or P002, as appropriate.”.</w:t>
      </w:r>
    </w:p>
    <w:p w:rsidR="00E3232B" w:rsidRPr="000A2EE1" w:rsidRDefault="00E3232B" w:rsidP="004111B0">
      <w:pPr>
        <w:pStyle w:val="SingleTxtG"/>
        <w:tabs>
          <w:tab w:val="left" w:pos="4536"/>
        </w:tabs>
      </w:pPr>
      <w:r w:rsidRPr="000A2EE1">
        <w:t>4.1.4.1, packing instruction P906 (2) (b)</w:t>
      </w:r>
      <w:r w:rsidRPr="000A2EE1">
        <w:tab/>
      </w:r>
      <w:r w:rsidR="00A919FA" w:rsidRPr="000A2EE1">
        <w:tab/>
      </w:r>
      <w:r w:rsidRPr="000A2EE1">
        <w:t xml:space="preserve">Amend the end of the first sentence to read as follows: “PCBs, </w:t>
      </w:r>
      <w:r w:rsidRPr="000A2EE1">
        <w:rPr>
          <w:lang w:eastAsia="de-DE"/>
        </w:rPr>
        <w:t xml:space="preserve">polyhalogenated biphenyls, polyhalogenated terphenyls or halogenated </w:t>
      </w:r>
      <w:r w:rsidRPr="000A2EE1">
        <w:t>monomethyldiphenylmethanes</w:t>
      </w:r>
      <w:r w:rsidRPr="000A2EE1">
        <w:rPr>
          <w:lang w:eastAsia="de-DE"/>
        </w:rPr>
        <w:t xml:space="preserve"> present in them.</w:t>
      </w:r>
      <w:r w:rsidRPr="000A2EE1">
        <w:t>”.</w:t>
      </w:r>
    </w:p>
    <w:p w:rsidR="00E3232B" w:rsidRPr="000A2EE1" w:rsidRDefault="00E3232B" w:rsidP="004111B0">
      <w:pPr>
        <w:pStyle w:val="SingleTxtG"/>
        <w:tabs>
          <w:tab w:val="left" w:pos="4536"/>
        </w:tabs>
        <w:rPr>
          <w:iCs/>
        </w:rPr>
      </w:pPr>
      <w:r w:rsidRPr="000A2EE1">
        <w:rPr>
          <w:iCs/>
        </w:rPr>
        <w:t xml:space="preserve">4.1.4.1, </w:t>
      </w:r>
      <w:r w:rsidRPr="000A2EE1">
        <w:t xml:space="preserve">packing instruction </w:t>
      </w:r>
      <w:r w:rsidRPr="000A2EE1">
        <w:rPr>
          <w:iCs/>
        </w:rPr>
        <w:t>P909 (3)</w:t>
      </w:r>
      <w:r w:rsidRPr="000A2EE1">
        <w:rPr>
          <w:iCs/>
        </w:rPr>
        <w:tab/>
        <w:t>Amend the beginning of the last sentence to read: “Equipment may also be…”. Remainder unchanged.</w:t>
      </w:r>
    </w:p>
    <w:p w:rsidR="00E3232B" w:rsidRPr="000A2EE1" w:rsidRDefault="00E3232B" w:rsidP="009D19DD">
      <w:pPr>
        <w:pStyle w:val="SingleTxtG"/>
        <w:tabs>
          <w:tab w:val="left" w:pos="1985"/>
          <w:tab w:val="left" w:pos="2268"/>
        </w:tabs>
      </w:pPr>
      <w:r w:rsidRPr="000A2EE1">
        <w:t>4.1.4.1</w:t>
      </w:r>
      <w:r w:rsidRPr="000A2EE1">
        <w:tab/>
        <w:t>Add new packing instructions to read:</w:t>
      </w: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E3232B" w:rsidRPr="000A2EE1" w:rsidTr="009B5E14">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rsidR="00E3232B" w:rsidRPr="000A2EE1" w:rsidRDefault="00E3232B" w:rsidP="009B5E14">
            <w:pPr>
              <w:keepNext/>
              <w:keepLines/>
              <w:suppressAutoHyphens w:val="0"/>
              <w:spacing w:before="30" w:after="30" w:line="276" w:lineRule="auto"/>
              <w:rPr>
                <w:b/>
              </w:rPr>
            </w:pPr>
            <w:r w:rsidRPr="000A2EE1">
              <w:rPr>
                <w:b/>
              </w:rPr>
              <w:t>P005</w:t>
            </w:r>
          </w:p>
        </w:tc>
        <w:tc>
          <w:tcPr>
            <w:tcW w:w="7950" w:type="dxa"/>
            <w:tcBorders>
              <w:top w:val="single" w:sz="4" w:space="0" w:color="auto"/>
              <w:bottom w:val="single" w:sz="6" w:space="0" w:color="auto"/>
            </w:tcBorders>
            <w:tcMar>
              <w:left w:w="0" w:type="dxa"/>
              <w:right w:w="0" w:type="dxa"/>
            </w:tcMar>
          </w:tcPr>
          <w:p w:rsidR="00E3232B" w:rsidRPr="000A2EE1" w:rsidRDefault="00E3232B" w:rsidP="009B5E14">
            <w:pPr>
              <w:keepNext/>
              <w:keepLines/>
              <w:suppressAutoHyphens w:val="0"/>
              <w:spacing w:before="30" w:after="30" w:line="276" w:lineRule="auto"/>
              <w:jc w:val="center"/>
              <w:rPr>
                <w:b/>
              </w:rPr>
            </w:pPr>
            <w:r w:rsidRPr="000A2EE1">
              <w:rPr>
                <w:b/>
              </w:rPr>
              <w:t>PACKING INSTRUCTION</w:t>
            </w:r>
          </w:p>
        </w:tc>
        <w:tc>
          <w:tcPr>
            <w:tcW w:w="690" w:type="dxa"/>
            <w:tcBorders>
              <w:top w:val="single" w:sz="4" w:space="0" w:color="auto"/>
              <w:bottom w:val="single" w:sz="6" w:space="0" w:color="auto"/>
              <w:right w:val="single" w:sz="6" w:space="0" w:color="auto"/>
            </w:tcBorders>
            <w:tcMar>
              <w:left w:w="0" w:type="dxa"/>
              <w:right w:w="0" w:type="dxa"/>
            </w:tcMar>
          </w:tcPr>
          <w:p w:rsidR="00E3232B" w:rsidRPr="000A2EE1" w:rsidRDefault="00E3232B" w:rsidP="009B5E14">
            <w:pPr>
              <w:keepNext/>
              <w:keepLines/>
              <w:suppressAutoHyphens w:val="0"/>
              <w:spacing w:before="30" w:after="30" w:line="276" w:lineRule="auto"/>
              <w:rPr>
                <w:b/>
              </w:rPr>
            </w:pPr>
            <w:r w:rsidRPr="000A2EE1">
              <w:rPr>
                <w:b/>
              </w:rPr>
              <w:t>P005</w:t>
            </w:r>
          </w:p>
        </w:tc>
      </w:tr>
      <w:tr w:rsidR="00E3232B" w:rsidRPr="000A2EE1" w:rsidTr="009B5E14">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E3232B" w:rsidRPr="000A2EE1" w:rsidRDefault="00E3232B" w:rsidP="009B5E14">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ind w:left="139"/>
            </w:pPr>
            <w:r w:rsidRPr="000A2EE1">
              <w:t>This instruction applies to UN Nos. 3528, 3529 and 3530.</w:t>
            </w:r>
          </w:p>
        </w:tc>
      </w:tr>
      <w:tr w:rsidR="00E3232B" w:rsidRPr="000A2EE1" w:rsidTr="009B5E14">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E3232B" w:rsidRPr="000A2EE1" w:rsidRDefault="00E3232B" w:rsidP="009B5E14">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ind w:left="139"/>
            </w:pPr>
            <w:r w:rsidRPr="000A2EE1">
              <w:t xml:space="preserve">If the engine or machinery is constructed and designed so that the means of containment containing the dangerous goods affords adequate protection, an outer packaging is not required. </w:t>
            </w:r>
          </w:p>
          <w:p w:rsidR="00E3232B" w:rsidRPr="000A2EE1" w:rsidRDefault="00E3232B" w:rsidP="009B5E14">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ind w:left="139"/>
            </w:pPr>
            <w:r w:rsidRPr="000A2EE1">
              <w:t>Dangerous goods in engines or machinery shall otherwise be packed in outer packagings constructed of suitable material, and of adequate strength and design in relation to the packaging capacity and its intended use, and meeting the applicable requirements of 4.1.1.1, or they shall be fixed in such a way that they will not become loose during normal conditions of carriage, e.g. in cradles or crates or other handling devices.</w:t>
            </w:r>
          </w:p>
          <w:p w:rsidR="00E3232B" w:rsidRPr="000A2EE1" w:rsidRDefault="00E3232B" w:rsidP="009B5E14">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ind w:left="139"/>
            </w:pPr>
            <w:r w:rsidRPr="000A2EE1">
              <w:t xml:space="preserve">In addition, the manner in which means of containment are contained within the engine or machinery, shall be such that under normal conditions of carriage, damage to the means of containment containing the dangerous goods is prevented; and in the event of damage to the means of containment containing liquid dangerous goods, no leakage of the dangerous goods from the engine or machinery is possible (a leakproof liner may be used to satisfy this requirement). </w:t>
            </w:r>
          </w:p>
          <w:p w:rsidR="00E3232B" w:rsidRPr="000A2EE1" w:rsidRDefault="00E3232B" w:rsidP="009B5E14">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ind w:left="139"/>
            </w:pPr>
            <w:r w:rsidRPr="000A2EE1">
              <w:t>Means of containment containing dangerous goods shall be so installed, secured or cushioned as to prevent their breakage or leakage and so as to control their movement within the engine or machinery during normal conditions of carriage. Cushioning material shall not react dangerously with the content of the means of containment. Any leakage of the contents shall not substantially impair the protective properties of the cushioning material.</w:t>
            </w:r>
          </w:p>
        </w:tc>
      </w:tr>
      <w:tr w:rsidR="00E3232B" w:rsidRPr="000A2EE1" w:rsidTr="009B5E14">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rsidR="00E3232B" w:rsidRPr="000A2EE1" w:rsidRDefault="00E3232B" w:rsidP="009B5E14">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ind w:left="139"/>
              <w:rPr>
                <w:b/>
              </w:rPr>
            </w:pPr>
            <w:r w:rsidRPr="000A2EE1">
              <w:rPr>
                <w:b/>
              </w:rPr>
              <w:t>Additional requirement</w:t>
            </w:r>
            <w:r w:rsidR="00A919FA" w:rsidRPr="000A2EE1">
              <w:rPr>
                <w:b/>
              </w:rPr>
              <w:t>:</w:t>
            </w:r>
          </w:p>
          <w:p w:rsidR="00E3232B" w:rsidRPr="000A2EE1" w:rsidRDefault="00E3232B" w:rsidP="009B5E14">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ind w:left="139"/>
              <w:rPr>
                <w:rFonts w:eastAsia="Calibri"/>
              </w:rPr>
            </w:pPr>
            <w:r w:rsidRPr="000A2EE1">
              <w:t>Other dangerous goods (e.g. batteries, fire extinguishers, compressed gas accumulators or safety devices) required for the functioning or safe operation of the engine or machinery shall be securely mounted in the engine or machine.</w:t>
            </w:r>
            <w:r w:rsidRPr="000A2EE1">
              <w:rPr>
                <w:rFonts w:eastAsia="Calibri"/>
              </w:rPr>
              <w:t xml:space="preserve"> </w:t>
            </w:r>
          </w:p>
        </w:tc>
      </w:tr>
    </w:tbl>
    <w:p w:rsidR="00E3232B" w:rsidRPr="000A2EE1" w:rsidRDefault="00E3232B" w:rsidP="00E3232B">
      <w:pPr>
        <w:pStyle w:val="SingleTxtG"/>
        <w:spacing w:line="240" w:lineRule="auto"/>
        <w:rPr>
          <w:rFonts w:eastAsia="Calibri"/>
        </w:rPr>
      </w:pPr>
    </w:p>
    <w:tbl>
      <w:tblPr>
        <w:tblW w:w="9640" w:type="dxa"/>
        <w:jc w:val="center"/>
        <w:tblBorders>
          <w:top w:val="single" w:sz="8" w:space="0" w:color="000000"/>
          <w:left w:val="single" w:sz="8" w:space="0" w:color="000000"/>
          <w:bottom w:val="single" w:sz="8" w:space="0" w:color="000000"/>
          <w:right w:val="single" w:sz="8" w:space="0" w:color="000000"/>
        </w:tblBorders>
        <w:tblLayout w:type="fixed"/>
        <w:tblCellMar>
          <w:left w:w="37" w:type="dxa"/>
          <w:right w:w="37" w:type="dxa"/>
        </w:tblCellMar>
        <w:tblLook w:val="0000" w:firstRow="0" w:lastRow="0" w:firstColumn="0" w:lastColumn="0" w:noHBand="0" w:noVBand="0"/>
      </w:tblPr>
      <w:tblGrid>
        <w:gridCol w:w="1053"/>
        <w:gridCol w:w="7638"/>
        <w:gridCol w:w="940"/>
        <w:gridCol w:w="9"/>
      </w:tblGrid>
      <w:tr w:rsidR="00E3232B" w:rsidRPr="000A2EE1" w:rsidTr="009B5E14">
        <w:trPr>
          <w:gridAfter w:val="1"/>
          <w:wAfter w:w="9" w:type="dxa"/>
          <w:tblHeader/>
          <w:jc w:val="center"/>
        </w:trPr>
        <w:tc>
          <w:tcPr>
            <w:tcW w:w="1053" w:type="dxa"/>
            <w:tcBorders>
              <w:top w:val="single" w:sz="8" w:space="0" w:color="000000"/>
              <w:bottom w:val="single" w:sz="8" w:space="0" w:color="000000"/>
            </w:tcBorders>
          </w:tcPr>
          <w:p w:rsidR="00E3232B" w:rsidRPr="000A2EE1" w:rsidRDefault="00E3232B" w:rsidP="009B5E14">
            <w:pPr>
              <w:keepNext/>
              <w:keepLines/>
              <w:suppressAutoHyphens w:val="0"/>
              <w:spacing w:before="30" w:after="30" w:line="276" w:lineRule="auto"/>
              <w:rPr>
                <w:b/>
                <w:bCs/>
              </w:rPr>
            </w:pPr>
            <w:r w:rsidRPr="000A2EE1">
              <w:br w:type="page"/>
            </w:r>
            <w:r w:rsidRPr="000A2EE1">
              <w:br w:type="page"/>
            </w:r>
            <w:r w:rsidRPr="000A2EE1">
              <w:br w:type="page"/>
            </w:r>
            <w:r w:rsidRPr="000A2EE1">
              <w:rPr>
                <w:b/>
              </w:rPr>
              <w:br w:type="page"/>
            </w:r>
            <w:r w:rsidRPr="000A2EE1">
              <w:rPr>
                <w:b/>
              </w:rPr>
              <w:br w:type="page"/>
            </w:r>
            <w:r w:rsidRPr="000A2EE1">
              <w:rPr>
                <w:b/>
              </w:rPr>
              <w:br w:type="page"/>
            </w:r>
            <w:r w:rsidRPr="000A2EE1">
              <w:br w:type="page"/>
            </w:r>
            <w:r w:rsidRPr="000A2EE1">
              <w:br w:type="page"/>
            </w:r>
            <w:r w:rsidRPr="000A2EE1">
              <w:rPr>
                <w:b/>
              </w:rPr>
              <w:t>P412</w:t>
            </w:r>
          </w:p>
        </w:tc>
        <w:tc>
          <w:tcPr>
            <w:tcW w:w="7638" w:type="dxa"/>
            <w:tcBorders>
              <w:top w:val="single" w:sz="8" w:space="0" w:color="000000"/>
              <w:bottom w:val="single" w:sz="8" w:space="0" w:color="000000"/>
            </w:tcBorders>
          </w:tcPr>
          <w:p w:rsidR="00E3232B" w:rsidRPr="000A2EE1" w:rsidRDefault="00E3232B" w:rsidP="009B5E14">
            <w:pPr>
              <w:keepNext/>
              <w:keepLines/>
              <w:suppressAutoHyphens w:val="0"/>
              <w:spacing w:before="30" w:after="30" w:line="276" w:lineRule="auto"/>
              <w:jc w:val="center"/>
            </w:pPr>
            <w:r w:rsidRPr="000A2EE1">
              <w:rPr>
                <w:b/>
              </w:rPr>
              <w:t xml:space="preserve">PACKING INSTRUCTION </w:t>
            </w:r>
          </w:p>
        </w:tc>
        <w:tc>
          <w:tcPr>
            <w:tcW w:w="940" w:type="dxa"/>
            <w:tcBorders>
              <w:top w:val="single" w:sz="8" w:space="0" w:color="000000"/>
              <w:bottom w:val="single" w:sz="8" w:space="0" w:color="000000"/>
            </w:tcBorders>
          </w:tcPr>
          <w:p w:rsidR="00E3232B" w:rsidRPr="000A2EE1" w:rsidRDefault="00E3232B" w:rsidP="009B5E14">
            <w:pPr>
              <w:keepNext/>
              <w:keepLines/>
              <w:suppressAutoHyphens w:val="0"/>
              <w:spacing w:before="30" w:after="30" w:line="276" w:lineRule="auto"/>
              <w:jc w:val="right"/>
              <w:rPr>
                <w:b/>
                <w:bCs/>
              </w:rPr>
            </w:pPr>
            <w:r w:rsidRPr="000A2EE1">
              <w:rPr>
                <w:b/>
              </w:rPr>
              <w:t>P412</w:t>
            </w:r>
          </w:p>
        </w:tc>
      </w:tr>
      <w:tr w:rsidR="00E3232B" w:rsidRPr="000A2EE1" w:rsidTr="009B5E14">
        <w:tblPrEx>
          <w:tblCellMar>
            <w:left w:w="117" w:type="dxa"/>
            <w:right w:w="117" w:type="dxa"/>
          </w:tblCellMar>
        </w:tblPrEx>
        <w:trPr>
          <w:jc w:val="center"/>
        </w:trPr>
        <w:tc>
          <w:tcPr>
            <w:tcW w:w="9640" w:type="dxa"/>
            <w:gridSpan w:val="4"/>
            <w:tcBorders>
              <w:top w:val="nil"/>
              <w:bottom w:val="single" w:sz="8" w:space="0" w:color="000000"/>
            </w:tcBorders>
          </w:tcPr>
          <w:p w:rsidR="00E3232B" w:rsidRPr="000A2EE1" w:rsidRDefault="00E3232B" w:rsidP="009B5E14">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pPr>
            <w:r w:rsidRPr="000A2EE1">
              <w:t>This instruction applies to UN No. 3527</w:t>
            </w:r>
          </w:p>
        </w:tc>
      </w:tr>
      <w:tr w:rsidR="00E3232B" w:rsidRPr="000A2EE1" w:rsidTr="009B5E14">
        <w:tblPrEx>
          <w:tblCellMar>
            <w:left w:w="117" w:type="dxa"/>
            <w:right w:w="117" w:type="dxa"/>
          </w:tblCellMar>
        </w:tblPrEx>
        <w:trPr>
          <w:jc w:val="center"/>
        </w:trPr>
        <w:tc>
          <w:tcPr>
            <w:tcW w:w="9640" w:type="dxa"/>
            <w:gridSpan w:val="4"/>
            <w:tcBorders>
              <w:top w:val="single" w:sz="8" w:space="0" w:color="000000"/>
              <w:bottom w:val="single" w:sz="8" w:space="0" w:color="000000"/>
            </w:tcBorders>
          </w:tcPr>
          <w:p w:rsidR="00E3232B" w:rsidRPr="000A2EE1" w:rsidRDefault="00E3232B" w:rsidP="009B5E14">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pPr>
            <w:r w:rsidRPr="000A2EE1">
              <w:t xml:space="preserve">The following combination packagings are authorized, provided that the general provisions of </w:t>
            </w:r>
            <w:r w:rsidRPr="000A2EE1">
              <w:rPr>
                <w:b/>
                <w:bCs/>
              </w:rPr>
              <w:t>4.1.1</w:t>
            </w:r>
            <w:r w:rsidRPr="000A2EE1">
              <w:t xml:space="preserve"> and </w:t>
            </w:r>
            <w:r w:rsidRPr="000A2EE1">
              <w:rPr>
                <w:b/>
                <w:bCs/>
              </w:rPr>
              <w:t>4.1.3</w:t>
            </w:r>
            <w:r w:rsidRPr="000A2EE1">
              <w:t xml:space="preserve"> are met:</w:t>
            </w:r>
          </w:p>
          <w:p w:rsidR="00E3232B" w:rsidRPr="000A2EE1" w:rsidRDefault="00E3232B" w:rsidP="009B5E14">
            <w:pPr>
              <w:tabs>
                <w:tab w:val="left" w:pos="174"/>
                <w:tab w:val="left" w:pos="593"/>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pPr>
            <w:r w:rsidRPr="000A2EE1">
              <w:t>(1)</w:t>
            </w:r>
            <w:r w:rsidRPr="000A2EE1">
              <w:tab/>
              <w:t>Outer packagings:</w:t>
            </w:r>
          </w:p>
          <w:p w:rsidR="00E3232B" w:rsidRPr="000A2EE1" w:rsidRDefault="00E3232B" w:rsidP="009B5E14">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pPr>
            <w:r w:rsidRPr="000A2EE1">
              <w:tab/>
            </w:r>
            <w:r w:rsidRPr="000A2EE1">
              <w:tab/>
              <w:t>Drums (1A1, 1A2, 1B1, 1B2, 1N1, 1N2, 1H1, 1H2, 1D, 1G);</w:t>
            </w:r>
          </w:p>
          <w:p w:rsidR="00E3232B" w:rsidRPr="000A2EE1" w:rsidRDefault="00E3232B" w:rsidP="009B5E14">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pPr>
            <w:r w:rsidRPr="000A2EE1">
              <w:tab/>
            </w:r>
            <w:r w:rsidRPr="000A2EE1">
              <w:tab/>
              <w:t>Boxes (4A, 4B, 4N, 4C1, 4C2, 4D, 4F, 4G, 4H1, 4H2)</w:t>
            </w:r>
          </w:p>
          <w:p w:rsidR="00E3232B" w:rsidRPr="000A2EE1" w:rsidRDefault="00E3232B" w:rsidP="009B5E14">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pPr>
            <w:r w:rsidRPr="000A2EE1">
              <w:tab/>
            </w:r>
            <w:r w:rsidRPr="000A2EE1">
              <w:tab/>
              <w:t>Jerricans (3A1, 3A2, 3B1, 3B2, 3H1, 3H2);</w:t>
            </w:r>
          </w:p>
          <w:p w:rsidR="00E3232B" w:rsidRPr="000A2EE1" w:rsidRDefault="00E3232B" w:rsidP="009B5E14">
            <w:pPr>
              <w:tabs>
                <w:tab w:val="left" w:pos="174"/>
                <w:tab w:val="left" w:pos="593"/>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pPr>
            <w:r w:rsidRPr="000A2EE1">
              <w:t>(2)</w:t>
            </w:r>
            <w:r w:rsidRPr="000A2EE1">
              <w:tab/>
              <w:t>Inner packagings:</w:t>
            </w:r>
          </w:p>
          <w:p w:rsidR="00E3232B" w:rsidRPr="000A2EE1" w:rsidRDefault="00E3232B" w:rsidP="009B5E14">
            <w:pPr>
              <w:tabs>
                <w:tab w:val="left" w:pos="174"/>
                <w:tab w:val="left" w:pos="1018"/>
                <w:tab w:val="left" w:pos="1302"/>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ind w:left="877" w:hanging="284"/>
            </w:pPr>
            <w:r w:rsidRPr="000A2EE1">
              <w:t>(a)</w:t>
            </w:r>
            <w:r w:rsidRPr="000A2EE1">
              <w:tab/>
            </w:r>
            <w:r w:rsidRPr="000A2EE1">
              <w:tab/>
              <w:t xml:space="preserve">The activator (organic peroxide) shall have a maximum quantity of 125 ml per inner packaging if liquid, </w:t>
            </w:r>
            <w:r w:rsidRPr="000A2EE1">
              <w:tab/>
              <w:t>and 500 g per inner packaging if solid.</w:t>
            </w:r>
          </w:p>
          <w:p w:rsidR="00E3232B" w:rsidRPr="000A2EE1" w:rsidRDefault="00E3232B" w:rsidP="009B5E14">
            <w:pPr>
              <w:tabs>
                <w:tab w:val="left" w:pos="174"/>
                <w:tab w:val="left" w:pos="1018"/>
                <w:tab w:val="left" w:pos="1302"/>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ind w:left="877" w:hanging="284"/>
            </w:pPr>
            <w:r w:rsidRPr="000A2EE1">
              <w:t>(b)</w:t>
            </w:r>
            <w:r w:rsidRPr="000A2EE1">
              <w:tab/>
            </w:r>
            <w:r w:rsidRPr="000A2EE1">
              <w:tab/>
              <w:t>The base material and the activator shall be each separately packed in inner packagings.</w:t>
            </w:r>
          </w:p>
          <w:p w:rsidR="00E3232B" w:rsidRPr="000A2EE1" w:rsidRDefault="00E3232B" w:rsidP="009B5E14">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pPr>
            <w:r w:rsidRPr="000A2EE1">
              <w:t xml:space="preserve">The components may be placed in the same outer packaging provided that they will not interact dangerously in the event of a leakage. </w:t>
            </w:r>
          </w:p>
          <w:p w:rsidR="00E3232B" w:rsidRPr="000A2EE1" w:rsidRDefault="00E3232B" w:rsidP="009B5E14">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uppressAutoHyphens w:val="0"/>
              <w:spacing w:before="30" w:after="30" w:line="276" w:lineRule="auto"/>
            </w:pPr>
            <w:r w:rsidRPr="000A2EE1">
              <w:t>Packagings shall conform to the packing group II or III performance level according to the criteria for Class 4.1 applied to the base material.</w:t>
            </w:r>
          </w:p>
        </w:tc>
      </w:tr>
    </w:tbl>
    <w:p w:rsidR="00E3232B" w:rsidRPr="000A2EE1" w:rsidRDefault="00E3232B" w:rsidP="00E3232B">
      <w:pPr>
        <w:pStyle w:val="SingleTxtG"/>
        <w:spacing w:line="240" w:lineRule="auto"/>
        <w:rPr>
          <w:rFonts w:eastAsia="Calibri"/>
        </w:rPr>
      </w:pPr>
    </w:p>
    <w:tbl>
      <w:tblPr>
        <w:tblW w:w="9640" w:type="dxa"/>
        <w:jc w:val="center"/>
        <w:tblBorders>
          <w:top w:val="single" w:sz="8" w:space="0" w:color="000000"/>
          <w:left w:val="single" w:sz="8" w:space="0" w:color="000000"/>
          <w:bottom w:val="single" w:sz="8" w:space="0" w:color="000000"/>
          <w:right w:val="single" w:sz="8" w:space="0" w:color="000000"/>
        </w:tblBorders>
        <w:tblLayout w:type="fixed"/>
        <w:tblCellMar>
          <w:left w:w="37" w:type="dxa"/>
          <w:right w:w="37" w:type="dxa"/>
        </w:tblCellMar>
        <w:tblLook w:val="0000" w:firstRow="0" w:lastRow="0" w:firstColumn="0" w:lastColumn="0" w:noHBand="0" w:noVBand="0"/>
      </w:tblPr>
      <w:tblGrid>
        <w:gridCol w:w="1054"/>
        <w:gridCol w:w="7645"/>
        <w:gridCol w:w="941"/>
      </w:tblGrid>
      <w:tr w:rsidR="00E3232B" w:rsidRPr="000A2EE1" w:rsidTr="009B5E14">
        <w:trPr>
          <w:tblHeader/>
          <w:jc w:val="center"/>
        </w:trPr>
        <w:tc>
          <w:tcPr>
            <w:tcW w:w="1054" w:type="dxa"/>
            <w:tcBorders>
              <w:top w:val="single" w:sz="8" w:space="0" w:color="000000"/>
              <w:bottom w:val="single" w:sz="8" w:space="0" w:color="000000"/>
            </w:tcBorders>
          </w:tcPr>
          <w:p w:rsidR="00E3232B" w:rsidRPr="000A2EE1" w:rsidRDefault="00E3232B" w:rsidP="00026BD5">
            <w:pPr>
              <w:keepNext/>
              <w:keepLines/>
              <w:pageBreakBefore/>
              <w:suppressAutoHyphens w:val="0"/>
              <w:spacing w:before="30" w:after="30" w:line="276" w:lineRule="auto"/>
              <w:rPr>
                <w:b/>
                <w:bCs/>
              </w:rPr>
            </w:pPr>
            <w:r w:rsidRPr="000A2EE1">
              <w:br w:type="page"/>
            </w:r>
            <w:r w:rsidRPr="000A2EE1">
              <w:br w:type="page"/>
            </w:r>
            <w:r w:rsidRPr="000A2EE1">
              <w:br w:type="page"/>
            </w:r>
            <w:r w:rsidRPr="000A2EE1">
              <w:rPr>
                <w:b/>
              </w:rPr>
              <w:br w:type="page"/>
            </w:r>
            <w:r w:rsidRPr="000A2EE1">
              <w:rPr>
                <w:b/>
              </w:rPr>
              <w:br w:type="page"/>
            </w:r>
            <w:r w:rsidRPr="000A2EE1">
              <w:rPr>
                <w:b/>
              </w:rPr>
              <w:br w:type="page"/>
            </w:r>
            <w:r w:rsidRPr="000A2EE1">
              <w:br w:type="page"/>
            </w:r>
            <w:r w:rsidRPr="000A2EE1">
              <w:br w:type="page"/>
            </w:r>
            <w:r w:rsidRPr="000A2EE1">
              <w:rPr>
                <w:b/>
              </w:rPr>
              <w:t>P910</w:t>
            </w:r>
          </w:p>
        </w:tc>
        <w:tc>
          <w:tcPr>
            <w:tcW w:w="7645" w:type="dxa"/>
            <w:tcBorders>
              <w:top w:val="single" w:sz="8" w:space="0" w:color="000000"/>
              <w:bottom w:val="single" w:sz="8" w:space="0" w:color="000000"/>
            </w:tcBorders>
          </w:tcPr>
          <w:p w:rsidR="00E3232B" w:rsidRPr="000A2EE1" w:rsidRDefault="00E3232B" w:rsidP="009B5E14">
            <w:pPr>
              <w:keepNext/>
              <w:keepLines/>
              <w:suppressAutoHyphens w:val="0"/>
              <w:spacing w:before="30" w:after="30" w:line="276" w:lineRule="auto"/>
              <w:jc w:val="center"/>
            </w:pPr>
            <w:r w:rsidRPr="000A2EE1">
              <w:rPr>
                <w:b/>
              </w:rPr>
              <w:t xml:space="preserve">PACKING INSTRUCTION </w:t>
            </w:r>
          </w:p>
        </w:tc>
        <w:tc>
          <w:tcPr>
            <w:tcW w:w="941" w:type="dxa"/>
            <w:tcBorders>
              <w:top w:val="single" w:sz="8" w:space="0" w:color="000000"/>
              <w:bottom w:val="single" w:sz="8" w:space="0" w:color="000000"/>
            </w:tcBorders>
          </w:tcPr>
          <w:p w:rsidR="00E3232B" w:rsidRPr="000A2EE1" w:rsidRDefault="00E3232B" w:rsidP="009B5E14">
            <w:pPr>
              <w:keepNext/>
              <w:keepLines/>
              <w:suppressAutoHyphens w:val="0"/>
              <w:spacing w:before="30" w:after="30" w:line="276" w:lineRule="auto"/>
              <w:jc w:val="right"/>
              <w:rPr>
                <w:b/>
                <w:bCs/>
              </w:rPr>
            </w:pPr>
            <w:r w:rsidRPr="000A2EE1">
              <w:rPr>
                <w:b/>
              </w:rPr>
              <w:t>P910</w:t>
            </w:r>
          </w:p>
        </w:tc>
      </w:tr>
      <w:tr w:rsidR="00E3232B" w:rsidRPr="000A2EE1" w:rsidTr="0002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640" w:type="dxa"/>
            <w:gridSpan w:val="3"/>
            <w:tcBorders>
              <w:bottom w:val="single" w:sz="4" w:space="0" w:color="auto"/>
            </w:tcBorders>
            <w:shd w:val="clear" w:color="auto" w:fill="auto"/>
          </w:tcPr>
          <w:p w:rsidR="00E3232B" w:rsidRPr="000A2EE1" w:rsidRDefault="00E3232B" w:rsidP="009B5E14">
            <w:pPr>
              <w:autoSpaceDE w:val="0"/>
              <w:autoSpaceDN w:val="0"/>
              <w:adjustRightInd w:val="0"/>
              <w:spacing w:after="120" w:line="240" w:lineRule="auto"/>
              <w:rPr>
                <w:rFonts w:eastAsia="Calibri"/>
                <w:b/>
                <w:bCs/>
                <w:snapToGrid w:val="0"/>
                <w:lang w:eastAsia="de-DE"/>
              </w:rPr>
            </w:pPr>
            <w:r w:rsidRPr="000A2EE1">
              <w:rPr>
                <w:rFonts w:eastAsia="Calibri"/>
                <w:snapToGrid w:val="0"/>
                <w:lang w:eastAsia="de-DE"/>
              </w:rPr>
              <w:t>This instruction applies to UN Nos. 3090, 3091, 3480 and 3481</w:t>
            </w:r>
            <w:r w:rsidRPr="000A2EE1">
              <w:rPr>
                <w:snapToGrid w:val="0"/>
                <w:lang w:eastAsia="de-DE"/>
              </w:rPr>
              <w:t xml:space="preserve"> production runs consisting of not more than 100 cells and batteries and to pre-production prototypes of cells and batteries when these prototypes are carried for testing</w:t>
            </w:r>
            <w:r w:rsidRPr="000A2EE1">
              <w:rPr>
                <w:rFonts w:eastAsia="Calibri"/>
                <w:b/>
                <w:snapToGrid w:val="0"/>
                <w:lang w:eastAsia="de-DE"/>
              </w:rPr>
              <w:t>.</w:t>
            </w:r>
            <w:r w:rsidRPr="000A2EE1">
              <w:t xml:space="preserve"> </w:t>
            </w:r>
          </w:p>
        </w:tc>
      </w:tr>
      <w:tr w:rsidR="00E3232B" w:rsidRPr="000A2EE1" w:rsidTr="0002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05"/>
          <w:jc w:val="center"/>
        </w:trPr>
        <w:tc>
          <w:tcPr>
            <w:tcW w:w="9640" w:type="dxa"/>
            <w:gridSpan w:val="3"/>
            <w:tcBorders>
              <w:bottom w:val="nil"/>
            </w:tcBorders>
            <w:shd w:val="clear" w:color="auto" w:fill="auto"/>
          </w:tcPr>
          <w:p w:rsidR="00E3232B" w:rsidRPr="000A2EE1" w:rsidRDefault="00E3232B" w:rsidP="009B5E14">
            <w:pPr>
              <w:autoSpaceDE w:val="0"/>
              <w:autoSpaceDN w:val="0"/>
              <w:adjustRightInd w:val="0"/>
              <w:spacing w:after="120" w:line="240" w:lineRule="auto"/>
              <w:ind w:right="288"/>
              <w:rPr>
                <w:rFonts w:eastAsia="Calibri"/>
                <w:snapToGrid w:val="0"/>
                <w:lang w:eastAsia="de-DE"/>
              </w:rPr>
            </w:pPr>
            <w:r w:rsidRPr="000A2EE1">
              <w:rPr>
                <w:rFonts w:eastAsia="Calibri"/>
                <w:snapToGrid w:val="0"/>
                <w:lang w:eastAsia="de-DE"/>
              </w:rPr>
              <w:t xml:space="preserve">The following packagings are authorized provided that the general provisions of </w:t>
            </w:r>
            <w:r w:rsidRPr="000A2EE1">
              <w:rPr>
                <w:rFonts w:eastAsia="Calibri"/>
                <w:b/>
                <w:bCs/>
                <w:snapToGrid w:val="0"/>
                <w:lang w:eastAsia="de-DE"/>
              </w:rPr>
              <w:t xml:space="preserve">4.1.1 </w:t>
            </w:r>
            <w:r w:rsidRPr="000A2EE1">
              <w:rPr>
                <w:rFonts w:eastAsia="Calibri"/>
                <w:snapToGrid w:val="0"/>
                <w:lang w:eastAsia="de-DE"/>
              </w:rPr>
              <w:t xml:space="preserve">and </w:t>
            </w:r>
            <w:r w:rsidRPr="000A2EE1">
              <w:rPr>
                <w:rFonts w:eastAsia="Calibri"/>
                <w:b/>
                <w:bCs/>
                <w:snapToGrid w:val="0"/>
                <w:lang w:eastAsia="de-DE"/>
              </w:rPr>
              <w:t xml:space="preserve">4.1.3 </w:t>
            </w:r>
            <w:r w:rsidRPr="000A2EE1">
              <w:rPr>
                <w:rFonts w:eastAsia="Calibri"/>
                <w:snapToGrid w:val="0"/>
                <w:lang w:eastAsia="de-DE"/>
              </w:rPr>
              <w:t>are met:</w:t>
            </w:r>
          </w:p>
          <w:p w:rsidR="00E3232B" w:rsidRPr="000A2EE1" w:rsidRDefault="00E3232B" w:rsidP="009B5E14">
            <w:pPr>
              <w:autoSpaceDE w:val="0"/>
              <w:autoSpaceDN w:val="0"/>
              <w:adjustRightInd w:val="0"/>
              <w:spacing w:line="240" w:lineRule="auto"/>
              <w:ind w:left="432" w:right="288" w:hanging="432"/>
              <w:rPr>
                <w:rFonts w:eastAsia="Calibri"/>
                <w:snapToGrid w:val="0"/>
                <w:lang w:eastAsia="de-DE"/>
              </w:rPr>
            </w:pPr>
            <w:r w:rsidRPr="000A2EE1">
              <w:rPr>
                <w:rFonts w:eastAsia="Calibri"/>
                <w:snapToGrid w:val="0"/>
                <w:lang w:eastAsia="de-DE"/>
              </w:rPr>
              <w:t>(1)</w:t>
            </w:r>
            <w:r w:rsidRPr="000A2EE1">
              <w:rPr>
                <w:rFonts w:eastAsia="Calibri"/>
                <w:snapToGrid w:val="0"/>
                <w:lang w:eastAsia="de-DE"/>
              </w:rPr>
              <w:tab/>
              <w:t>For cells and batteries, including when packed with</w:t>
            </w:r>
            <w:r w:rsidRPr="000A2EE1">
              <w:rPr>
                <w:rFonts w:eastAsia="Calibri"/>
                <w:b/>
                <w:snapToGrid w:val="0"/>
                <w:lang w:eastAsia="de-DE"/>
              </w:rPr>
              <w:t xml:space="preserve"> </w:t>
            </w:r>
            <w:r w:rsidRPr="000A2EE1">
              <w:rPr>
                <w:rFonts w:eastAsia="Calibri"/>
                <w:snapToGrid w:val="0"/>
                <w:lang w:eastAsia="de-DE"/>
              </w:rPr>
              <w:t>equipment:</w:t>
            </w:r>
          </w:p>
          <w:p w:rsidR="00E3232B" w:rsidRPr="000A2EE1" w:rsidRDefault="00E3232B" w:rsidP="009B5E14">
            <w:pPr>
              <w:autoSpaceDE w:val="0"/>
              <w:autoSpaceDN w:val="0"/>
              <w:adjustRightInd w:val="0"/>
              <w:spacing w:line="240" w:lineRule="auto"/>
              <w:ind w:left="1141" w:right="288"/>
              <w:rPr>
                <w:rFonts w:eastAsia="Calibri"/>
                <w:snapToGrid w:val="0"/>
                <w:lang w:eastAsia="de-DE"/>
              </w:rPr>
            </w:pPr>
            <w:r w:rsidRPr="000A2EE1">
              <w:rPr>
                <w:rFonts w:eastAsia="Calibri"/>
                <w:snapToGrid w:val="0"/>
                <w:lang w:eastAsia="de-DE"/>
              </w:rPr>
              <w:t>Drums (1A2, 1B2, 1N2, 1H2, 1D, 1G);</w:t>
            </w:r>
          </w:p>
          <w:p w:rsidR="00E3232B" w:rsidRPr="000A2EE1" w:rsidRDefault="00E3232B" w:rsidP="009B5E14">
            <w:pPr>
              <w:autoSpaceDE w:val="0"/>
              <w:autoSpaceDN w:val="0"/>
              <w:adjustRightInd w:val="0"/>
              <w:spacing w:line="240" w:lineRule="auto"/>
              <w:ind w:left="1134" w:right="288"/>
              <w:rPr>
                <w:rFonts w:eastAsia="Calibri"/>
                <w:snapToGrid w:val="0"/>
                <w:lang w:eastAsia="de-DE"/>
              </w:rPr>
            </w:pPr>
            <w:r w:rsidRPr="000A2EE1">
              <w:rPr>
                <w:rFonts w:eastAsia="Calibri"/>
                <w:snapToGrid w:val="0"/>
                <w:lang w:eastAsia="de-DE"/>
              </w:rPr>
              <w:t>Boxes (4A, 4B, 4N, 4C1, 4C2, 4D, 4F, 4G, 4H1, 4H2);</w:t>
            </w:r>
          </w:p>
          <w:p w:rsidR="00E3232B" w:rsidRPr="000A2EE1" w:rsidRDefault="00E3232B" w:rsidP="009B5E14">
            <w:pPr>
              <w:autoSpaceDE w:val="0"/>
              <w:autoSpaceDN w:val="0"/>
              <w:adjustRightInd w:val="0"/>
              <w:spacing w:after="240" w:line="240" w:lineRule="auto"/>
              <w:ind w:left="1134" w:right="288"/>
              <w:rPr>
                <w:rFonts w:eastAsia="Calibri"/>
                <w:snapToGrid w:val="0"/>
                <w:lang w:eastAsia="de-DE"/>
              </w:rPr>
            </w:pPr>
            <w:r w:rsidRPr="000A2EE1">
              <w:rPr>
                <w:rFonts w:eastAsia="Calibri"/>
                <w:snapToGrid w:val="0"/>
                <w:lang w:eastAsia="de-DE"/>
              </w:rPr>
              <w:t>Jerricans (3A2, 3B2, 3H2).</w:t>
            </w:r>
          </w:p>
          <w:p w:rsidR="00E3232B" w:rsidRPr="000A2EE1" w:rsidRDefault="00E3232B" w:rsidP="009B5E14">
            <w:pPr>
              <w:autoSpaceDE w:val="0"/>
              <w:autoSpaceDN w:val="0"/>
              <w:adjustRightInd w:val="0"/>
              <w:spacing w:line="240" w:lineRule="auto"/>
              <w:ind w:left="432" w:right="288"/>
              <w:rPr>
                <w:rFonts w:eastAsia="Calibri"/>
                <w:snapToGrid w:val="0"/>
                <w:lang w:eastAsia="de-DE"/>
              </w:rPr>
            </w:pPr>
            <w:r w:rsidRPr="000A2EE1">
              <w:rPr>
                <w:rFonts w:eastAsia="Calibri"/>
                <w:snapToGrid w:val="0"/>
                <w:lang w:eastAsia="de-DE"/>
              </w:rPr>
              <w:t>Packagings shall conform to the packing group II performance level and</w:t>
            </w:r>
            <w:r w:rsidRPr="000A2EE1">
              <w:rPr>
                <w:rFonts w:eastAsia="Calibri"/>
                <w:b/>
                <w:snapToGrid w:val="0"/>
                <w:lang w:eastAsia="de-DE"/>
              </w:rPr>
              <w:t xml:space="preserve"> </w:t>
            </w:r>
            <w:r w:rsidRPr="000A2EE1">
              <w:rPr>
                <w:rFonts w:eastAsia="Calibri"/>
                <w:snapToGrid w:val="0"/>
                <w:lang w:eastAsia="de-DE"/>
              </w:rPr>
              <w:t>shall meet the following requirements:</w:t>
            </w:r>
          </w:p>
          <w:p w:rsidR="00E3232B" w:rsidRPr="000A2EE1" w:rsidRDefault="00E3232B" w:rsidP="009B5E14">
            <w:pPr>
              <w:autoSpaceDE w:val="0"/>
              <w:autoSpaceDN w:val="0"/>
              <w:adjustRightInd w:val="0"/>
              <w:spacing w:line="240" w:lineRule="auto"/>
              <w:ind w:left="857" w:right="288"/>
              <w:rPr>
                <w:rFonts w:eastAsia="Calibri"/>
                <w:snapToGrid w:val="0"/>
                <w:lang w:eastAsia="de-DE"/>
              </w:rPr>
            </w:pPr>
          </w:p>
          <w:p w:rsidR="00E3232B" w:rsidRPr="000A2EE1" w:rsidRDefault="00E3232B" w:rsidP="009B5E14">
            <w:pPr>
              <w:autoSpaceDE w:val="0"/>
              <w:autoSpaceDN w:val="0"/>
              <w:adjustRightInd w:val="0"/>
              <w:spacing w:after="120" w:line="240" w:lineRule="auto"/>
              <w:ind w:left="857" w:right="288" w:hanging="425"/>
              <w:contextualSpacing/>
              <w:rPr>
                <w:rFonts w:eastAsia="Calibri"/>
                <w:strike/>
                <w:snapToGrid w:val="0"/>
                <w:lang w:eastAsia="de-DE"/>
              </w:rPr>
            </w:pPr>
            <w:r w:rsidRPr="000A2EE1">
              <w:rPr>
                <w:rFonts w:eastAsia="Calibri"/>
                <w:snapToGrid w:val="0"/>
                <w:lang w:eastAsia="de-DE"/>
              </w:rPr>
              <w:t>(a)</w:t>
            </w:r>
            <w:r w:rsidRPr="000A2EE1">
              <w:rPr>
                <w:rFonts w:eastAsia="Calibri"/>
                <w:snapToGrid w:val="0"/>
                <w:lang w:eastAsia="de-DE"/>
              </w:rPr>
              <w:tab/>
              <w:t>Batteries and cells, including equipment, of different sizes, shapes or masses shall be packaged in an outer packaging of a tested design type listed above provided the total gross mass of the package does not exceed the gross mass for which the design type has been tested;</w:t>
            </w:r>
          </w:p>
          <w:p w:rsidR="00E3232B" w:rsidRPr="000A2EE1" w:rsidRDefault="00E3232B" w:rsidP="009B5E14">
            <w:pPr>
              <w:autoSpaceDE w:val="0"/>
              <w:autoSpaceDN w:val="0"/>
              <w:adjustRightInd w:val="0"/>
              <w:spacing w:after="120" w:line="240" w:lineRule="auto"/>
              <w:ind w:left="857" w:right="288" w:hanging="425"/>
              <w:contextualSpacing/>
              <w:rPr>
                <w:rFonts w:eastAsia="Calibri"/>
                <w:snapToGrid w:val="0"/>
                <w:lang w:eastAsia="de-DE"/>
              </w:rPr>
            </w:pPr>
            <w:r w:rsidRPr="000A2EE1">
              <w:rPr>
                <w:rFonts w:eastAsia="Calibri"/>
                <w:snapToGrid w:val="0"/>
                <w:lang w:eastAsia="de-DE"/>
              </w:rPr>
              <w:t>(b)</w:t>
            </w:r>
            <w:r w:rsidRPr="000A2EE1">
              <w:rPr>
                <w:rFonts w:eastAsia="Calibri"/>
                <w:snapToGrid w:val="0"/>
                <w:lang w:eastAsia="de-DE"/>
              </w:rPr>
              <w:tab/>
              <w:t>Each cell or battery shall be individually packed in an inner packaging and placed inside an outer packaging;</w:t>
            </w:r>
          </w:p>
          <w:p w:rsidR="00E3232B" w:rsidRPr="000A2EE1" w:rsidRDefault="00E3232B" w:rsidP="009B5E14">
            <w:pPr>
              <w:autoSpaceDE w:val="0"/>
              <w:autoSpaceDN w:val="0"/>
              <w:adjustRightInd w:val="0"/>
              <w:spacing w:after="120" w:line="240" w:lineRule="auto"/>
              <w:ind w:left="857" w:right="288" w:hanging="425"/>
              <w:contextualSpacing/>
              <w:rPr>
                <w:rFonts w:eastAsia="Calibri"/>
                <w:snapToGrid w:val="0"/>
                <w:lang w:eastAsia="de-DE"/>
              </w:rPr>
            </w:pPr>
            <w:r w:rsidRPr="000A2EE1">
              <w:rPr>
                <w:rFonts w:eastAsia="Calibri"/>
                <w:snapToGrid w:val="0"/>
                <w:lang w:eastAsia="de-DE"/>
              </w:rPr>
              <w:t>(c)</w:t>
            </w:r>
            <w:r w:rsidRPr="000A2EE1">
              <w:rPr>
                <w:rFonts w:eastAsia="Calibri"/>
                <w:snapToGrid w:val="0"/>
                <w:lang w:eastAsia="de-DE"/>
              </w:rPr>
              <w:tab/>
              <w:t>Each inner packaging shall be completely surrounded by sufficient non-combustible and non-conductive thermal insulation material to protect against a dangerous evolution of heat;</w:t>
            </w:r>
          </w:p>
          <w:p w:rsidR="00E3232B" w:rsidRPr="000A2EE1" w:rsidRDefault="00E3232B" w:rsidP="009B5E14">
            <w:pPr>
              <w:autoSpaceDE w:val="0"/>
              <w:autoSpaceDN w:val="0"/>
              <w:adjustRightInd w:val="0"/>
              <w:spacing w:after="120" w:line="240" w:lineRule="auto"/>
              <w:ind w:left="857" w:right="288" w:hanging="425"/>
              <w:contextualSpacing/>
              <w:rPr>
                <w:rFonts w:eastAsia="Calibri"/>
                <w:snapToGrid w:val="0"/>
                <w:lang w:eastAsia="de-DE"/>
              </w:rPr>
            </w:pPr>
            <w:r w:rsidRPr="000A2EE1">
              <w:rPr>
                <w:rFonts w:eastAsia="Calibri"/>
                <w:snapToGrid w:val="0"/>
                <w:lang w:eastAsia="de-DE"/>
              </w:rPr>
              <w:t>(d)</w:t>
            </w:r>
            <w:r w:rsidRPr="000A2EE1">
              <w:rPr>
                <w:rFonts w:eastAsia="Calibri"/>
                <w:snapToGrid w:val="0"/>
                <w:lang w:eastAsia="de-DE"/>
              </w:rPr>
              <w:tab/>
              <w:t>Appropriate measures shall be taken to minimize the effects of vibration and shocks and prevent movement of the cells or batteries within the package that may lead to damage and a dangerous condition during carriage.  Cushioning material that is non-combustible and non-conductive may be used to meet this requirement;</w:t>
            </w:r>
          </w:p>
          <w:p w:rsidR="00E3232B" w:rsidRPr="000A2EE1" w:rsidRDefault="00E3232B" w:rsidP="009B5E14">
            <w:pPr>
              <w:autoSpaceDE w:val="0"/>
              <w:autoSpaceDN w:val="0"/>
              <w:adjustRightInd w:val="0"/>
              <w:spacing w:after="120" w:line="240" w:lineRule="auto"/>
              <w:ind w:left="857" w:right="288" w:hanging="425"/>
              <w:contextualSpacing/>
              <w:rPr>
                <w:rFonts w:eastAsia="Calibri"/>
                <w:snapToGrid w:val="0"/>
                <w:lang w:eastAsia="de-DE"/>
              </w:rPr>
            </w:pPr>
            <w:r w:rsidRPr="000A2EE1">
              <w:rPr>
                <w:rFonts w:eastAsia="Calibri"/>
                <w:snapToGrid w:val="0"/>
                <w:lang w:eastAsia="de-DE"/>
              </w:rPr>
              <w:t>(e)</w:t>
            </w:r>
            <w:r w:rsidRPr="000A2EE1">
              <w:rPr>
                <w:rFonts w:eastAsia="Calibri"/>
                <w:snapToGrid w:val="0"/>
                <w:lang w:eastAsia="de-DE"/>
              </w:rPr>
              <w:tab/>
              <w:t>Non-combustibility shall be assessed according to a standard recognized in the country where the packaging is designed or manufactured;</w:t>
            </w:r>
          </w:p>
          <w:p w:rsidR="00E3232B" w:rsidRPr="000A2EE1" w:rsidRDefault="00E3232B" w:rsidP="00026BD5">
            <w:pPr>
              <w:autoSpaceDE w:val="0"/>
              <w:autoSpaceDN w:val="0"/>
              <w:adjustRightInd w:val="0"/>
              <w:spacing w:after="120" w:line="240" w:lineRule="auto"/>
              <w:ind w:left="857" w:right="288" w:hanging="425"/>
              <w:contextualSpacing/>
              <w:rPr>
                <w:rFonts w:eastAsia="Calibri"/>
                <w:snapToGrid w:val="0"/>
                <w:lang w:eastAsia="de-DE"/>
              </w:rPr>
            </w:pPr>
            <w:r w:rsidRPr="000A2EE1">
              <w:rPr>
                <w:rFonts w:eastAsia="Calibri"/>
                <w:snapToGrid w:val="0"/>
                <w:lang w:eastAsia="de-DE"/>
              </w:rPr>
              <w:t>(f)</w:t>
            </w:r>
            <w:r w:rsidRPr="000A2EE1">
              <w:rPr>
                <w:rFonts w:eastAsia="Calibri"/>
                <w:snapToGrid w:val="0"/>
                <w:lang w:eastAsia="de-DE"/>
              </w:rPr>
              <w:tab/>
              <w:t xml:space="preserve">A cell or battery with a net mass of more than 30 kg shall be limited to one cell </w:t>
            </w:r>
            <w:r w:rsidR="00026BD5" w:rsidRPr="000A2EE1">
              <w:rPr>
                <w:rFonts w:eastAsia="Calibri"/>
                <w:snapToGrid w:val="0"/>
                <w:lang w:eastAsia="de-DE"/>
              </w:rPr>
              <w:t>or battery per outer packaging.</w:t>
            </w:r>
          </w:p>
        </w:tc>
      </w:tr>
      <w:tr w:rsidR="00026BD5" w:rsidRPr="000A2EE1" w:rsidTr="0002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05"/>
          <w:jc w:val="center"/>
        </w:trPr>
        <w:tc>
          <w:tcPr>
            <w:tcW w:w="9640" w:type="dxa"/>
            <w:gridSpan w:val="3"/>
            <w:tcBorders>
              <w:top w:val="nil"/>
            </w:tcBorders>
            <w:shd w:val="clear" w:color="auto" w:fill="auto"/>
          </w:tcPr>
          <w:p w:rsidR="00026BD5" w:rsidRPr="000A2EE1" w:rsidRDefault="00026BD5" w:rsidP="00026BD5">
            <w:pPr>
              <w:autoSpaceDE w:val="0"/>
              <w:autoSpaceDN w:val="0"/>
              <w:adjustRightInd w:val="0"/>
              <w:spacing w:line="240" w:lineRule="auto"/>
              <w:ind w:left="432" w:right="288" w:hanging="425"/>
              <w:rPr>
                <w:rFonts w:eastAsia="Calibri"/>
                <w:snapToGrid w:val="0"/>
                <w:lang w:eastAsia="de-DE"/>
              </w:rPr>
            </w:pPr>
            <w:r w:rsidRPr="000A2EE1">
              <w:rPr>
                <w:rFonts w:eastAsia="Calibri"/>
                <w:bCs/>
                <w:snapToGrid w:val="0"/>
                <w:lang w:eastAsia="de-DE"/>
              </w:rPr>
              <w:t>(2)</w:t>
            </w:r>
            <w:r w:rsidRPr="000A2EE1">
              <w:rPr>
                <w:rFonts w:eastAsia="Calibri"/>
                <w:bCs/>
                <w:snapToGrid w:val="0"/>
                <w:lang w:eastAsia="de-DE"/>
              </w:rPr>
              <w:tab/>
              <w:t>For c</w:t>
            </w:r>
            <w:r w:rsidRPr="000A2EE1">
              <w:rPr>
                <w:rFonts w:eastAsia="Calibri"/>
                <w:snapToGrid w:val="0"/>
                <w:lang w:eastAsia="de-DE"/>
              </w:rPr>
              <w:t>ells and batteries contained in equipment:</w:t>
            </w:r>
          </w:p>
          <w:p w:rsidR="00026BD5" w:rsidRPr="000A2EE1" w:rsidRDefault="00026BD5" w:rsidP="00026BD5">
            <w:pPr>
              <w:autoSpaceDE w:val="0"/>
              <w:autoSpaceDN w:val="0"/>
              <w:adjustRightInd w:val="0"/>
              <w:spacing w:line="240" w:lineRule="auto"/>
              <w:ind w:left="1282" w:right="288" w:hanging="708"/>
              <w:rPr>
                <w:rFonts w:eastAsia="Calibri"/>
                <w:snapToGrid w:val="0"/>
                <w:lang w:eastAsia="de-DE"/>
              </w:rPr>
            </w:pPr>
            <w:r w:rsidRPr="000A2EE1">
              <w:rPr>
                <w:rFonts w:eastAsia="Calibri"/>
                <w:bCs/>
                <w:snapToGrid w:val="0"/>
                <w:lang w:eastAsia="de-DE"/>
              </w:rPr>
              <w:tab/>
              <w:t>Drums</w:t>
            </w:r>
            <w:r w:rsidRPr="000A2EE1">
              <w:rPr>
                <w:rFonts w:eastAsia="Calibri"/>
                <w:snapToGrid w:val="0"/>
                <w:lang w:eastAsia="de-DE"/>
              </w:rPr>
              <w:t xml:space="preserve"> (1A2, 1B2, 1N2, 1H2, 1D, 1G);</w:t>
            </w:r>
          </w:p>
          <w:p w:rsidR="00026BD5" w:rsidRPr="000A2EE1" w:rsidRDefault="00026BD5" w:rsidP="00026BD5">
            <w:pPr>
              <w:autoSpaceDE w:val="0"/>
              <w:autoSpaceDN w:val="0"/>
              <w:adjustRightInd w:val="0"/>
              <w:spacing w:line="240" w:lineRule="auto"/>
              <w:ind w:left="1282" w:right="288" w:hanging="708"/>
              <w:rPr>
                <w:rFonts w:eastAsia="Calibri"/>
                <w:snapToGrid w:val="0"/>
                <w:lang w:eastAsia="de-DE"/>
              </w:rPr>
            </w:pPr>
            <w:r w:rsidRPr="000A2EE1">
              <w:rPr>
                <w:rFonts w:eastAsia="Calibri"/>
                <w:bCs/>
                <w:snapToGrid w:val="0"/>
                <w:lang w:eastAsia="de-DE"/>
              </w:rPr>
              <w:tab/>
              <w:t>Boxes</w:t>
            </w:r>
            <w:r w:rsidRPr="000A2EE1">
              <w:rPr>
                <w:rFonts w:eastAsia="Calibri"/>
                <w:snapToGrid w:val="0"/>
                <w:lang w:eastAsia="de-DE"/>
              </w:rPr>
              <w:t xml:space="preserve"> (4A, 4B, 4N, 4C1, 4C2, 4D, 4F, 4G, 4H1, 4H2);</w:t>
            </w:r>
          </w:p>
          <w:p w:rsidR="00026BD5" w:rsidRPr="000A2EE1" w:rsidRDefault="00026BD5" w:rsidP="00026BD5">
            <w:pPr>
              <w:autoSpaceDE w:val="0"/>
              <w:autoSpaceDN w:val="0"/>
              <w:adjustRightInd w:val="0"/>
              <w:spacing w:line="240" w:lineRule="auto"/>
              <w:ind w:left="1282" w:right="288" w:hanging="708"/>
              <w:rPr>
                <w:rFonts w:eastAsia="Calibri"/>
                <w:snapToGrid w:val="0"/>
                <w:lang w:eastAsia="de-DE"/>
              </w:rPr>
            </w:pPr>
            <w:r w:rsidRPr="000A2EE1">
              <w:rPr>
                <w:rFonts w:eastAsia="Calibri"/>
                <w:bCs/>
                <w:snapToGrid w:val="0"/>
                <w:lang w:eastAsia="de-DE"/>
              </w:rPr>
              <w:tab/>
              <w:t>Jerricans</w:t>
            </w:r>
            <w:r w:rsidRPr="000A2EE1">
              <w:rPr>
                <w:rFonts w:eastAsia="Calibri"/>
                <w:snapToGrid w:val="0"/>
                <w:lang w:eastAsia="de-DE"/>
              </w:rPr>
              <w:t xml:space="preserve"> (3A2, 3B2, 3H2).</w:t>
            </w:r>
          </w:p>
          <w:p w:rsidR="00026BD5" w:rsidRPr="000A2EE1" w:rsidRDefault="00026BD5" w:rsidP="00026BD5">
            <w:pPr>
              <w:autoSpaceDE w:val="0"/>
              <w:autoSpaceDN w:val="0"/>
              <w:adjustRightInd w:val="0"/>
              <w:spacing w:line="240" w:lineRule="auto"/>
              <w:ind w:left="1282" w:right="288" w:hanging="708"/>
              <w:rPr>
                <w:rFonts w:eastAsia="Calibri"/>
                <w:snapToGrid w:val="0"/>
                <w:lang w:eastAsia="de-DE"/>
              </w:rPr>
            </w:pPr>
          </w:p>
          <w:p w:rsidR="00026BD5" w:rsidRPr="000A2EE1" w:rsidRDefault="00026BD5" w:rsidP="00026BD5">
            <w:pPr>
              <w:autoSpaceDE w:val="0"/>
              <w:autoSpaceDN w:val="0"/>
              <w:adjustRightInd w:val="0"/>
              <w:spacing w:line="240" w:lineRule="auto"/>
              <w:ind w:left="432" w:right="288"/>
              <w:rPr>
                <w:rFonts w:eastAsia="Calibri"/>
                <w:snapToGrid w:val="0"/>
                <w:lang w:eastAsia="de-DE"/>
              </w:rPr>
            </w:pPr>
            <w:r w:rsidRPr="000A2EE1">
              <w:rPr>
                <w:rFonts w:eastAsia="Calibri"/>
                <w:snapToGrid w:val="0"/>
                <w:lang w:eastAsia="de-DE"/>
              </w:rPr>
              <w:t>Packagings shall conform to the packing group II performance level and shall meet the following requirements:</w:t>
            </w:r>
          </w:p>
          <w:p w:rsidR="00026BD5" w:rsidRPr="000A2EE1" w:rsidRDefault="00026BD5" w:rsidP="00026BD5">
            <w:pPr>
              <w:autoSpaceDE w:val="0"/>
              <w:autoSpaceDN w:val="0"/>
              <w:adjustRightInd w:val="0"/>
              <w:spacing w:line="240" w:lineRule="auto"/>
              <w:ind w:left="857" w:right="288" w:hanging="425"/>
              <w:rPr>
                <w:rFonts w:eastAsia="Calibri"/>
                <w:snapToGrid w:val="0"/>
                <w:lang w:eastAsia="de-DE"/>
              </w:rPr>
            </w:pPr>
          </w:p>
          <w:p w:rsidR="00026BD5" w:rsidRPr="000A2EE1" w:rsidRDefault="00026BD5" w:rsidP="00026BD5">
            <w:pPr>
              <w:autoSpaceDE w:val="0"/>
              <w:autoSpaceDN w:val="0"/>
              <w:adjustRightInd w:val="0"/>
              <w:spacing w:after="120" w:line="240" w:lineRule="auto"/>
              <w:ind w:left="857" w:right="288" w:hanging="425"/>
              <w:contextualSpacing/>
              <w:rPr>
                <w:rFonts w:eastAsia="Calibri"/>
                <w:snapToGrid w:val="0"/>
                <w:lang w:eastAsia="de-DE"/>
              </w:rPr>
            </w:pPr>
            <w:r w:rsidRPr="000A2EE1">
              <w:rPr>
                <w:rFonts w:eastAsia="Calibri"/>
                <w:snapToGrid w:val="0"/>
                <w:lang w:eastAsia="de-DE"/>
              </w:rPr>
              <w:t xml:space="preserve">(a) </w:t>
            </w:r>
            <w:r w:rsidRPr="000A2EE1">
              <w:rPr>
                <w:rFonts w:eastAsia="Calibri"/>
                <w:snapToGrid w:val="0"/>
                <w:lang w:eastAsia="de-DE"/>
              </w:rPr>
              <w:tab/>
              <w:t>Equipment of different sizes, shapes or masses shall be packaged in an outer packaging of a tested design type listed above provided the total gross mass of the package does not exceed the gross mass for which the design type has been tested;</w:t>
            </w:r>
          </w:p>
          <w:p w:rsidR="00026BD5" w:rsidRPr="000A2EE1" w:rsidRDefault="00026BD5" w:rsidP="00026BD5">
            <w:pPr>
              <w:autoSpaceDE w:val="0"/>
              <w:autoSpaceDN w:val="0"/>
              <w:adjustRightInd w:val="0"/>
              <w:spacing w:after="120" w:line="240" w:lineRule="auto"/>
              <w:ind w:left="857" w:right="288" w:hanging="425"/>
              <w:contextualSpacing/>
              <w:rPr>
                <w:rFonts w:eastAsia="Calibri"/>
                <w:snapToGrid w:val="0"/>
                <w:lang w:eastAsia="de-DE"/>
              </w:rPr>
            </w:pPr>
            <w:r w:rsidRPr="000A2EE1">
              <w:rPr>
                <w:rFonts w:eastAsia="Calibri"/>
                <w:snapToGrid w:val="0"/>
                <w:lang w:eastAsia="de-DE"/>
              </w:rPr>
              <w:t>(b)</w:t>
            </w:r>
            <w:r w:rsidRPr="000A2EE1">
              <w:rPr>
                <w:rFonts w:eastAsia="Calibri"/>
                <w:snapToGrid w:val="0"/>
                <w:lang w:eastAsia="de-DE"/>
              </w:rPr>
              <w:tab/>
              <w:t>The equipment shall be constructed or packaged in such a manner as to prevent accidental operation during carriage;</w:t>
            </w:r>
          </w:p>
          <w:p w:rsidR="00026BD5" w:rsidRPr="000A2EE1" w:rsidRDefault="00026BD5" w:rsidP="00026BD5">
            <w:pPr>
              <w:autoSpaceDE w:val="0"/>
              <w:autoSpaceDN w:val="0"/>
              <w:adjustRightInd w:val="0"/>
              <w:spacing w:after="120" w:line="240" w:lineRule="auto"/>
              <w:ind w:left="857" w:right="288" w:hanging="425"/>
              <w:contextualSpacing/>
              <w:rPr>
                <w:rFonts w:eastAsia="Calibri"/>
                <w:snapToGrid w:val="0"/>
                <w:lang w:eastAsia="de-DE"/>
              </w:rPr>
            </w:pPr>
            <w:r w:rsidRPr="000A2EE1">
              <w:rPr>
                <w:snapToGrid w:val="0"/>
                <w:lang w:eastAsia="de-DE"/>
              </w:rPr>
              <w:t>(c)</w:t>
            </w:r>
            <w:r w:rsidRPr="000A2EE1">
              <w:rPr>
                <w:snapToGrid w:val="0"/>
                <w:lang w:eastAsia="de-DE"/>
              </w:rPr>
              <w:tab/>
            </w:r>
            <w:r w:rsidRPr="000A2EE1">
              <w:rPr>
                <w:rFonts w:eastAsia="Calibri"/>
                <w:snapToGrid w:val="0"/>
                <w:lang w:eastAsia="de-DE"/>
              </w:rPr>
              <w:t>Appropriate</w:t>
            </w:r>
            <w:r w:rsidRPr="000A2EE1">
              <w:rPr>
                <w:snapToGrid w:val="0"/>
                <w:lang w:eastAsia="de-DE"/>
              </w:rPr>
              <w:t xml:space="preserve"> measures shall be taken to minimize the effects of vibration and shocks and prevent movement of the</w:t>
            </w:r>
            <w:r w:rsidRPr="000A2EE1">
              <w:rPr>
                <w:b/>
                <w:snapToGrid w:val="0"/>
                <w:lang w:eastAsia="de-DE"/>
              </w:rPr>
              <w:t xml:space="preserve"> </w:t>
            </w:r>
            <w:r w:rsidRPr="000A2EE1">
              <w:rPr>
                <w:snapToGrid w:val="0"/>
                <w:lang w:eastAsia="de-DE"/>
              </w:rPr>
              <w:t>equipment</w:t>
            </w:r>
            <w:r w:rsidRPr="000A2EE1">
              <w:rPr>
                <w:b/>
                <w:snapToGrid w:val="0"/>
                <w:lang w:eastAsia="de-DE"/>
              </w:rPr>
              <w:t xml:space="preserve"> </w:t>
            </w:r>
            <w:r w:rsidRPr="000A2EE1">
              <w:rPr>
                <w:snapToGrid w:val="0"/>
                <w:lang w:eastAsia="de-DE"/>
              </w:rPr>
              <w:t>within the package that may lead to damage and a dangerous condition during carriage. When cushioning material is used to meet this requirement it shall be non-combustible and non-conductive; and</w:t>
            </w:r>
          </w:p>
          <w:p w:rsidR="00026BD5" w:rsidRPr="000A2EE1" w:rsidRDefault="00026BD5" w:rsidP="00026BD5">
            <w:pPr>
              <w:autoSpaceDE w:val="0"/>
              <w:autoSpaceDN w:val="0"/>
              <w:adjustRightInd w:val="0"/>
              <w:spacing w:after="120" w:line="240" w:lineRule="auto"/>
              <w:ind w:left="857" w:right="288" w:hanging="425"/>
              <w:contextualSpacing/>
              <w:rPr>
                <w:snapToGrid w:val="0"/>
                <w:lang w:eastAsia="de-DE"/>
              </w:rPr>
            </w:pPr>
            <w:r w:rsidRPr="000A2EE1">
              <w:rPr>
                <w:snapToGrid w:val="0"/>
                <w:lang w:eastAsia="de-DE"/>
              </w:rPr>
              <w:t>(d)</w:t>
            </w:r>
            <w:r w:rsidRPr="000A2EE1">
              <w:rPr>
                <w:snapToGrid w:val="0"/>
                <w:lang w:eastAsia="de-DE"/>
              </w:rPr>
              <w:tab/>
              <w:t>Non-</w:t>
            </w:r>
            <w:r w:rsidRPr="000A2EE1">
              <w:rPr>
                <w:rFonts w:eastAsia="Calibri"/>
                <w:snapToGrid w:val="0"/>
                <w:lang w:eastAsia="de-DE"/>
              </w:rPr>
              <w:t>combustibility</w:t>
            </w:r>
            <w:r w:rsidRPr="000A2EE1">
              <w:rPr>
                <w:snapToGrid w:val="0"/>
                <w:lang w:eastAsia="de-DE"/>
              </w:rPr>
              <w:t xml:space="preserve"> shall be assessed according to a standard recognized in the country where the packaging is designed or manufactured.</w:t>
            </w:r>
          </w:p>
        </w:tc>
      </w:tr>
      <w:tr w:rsidR="00026BD5" w:rsidRPr="000A2EE1" w:rsidTr="009B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05"/>
          <w:jc w:val="center"/>
        </w:trPr>
        <w:tc>
          <w:tcPr>
            <w:tcW w:w="9640" w:type="dxa"/>
            <w:gridSpan w:val="3"/>
            <w:shd w:val="clear" w:color="auto" w:fill="auto"/>
          </w:tcPr>
          <w:p w:rsidR="00026BD5" w:rsidRPr="000A2EE1" w:rsidRDefault="00026BD5" w:rsidP="00026BD5">
            <w:pPr>
              <w:spacing w:after="120" w:line="240" w:lineRule="auto"/>
              <w:ind w:left="432" w:right="288" w:hanging="432"/>
              <w:jc w:val="both"/>
              <w:rPr>
                <w:rFonts w:eastAsia="Calibri"/>
                <w:b/>
                <w:bCs/>
                <w:i/>
                <w:snapToGrid w:val="0"/>
                <w:lang w:eastAsia="de-DE"/>
              </w:rPr>
            </w:pPr>
            <w:r w:rsidRPr="000A2EE1">
              <w:rPr>
                <w:rFonts w:eastAsia="Calibri"/>
                <w:bCs/>
                <w:snapToGrid w:val="0"/>
                <w:lang w:eastAsia="de-DE"/>
              </w:rPr>
              <w:t>(3)</w:t>
            </w:r>
            <w:r w:rsidRPr="000A2EE1">
              <w:rPr>
                <w:rFonts w:eastAsia="Calibri"/>
                <w:bCs/>
                <w:snapToGrid w:val="0"/>
                <w:lang w:eastAsia="de-DE"/>
              </w:rPr>
              <w:tab/>
              <w:t>The equipment or the batteries may be carried unpackaged</w:t>
            </w:r>
            <w:r w:rsidRPr="000A2EE1">
              <w:rPr>
                <w:rFonts w:eastAsia="Calibri"/>
                <w:b/>
                <w:bCs/>
                <w:i/>
                <w:snapToGrid w:val="0"/>
                <w:lang w:eastAsia="de-DE"/>
              </w:rPr>
              <w:t xml:space="preserve"> </w:t>
            </w:r>
            <w:r w:rsidRPr="000A2EE1">
              <w:rPr>
                <w:snapToGrid w:val="0"/>
                <w:lang w:eastAsia="de-DE"/>
              </w:rPr>
              <w:t>under conditions specified by the competent authority. Additional conditions that may be considered in the approval process include, but are not limited to:</w:t>
            </w:r>
          </w:p>
          <w:p w:rsidR="00026BD5" w:rsidRPr="000A2EE1" w:rsidRDefault="00026BD5" w:rsidP="00026BD5">
            <w:pPr>
              <w:spacing w:after="120" w:line="240" w:lineRule="auto"/>
              <w:ind w:left="432" w:right="288" w:hanging="432"/>
              <w:jc w:val="both"/>
              <w:rPr>
                <w:snapToGrid w:val="0"/>
                <w:lang w:eastAsia="de-DE"/>
              </w:rPr>
            </w:pPr>
            <w:r w:rsidRPr="000A2EE1">
              <w:rPr>
                <w:rFonts w:eastAsia="Calibri"/>
                <w:bCs/>
                <w:snapToGrid w:val="0"/>
                <w:lang w:eastAsia="de-DE"/>
              </w:rPr>
              <w:tab/>
              <w:t xml:space="preserve">(a) </w:t>
            </w:r>
            <w:r w:rsidRPr="000A2EE1">
              <w:rPr>
                <w:rFonts w:eastAsia="Calibri"/>
                <w:bCs/>
                <w:snapToGrid w:val="0"/>
                <w:lang w:eastAsia="de-DE"/>
              </w:rPr>
              <w:tab/>
            </w:r>
            <w:r w:rsidRPr="000A2EE1">
              <w:rPr>
                <w:snapToGrid w:val="0"/>
                <w:lang w:eastAsia="de-DE"/>
              </w:rPr>
              <w:t xml:space="preserve">The equipment or the battery shall be strong enough to withstand the shocks and loadings normally encountered during carriage, including trans-shipment between cargo transport units and between cargo transport units and warehouses as well as any removal from a pallet for subsequent manual or mechanical handling; and </w:t>
            </w:r>
          </w:p>
          <w:p w:rsidR="00026BD5" w:rsidRPr="000A2EE1" w:rsidRDefault="00026BD5" w:rsidP="00026BD5">
            <w:pPr>
              <w:spacing w:after="120" w:line="240" w:lineRule="auto"/>
              <w:ind w:left="432" w:right="288" w:hanging="432"/>
              <w:jc w:val="both"/>
              <w:rPr>
                <w:rFonts w:eastAsia="Calibri"/>
                <w:snapToGrid w:val="0"/>
                <w:lang w:eastAsia="de-DE"/>
              </w:rPr>
            </w:pPr>
            <w:r w:rsidRPr="000A2EE1">
              <w:rPr>
                <w:rFonts w:eastAsia="Calibri"/>
                <w:bCs/>
                <w:snapToGrid w:val="0"/>
                <w:lang w:eastAsia="de-DE"/>
              </w:rPr>
              <w:tab/>
              <w:t xml:space="preserve">(b) </w:t>
            </w:r>
            <w:r w:rsidRPr="000A2EE1">
              <w:rPr>
                <w:rFonts w:eastAsia="Calibri"/>
                <w:bCs/>
                <w:snapToGrid w:val="0"/>
                <w:lang w:eastAsia="de-DE"/>
              </w:rPr>
              <w:tab/>
            </w:r>
            <w:r w:rsidRPr="000A2EE1">
              <w:rPr>
                <w:snapToGrid w:val="0"/>
                <w:lang w:eastAsia="de-DE"/>
              </w:rPr>
              <w:t>The equipment or the battery shall be fixed in cradles or crates or other handling devices in such a way that it will not become loose during normal conditions of carriage.</w:t>
            </w:r>
          </w:p>
        </w:tc>
      </w:tr>
      <w:tr w:rsidR="00E3232B" w:rsidRPr="000A2EE1" w:rsidTr="009B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640" w:type="dxa"/>
            <w:gridSpan w:val="3"/>
            <w:shd w:val="clear" w:color="auto" w:fill="auto"/>
          </w:tcPr>
          <w:p w:rsidR="00E3232B" w:rsidRPr="000A2EE1" w:rsidRDefault="00E3232B" w:rsidP="009B5E14">
            <w:pPr>
              <w:autoSpaceDE w:val="0"/>
              <w:autoSpaceDN w:val="0"/>
              <w:adjustRightInd w:val="0"/>
              <w:spacing w:before="120" w:after="120" w:line="240" w:lineRule="auto"/>
              <w:rPr>
                <w:rFonts w:eastAsia="Calibri"/>
                <w:b/>
                <w:snapToGrid w:val="0"/>
                <w:lang w:eastAsia="de-DE"/>
              </w:rPr>
            </w:pPr>
            <w:r w:rsidRPr="000A2EE1">
              <w:rPr>
                <w:rFonts w:eastAsia="Calibri"/>
                <w:b/>
                <w:snapToGrid w:val="0"/>
                <w:lang w:eastAsia="de-DE"/>
              </w:rPr>
              <w:t>Additional requirements</w:t>
            </w:r>
          </w:p>
          <w:p w:rsidR="00E3232B" w:rsidRPr="000A2EE1" w:rsidRDefault="00E3232B" w:rsidP="009B5E14">
            <w:pPr>
              <w:autoSpaceDE w:val="0"/>
              <w:autoSpaceDN w:val="0"/>
              <w:adjustRightInd w:val="0"/>
              <w:spacing w:after="120" w:line="240" w:lineRule="auto"/>
              <w:contextualSpacing/>
              <w:rPr>
                <w:rFonts w:eastAsia="Calibri"/>
                <w:snapToGrid w:val="0"/>
                <w:lang w:eastAsia="de-DE"/>
              </w:rPr>
            </w:pPr>
            <w:r w:rsidRPr="000A2EE1">
              <w:rPr>
                <w:rFonts w:eastAsia="Calibri"/>
                <w:snapToGrid w:val="0"/>
                <w:lang w:eastAsia="de-DE"/>
              </w:rPr>
              <w:t>The cells and batteries shall be protected against short circuit;</w:t>
            </w:r>
          </w:p>
          <w:p w:rsidR="00E3232B" w:rsidRPr="000A2EE1" w:rsidRDefault="00E3232B" w:rsidP="009B5E14">
            <w:pPr>
              <w:autoSpaceDE w:val="0"/>
              <w:autoSpaceDN w:val="0"/>
              <w:adjustRightInd w:val="0"/>
              <w:spacing w:after="120" w:line="240" w:lineRule="auto"/>
              <w:contextualSpacing/>
              <w:rPr>
                <w:rFonts w:eastAsia="Calibri"/>
                <w:snapToGrid w:val="0"/>
                <w:lang w:eastAsia="de-DE"/>
              </w:rPr>
            </w:pPr>
            <w:r w:rsidRPr="000A2EE1">
              <w:rPr>
                <w:rFonts w:eastAsia="Calibri"/>
                <w:snapToGrid w:val="0"/>
                <w:lang w:eastAsia="de-DE"/>
              </w:rPr>
              <w:t xml:space="preserve">Protection against short circuits includes, but is not limited to, </w:t>
            </w:r>
          </w:p>
          <w:p w:rsidR="00E3232B" w:rsidRPr="000A2EE1" w:rsidRDefault="00E3232B" w:rsidP="009B5E14">
            <w:pPr>
              <w:tabs>
                <w:tab w:val="left" w:pos="319"/>
              </w:tabs>
              <w:autoSpaceDE w:val="0"/>
              <w:autoSpaceDN w:val="0"/>
              <w:adjustRightInd w:val="0"/>
              <w:spacing w:after="120" w:line="240" w:lineRule="auto"/>
              <w:ind w:left="319" w:hanging="319"/>
              <w:contextualSpacing/>
              <w:rPr>
                <w:rFonts w:eastAsia="Calibri"/>
                <w:snapToGrid w:val="0"/>
                <w:lang w:eastAsia="de-DE"/>
              </w:rPr>
            </w:pPr>
            <w:r w:rsidRPr="000A2EE1">
              <w:rPr>
                <w:rFonts w:eastAsia="Calibri"/>
                <w:snapToGrid w:val="0"/>
                <w:lang w:eastAsia="de-DE"/>
              </w:rPr>
              <w:t>-</w:t>
            </w:r>
            <w:r w:rsidRPr="000A2EE1">
              <w:tab/>
            </w:r>
            <w:r w:rsidRPr="000A2EE1">
              <w:rPr>
                <w:rFonts w:eastAsia="Calibri"/>
                <w:snapToGrid w:val="0"/>
                <w:lang w:eastAsia="de-DE"/>
              </w:rPr>
              <w:t xml:space="preserve">individual protection of the battery terminals, </w:t>
            </w:r>
          </w:p>
          <w:p w:rsidR="00E3232B" w:rsidRPr="000A2EE1" w:rsidRDefault="00E3232B" w:rsidP="009B5E14">
            <w:pPr>
              <w:tabs>
                <w:tab w:val="left" w:pos="319"/>
              </w:tabs>
              <w:autoSpaceDE w:val="0"/>
              <w:autoSpaceDN w:val="0"/>
              <w:adjustRightInd w:val="0"/>
              <w:spacing w:after="120" w:line="240" w:lineRule="auto"/>
              <w:ind w:left="319" w:hanging="319"/>
              <w:contextualSpacing/>
              <w:rPr>
                <w:rFonts w:eastAsia="Calibri"/>
                <w:snapToGrid w:val="0"/>
                <w:lang w:eastAsia="de-DE"/>
              </w:rPr>
            </w:pPr>
            <w:r w:rsidRPr="000A2EE1">
              <w:rPr>
                <w:rFonts w:eastAsia="Calibri"/>
                <w:snapToGrid w:val="0"/>
                <w:lang w:eastAsia="de-DE"/>
              </w:rPr>
              <w:t>-</w:t>
            </w:r>
            <w:r w:rsidRPr="000A2EE1">
              <w:tab/>
            </w:r>
            <w:r w:rsidRPr="000A2EE1">
              <w:rPr>
                <w:rFonts w:eastAsia="Calibri"/>
                <w:snapToGrid w:val="0"/>
                <w:lang w:eastAsia="de-DE"/>
              </w:rPr>
              <w:t xml:space="preserve">inner packaging to prevent contact between cells and batteries, </w:t>
            </w:r>
          </w:p>
          <w:p w:rsidR="00E3232B" w:rsidRPr="000A2EE1" w:rsidRDefault="00E3232B" w:rsidP="009B5E14">
            <w:pPr>
              <w:tabs>
                <w:tab w:val="left" w:pos="319"/>
              </w:tabs>
              <w:autoSpaceDE w:val="0"/>
              <w:autoSpaceDN w:val="0"/>
              <w:adjustRightInd w:val="0"/>
              <w:spacing w:after="120" w:line="240" w:lineRule="auto"/>
              <w:ind w:left="319" w:hanging="319"/>
              <w:contextualSpacing/>
              <w:rPr>
                <w:rFonts w:eastAsia="Calibri"/>
                <w:snapToGrid w:val="0"/>
                <w:lang w:eastAsia="de-DE"/>
              </w:rPr>
            </w:pPr>
            <w:r w:rsidRPr="000A2EE1">
              <w:rPr>
                <w:rFonts w:eastAsia="Calibri"/>
                <w:snapToGrid w:val="0"/>
                <w:lang w:eastAsia="de-DE"/>
              </w:rPr>
              <w:t>-</w:t>
            </w:r>
            <w:r w:rsidRPr="000A2EE1">
              <w:tab/>
            </w:r>
            <w:r w:rsidRPr="000A2EE1">
              <w:rPr>
                <w:rFonts w:eastAsia="Calibri"/>
                <w:snapToGrid w:val="0"/>
                <w:lang w:eastAsia="de-DE"/>
              </w:rPr>
              <w:t xml:space="preserve">batteries with recessed terminals designed to protect against short circuits, or </w:t>
            </w:r>
          </w:p>
          <w:p w:rsidR="00E3232B" w:rsidRPr="000A2EE1" w:rsidRDefault="00E3232B" w:rsidP="009B5E14">
            <w:pPr>
              <w:tabs>
                <w:tab w:val="left" w:pos="319"/>
              </w:tabs>
              <w:autoSpaceDE w:val="0"/>
              <w:autoSpaceDN w:val="0"/>
              <w:adjustRightInd w:val="0"/>
              <w:spacing w:after="120" w:line="240" w:lineRule="auto"/>
              <w:ind w:left="319" w:hanging="319"/>
              <w:contextualSpacing/>
              <w:rPr>
                <w:rFonts w:eastAsia="Calibri"/>
                <w:snapToGrid w:val="0"/>
                <w:lang w:eastAsia="de-DE"/>
              </w:rPr>
            </w:pPr>
            <w:r w:rsidRPr="000A2EE1">
              <w:rPr>
                <w:rFonts w:eastAsia="Calibri"/>
                <w:snapToGrid w:val="0"/>
                <w:lang w:eastAsia="de-DE"/>
              </w:rPr>
              <w:t>-</w:t>
            </w:r>
            <w:r w:rsidRPr="000A2EE1">
              <w:tab/>
            </w:r>
            <w:r w:rsidRPr="000A2EE1">
              <w:rPr>
                <w:rFonts w:eastAsia="Calibri"/>
                <w:snapToGrid w:val="0"/>
                <w:lang w:eastAsia="de-DE"/>
              </w:rPr>
              <w:t>the use of a non-conductive and non-combustible cushioning material to fill empty space between the cells or batteries in the packaging.</w:t>
            </w:r>
          </w:p>
        </w:tc>
      </w:tr>
    </w:tbl>
    <w:p w:rsidR="00E3232B" w:rsidRPr="000A2EE1" w:rsidRDefault="00E3232B" w:rsidP="00E3232B">
      <w:pPr>
        <w:pStyle w:val="SingleTxtG"/>
        <w:tabs>
          <w:tab w:val="left" w:pos="4111"/>
        </w:tabs>
        <w:spacing w:before="120"/>
      </w:pPr>
      <w:r w:rsidRPr="000A2EE1">
        <w:t>4.1.4.2, packing instruction IBC03</w:t>
      </w:r>
      <w:r w:rsidRPr="000A2EE1">
        <w:tab/>
        <w:t xml:space="preserve"> Add a new special packing provision “B19” to read:</w:t>
      </w:r>
    </w:p>
    <w:p w:rsidR="00E3232B" w:rsidRPr="000A2EE1" w:rsidRDefault="00E3232B" w:rsidP="00E3232B">
      <w:pPr>
        <w:pStyle w:val="SingleTxtG"/>
      </w:pPr>
      <w:r w:rsidRPr="000A2EE1">
        <w:t>“B19</w:t>
      </w:r>
      <w:r w:rsidRPr="000A2EE1">
        <w:tab/>
        <w:t>For UN Nos. 3532 and 3534, IBCs shall be designed and constructed to permit the release of gas or vapour to prevent a build-up of pressure that could rupture the IBCs in the event of loss of stabilization.”.</w:t>
      </w:r>
    </w:p>
    <w:p w:rsidR="00E3232B" w:rsidRPr="000A2EE1" w:rsidRDefault="00E3232B" w:rsidP="00E3232B">
      <w:pPr>
        <w:pStyle w:val="SingleTxtG"/>
        <w:tabs>
          <w:tab w:val="left" w:pos="4253"/>
        </w:tabs>
      </w:pPr>
      <w:r w:rsidRPr="000A2EE1">
        <w:t>4.1.4.2, packing instruction IBC07</w:t>
      </w:r>
      <w:r w:rsidRPr="000A2EE1">
        <w:rPr>
          <w:b/>
        </w:rPr>
        <w:tab/>
      </w:r>
      <w:r w:rsidRPr="000A2EE1">
        <w:t>Add a new special packing provision “B18” to read:</w:t>
      </w:r>
    </w:p>
    <w:p w:rsidR="00E3232B" w:rsidRPr="000A2EE1" w:rsidRDefault="00E3232B" w:rsidP="00E3232B">
      <w:pPr>
        <w:pStyle w:val="SingleTxtG"/>
      </w:pPr>
      <w:r w:rsidRPr="000A2EE1">
        <w:t>“</w:t>
      </w:r>
      <w:r w:rsidRPr="000A2EE1">
        <w:rPr>
          <w:b/>
        </w:rPr>
        <w:t>Special packing provision</w:t>
      </w:r>
    </w:p>
    <w:p w:rsidR="00E3232B" w:rsidRPr="000A2EE1" w:rsidRDefault="00E3232B" w:rsidP="00E3232B">
      <w:pPr>
        <w:pStyle w:val="SingleTxtG"/>
      </w:pPr>
      <w:r w:rsidRPr="000A2EE1">
        <w:t>B18</w:t>
      </w:r>
      <w:r w:rsidRPr="000A2EE1">
        <w:tab/>
        <w:t>For UN Nos. 3531 and 3533, IBCs shall be designed and constructed to permit the release of gas or vapour to prevent a build-up of pressure that could rupture the IBCs in the event of loss of stabilization.”.</w:t>
      </w:r>
    </w:p>
    <w:p w:rsidR="00E3232B" w:rsidRPr="000A2EE1" w:rsidRDefault="00E3232B" w:rsidP="00E3232B">
      <w:pPr>
        <w:pStyle w:val="SingleTxtG"/>
      </w:pPr>
      <w:r w:rsidRPr="000A2EE1">
        <w:t>4.1.4.2, packing instruction IBC520</w:t>
      </w:r>
      <w:r w:rsidRPr="000A2EE1">
        <w:tab/>
        <w:t xml:space="preserve">Add the following new entries: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9"/>
        <w:gridCol w:w="2268"/>
        <w:gridCol w:w="992"/>
        <w:gridCol w:w="1134"/>
        <w:gridCol w:w="993"/>
        <w:gridCol w:w="1274"/>
      </w:tblGrid>
      <w:tr w:rsidR="00E3232B" w:rsidRPr="000A2EE1" w:rsidTr="00697083">
        <w:trPr>
          <w:trHeight w:val="579"/>
          <w:tblHeader/>
        </w:trPr>
        <w:tc>
          <w:tcPr>
            <w:tcW w:w="709"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r w:rsidRPr="000A2EE1">
              <w:rPr>
                <w:i/>
                <w:sz w:val="18"/>
                <w:szCs w:val="18"/>
              </w:rPr>
              <w:t>UN No.</w:t>
            </w:r>
          </w:p>
        </w:tc>
        <w:tc>
          <w:tcPr>
            <w:tcW w:w="2268"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r w:rsidRPr="000A2EE1">
              <w:rPr>
                <w:i/>
                <w:sz w:val="18"/>
                <w:szCs w:val="18"/>
              </w:rPr>
              <w:t>Organic peroxide</w:t>
            </w:r>
          </w:p>
        </w:tc>
        <w:tc>
          <w:tcPr>
            <w:tcW w:w="992"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r w:rsidRPr="000A2EE1">
              <w:rPr>
                <w:i/>
                <w:sz w:val="18"/>
                <w:szCs w:val="18"/>
              </w:rPr>
              <w:t>Type of IBC</w:t>
            </w:r>
          </w:p>
        </w:tc>
        <w:tc>
          <w:tcPr>
            <w:tcW w:w="1134"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r w:rsidRPr="000A2EE1">
              <w:rPr>
                <w:i/>
                <w:sz w:val="18"/>
                <w:szCs w:val="18"/>
              </w:rPr>
              <w:t>Maximum quantity (litres)</w:t>
            </w:r>
          </w:p>
        </w:tc>
        <w:tc>
          <w:tcPr>
            <w:tcW w:w="993"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r w:rsidRPr="000A2EE1">
              <w:rPr>
                <w:i/>
                <w:sz w:val="18"/>
                <w:szCs w:val="18"/>
              </w:rPr>
              <w:t>Control temperature</w:t>
            </w:r>
          </w:p>
        </w:tc>
        <w:tc>
          <w:tcPr>
            <w:tcW w:w="1274"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r w:rsidRPr="000A2EE1">
              <w:rPr>
                <w:i/>
                <w:sz w:val="18"/>
                <w:szCs w:val="18"/>
              </w:rPr>
              <w:t>Emergency Temperature</w:t>
            </w:r>
          </w:p>
        </w:tc>
      </w:tr>
      <w:tr w:rsidR="00E3232B" w:rsidRPr="000A2EE1" w:rsidTr="00697083">
        <w:trPr>
          <w:trHeight w:val="563"/>
          <w:tblHeader/>
        </w:trPr>
        <w:tc>
          <w:tcPr>
            <w:tcW w:w="709"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r w:rsidRPr="000A2EE1">
              <w:rPr>
                <w:i/>
                <w:sz w:val="18"/>
                <w:szCs w:val="18"/>
              </w:rPr>
              <w:t>3109</w:t>
            </w:r>
          </w:p>
        </w:tc>
        <w:tc>
          <w:tcPr>
            <w:tcW w:w="2268"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tert-Butyl cumyl peroxide</w:t>
            </w:r>
          </w:p>
        </w:tc>
        <w:tc>
          <w:tcPr>
            <w:tcW w:w="992"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31HA1</w:t>
            </w:r>
          </w:p>
        </w:tc>
        <w:tc>
          <w:tcPr>
            <w:tcW w:w="1134"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1000</w:t>
            </w:r>
          </w:p>
        </w:tc>
        <w:tc>
          <w:tcPr>
            <w:tcW w:w="993"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p>
        </w:tc>
        <w:tc>
          <w:tcPr>
            <w:tcW w:w="1274"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p>
        </w:tc>
      </w:tr>
      <w:tr w:rsidR="00E3232B" w:rsidRPr="000A2EE1" w:rsidTr="009B5E14">
        <w:trPr>
          <w:trHeight w:val="563"/>
          <w:tblHeader/>
        </w:trPr>
        <w:tc>
          <w:tcPr>
            <w:tcW w:w="709" w:type="dxa"/>
            <w:tcBorders>
              <w:top w:val="single" w:sz="4" w:space="0" w:color="auto"/>
              <w:bottom w:val="single" w:sz="12"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r w:rsidRPr="000A2EE1">
              <w:rPr>
                <w:i/>
                <w:sz w:val="18"/>
                <w:szCs w:val="18"/>
              </w:rPr>
              <w:t>3119</w:t>
            </w:r>
          </w:p>
        </w:tc>
        <w:tc>
          <w:tcPr>
            <w:tcW w:w="2268" w:type="dxa"/>
            <w:tcBorders>
              <w:top w:val="single" w:sz="4" w:space="0" w:color="auto"/>
              <w:bottom w:val="single" w:sz="12"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1,1,3,3-Tetramethylbutyl peroxy-2-ethylhexanoate, not more than 67%, in diluent type A</w:t>
            </w:r>
          </w:p>
        </w:tc>
        <w:tc>
          <w:tcPr>
            <w:tcW w:w="992" w:type="dxa"/>
            <w:tcBorders>
              <w:top w:val="single" w:sz="4" w:space="0" w:color="auto"/>
              <w:bottom w:val="single" w:sz="12"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31HA1</w:t>
            </w:r>
          </w:p>
        </w:tc>
        <w:tc>
          <w:tcPr>
            <w:tcW w:w="1134" w:type="dxa"/>
            <w:tcBorders>
              <w:top w:val="single" w:sz="4" w:space="0" w:color="auto"/>
              <w:bottom w:val="single" w:sz="12"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1000</w:t>
            </w:r>
          </w:p>
        </w:tc>
        <w:tc>
          <w:tcPr>
            <w:tcW w:w="993" w:type="dxa"/>
            <w:tcBorders>
              <w:top w:val="single" w:sz="4" w:space="0" w:color="auto"/>
              <w:bottom w:val="single" w:sz="12"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+15 ºC</w:t>
            </w:r>
          </w:p>
        </w:tc>
        <w:tc>
          <w:tcPr>
            <w:tcW w:w="1274" w:type="dxa"/>
            <w:tcBorders>
              <w:top w:val="single" w:sz="4" w:space="0" w:color="auto"/>
              <w:bottom w:val="single" w:sz="12"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+20 ºC</w:t>
            </w:r>
          </w:p>
        </w:tc>
      </w:tr>
    </w:tbl>
    <w:p w:rsidR="00E3232B" w:rsidRPr="000A2EE1" w:rsidRDefault="00E3232B" w:rsidP="00E3232B">
      <w:pPr>
        <w:pStyle w:val="SingleTxtG"/>
        <w:spacing w:before="120"/>
      </w:pPr>
      <w:r w:rsidRPr="000A2EE1">
        <w:t>4.1.4.2, packing instruction IBC520</w:t>
      </w:r>
      <w:r w:rsidRPr="000A2EE1">
        <w:tab/>
        <w:t>For UN No. 3119, in the entry for “Di-(2-ethylhexyl) peroxydicarbonate, not more than 62%, stable dispersion, in water”, add the following new row:</w:t>
      </w:r>
    </w:p>
    <w:tbl>
      <w:tblPr>
        <w:tblW w:w="652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1842"/>
        <w:gridCol w:w="1276"/>
        <w:gridCol w:w="2126"/>
      </w:tblGrid>
      <w:tr w:rsidR="00E3232B" w:rsidRPr="000A2EE1" w:rsidTr="009B5E14">
        <w:trPr>
          <w:trHeight w:val="631"/>
          <w:tblHeader/>
        </w:trPr>
        <w:tc>
          <w:tcPr>
            <w:tcW w:w="1276" w:type="dxa"/>
            <w:tcBorders>
              <w:top w:val="single" w:sz="4" w:space="0" w:color="auto"/>
              <w:bottom w:val="single" w:sz="4" w:space="0" w:color="auto"/>
            </w:tcBorders>
            <w:shd w:val="clear" w:color="auto" w:fill="auto"/>
            <w:vAlign w:val="center"/>
          </w:tcPr>
          <w:p w:rsidR="00E3232B" w:rsidRPr="000A2EE1" w:rsidRDefault="00E3232B" w:rsidP="00697083">
            <w:pPr>
              <w:pageBreakBefore/>
              <w:suppressAutoHyphens w:val="0"/>
              <w:spacing w:before="80" w:after="80" w:line="200" w:lineRule="exact"/>
              <w:ind w:right="113"/>
              <w:jc w:val="center"/>
              <w:rPr>
                <w:i/>
                <w:sz w:val="18"/>
                <w:szCs w:val="18"/>
              </w:rPr>
            </w:pPr>
            <w:r w:rsidRPr="000A2EE1">
              <w:rPr>
                <w:i/>
                <w:sz w:val="18"/>
                <w:szCs w:val="18"/>
              </w:rPr>
              <w:t>Type of IBC</w:t>
            </w:r>
          </w:p>
        </w:tc>
        <w:tc>
          <w:tcPr>
            <w:tcW w:w="1842"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r w:rsidRPr="000A2EE1">
              <w:rPr>
                <w:i/>
                <w:sz w:val="18"/>
                <w:szCs w:val="18"/>
              </w:rPr>
              <w:t>Maximum quantity (litres)</w:t>
            </w:r>
          </w:p>
        </w:tc>
        <w:tc>
          <w:tcPr>
            <w:tcW w:w="1276"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r w:rsidRPr="000A2EE1">
              <w:rPr>
                <w:i/>
                <w:sz w:val="18"/>
                <w:szCs w:val="18"/>
              </w:rPr>
              <w:t>Control temperature</w:t>
            </w:r>
          </w:p>
        </w:tc>
        <w:tc>
          <w:tcPr>
            <w:tcW w:w="2126" w:type="dxa"/>
            <w:tcBorders>
              <w:top w:val="single" w:sz="4" w:space="0" w:color="auto"/>
              <w:bottom w:val="single" w:sz="4" w:space="0" w:color="auto"/>
            </w:tcBorders>
            <w:shd w:val="clear" w:color="auto" w:fill="auto"/>
            <w:vAlign w:val="center"/>
          </w:tcPr>
          <w:p w:rsidR="00E3232B" w:rsidRPr="000A2EE1" w:rsidRDefault="00E3232B" w:rsidP="009B5E14">
            <w:pPr>
              <w:suppressAutoHyphens w:val="0"/>
              <w:spacing w:before="80" w:after="80" w:line="200" w:lineRule="exact"/>
              <w:ind w:right="113"/>
              <w:jc w:val="center"/>
              <w:rPr>
                <w:i/>
                <w:sz w:val="18"/>
                <w:szCs w:val="18"/>
              </w:rPr>
            </w:pPr>
            <w:r w:rsidRPr="000A2EE1">
              <w:rPr>
                <w:i/>
                <w:sz w:val="18"/>
                <w:szCs w:val="18"/>
              </w:rPr>
              <w:t>Emergency Temperature</w:t>
            </w:r>
          </w:p>
        </w:tc>
      </w:tr>
      <w:tr w:rsidR="00E3232B" w:rsidRPr="000A2EE1" w:rsidTr="009B5E14">
        <w:trPr>
          <w:trHeight w:val="563"/>
          <w:tblHeader/>
        </w:trPr>
        <w:tc>
          <w:tcPr>
            <w:tcW w:w="1276" w:type="dxa"/>
            <w:tcBorders>
              <w:top w:val="single" w:sz="4" w:space="0" w:color="auto"/>
              <w:bottom w:val="single" w:sz="12"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31HA1</w:t>
            </w:r>
          </w:p>
        </w:tc>
        <w:tc>
          <w:tcPr>
            <w:tcW w:w="1842" w:type="dxa"/>
            <w:tcBorders>
              <w:top w:val="single" w:sz="4" w:space="0" w:color="auto"/>
              <w:bottom w:val="single" w:sz="12"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1000</w:t>
            </w:r>
          </w:p>
        </w:tc>
        <w:tc>
          <w:tcPr>
            <w:tcW w:w="1276" w:type="dxa"/>
            <w:tcBorders>
              <w:top w:val="single" w:sz="4" w:space="0" w:color="auto"/>
              <w:bottom w:val="single" w:sz="12"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-20 ºC</w:t>
            </w:r>
          </w:p>
        </w:tc>
        <w:tc>
          <w:tcPr>
            <w:tcW w:w="2126" w:type="dxa"/>
            <w:tcBorders>
              <w:top w:val="single" w:sz="4" w:space="0" w:color="auto"/>
              <w:bottom w:val="single" w:sz="12" w:space="0" w:color="auto"/>
            </w:tcBorders>
            <w:shd w:val="clear" w:color="auto" w:fill="auto"/>
            <w:vAlign w:val="center"/>
          </w:tcPr>
          <w:p w:rsidR="00E3232B" w:rsidRPr="000A2EE1" w:rsidRDefault="00E3232B" w:rsidP="009B5E14">
            <w:pPr>
              <w:suppressAutoHyphens w:val="0"/>
              <w:spacing w:before="40" w:after="40" w:line="220" w:lineRule="exact"/>
              <w:ind w:right="113"/>
              <w:jc w:val="center"/>
              <w:rPr>
                <w:sz w:val="18"/>
                <w:szCs w:val="18"/>
              </w:rPr>
            </w:pPr>
            <w:r w:rsidRPr="000A2EE1">
              <w:rPr>
                <w:sz w:val="18"/>
                <w:szCs w:val="18"/>
              </w:rPr>
              <w:t>-10 ºC</w:t>
            </w:r>
          </w:p>
        </w:tc>
      </w:tr>
    </w:tbl>
    <w:p w:rsidR="009F5651" w:rsidRPr="000A2EE1" w:rsidRDefault="00E3232B" w:rsidP="00697083">
      <w:pPr>
        <w:pStyle w:val="SingleTxtG"/>
        <w:tabs>
          <w:tab w:val="left" w:pos="1701"/>
          <w:tab w:val="left" w:pos="1985"/>
          <w:tab w:val="left" w:pos="2268"/>
        </w:tabs>
        <w:spacing w:before="120"/>
      </w:pPr>
      <w:r w:rsidRPr="000A2EE1">
        <w:t>4.1.4.3, packing instruction LP02</w:t>
      </w:r>
      <w:r w:rsidRPr="000A2EE1">
        <w:tab/>
        <w:t xml:space="preserve">Delete special packing instruction L2 and </w:t>
      </w:r>
      <w:r w:rsidR="009F5651" w:rsidRPr="000A2EE1">
        <w:t>add:</w:t>
      </w:r>
      <w:r w:rsidRPr="000A2EE1">
        <w:t xml:space="preserve"> </w:t>
      </w:r>
    </w:p>
    <w:p w:rsidR="00E3232B" w:rsidRPr="000A2EE1" w:rsidRDefault="00E3232B" w:rsidP="00697083">
      <w:pPr>
        <w:pStyle w:val="SingleTxtG"/>
        <w:tabs>
          <w:tab w:val="left" w:pos="1701"/>
          <w:tab w:val="left" w:pos="1985"/>
          <w:tab w:val="left" w:pos="2268"/>
        </w:tabs>
        <w:spacing w:before="120"/>
      </w:pPr>
      <w:r w:rsidRPr="000A2EE1">
        <w:t>“L2</w:t>
      </w:r>
      <w:r w:rsidRPr="000A2EE1">
        <w:tab/>
      </w:r>
      <w:r w:rsidRPr="000A2EE1">
        <w:rPr>
          <w:i/>
        </w:rPr>
        <w:t>Deleted</w:t>
      </w:r>
      <w:r w:rsidRPr="000A2EE1">
        <w:t>”.</w:t>
      </w:r>
    </w:p>
    <w:p w:rsidR="00E3232B" w:rsidRPr="000A2EE1" w:rsidRDefault="00E3232B" w:rsidP="00697083">
      <w:pPr>
        <w:pStyle w:val="SingleTxtG"/>
        <w:tabs>
          <w:tab w:val="left" w:pos="1701"/>
          <w:tab w:val="left" w:pos="1985"/>
          <w:tab w:val="left" w:pos="2268"/>
          <w:tab w:val="left" w:pos="4253"/>
        </w:tabs>
        <w:spacing w:before="120"/>
      </w:pPr>
      <w:r w:rsidRPr="000A2EE1">
        <w:t>4.1.4.3, packing instruction LP101</w:t>
      </w:r>
      <w:r w:rsidRPr="000A2EE1">
        <w:tab/>
        <w:t>In special packing provision L1, replace “</w:t>
      </w:r>
      <w:r w:rsidRPr="000A2EE1">
        <w:rPr>
          <w:lang w:eastAsia="fr-FR"/>
        </w:rPr>
        <w:t>and 0502</w:t>
      </w:r>
      <w:r w:rsidRPr="000A2EE1">
        <w:t>” by “</w:t>
      </w:r>
      <w:r w:rsidRPr="000A2EE1">
        <w:rPr>
          <w:lang w:eastAsia="fr-FR"/>
        </w:rPr>
        <w:t>, 0502 and 0510</w:t>
      </w:r>
      <w:r w:rsidRPr="000A2EE1">
        <w:t>”.</w:t>
      </w:r>
    </w:p>
    <w:p w:rsidR="00E3232B" w:rsidRPr="000A2EE1" w:rsidRDefault="00E3232B" w:rsidP="00697083">
      <w:pPr>
        <w:pStyle w:val="SingleTxtG"/>
        <w:tabs>
          <w:tab w:val="left" w:pos="1701"/>
          <w:tab w:val="left" w:pos="1985"/>
          <w:tab w:val="left" w:pos="2268"/>
          <w:tab w:val="left" w:pos="2552"/>
        </w:tabs>
      </w:pPr>
      <w:r w:rsidRPr="000A2EE1">
        <w:t>4.1.4.3, LP902</w:t>
      </w:r>
      <w:r w:rsidRPr="000A2EE1">
        <w:tab/>
        <w:t>Under “Unpackaged articles”, replace “, vehicles or containers” by “or cargo transport units”.</w:t>
      </w:r>
    </w:p>
    <w:p w:rsidR="00E3232B" w:rsidRPr="000A2EE1" w:rsidRDefault="00E3232B" w:rsidP="00697083">
      <w:pPr>
        <w:pStyle w:val="SingleTxtG"/>
        <w:tabs>
          <w:tab w:val="left" w:pos="1701"/>
          <w:tab w:val="left" w:pos="1985"/>
          <w:tab w:val="left" w:pos="2268"/>
        </w:tabs>
      </w:pPr>
      <w:r w:rsidRPr="000A2EE1">
        <w:t>4.1.4.3</w:t>
      </w:r>
      <w:r w:rsidRPr="000A2EE1">
        <w:tab/>
      </w:r>
      <w:r w:rsidRPr="000A2EE1">
        <w:tab/>
        <w:t>Add the following packing instruction:</w:t>
      </w:r>
    </w:p>
    <w:tbl>
      <w:tblPr>
        <w:tblW w:w="4960" w:type="pct"/>
        <w:jc w:val="center"/>
        <w:tblLayout w:type="fixed"/>
        <w:tblCellMar>
          <w:left w:w="24" w:type="dxa"/>
          <w:right w:w="24" w:type="dxa"/>
        </w:tblCellMar>
        <w:tblLook w:val="04A0" w:firstRow="1" w:lastRow="0" w:firstColumn="1" w:lastColumn="0" w:noHBand="0" w:noVBand="1"/>
      </w:tblPr>
      <w:tblGrid>
        <w:gridCol w:w="758"/>
        <w:gridCol w:w="8159"/>
        <w:gridCol w:w="693"/>
      </w:tblGrid>
      <w:tr w:rsidR="00E3232B" w:rsidRPr="000A2EE1" w:rsidTr="009B5E14">
        <w:trPr>
          <w:trHeight w:val="380"/>
          <w:jc w:val="center"/>
        </w:trPr>
        <w:tc>
          <w:tcPr>
            <w:tcW w:w="758" w:type="dxa"/>
            <w:tcBorders>
              <w:top w:val="single" w:sz="6" w:space="0" w:color="auto"/>
              <w:left w:val="single" w:sz="6" w:space="0" w:color="auto"/>
              <w:bottom w:val="single" w:sz="4" w:space="0" w:color="auto"/>
              <w:right w:val="nil"/>
            </w:tcBorders>
            <w:hideMark/>
          </w:tcPr>
          <w:p w:rsidR="00E3232B" w:rsidRPr="000A2EE1" w:rsidRDefault="00E3232B" w:rsidP="009B5E14">
            <w:pPr>
              <w:autoSpaceDE w:val="0"/>
              <w:autoSpaceDN w:val="0"/>
              <w:adjustRightInd w:val="0"/>
              <w:spacing w:line="240" w:lineRule="auto"/>
              <w:jc w:val="center"/>
              <w:rPr>
                <w:b/>
              </w:rPr>
            </w:pPr>
            <w:r w:rsidRPr="000A2EE1">
              <w:rPr>
                <w:b/>
              </w:rPr>
              <w:t>LP200</w:t>
            </w:r>
          </w:p>
        </w:tc>
        <w:tc>
          <w:tcPr>
            <w:tcW w:w="8159" w:type="dxa"/>
            <w:tcBorders>
              <w:top w:val="single" w:sz="6" w:space="0" w:color="auto"/>
              <w:left w:val="nil"/>
              <w:bottom w:val="single" w:sz="4" w:space="0" w:color="auto"/>
              <w:right w:val="nil"/>
            </w:tcBorders>
            <w:hideMark/>
          </w:tcPr>
          <w:p w:rsidR="00E3232B" w:rsidRPr="000A2EE1" w:rsidRDefault="00E3232B" w:rsidP="009B5E14">
            <w:pPr>
              <w:autoSpaceDE w:val="0"/>
              <w:autoSpaceDN w:val="0"/>
              <w:adjustRightInd w:val="0"/>
              <w:spacing w:line="240" w:lineRule="auto"/>
              <w:jc w:val="center"/>
              <w:rPr>
                <w:b/>
              </w:rPr>
            </w:pPr>
            <w:r w:rsidRPr="000A2EE1">
              <w:rPr>
                <w:b/>
              </w:rPr>
              <w:t>PACKING INSTRUCTION</w:t>
            </w:r>
          </w:p>
        </w:tc>
        <w:tc>
          <w:tcPr>
            <w:tcW w:w="693" w:type="dxa"/>
            <w:tcBorders>
              <w:top w:val="single" w:sz="6" w:space="0" w:color="auto"/>
              <w:left w:val="nil"/>
              <w:bottom w:val="single" w:sz="4" w:space="0" w:color="auto"/>
              <w:right w:val="single" w:sz="6" w:space="0" w:color="auto"/>
            </w:tcBorders>
            <w:hideMark/>
          </w:tcPr>
          <w:p w:rsidR="00E3232B" w:rsidRPr="000A2EE1" w:rsidRDefault="00E3232B" w:rsidP="009B5E14">
            <w:pPr>
              <w:autoSpaceDE w:val="0"/>
              <w:autoSpaceDN w:val="0"/>
              <w:adjustRightInd w:val="0"/>
              <w:spacing w:line="240" w:lineRule="auto"/>
              <w:jc w:val="center"/>
              <w:rPr>
                <w:b/>
              </w:rPr>
            </w:pPr>
            <w:r w:rsidRPr="000A2EE1">
              <w:rPr>
                <w:b/>
              </w:rPr>
              <w:t>LP200</w:t>
            </w:r>
          </w:p>
        </w:tc>
      </w:tr>
      <w:tr w:rsidR="00E3232B" w:rsidRPr="000A2EE1" w:rsidTr="009B5E14">
        <w:trPr>
          <w:jc w:val="center"/>
        </w:trPr>
        <w:tc>
          <w:tcPr>
            <w:tcW w:w="9610" w:type="dxa"/>
            <w:gridSpan w:val="3"/>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E3232B" w:rsidRPr="000A2EE1" w:rsidRDefault="00E3232B" w:rsidP="009B5E14">
            <w:pPr>
              <w:autoSpaceDE w:val="0"/>
              <w:autoSpaceDN w:val="0"/>
              <w:adjustRightInd w:val="0"/>
              <w:spacing w:line="240" w:lineRule="auto"/>
              <w:rPr>
                <w:lang w:eastAsia="de-DE"/>
              </w:rPr>
            </w:pPr>
            <w:r w:rsidRPr="000A2EE1">
              <w:t>This instruction applies to UN No. 1950.</w:t>
            </w:r>
          </w:p>
        </w:tc>
      </w:tr>
      <w:tr w:rsidR="00E3232B" w:rsidRPr="000A2EE1" w:rsidTr="009B5E14">
        <w:trPr>
          <w:jc w:val="center"/>
        </w:trPr>
        <w:tc>
          <w:tcPr>
            <w:tcW w:w="9610" w:type="dxa"/>
            <w:gridSpan w:val="3"/>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hideMark/>
          </w:tcPr>
          <w:p w:rsidR="00E3232B" w:rsidRPr="000A2EE1" w:rsidRDefault="00E3232B" w:rsidP="009B5E14">
            <w:pPr>
              <w:autoSpaceDE w:val="0"/>
              <w:autoSpaceDN w:val="0"/>
              <w:adjustRightInd w:val="0"/>
              <w:spacing w:line="240" w:lineRule="auto"/>
              <w:rPr>
                <w:lang w:eastAsia="de-DE"/>
              </w:rPr>
            </w:pPr>
            <w:r w:rsidRPr="000A2EE1">
              <w:rPr>
                <w:lang w:eastAsia="de-DE"/>
              </w:rPr>
              <w:t xml:space="preserve">The following large packagings are authorized for aerosols, provided that the general provisions of </w:t>
            </w:r>
            <w:r w:rsidRPr="000A2EE1">
              <w:rPr>
                <w:b/>
                <w:bCs/>
                <w:lang w:eastAsia="de-DE"/>
              </w:rPr>
              <w:t xml:space="preserve">4.1.1 </w:t>
            </w:r>
            <w:r w:rsidRPr="000A2EE1">
              <w:rPr>
                <w:lang w:eastAsia="de-DE"/>
              </w:rPr>
              <w:t xml:space="preserve">and </w:t>
            </w:r>
            <w:r w:rsidRPr="000A2EE1">
              <w:rPr>
                <w:b/>
                <w:bCs/>
                <w:lang w:eastAsia="de-DE"/>
              </w:rPr>
              <w:t xml:space="preserve">4.1.3 </w:t>
            </w:r>
            <w:r w:rsidRPr="000A2EE1">
              <w:rPr>
                <w:lang w:eastAsia="de-DE"/>
              </w:rPr>
              <w:t>are met:</w:t>
            </w:r>
          </w:p>
          <w:p w:rsidR="00E3232B" w:rsidRPr="000A2EE1" w:rsidRDefault="00E3232B" w:rsidP="009B5E14">
            <w:pPr>
              <w:autoSpaceDE w:val="0"/>
              <w:autoSpaceDN w:val="0"/>
              <w:adjustRightInd w:val="0"/>
              <w:spacing w:line="240" w:lineRule="auto"/>
              <w:rPr>
                <w:lang w:eastAsia="de-DE"/>
              </w:rPr>
            </w:pPr>
            <w:r w:rsidRPr="000A2EE1">
              <w:rPr>
                <w:lang w:eastAsia="de-DE"/>
              </w:rPr>
              <w:t>Rigid large packagings conforming to the packing group II performance level, made of:</w:t>
            </w:r>
          </w:p>
          <w:p w:rsidR="00E3232B" w:rsidRPr="000A2EE1" w:rsidRDefault="00E3232B" w:rsidP="009B5E14">
            <w:pPr>
              <w:autoSpaceDE w:val="0"/>
              <w:autoSpaceDN w:val="0"/>
              <w:adjustRightInd w:val="0"/>
              <w:spacing w:line="240" w:lineRule="auto"/>
              <w:ind w:firstLine="1206"/>
              <w:rPr>
                <w:lang w:eastAsia="de-DE"/>
              </w:rPr>
            </w:pPr>
            <w:r w:rsidRPr="000A2EE1">
              <w:rPr>
                <w:lang w:eastAsia="de-DE"/>
              </w:rPr>
              <w:t>steel (50A);</w:t>
            </w:r>
          </w:p>
          <w:p w:rsidR="00E3232B" w:rsidRPr="000A2EE1" w:rsidRDefault="00E3232B" w:rsidP="009B5E14">
            <w:pPr>
              <w:autoSpaceDE w:val="0"/>
              <w:autoSpaceDN w:val="0"/>
              <w:adjustRightInd w:val="0"/>
              <w:spacing w:line="240" w:lineRule="auto"/>
              <w:ind w:firstLine="1206"/>
              <w:rPr>
                <w:lang w:eastAsia="de-DE"/>
              </w:rPr>
            </w:pPr>
            <w:r w:rsidRPr="000A2EE1">
              <w:rPr>
                <w:lang w:eastAsia="de-DE"/>
              </w:rPr>
              <w:t>aluminium (50B);</w:t>
            </w:r>
          </w:p>
          <w:p w:rsidR="00E3232B" w:rsidRPr="000A2EE1" w:rsidRDefault="00E3232B" w:rsidP="009B5E14">
            <w:pPr>
              <w:autoSpaceDE w:val="0"/>
              <w:autoSpaceDN w:val="0"/>
              <w:adjustRightInd w:val="0"/>
              <w:spacing w:line="240" w:lineRule="auto"/>
              <w:ind w:firstLine="1206"/>
              <w:rPr>
                <w:lang w:eastAsia="de-DE"/>
              </w:rPr>
            </w:pPr>
            <w:r w:rsidRPr="000A2EE1">
              <w:rPr>
                <w:lang w:eastAsia="de-DE"/>
              </w:rPr>
              <w:t>metal other than steel or aluminium (50N);</w:t>
            </w:r>
          </w:p>
          <w:p w:rsidR="00E3232B" w:rsidRPr="000A2EE1" w:rsidRDefault="00E3232B" w:rsidP="009B5E14">
            <w:pPr>
              <w:autoSpaceDE w:val="0"/>
              <w:autoSpaceDN w:val="0"/>
              <w:adjustRightInd w:val="0"/>
              <w:spacing w:line="240" w:lineRule="auto"/>
              <w:ind w:firstLine="1206"/>
              <w:rPr>
                <w:lang w:eastAsia="de-DE"/>
              </w:rPr>
            </w:pPr>
            <w:r w:rsidRPr="000A2EE1">
              <w:rPr>
                <w:lang w:eastAsia="de-DE"/>
              </w:rPr>
              <w:t>rigid plastics (50H);</w:t>
            </w:r>
          </w:p>
          <w:p w:rsidR="00E3232B" w:rsidRPr="000A2EE1" w:rsidRDefault="00E3232B" w:rsidP="009B5E14">
            <w:pPr>
              <w:autoSpaceDE w:val="0"/>
              <w:autoSpaceDN w:val="0"/>
              <w:adjustRightInd w:val="0"/>
              <w:spacing w:line="240" w:lineRule="auto"/>
              <w:ind w:firstLine="1206"/>
              <w:rPr>
                <w:lang w:eastAsia="de-DE"/>
              </w:rPr>
            </w:pPr>
            <w:r w:rsidRPr="000A2EE1">
              <w:rPr>
                <w:lang w:eastAsia="de-DE"/>
              </w:rPr>
              <w:t>natural wood (50C);</w:t>
            </w:r>
          </w:p>
          <w:p w:rsidR="00E3232B" w:rsidRPr="000A2EE1" w:rsidRDefault="00E3232B" w:rsidP="009B5E14">
            <w:pPr>
              <w:autoSpaceDE w:val="0"/>
              <w:autoSpaceDN w:val="0"/>
              <w:adjustRightInd w:val="0"/>
              <w:spacing w:line="240" w:lineRule="auto"/>
              <w:ind w:firstLine="1206"/>
              <w:rPr>
                <w:lang w:eastAsia="de-DE"/>
              </w:rPr>
            </w:pPr>
            <w:r w:rsidRPr="000A2EE1">
              <w:rPr>
                <w:lang w:eastAsia="de-DE"/>
              </w:rPr>
              <w:t>plywood (50D);</w:t>
            </w:r>
          </w:p>
          <w:p w:rsidR="00E3232B" w:rsidRPr="000A2EE1" w:rsidRDefault="00E3232B" w:rsidP="009B5E14">
            <w:pPr>
              <w:autoSpaceDE w:val="0"/>
              <w:autoSpaceDN w:val="0"/>
              <w:adjustRightInd w:val="0"/>
              <w:spacing w:line="240" w:lineRule="auto"/>
              <w:ind w:firstLine="1206"/>
              <w:rPr>
                <w:lang w:eastAsia="de-DE"/>
              </w:rPr>
            </w:pPr>
            <w:r w:rsidRPr="000A2EE1">
              <w:rPr>
                <w:lang w:eastAsia="de-DE"/>
              </w:rPr>
              <w:t>reconstituted wood (50F);</w:t>
            </w:r>
          </w:p>
          <w:p w:rsidR="00E3232B" w:rsidRPr="000A2EE1" w:rsidRDefault="00E3232B" w:rsidP="009B5E14">
            <w:pPr>
              <w:keepNext/>
              <w:keepLines/>
              <w:spacing w:line="240" w:lineRule="auto"/>
              <w:ind w:firstLine="1206"/>
            </w:pPr>
            <w:r w:rsidRPr="000A2EE1">
              <w:rPr>
                <w:lang w:eastAsia="de-DE"/>
              </w:rPr>
              <w:t>rigid fibreboard (50G).</w:t>
            </w:r>
          </w:p>
        </w:tc>
      </w:tr>
      <w:tr w:rsidR="00E3232B" w:rsidRPr="000A2EE1" w:rsidTr="009B5E14">
        <w:trPr>
          <w:jc w:val="center"/>
        </w:trPr>
        <w:tc>
          <w:tcPr>
            <w:tcW w:w="9610" w:type="dxa"/>
            <w:gridSpan w:val="3"/>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hideMark/>
          </w:tcPr>
          <w:p w:rsidR="00E3232B" w:rsidRPr="000A2EE1" w:rsidRDefault="00E3232B" w:rsidP="009B5E14">
            <w:pPr>
              <w:pStyle w:val="Corpsdetexte"/>
              <w:keepNext/>
              <w:keepLines/>
              <w:spacing w:before="80" w:after="80"/>
              <w:rPr>
                <w:b/>
              </w:rPr>
            </w:pPr>
            <w:r w:rsidRPr="000A2EE1">
              <w:rPr>
                <w:b/>
              </w:rPr>
              <w:t>Special packing provision:</w:t>
            </w:r>
          </w:p>
          <w:p w:rsidR="00E3232B" w:rsidRPr="000A2EE1" w:rsidRDefault="00E3232B" w:rsidP="009B5E14">
            <w:pPr>
              <w:autoSpaceDE w:val="0"/>
              <w:autoSpaceDN w:val="0"/>
              <w:adjustRightInd w:val="0"/>
              <w:ind w:left="639" w:hanging="639"/>
            </w:pPr>
            <w:r w:rsidRPr="000A2EE1">
              <w:rPr>
                <w:b/>
                <w:bCs/>
                <w:lang w:eastAsia="de-DE"/>
              </w:rPr>
              <w:t>L2</w:t>
            </w:r>
            <w:r w:rsidRPr="000A2EE1">
              <w:rPr>
                <w:b/>
                <w:bCs/>
                <w:lang w:eastAsia="de-DE"/>
              </w:rPr>
              <w:tab/>
            </w:r>
            <w:r w:rsidRPr="000A2EE1">
              <w:t>The large packagings shall be designed and constructed to prevent dangerous movement of the aerosols and inadvertent discharge during normal conditions of carriage. For waste aerosols carried in accordance with special provision 327, the large packagings shall have a means of retaining any free liquid that might escape during carriage, e.g. absorbent material. The large packagings shall be adequately ventilated to prevent the creation of a flammable atmosphere and the build-up of pressure.</w:t>
            </w:r>
          </w:p>
        </w:tc>
      </w:tr>
    </w:tbl>
    <w:p w:rsidR="00E3232B" w:rsidRPr="000A2EE1" w:rsidRDefault="00E3232B" w:rsidP="00697083">
      <w:pPr>
        <w:pStyle w:val="SingleTxtG"/>
        <w:tabs>
          <w:tab w:val="left" w:pos="1701"/>
          <w:tab w:val="left" w:pos="1985"/>
          <w:tab w:val="left" w:pos="2268"/>
        </w:tabs>
        <w:spacing w:before="120"/>
      </w:pPr>
      <w:r w:rsidRPr="000A2EE1">
        <w:t>4.1.6.15</w:t>
      </w:r>
      <w:r w:rsidRPr="000A2EE1">
        <w:tab/>
        <w:t xml:space="preserve">For 4.1.6.2, replace “ISO 11114-2:2000” with “ISO 11114-2:2013”. </w:t>
      </w:r>
    </w:p>
    <w:p w:rsidR="00E3232B" w:rsidRPr="000A2EE1" w:rsidRDefault="00E3232B" w:rsidP="00697083">
      <w:pPr>
        <w:pStyle w:val="SingleTxtG"/>
        <w:tabs>
          <w:tab w:val="left" w:pos="1701"/>
          <w:tab w:val="left" w:pos="1985"/>
          <w:tab w:val="left" w:pos="2268"/>
        </w:tabs>
      </w:pPr>
      <w:r w:rsidRPr="000A2EE1">
        <w:t>4.1.6.15</w:t>
      </w:r>
      <w:r w:rsidRPr="000A2EE1">
        <w:tab/>
        <w:t>For 4.1.6.8, after “annex A of ISO 10297:2006”, insert “or annex A of ISO 10297:2014”.</w:t>
      </w:r>
    </w:p>
    <w:p w:rsidR="00E3232B" w:rsidRPr="000A2EE1" w:rsidRDefault="00E3232B" w:rsidP="00697083">
      <w:pPr>
        <w:pStyle w:val="SingleTxtG"/>
        <w:tabs>
          <w:tab w:val="left" w:pos="1701"/>
          <w:tab w:val="left" w:pos="1985"/>
          <w:tab w:val="left" w:pos="2268"/>
        </w:tabs>
        <w:ind w:right="521"/>
      </w:pPr>
      <w:r w:rsidRPr="000A2EE1">
        <w:t>4.1.6.12 (c)</w:t>
      </w:r>
      <w:r w:rsidRPr="000A2EE1">
        <w:tab/>
        <w:t>Replace “markings” by “marks”.</w:t>
      </w:r>
    </w:p>
    <w:p w:rsidR="00E3232B" w:rsidRPr="000A2EE1" w:rsidRDefault="00E3232B" w:rsidP="00697083">
      <w:pPr>
        <w:pStyle w:val="SingleTxtG"/>
        <w:tabs>
          <w:tab w:val="left" w:pos="1701"/>
          <w:tab w:val="left" w:pos="1985"/>
          <w:tab w:val="left" w:pos="2268"/>
        </w:tabs>
        <w:ind w:right="521"/>
      </w:pPr>
      <w:r w:rsidRPr="000A2EE1">
        <w:t>4.1.6.13 (d)</w:t>
      </w:r>
      <w:r w:rsidRPr="000A2EE1">
        <w:tab/>
        <w:t>Replace “markings” by “marks”.</w:t>
      </w:r>
    </w:p>
    <w:p w:rsidR="00E3232B" w:rsidRPr="000A2EE1" w:rsidRDefault="00E3232B" w:rsidP="00697083">
      <w:pPr>
        <w:tabs>
          <w:tab w:val="left" w:pos="1701"/>
          <w:tab w:val="left" w:pos="1985"/>
          <w:tab w:val="left" w:pos="2268"/>
        </w:tabs>
        <w:spacing w:before="120" w:after="120"/>
        <w:ind w:left="1134" w:right="1134"/>
        <w:jc w:val="both"/>
      </w:pPr>
      <w:r w:rsidRPr="000A2EE1">
        <w:t>4.1.8.2</w:t>
      </w:r>
      <w:r w:rsidRPr="000A2EE1">
        <w:tab/>
      </w:r>
      <w:r w:rsidRPr="000A2EE1">
        <w:tab/>
        <w:t xml:space="preserve">Replace </w:t>
      </w:r>
      <w:r w:rsidR="00791E53" w:rsidRPr="000A2EE1">
        <w:t>“</w:t>
      </w:r>
      <w:r w:rsidRPr="000A2EE1">
        <w:t>4.1.1.3, 4.1.1.9 to 4.1.1.12</w:t>
      </w:r>
      <w:r w:rsidR="00791E53" w:rsidRPr="000A2EE1">
        <w:t>”</w:t>
      </w:r>
      <w:r w:rsidRPr="000A2EE1">
        <w:t xml:space="preserve"> by </w:t>
      </w:r>
      <w:r w:rsidR="00791E53" w:rsidRPr="000A2EE1">
        <w:t>“</w:t>
      </w:r>
      <w:r w:rsidRPr="000A2EE1">
        <w:t>4.1.1.10 to 4.1.1.12</w:t>
      </w:r>
      <w:r w:rsidR="00791E53" w:rsidRPr="000A2EE1">
        <w:t>”</w:t>
      </w:r>
      <w:r w:rsidRPr="000A2EE1">
        <w:t>.</w:t>
      </w:r>
    </w:p>
    <w:p w:rsidR="00E3232B" w:rsidRPr="000A2EE1" w:rsidRDefault="00E3232B" w:rsidP="00697083">
      <w:pPr>
        <w:pStyle w:val="SingleTxtG"/>
        <w:tabs>
          <w:tab w:val="left" w:pos="1701"/>
          <w:tab w:val="left" w:pos="1985"/>
          <w:tab w:val="left" w:pos="2268"/>
        </w:tabs>
        <w:ind w:right="521"/>
      </w:pPr>
      <w:r w:rsidRPr="000A2EE1">
        <w:t>4.1.8.4</w:t>
      </w:r>
      <w:r w:rsidRPr="000A2EE1">
        <w:tab/>
      </w:r>
      <w:r w:rsidRPr="000A2EE1">
        <w:tab/>
        <w:t>Replace “marking” by “mark”.</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4.2</w:t>
      </w:r>
    </w:p>
    <w:p w:rsidR="00E3232B" w:rsidRPr="000A2EE1" w:rsidRDefault="00E3232B" w:rsidP="00697083">
      <w:pPr>
        <w:pStyle w:val="SingleTxtG"/>
        <w:tabs>
          <w:tab w:val="left" w:pos="1701"/>
          <w:tab w:val="left" w:pos="1985"/>
          <w:tab w:val="left" w:pos="2268"/>
        </w:tabs>
        <w:ind w:right="521"/>
      </w:pPr>
      <w:r w:rsidRPr="000A2EE1">
        <w:t>4.2.1.13.14</w:t>
      </w:r>
      <w:r w:rsidRPr="000A2EE1">
        <w:tab/>
        <w:t>Replace “marking” by “mark”.</w:t>
      </w:r>
    </w:p>
    <w:p w:rsidR="00E3232B" w:rsidRPr="000A2EE1" w:rsidRDefault="00E3232B" w:rsidP="00697083">
      <w:pPr>
        <w:pStyle w:val="SingleTxtG"/>
        <w:tabs>
          <w:tab w:val="left" w:pos="1701"/>
          <w:tab w:val="left" w:pos="1985"/>
          <w:tab w:val="left" w:pos="2268"/>
        </w:tabs>
        <w:ind w:right="521"/>
      </w:pPr>
      <w:r w:rsidRPr="000A2EE1">
        <w:t>4.2.4.5.6 (c)</w:t>
      </w:r>
      <w:r w:rsidRPr="000A2EE1">
        <w:tab/>
        <w:t>Replace “markings” by “marks”.</w:t>
      </w:r>
    </w:p>
    <w:p w:rsidR="00E3232B" w:rsidRPr="000A2EE1" w:rsidRDefault="00E3232B" w:rsidP="00697083">
      <w:pPr>
        <w:pStyle w:val="SingleTxtG"/>
        <w:tabs>
          <w:tab w:val="left" w:pos="1701"/>
          <w:tab w:val="left" w:pos="1985"/>
          <w:tab w:val="left" w:pos="2268"/>
        </w:tabs>
        <w:ind w:right="521"/>
      </w:pPr>
      <w:r w:rsidRPr="000A2EE1">
        <w:t>4.2.4.6 (d)</w:t>
      </w:r>
      <w:r w:rsidRPr="000A2EE1">
        <w:tab/>
      </w:r>
      <w:r w:rsidR="00697083" w:rsidRPr="000A2EE1">
        <w:tab/>
      </w:r>
      <w:r w:rsidRPr="000A2EE1">
        <w:t>Replace “markings” by “marks”.</w:t>
      </w:r>
    </w:p>
    <w:p w:rsidR="00E3232B" w:rsidRPr="000A2EE1" w:rsidRDefault="009F5651" w:rsidP="00E3232B">
      <w:pPr>
        <w:pStyle w:val="SingleTxtG"/>
        <w:rPr>
          <w:iCs/>
        </w:rPr>
      </w:pPr>
      <w:r w:rsidRPr="000A2EE1">
        <w:rPr>
          <w:iCs/>
        </w:rPr>
        <w:t xml:space="preserve">4.2.5.3, </w:t>
      </w:r>
      <w:r w:rsidR="00E3232B" w:rsidRPr="000A2EE1">
        <w:rPr>
          <w:iCs/>
        </w:rPr>
        <w:t xml:space="preserve">TP23, </w:t>
      </w:r>
      <w:r w:rsidR="00E3232B" w:rsidRPr="000A2EE1">
        <w:t>TP 35 and TP 37</w:t>
      </w:r>
      <w:r w:rsidR="00E3232B" w:rsidRPr="000A2EE1">
        <w:tab/>
      </w:r>
      <w:r w:rsidR="00E3232B" w:rsidRPr="000A2EE1">
        <w:rPr>
          <w:iCs/>
        </w:rPr>
        <w:t>Delete and insert “</w:t>
      </w:r>
      <w:r w:rsidR="00E3232B" w:rsidRPr="000A2EE1">
        <w:rPr>
          <w:i/>
          <w:iCs/>
        </w:rPr>
        <w:t>Deleted.</w:t>
      </w:r>
      <w:r w:rsidR="00E3232B" w:rsidRPr="000A2EE1">
        <w:rPr>
          <w:iCs/>
        </w:rPr>
        <w:t>”.</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4.3</w:t>
      </w:r>
    </w:p>
    <w:p w:rsidR="00E3232B" w:rsidRPr="000A2EE1" w:rsidRDefault="00E3232B" w:rsidP="00697083">
      <w:pPr>
        <w:pStyle w:val="SingleTxtG"/>
        <w:tabs>
          <w:tab w:val="left" w:pos="1701"/>
          <w:tab w:val="left" w:pos="1985"/>
          <w:tab w:val="left" w:pos="2268"/>
        </w:tabs>
      </w:pPr>
      <w:r w:rsidRPr="000A2EE1">
        <w:t>4.3.2.1.7</w:t>
      </w:r>
      <w:r w:rsidRPr="000A2EE1">
        <w:tab/>
        <w:t xml:space="preserve">Replace </w:t>
      </w:r>
      <w:r w:rsidR="00791E53" w:rsidRPr="000A2EE1">
        <w:t>“</w:t>
      </w:r>
      <w:r w:rsidRPr="000A2EE1">
        <w:t>6.8.3.4.16</w:t>
      </w:r>
      <w:r w:rsidR="00791E53" w:rsidRPr="000A2EE1">
        <w:t>”</w:t>
      </w:r>
      <w:r w:rsidRPr="000A2EE1">
        <w:t xml:space="preserve"> by </w:t>
      </w:r>
      <w:r w:rsidR="00791E53" w:rsidRPr="000A2EE1">
        <w:t>“</w:t>
      </w:r>
      <w:r w:rsidRPr="000A2EE1">
        <w:t>6.8.3.4.18</w:t>
      </w:r>
      <w:r w:rsidR="00791E53" w:rsidRPr="000A2EE1">
        <w:t>”</w:t>
      </w:r>
      <w:r w:rsidRPr="000A2EE1">
        <w:t>.</w:t>
      </w:r>
    </w:p>
    <w:p w:rsidR="00E3232B" w:rsidRPr="000A2EE1" w:rsidRDefault="00E3232B" w:rsidP="00697083">
      <w:pPr>
        <w:pStyle w:val="SingleTxtG"/>
        <w:tabs>
          <w:tab w:val="left" w:pos="1701"/>
          <w:tab w:val="left" w:pos="1985"/>
          <w:tab w:val="left" w:pos="2268"/>
        </w:tabs>
      </w:pPr>
      <w:r w:rsidRPr="000A2EE1">
        <w:t>4.3.3</w:t>
      </w:r>
      <w:r w:rsidRPr="000A2EE1">
        <w:tab/>
        <w:t xml:space="preserve">Insert a new </w:t>
      </w:r>
      <w:r w:rsidR="00E0572A" w:rsidRPr="000A2EE1">
        <w:t xml:space="preserve">sub-section </w:t>
      </w:r>
      <w:r w:rsidRPr="000A2EE1">
        <w:t>4.3.3.5 to read as follows:</w:t>
      </w:r>
    </w:p>
    <w:tbl>
      <w:tblPr>
        <w:tblW w:w="0" w:type="auto"/>
        <w:tblInd w:w="1134"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4961"/>
      </w:tblGrid>
      <w:tr w:rsidR="00E3232B" w:rsidRPr="000A2EE1" w:rsidTr="009B5E14">
        <w:tc>
          <w:tcPr>
            <w:tcW w:w="3544" w:type="dxa"/>
            <w:shd w:val="clear" w:color="auto" w:fill="auto"/>
          </w:tcPr>
          <w:p w:rsidR="00E3232B" w:rsidRPr="000A2EE1" w:rsidRDefault="00E3232B" w:rsidP="009B5E14">
            <w:pPr>
              <w:pStyle w:val="SingleTxtG"/>
              <w:ind w:left="0"/>
            </w:pPr>
            <w:r w:rsidRPr="000A2EE1">
              <w:t>“4.3.3.5</w:t>
            </w:r>
          </w:p>
        </w:tc>
        <w:tc>
          <w:tcPr>
            <w:tcW w:w="4961" w:type="dxa"/>
            <w:shd w:val="clear" w:color="auto" w:fill="auto"/>
          </w:tcPr>
          <w:p w:rsidR="00E3232B" w:rsidRPr="000A2EE1" w:rsidRDefault="00E3232B" w:rsidP="009B5E14">
            <w:pPr>
              <w:pStyle w:val="SingleTxtG"/>
              <w:ind w:left="142" w:right="146"/>
              <w:rPr>
                <w:b/>
              </w:rPr>
            </w:pPr>
            <w:r w:rsidRPr="000A2EE1">
              <w:t xml:space="preserve">The actual holding time shall be determined for each journey of a tank-container carrying a refrigerated liquefied gas on the basis of the following: </w:t>
            </w:r>
            <w:r w:rsidRPr="000A2EE1">
              <w:rPr>
                <w:b/>
              </w:rPr>
              <w:t xml:space="preserve"> </w:t>
            </w:r>
          </w:p>
          <w:p w:rsidR="00E3232B" w:rsidRPr="000A2EE1" w:rsidRDefault="00E3232B" w:rsidP="009B5E14">
            <w:pPr>
              <w:pStyle w:val="SingleTxtG"/>
              <w:ind w:left="239" w:right="146" w:hanging="100"/>
            </w:pPr>
            <w:r w:rsidRPr="000A2EE1">
              <w:t>(a)</w:t>
            </w:r>
            <w:r w:rsidRPr="000A2EE1">
              <w:tab/>
              <w:t>The reference holding time for the refrigerated liquefied gas to be carried (see 6.8.3.4.10) as indicated on the plate referred to in 6.8.3.5.4;</w:t>
            </w:r>
          </w:p>
          <w:p w:rsidR="00E3232B" w:rsidRPr="000A2EE1" w:rsidRDefault="00E3232B" w:rsidP="009B5E14">
            <w:pPr>
              <w:pStyle w:val="SingleTxtG"/>
              <w:ind w:left="239" w:right="146" w:hanging="100"/>
            </w:pPr>
            <w:r w:rsidRPr="000A2EE1">
              <w:t>(b)</w:t>
            </w:r>
            <w:r w:rsidRPr="000A2EE1">
              <w:tab/>
              <w:t>The actual filling density;</w:t>
            </w:r>
          </w:p>
          <w:p w:rsidR="00E3232B" w:rsidRPr="000A2EE1" w:rsidRDefault="00E3232B" w:rsidP="009B5E14">
            <w:pPr>
              <w:pStyle w:val="SingleTxtG"/>
              <w:ind w:left="239" w:right="146" w:hanging="100"/>
            </w:pPr>
            <w:r w:rsidRPr="000A2EE1">
              <w:t>(c)</w:t>
            </w:r>
            <w:r w:rsidRPr="000A2EE1">
              <w:tab/>
              <w:t>The actual filling pressure;</w:t>
            </w:r>
          </w:p>
          <w:p w:rsidR="00E3232B" w:rsidRPr="000A2EE1" w:rsidRDefault="00E3232B" w:rsidP="009B5E14">
            <w:pPr>
              <w:pStyle w:val="SingleTxtG"/>
              <w:ind w:left="239" w:right="146" w:hanging="100"/>
            </w:pPr>
            <w:r w:rsidRPr="000A2EE1">
              <w:rPr>
                <w:lang w:eastAsia="en-GB"/>
              </w:rPr>
              <w:t>(d)</w:t>
            </w:r>
            <w:r w:rsidRPr="000A2EE1">
              <w:rPr>
                <w:lang w:eastAsia="en-GB"/>
              </w:rPr>
              <w:tab/>
            </w:r>
            <w:r w:rsidRPr="000A2EE1">
              <w:t>The lowest set pressure of the pressure limiting device(s);</w:t>
            </w:r>
          </w:p>
          <w:p w:rsidR="00E3232B" w:rsidRPr="000A2EE1" w:rsidRDefault="00E3232B" w:rsidP="009B5E14">
            <w:pPr>
              <w:pStyle w:val="SingleTxtG"/>
              <w:ind w:left="239" w:right="146" w:hanging="100"/>
            </w:pPr>
            <w:r w:rsidRPr="000A2EE1">
              <w:t>(e)</w:t>
            </w:r>
            <w:r w:rsidRPr="000A2EE1">
              <w:tab/>
              <w:t>The deterioration of the insulation</w:t>
            </w:r>
            <w:r w:rsidRPr="000A2EE1">
              <w:rPr>
                <w:vertAlign w:val="superscript"/>
              </w:rPr>
              <w:t>4</w:t>
            </w:r>
            <w:r w:rsidRPr="000A2EE1">
              <w:t>.</w:t>
            </w:r>
          </w:p>
          <w:p w:rsidR="00E3232B" w:rsidRPr="000A2EE1" w:rsidRDefault="00E3232B" w:rsidP="009B5E14">
            <w:pPr>
              <w:pStyle w:val="SingleTxtG"/>
              <w:ind w:left="239" w:right="146" w:hanging="100"/>
              <w:rPr>
                <w:i/>
              </w:rPr>
            </w:pPr>
            <w:r w:rsidRPr="000A2EE1">
              <w:rPr>
                <w:b/>
                <w:i/>
              </w:rPr>
              <w:t>NOTE:</w:t>
            </w:r>
            <w:r w:rsidRPr="000A2EE1">
              <w:rPr>
                <w:i/>
              </w:rPr>
              <w:t xml:space="preserve"> ISO 21014:2006 ‘Cryogenic vessels – Cryogenic insulation performance’ details methods of determining the insulation performance of cryogenic vessels and provides a method of calculating the holding time.</w:t>
            </w:r>
          </w:p>
          <w:p w:rsidR="00E3232B" w:rsidRPr="000A2EE1" w:rsidRDefault="00E3232B" w:rsidP="009B5E14">
            <w:pPr>
              <w:pStyle w:val="SingleTxtG"/>
              <w:ind w:left="239" w:right="146" w:hanging="100"/>
            </w:pPr>
            <w:r w:rsidRPr="000A2EE1">
              <w:t>The date at which the actual holding time ends shall be entered on the transport document (see 5.4.1.2.2. (</w:t>
            </w:r>
            <w:r w:rsidRPr="000A2EE1">
              <w:rPr>
                <w:u w:val="single"/>
              </w:rPr>
              <w:t>d</w:t>
            </w:r>
            <w:r w:rsidRPr="000A2EE1">
              <w:t>)).</w:t>
            </w:r>
          </w:p>
          <w:p w:rsidR="00E3232B" w:rsidRPr="000A2EE1" w:rsidRDefault="00E3232B" w:rsidP="009B5E14">
            <w:pPr>
              <w:pStyle w:val="SingleTxtG"/>
              <w:ind w:left="239" w:right="146" w:hanging="100"/>
            </w:pPr>
            <w:r w:rsidRPr="000A2EE1">
              <w:t>Tank-containers shall not be offered for carriage:</w:t>
            </w:r>
          </w:p>
          <w:p w:rsidR="00E3232B" w:rsidRPr="000A2EE1" w:rsidRDefault="00E3232B" w:rsidP="009B5E14">
            <w:pPr>
              <w:pStyle w:val="SingleTxtG"/>
              <w:ind w:left="239" w:right="146" w:hanging="100"/>
            </w:pPr>
            <w:r w:rsidRPr="000A2EE1">
              <w:rPr>
                <w:lang w:eastAsia="en-GB"/>
              </w:rPr>
              <w:t>(a)</w:t>
            </w:r>
            <w:r w:rsidRPr="000A2EE1">
              <w:rPr>
                <w:lang w:eastAsia="en-GB"/>
              </w:rPr>
              <w:tab/>
            </w:r>
            <w:r w:rsidRPr="000A2EE1">
              <w:t>In an ullage condition liable to produce an unacceptable hydraulic force due to surge within the shell;</w:t>
            </w:r>
          </w:p>
          <w:p w:rsidR="00E3232B" w:rsidRPr="000A2EE1" w:rsidRDefault="00E3232B" w:rsidP="009B5E14">
            <w:pPr>
              <w:pStyle w:val="SingleTxtG"/>
              <w:ind w:left="239" w:right="146" w:hanging="100"/>
            </w:pPr>
            <w:r w:rsidRPr="000A2EE1">
              <w:rPr>
                <w:lang w:eastAsia="en-GB"/>
              </w:rPr>
              <w:t>(b)</w:t>
            </w:r>
            <w:r w:rsidRPr="000A2EE1">
              <w:rPr>
                <w:lang w:eastAsia="en-GB"/>
              </w:rPr>
              <w:tab/>
            </w:r>
            <w:r w:rsidRPr="000A2EE1">
              <w:t>When leaking;</w:t>
            </w:r>
          </w:p>
          <w:p w:rsidR="00E3232B" w:rsidRPr="000A2EE1" w:rsidRDefault="00E3232B" w:rsidP="009B5E14">
            <w:pPr>
              <w:pStyle w:val="SingleTxtG"/>
              <w:ind w:left="239" w:right="146" w:hanging="100"/>
            </w:pPr>
            <w:r w:rsidRPr="000A2EE1">
              <w:rPr>
                <w:lang w:eastAsia="en-GB"/>
              </w:rPr>
              <w:t>(c)</w:t>
            </w:r>
            <w:r w:rsidRPr="000A2EE1">
              <w:rPr>
                <w:lang w:eastAsia="en-GB"/>
              </w:rPr>
              <w:tab/>
            </w:r>
            <w:r w:rsidRPr="000A2EE1">
              <w:t>When damaged to such an extent that the integrity of the tank-container or its lifting or securing arrangements may be affected;</w:t>
            </w:r>
          </w:p>
          <w:p w:rsidR="00E3232B" w:rsidRPr="000A2EE1" w:rsidRDefault="00E3232B" w:rsidP="009B5E14">
            <w:pPr>
              <w:pStyle w:val="SingleTxtG"/>
              <w:ind w:left="239" w:right="146" w:hanging="100"/>
            </w:pPr>
            <w:r w:rsidRPr="000A2EE1">
              <w:rPr>
                <w:lang w:eastAsia="en-GB"/>
              </w:rPr>
              <w:t>(d)</w:t>
            </w:r>
            <w:r w:rsidRPr="000A2EE1">
              <w:rPr>
                <w:lang w:eastAsia="en-GB"/>
              </w:rPr>
              <w:tab/>
            </w:r>
            <w:r w:rsidRPr="000A2EE1">
              <w:t>Unless the service equipment has been examined and found to be in good working order;</w:t>
            </w:r>
          </w:p>
          <w:p w:rsidR="00E3232B" w:rsidRPr="000A2EE1" w:rsidRDefault="00E3232B" w:rsidP="009B5E14">
            <w:pPr>
              <w:pStyle w:val="SingleTxtG"/>
              <w:ind w:left="239" w:right="146" w:hanging="100"/>
            </w:pPr>
            <w:r w:rsidRPr="000A2EE1">
              <w:rPr>
                <w:lang w:eastAsia="en-GB"/>
              </w:rPr>
              <w:t>(e)</w:t>
            </w:r>
            <w:r w:rsidRPr="000A2EE1">
              <w:rPr>
                <w:lang w:eastAsia="en-GB"/>
              </w:rPr>
              <w:tab/>
            </w:r>
            <w:r w:rsidRPr="000A2EE1">
              <w:t>Unless the actual holding time for the refrigerated liquefied gas being carried has been determined;</w:t>
            </w:r>
          </w:p>
          <w:p w:rsidR="00E3232B" w:rsidRPr="000A2EE1" w:rsidRDefault="00E3232B" w:rsidP="009B5E14">
            <w:pPr>
              <w:pStyle w:val="SingleTxtG"/>
              <w:ind w:left="239" w:right="146" w:hanging="100"/>
            </w:pPr>
            <w:r w:rsidRPr="000A2EE1">
              <w:rPr>
                <w:lang w:eastAsia="en-GB"/>
              </w:rPr>
              <w:t>(f)</w:t>
            </w:r>
            <w:r w:rsidRPr="000A2EE1">
              <w:rPr>
                <w:lang w:eastAsia="en-GB"/>
              </w:rPr>
              <w:tab/>
            </w:r>
            <w:r w:rsidRPr="000A2EE1">
              <w:t>Unless the duration of carriage, after taking into consideration any delays which might be encountered, does not exceed the actual holding time;</w:t>
            </w:r>
          </w:p>
          <w:p w:rsidR="00E3232B" w:rsidRPr="000A2EE1" w:rsidRDefault="00E3232B" w:rsidP="009B5E14">
            <w:pPr>
              <w:pStyle w:val="SingleTxtG"/>
              <w:ind w:left="239" w:right="146" w:hanging="100"/>
            </w:pPr>
            <w:r w:rsidRPr="000A2EE1">
              <w:rPr>
                <w:lang w:eastAsia="en-GB"/>
              </w:rPr>
              <w:t>(g)</w:t>
            </w:r>
            <w:r w:rsidRPr="000A2EE1">
              <w:rPr>
                <w:lang w:eastAsia="en-GB"/>
              </w:rPr>
              <w:tab/>
            </w:r>
            <w:r w:rsidRPr="000A2EE1">
              <w:t>Unless the pressure is steady and has been lowered to a level such that the actual holding time may be achieved</w:t>
            </w:r>
            <w:r w:rsidRPr="000A2EE1">
              <w:rPr>
                <w:vertAlign w:val="superscript"/>
              </w:rPr>
              <w:t>4</w:t>
            </w:r>
            <w:r w:rsidRPr="000A2EE1">
              <w:t>.</w:t>
            </w:r>
          </w:p>
          <w:p w:rsidR="00E3232B" w:rsidRPr="000A2EE1" w:rsidRDefault="00E3232B" w:rsidP="009B5E14">
            <w:pPr>
              <w:pStyle w:val="SingleTxtG"/>
              <w:ind w:left="0" w:right="146"/>
            </w:pPr>
          </w:p>
        </w:tc>
      </w:tr>
    </w:tbl>
    <w:p w:rsidR="00E0572A" w:rsidRPr="000A2EE1" w:rsidRDefault="00E0572A" w:rsidP="00E3232B">
      <w:pPr>
        <w:tabs>
          <w:tab w:val="left" w:pos="567"/>
        </w:tabs>
        <w:spacing w:before="120" w:after="120"/>
        <w:ind w:left="1134" w:right="1134"/>
      </w:pPr>
      <w:r w:rsidRPr="000A2EE1">
        <w:t>Footnote 4 reads as follows:</w:t>
      </w:r>
    </w:p>
    <w:p w:rsidR="00E0572A" w:rsidRPr="000A2EE1" w:rsidRDefault="00E0572A" w:rsidP="00912ED1">
      <w:pPr>
        <w:pStyle w:val="SingleTxtG"/>
      </w:pPr>
      <w:r w:rsidRPr="000A2EE1">
        <w:t>“</w:t>
      </w:r>
      <w:r w:rsidRPr="000A2EE1">
        <w:rPr>
          <w:vertAlign w:val="superscript"/>
        </w:rPr>
        <w:t>4</w:t>
      </w:r>
      <w:r w:rsidRPr="000A2EE1">
        <w:t xml:space="preserve"> </w:t>
      </w:r>
      <w:r w:rsidRPr="000A2EE1">
        <w:tab/>
        <w:t xml:space="preserve">“Guidance is provided in the European Industrial Gases Association (EIGA) document “Methods to prevent the premature activation of relief devices on tanks” available at </w:t>
      </w:r>
      <w:hyperlink r:id="rId19" w:history="1">
        <w:r w:rsidRPr="000A2EE1">
          <w:t>www.eiga.eu</w:t>
        </w:r>
      </w:hyperlink>
      <w:r w:rsidRPr="000A2EE1">
        <w:t>.”.</w:t>
      </w:r>
    </w:p>
    <w:p w:rsidR="00E3232B" w:rsidRPr="000A2EE1" w:rsidRDefault="00E3232B" w:rsidP="00697083">
      <w:pPr>
        <w:pStyle w:val="SingleTxtG"/>
        <w:tabs>
          <w:tab w:val="left" w:pos="1701"/>
          <w:tab w:val="left" w:pos="1985"/>
          <w:tab w:val="left" w:pos="2268"/>
        </w:tabs>
      </w:pPr>
      <w:r w:rsidRPr="000A2EE1">
        <w:t>4.3.4.1.3 (b)</w:t>
      </w:r>
      <w:r w:rsidRPr="000A2EE1">
        <w:tab/>
      </w:r>
      <w:r w:rsidR="00E34BDC" w:rsidRPr="000A2EE1">
        <w:t>A</w:t>
      </w:r>
      <w:r w:rsidRPr="000A2EE1">
        <w:t>dd the following lines:</w:t>
      </w:r>
    </w:p>
    <w:p w:rsidR="00E3232B" w:rsidRPr="000A2EE1" w:rsidRDefault="00E3232B" w:rsidP="00697083">
      <w:pPr>
        <w:pStyle w:val="SingleTxtG"/>
        <w:tabs>
          <w:tab w:val="left" w:pos="1701"/>
          <w:tab w:val="left" w:pos="1985"/>
          <w:tab w:val="left" w:pos="2268"/>
        </w:tabs>
        <w:rPr>
          <w:bCs/>
          <w:iCs/>
        </w:rPr>
      </w:pPr>
      <w:r w:rsidRPr="000A2EE1">
        <w:rPr>
          <w:bCs/>
          <w:iCs/>
        </w:rPr>
        <w:t>“UN No. 3531 polymerizing substance, solid, stabilized, n.o.s, UN No. 3533 polymerizing substance, solid, stabilized, temperature controlled, n.o.s.: code SGAN;</w:t>
      </w:r>
    </w:p>
    <w:p w:rsidR="00E3232B" w:rsidRPr="000A2EE1" w:rsidRDefault="00E3232B" w:rsidP="00697083">
      <w:pPr>
        <w:pStyle w:val="SingleTxtG"/>
        <w:tabs>
          <w:tab w:val="left" w:pos="1701"/>
          <w:tab w:val="left" w:pos="1985"/>
          <w:tab w:val="left" w:pos="2268"/>
        </w:tabs>
        <w:rPr>
          <w:bCs/>
          <w:iCs/>
        </w:rPr>
      </w:pPr>
      <w:r w:rsidRPr="000A2EE1">
        <w:rPr>
          <w:bCs/>
          <w:iCs/>
        </w:rPr>
        <w:t>UN No. 3532 polymerizing substance, liquid, stabilized, n.o.s, UN No. 3534 polymerizing substance, liquid, stabilized, temperature controlled, n.o.s.: code L4BN.”.</w:t>
      </w:r>
    </w:p>
    <w:p w:rsidR="00E3232B" w:rsidRPr="000A2EE1" w:rsidRDefault="00E3232B" w:rsidP="00697083">
      <w:pPr>
        <w:tabs>
          <w:tab w:val="left" w:pos="1701"/>
          <w:tab w:val="left" w:pos="1985"/>
          <w:tab w:val="left" w:pos="2268"/>
        </w:tabs>
        <w:spacing w:after="120"/>
        <w:ind w:left="2259" w:right="1134" w:hanging="1125"/>
        <w:jc w:val="both"/>
        <w:rPr>
          <w:bCs/>
          <w:iCs/>
        </w:rPr>
      </w:pPr>
      <w:r w:rsidRPr="000A2EE1">
        <w:rPr>
          <w:bCs/>
          <w:iCs/>
        </w:rPr>
        <w:t>4.3.5</w:t>
      </w:r>
      <w:r w:rsidRPr="000A2EE1">
        <w:rPr>
          <w:bCs/>
          <w:iCs/>
        </w:rPr>
        <w:tab/>
        <w:t>Amend TU16 and TU21 to read as follows:</w:t>
      </w:r>
    </w:p>
    <w:p w:rsidR="00E3232B" w:rsidRPr="000A2EE1" w:rsidRDefault="00E3232B" w:rsidP="00697083">
      <w:pPr>
        <w:pStyle w:val="SingleTxtG"/>
        <w:tabs>
          <w:tab w:val="left" w:pos="1701"/>
          <w:tab w:val="left" w:pos="1985"/>
          <w:tab w:val="left" w:pos="2268"/>
        </w:tabs>
        <w:rPr>
          <w:lang w:eastAsia="zh-CN"/>
        </w:rPr>
      </w:pPr>
      <w:r w:rsidRPr="000A2EE1">
        <w:rPr>
          <w:bCs/>
          <w:lang w:eastAsia="zh-CN"/>
        </w:rPr>
        <w:t>“TU16</w:t>
      </w:r>
      <w:r w:rsidRPr="000A2EE1">
        <w:rPr>
          <w:bCs/>
          <w:lang w:eastAsia="zh-CN"/>
        </w:rPr>
        <w:tab/>
      </w:r>
      <w:r w:rsidRPr="000A2EE1">
        <w:rPr>
          <w:lang w:eastAsia="zh-CN"/>
        </w:rPr>
        <w:tab/>
        <w:t>Uncleaned empty tanks, shall, when handed over for carriage, either:</w:t>
      </w:r>
    </w:p>
    <w:p w:rsidR="00E3232B" w:rsidRPr="000A2EE1" w:rsidRDefault="00E3232B" w:rsidP="00697083">
      <w:pPr>
        <w:pStyle w:val="SingleTxtG"/>
        <w:tabs>
          <w:tab w:val="left" w:pos="1701"/>
          <w:tab w:val="left" w:pos="1985"/>
          <w:tab w:val="left" w:pos="2268"/>
        </w:tabs>
        <w:rPr>
          <w:lang w:eastAsia="zh-CN"/>
        </w:rPr>
      </w:pPr>
      <w:r w:rsidRPr="000A2EE1">
        <w:rPr>
          <w:lang w:eastAsia="zh-CN"/>
        </w:rPr>
        <w:tab/>
      </w:r>
      <w:r w:rsidR="00697083" w:rsidRPr="000A2EE1">
        <w:rPr>
          <w:lang w:eastAsia="zh-CN"/>
        </w:rPr>
        <w:tab/>
      </w:r>
      <w:r w:rsidRPr="000A2EE1">
        <w:rPr>
          <w:lang w:eastAsia="zh-CN"/>
        </w:rPr>
        <w:t>-</w:t>
      </w:r>
      <w:r w:rsidRPr="000A2EE1">
        <w:rPr>
          <w:lang w:eastAsia="zh-CN"/>
        </w:rPr>
        <w:tab/>
        <w:t>be filled with nitrogen (with or without water); or</w:t>
      </w:r>
    </w:p>
    <w:p w:rsidR="00E3232B" w:rsidRPr="000A2EE1" w:rsidRDefault="00E3232B" w:rsidP="00697083">
      <w:pPr>
        <w:pStyle w:val="SingleTxtG"/>
        <w:tabs>
          <w:tab w:val="left" w:pos="1701"/>
          <w:tab w:val="left" w:pos="1985"/>
          <w:tab w:val="left" w:pos="2268"/>
        </w:tabs>
        <w:rPr>
          <w:lang w:eastAsia="zh-CN"/>
        </w:rPr>
      </w:pPr>
      <w:r w:rsidRPr="000A2EE1">
        <w:rPr>
          <w:lang w:eastAsia="zh-CN"/>
        </w:rPr>
        <w:tab/>
      </w:r>
      <w:r w:rsidR="00697083" w:rsidRPr="000A2EE1">
        <w:rPr>
          <w:lang w:eastAsia="zh-CN"/>
        </w:rPr>
        <w:tab/>
      </w:r>
      <w:r w:rsidRPr="000A2EE1">
        <w:rPr>
          <w:lang w:eastAsia="zh-CN"/>
        </w:rPr>
        <w:t>-</w:t>
      </w:r>
      <w:r w:rsidRPr="000A2EE1">
        <w:rPr>
          <w:lang w:eastAsia="zh-CN"/>
        </w:rPr>
        <w:tab/>
        <w:t xml:space="preserve">be filled with water to not less than 96% and not more than 98% of their capacity. When low ambient temperatures are to be expected during the journey, sufficient </w:t>
      </w:r>
      <w:r w:rsidRPr="000A2EE1">
        <w:t xml:space="preserve">anti-freeze </w:t>
      </w:r>
      <w:r w:rsidRPr="000A2EE1">
        <w:rPr>
          <w:lang w:eastAsia="zh-CN"/>
        </w:rPr>
        <w:t>agent shall be added to prevent freezing of the water. The anti</w:t>
      </w:r>
      <w:r w:rsidRPr="000A2EE1">
        <w:rPr>
          <w:lang w:eastAsia="zh-CN"/>
        </w:rPr>
        <w:noBreakHyphen/>
        <w:t>freeze agent shall be free from corrosive action and not liable to react with the substance.”.</w:t>
      </w:r>
    </w:p>
    <w:p w:rsidR="00E3232B" w:rsidRPr="000A2EE1" w:rsidRDefault="00E3232B" w:rsidP="00697083">
      <w:pPr>
        <w:pStyle w:val="SingleTxtG"/>
        <w:tabs>
          <w:tab w:val="left" w:pos="1701"/>
          <w:tab w:val="left" w:pos="1985"/>
          <w:tab w:val="left" w:pos="2268"/>
        </w:tabs>
      </w:pPr>
      <w:r w:rsidRPr="000A2EE1">
        <w:t>“TU21</w:t>
      </w:r>
      <w:r w:rsidRPr="000A2EE1">
        <w:tab/>
      </w:r>
      <w:r w:rsidRPr="000A2EE1">
        <w:tab/>
        <w:t>The substance shall be covered with a protective agent by one of the following measures:</w:t>
      </w:r>
    </w:p>
    <w:p w:rsidR="00E3232B" w:rsidRPr="000A2EE1" w:rsidRDefault="00E3232B" w:rsidP="00697083">
      <w:pPr>
        <w:pStyle w:val="SingleTxtG"/>
        <w:tabs>
          <w:tab w:val="left" w:pos="1701"/>
          <w:tab w:val="left" w:pos="1985"/>
          <w:tab w:val="left" w:pos="2268"/>
        </w:tabs>
      </w:pPr>
      <w:r w:rsidRPr="000A2EE1">
        <w:tab/>
        <w:t>(а)</w:t>
      </w:r>
      <w:r w:rsidRPr="000A2EE1">
        <w:tab/>
        <w:t>water to a depth of not less than 12 cm at the time of filling. The degree of filling of the substance and the water at a temperature of 60 °C shall not exceed 98%; or</w:t>
      </w:r>
    </w:p>
    <w:p w:rsidR="00E3232B" w:rsidRPr="000A2EE1" w:rsidRDefault="00E3232B" w:rsidP="00697083">
      <w:pPr>
        <w:pStyle w:val="SingleTxtG"/>
        <w:tabs>
          <w:tab w:val="left" w:pos="1701"/>
          <w:tab w:val="left" w:pos="1985"/>
          <w:tab w:val="left" w:pos="2268"/>
        </w:tabs>
      </w:pPr>
      <w:r w:rsidRPr="000A2EE1">
        <w:tab/>
        <w:t>(b)</w:t>
      </w:r>
      <w:r w:rsidRPr="000A2EE1">
        <w:tab/>
        <w:t>nitrogen, in which case the degree of filling at a temperature of 60 °C shall not exceed 96%; or</w:t>
      </w:r>
    </w:p>
    <w:p w:rsidR="00E3232B" w:rsidRPr="000A2EE1" w:rsidRDefault="00E3232B" w:rsidP="00697083">
      <w:pPr>
        <w:pStyle w:val="SingleTxtG"/>
        <w:tabs>
          <w:tab w:val="left" w:pos="1701"/>
          <w:tab w:val="left" w:pos="1985"/>
          <w:tab w:val="left" w:pos="2268"/>
        </w:tabs>
        <w:rPr>
          <w:strike/>
        </w:rPr>
      </w:pPr>
      <w:r w:rsidRPr="000A2EE1">
        <w:tab/>
        <w:t>(c)</w:t>
      </w:r>
      <w:r w:rsidRPr="000A2EE1">
        <w:tab/>
        <w:t xml:space="preserve">a combination of water and nitrogen, in which case the substance shall be covered with a water layer and the remaining space filled with nitrogen. The degree of filling of the substance and the water at a temperature of 60 °C shall not exceed 98%. </w:t>
      </w:r>
    </w:p>
    <w:p w:rsidR="00E3232B" w:rsidRPr="000A2EE1" w:rsidRDefault="00E3232B" w:rsidP="00697083">
      <w:pPr>
        <w:pStyle w:val="SingleTxtG"/>
        <w:tabs>
          <w:tab w:val="left" w:pos="1701"/>
          <w:tab w:val="left" w:pos="1985"/>
          <w:tab w:val="left" w:pos="2268"/>
        </w:tabs>
      </w:pPr>
      <w:r w:rsidRPr="000A2EE1">
        <w:tab/>
        <w:t>When water is used as a protective agent according to (a) or (c) and low ambient temperatures are to be expected during the journey, sufficient anti-freeze agent shall be added to prevent freezing of the water. The anti-freeze agent shall be free from corrosive action and not liable to react with the substance.</w:t>
      </w:r>
    </w:p>
    <w:p w:rsidR="00E3232B" w:rsidRPr="000A2EE1" w:rsidRDefault="00E3232B" w:rsidP="00697083">
      <w:pPr>
        <w:pStyle w:val="SingleTxtG"/>
        <w:tabs>
          <w:tab w:val="left" w:pos="1701"/>
          <w:tab w:val="left" w:pos="1985"/>
          <w:tab w:val="left" w:pos="2268"/>
        </w:tabs>
      </w:pPr>
      <w:r w:rsidRPr="000A2EE1">
        <w:tab/>
        <w:t>When nitrogen is used as a protective agent according to (b) or (c), the remaining space shall be filled with nitrogen in such a way that, even after cooling, the pressure at no time falls below atmospheric pressure. The tank shall be closed in such a way that no leakage of gas occurs.”.</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5.1</w:t>
      </w:r>
    </w:p>
    <w:p w:rsidR="00E3232B" w:rsidRPr="000A2EE1" w:rsidRDefault="00E3232B" w:rsidP="00697083">
      <w:pPr>
        <w:pStyle w:val="SingleTxtG"/>
        <w:tabs>
          <w:tab w:val="left" w:pos="1701"/>
          <w:tab w:val="left" w:pos="1985"/>
          <w:tab w:val="left" w:pos="2268"/>
        </w:tabs>
      </w:pPr>
      <w:r w:rsidRPr="000A2EE1">
        <w:t>5.1.2.1 (a)</w:t>
      </w:r>
      <w:r w:rsidRPr="000A2EE1">
        <w:tab/>
      </w:r>
      <w:r w:rsidR="00697083" w:rsidRPr="000A2EE1">
        <w:tab/>
      </w:r>
      <w:r w:rsidRPr="000A2EE1">
        <w:t>Amend to read as follows:</w:t>
      </w:r>
    </w:p>
    <w:p w:rsidR="00E3232B" w:rsidRPr="000A2EE1" w:rsidRDefault="00E3232B" w:rsidP="00697083">
      <w:pPr>
        <w:pStyle w:val="SingleTxtG"/>
        <w:tabs>
          <w:tab w:val="left" w:pos="1701"/>
          <w:tab w:val="left" w:pos="1985"/>
          <w:tab w:val="left" w:pos="2268"/>
        </w:tabs>
      </w:pPr>
      <w:r w:rsidRPr="000A2EE1">
        <w:t>“(a)</w:t>
      </w:r>
      <w:r w:rsidRPr="000A2EE1">
        <w:tab/>
        <w:t>Unless marks and labels required in Chapter 5.2, except 5.2.1.3 to 5.2.1.6, 5.2.1.7.2 to 5.2.1.7.8 and 5.2.1.10, representative of all dangerous goods in the overpack are visible, the overpack shall be:</w:t>
      </w:r>
    </w:p>
    <w:p w:rsidR="00E3232B" w:rsidRPr="000A2EE1" w:rsidRDefault="00E3232B" w:rsidP="00472D3B">
      <w:pPr>
        <w:pStyle w:val="SingleTxtG"/>
        <w:ind w:left="1701"/>
      </w:pPr>
      <w:r w:rsidRPr="000A2EE1">
        <w:t>(i)</w:t>
      </w:r>
      <w:r w:rsidRPr="000A2EE1">
        <w:tab/>
        <w:t>marked with the word “OVERPACK”. The lettering of the “OVERPACK” mark shall be at least 12 mm high. The mark shall be in an official language of the country of origin and also, if that language is not English, French or German, in English, French or German, unless agreements, if any, concluded between the countries concerned in the transport operation provide otherwise; and</w:t>
      </w:r>
    </w:p>
    <w:p w:rsidR="00E3232B" w:rsidRPr="000A2EE1" w:rsidRDefault="00E3232B" w:rsidP="00472D3B">
      <w:pPr>
        <w:pStyle w:val="SingleTxtG"/>
        <w:ind w:left="1701"/>
      </w:pPr>
      <w:r w:rsidRPr="000A2EE1">
        <w:t>(ii)</w:t>
      </w:r>
      <w:r w:rsidRPr="000A2EE1">
        <w:tab/>
        <w:t>labelled and marked with the UN number and other marks, as required for packages in Chapter 5.2 except 5.2.1.3 to 5.2.1.6, 5.2.1.7.2 to 5.2.1.7.8 and 5.2.1.10, for each item of dangerous goods contained in the overpack. Each applicable mark or label only needs to be applied once.</w:t>
      </w:r>
    </w:p>
    <w:p w:rsidR="00E3232B" w:rsidRPr="000A2EE1" w:rsidRDefault="00BE2AF7" w:rsidP="00697083">
      <w:pPr>
        <w:pStyle w:val="SingleTxtG"/>
        <w:tabs>
          <w:tab w:val="left" w:pos="1701"/>
        </w:tabs>
      </w:pPr>
      <w:r w:rsidRPr="000A2EE1">
        <w:tab/>
      </w:r>
      <w:r w:rsidR="00E3232B" w:rsidRPr="000A2EE1">
        <w:t>Labelling of overpacks containing radioactive material shall be in accordance with 5.2.2.1.11.”.</w:t>
      </w:r>
    </w:p>
    <w:p w:rsidR="00E3232B" w:rsidRPr="000A2EE1" w:rsidRDefault="00E3232B" w:rsidP="00697083">
      <w:pPr>
        <w:pStyle w:val="SingleTxtG"/>
        <w:tabs>
          <w:tab w:val="left" w:pos="1985"/>
          <w:tab w:val="left" w:pos="2268"/>
        </w:tabs>
      </w:pPr>
      <w:r w:rsidRPr="000A2EE1">
        <w:t>5.1.2.1 (b)</w:t>
      </w:r>
      <w:r w:rsidRPr="000A2EE1">
        <w:tab/>
      </w:r>
      <w:r w:rsidR="00697083" w:rsidRPr="000A2EE1">
        <w:tab/>
      </w:r>
      <w:r w:rsidRPr="000A2EE1">
        <w:t>Replace “marking” by “marks”.</w:t>
      </w:r>
      <w:r w:rsidR="00BE2AF7" w:rsidRPr="000A2EE1">
        <w:t xml:space="preserve"> </w:t>
      </w:r>
      <w:r w:rsidR="00BE2AF7" w:rsidRPr="000A2EE1">
        <w:rPr>
          <w:rFonts w:ascii="TimesNewRomanPSMT" w:hAnsi="TimesNewRomanPSMT" w:cs="TimesNewRomanPSMT"/>
          <w:lang w:eastAsia="fr-FR"/>
        </w:rPr>
        <w:t>Replace “5.2.1.9” by “5.2.1.10” and “5.2.1.9.1” by “5.2.1.10.1”.</w:t>
      </w:r>
    </w:p>
    <w:p w:rsidR="00E3232B" w:rsidRPr="000A2EE1" w:rsidRDefault="00E3232B" w:rsidP="00697083">
      <w:pPr>
        <w:pStyle w:val="SingleTxtG"/>
        <w:tabs>
          <w:tab w:val="left" w:pos="1985"/>
          <w:tab w:val="left" w:pos="2268"/>
        </w:tabs>
        <w:ind w:right="521"/>
      </w:pPr>
      <w:r w:rsidRPr="000A2EE1">
        <w:t>5.1.2.3</w:t>
      </w:r>
      <w:r w:rsidRPr="000A2EE1">
        <w:tab/>
        <w:t>Replace “markings” by “marks” (twice).</w:t>
      </w:r>
      <w:r w:rsidR="00B566F3" w:rsidRPr="000A2EE1">
        <w:t xml:space="preserve"> </w:t>
      </w:r>
      <w:r w:rsidR="00B566F3" w:rsidRPr="000A2EE1">
        <w:rPr>
          <w:rFonts w:ascii="TimesNewRomanPSMT" w:hAnsi="TimesNewRomanPSMT" w:cs="TimesNewRomanPSMT"/>
          <w:lang w:eastAsia="fr-FR"/>
        </w:rPr>
        <w:t>Replace “5.2.1.9” by “5.2.1.10”.</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5.2</w:t>
      </w:r>
    </w:p>
    <w:p w:rsidR="00E3232B" w:rsidRPr="000A2EE1" w:rsidRDefault="00E3232B" w:rsidP="00697083">
      <w:pPr>
        <w:pStyle w:val="SingleTxtG"/>
        <w:tabs>
          <w:tab w:val="left" w:pos="1985"/>
          <w:tab w:val="left" w:pos="2268"/>
        </w:tabs>
        <w:rPr>
          <w:rFonts w:eastAsia="Calibri"/>
        </w:rPr>
      </w:pPr>
      <w:r w:rsidRPr="000A2EE1">
        <w:rPr>
          <w:rFonts w:eastAsia="Calibri"/>
        </w:rPr>
        <w:t>5.2.1</w:t>
      </w:r>
      <w:r w:rsidRPr="000A2EE1">
        <w:rPr>
          <w:rFonts w:eastAsia="Calibri"/>
        </w:rPr>
        <w:tab/>
        <w:t>In the Note, replace “markings” by “marks”.</w:t>
      </w:r>
    </w:p>
    <w:p w:rsidR="00E3232B" w:rsidRPr="000A2EE1" w:rsidRDefault="00E3232B" w:rsidP="00697083">
      <w:pPr>
        <w:pStyle w:val="SingleTxtG"/>
        <w:tabs>
          <w:tab w:val="left" w:pos="1985"/>
          <w:tab w:val="left" w:pos="2268"/>
        </w:tabs>
      </w:pPr>
      <w:r w:rsidRPr="000A2EE1">
        <w:rPr>
          <w:rFonts w:eastAsia="Calibri"/>
        </w:rPr>
        <w:t>5.2.1.1</w:t>
      </w:r>
      <w:r w:rsidRPr="000A2EE1">
        <w:rPr>
          <w:rFonts w:eastAsia="Calibri"/>
        </w:rPr>
        <w:tab/>
      </w:r>
      <w:r w:rsidRPr="000A2EE1">
        <w:t>Replace “marking” by “mark”.</w:t>
      </w:r>
    </w:p>
    <w:p w:rsidR="00E3232B" w:rsidRPr="000A2EE1" w:rsidRDefault="00E3232B" w:rsidP="00697083">
      <w:pPr>
        <w:pStyle w:val="SingleTxtG"/>
        <w:tabs>
          <w:tab w:val="left" w:pos="1985"/>
          <w:tab w:val="left" w:pos="2268"/>
        </w:tabs>
      </w:pPr>
      <w:r w:rsidRPr="000A2EE1">
        <w:t>5.2.1.1</w:t>
      </w:r>
      <w:r w:rsidRPr="000A2EE1">
        <w:tab/>
        <w:t>The other amendment does not apply to the English text.</w:t>
      </w:r>
    </w:p>
    <w:p w:rsidR="00E3232B" w:rsidRPr="000A2EE1" w:rsidRDefault="00E3232B" w:rsidP="00697083">
      <w:pPr>
        <w:pStyle w:val="SingleTxtG"/>
        <w:tabs>
          <w:tab w:val="left" w:pos="1985"/>
          <w:tab w:val="left" w:pos="2268"/>
        </w:tabs>
      </w:pPr>
      <w:r w:rsidRPr="000A2EE1">
        <w:rPr>
          <w:rFonts w:eastAsia="Calibri"/>
        </w:rPr>
        <w:t>5.2.1.2</w:t>
      </w:r>
      <w:r w:rsidRPr="000A2EE1">
        <w:tab/>
      </w:r>
      <w:r w:rsidRPr="000A2EE1">
        <w:rPr>
          <w:rFonts w:eastAsia="Calibri"/>
        </w:rPr>
        <w:t>Replace</w:t>
      </w:r>
      <w:r w:rsidRPr="000A2EE1">
        <w:t xml:space="preserve"> “markings” by “marks”.</w:t>
      </w:r>
    </w:p>
    <w:p w:rsidR="00E3232B" w:rsidRPr="000A2EE1" w:rsidRDefault="00E3232B" w:rsidP="00697083">
      <w:pPr>
        <w:pStyle w:val="SingleTxtG"/>
        <w:tabs>
          <w:tab w:val="left" w:pos="1985"/>
          <w:tab w:val="left" w:pos="2268"/>
        </w:tabs>
      </w:pPr>
      <w:r w:rsidRPr="000A2EE1">
        <w:rPr>
          <w:rFonts w:eastAsia="Calibri"/>
        </w:rPr>
        <w:t>5.2.1.3</w:t>
      </w:r>
      <w:r w:rsidRPr="000A2EE1">
        <w:rPr>
          <w:rFonts w:eastAsia="Calibri"/>
        </w:rPr>
        <w:tab/>
      </w:r>
      <w:r w:rsidRPr="000A2EE1">
        <w:t xml:space="preserve">In the </w:t>
      </w:r>
      <w:r w:rsidRPr="000A2EE1">
        <w:rPr>
          <w:rFonts w:eastAsia="Calibri"/>
        </w:rPr>
        <w:t>second sentence, r</w:t>
      </w:r>
      <w:r w:rsidRPr="000A2EE1">
        <w:t xml:space="preserve">eplace “marking” by “mark”. </w:t>
      </w:r>
    </w:p>
    <w:p w:rsidR="00E3232B" w:rsidRPr="000A2EE1" w:rsidRDefault="00E3232B" w:rsidP="00697083">
      <w:pPr>
        <w:pStyle w:val="SingleTxtG"/>
        <w:tabs>
          <w:tab w:val="left" w:pos="1985"/>
          <w:tab w:val="left" w:pos="2268"/>
        </w:tabs>
        <w:ind w:right="521"/>
      </w:pPr>
      <w:r w:rsidRPr="000A2EE1">
        <w:t>5.2.1.5</w:t>
      </w:r>
      <w:r w:rsidRPr="000A2EE1">
        <w:tab/>
        <w:t xml:space="preserve">In the </w:t>
      </w:r>
      <w:r w:rsidRPr="000A2EE1">
        <w:rPr>
          <w:rFonts w:eastAsia="Calibri"/>
        </w:rPr>
        <w:t>second sentence r</w:t>
      </w:r>
      <w:r w:rsidRPr="000A2EE1">
        <w:t>eplace “marking” by “mark”.</w:t>
      </w:r>
    </w:p>
    <w:p w:rsidR="00E3232B" w:rsidRPr="000A2EE1" w:rsidRDefault="00E3232B" w:rsidP="00697083">
      <w:pPr>
        <w:pStyle w:val="SingleTxtG"/>
        <w:tabs>
          <w:tab w:val="left" w:pos="1985"/>
          <w:tab w:val="left" w:pos="2268"/>
        </w:tabs>
      </w:pPr>
      <w:r w:rsidRPr="000A2EE1">
        <w:t>5.2.1.6</w:t>
      </w:r>
      <w:r w:rsidRPr="000A2EE1">
        <w:tab/>
        <w:t>In the last paragraph, replace “These marks” by “These particulars” and replace “marking” by “mark”.</w:t>
      </w:r>
    </w:p>
    <w:p w:rsidR="00E3232B" w:rsidRPr="000A2EE1" w:rsidRDefault="00E3232B" w:rsidP="00697083">
      <w:pPr>
        <w:pStyle w:val="SingleTxtG"/>
        <w:tabs>
          <w:tab w:val="left" w:pos="1985"/>
          <w:tab w:val="left" w:pos="2268"/>
        </w:tabs>
        <w:ind w:right="521"/>
      </w:pPr>
      <w:r w:rsidRPr="000A2EE1">
        <w:t>5.2.1.7.1</w:t>
      </w:r>
      <w:r w:rsidRPr="000A2EE1">
        <w:tab/>
        <w:t xml:space="preserve">In the </w:t>
      </w:r>
      <w:r w:rsidRPr="000A2EE1">
        <w:rPr>
          <w:rFonts w:eastAsia="Calibri"/>
        </w:rPr>
        <w:t>second sentence r</w:t>
      </w:r>
      <w:r w:rsidRPr="000A2EE1">
        <w:t>eplace “markings” by “marks”.</w:t>
      </w:r>
    </w:p>
    <w:p w:rsidR="00E3232B" w:rsidRPr="000A2EE1" w:rsidRDefault="00E3232B" w:rsidP="00697083">
      <w:pPr>
        <w:pStyle w:val="SingleTxtG"/>
        <w:tabs>
          <w:tab w:val="left" w:pos="1985"/>
          <w:tab w:val="left" w:pos="2268"/>
        </w:tabs>
        <w:ind w:right="521"/>
      </w:pPr>
      <w:r w:rsidRPr="000A2EE1">
        <w:t>5.2.1.7.7</w:t>
      </w:r>
      <w:r w:rsidRPr="000A2EE1">
        <w:tab/>
        <w:t>Replace “marking” by “mark”.</w:t>
      </w:r>
    </w:p>
    <w:p w:rsidR="00E3232B" w:rsidRPr="000A2EE1" w:rsidRDefault="00E3232B" w:rsidP="00697083">
      <w:pPr>
        <w:pStyle w:val="SingleTxtG"/>
        <w:tabs>
          <w:tab w:val="left" w:pos="720"/>
          <w:tab w:val="left" w:pos="1440"/>
          <w:tab w:val="left" w:pos="1985"/>
          <w:tab w:val="left" w:pos="2268"/>
          <w:tab w:val="left" w:pos="2880"/>
          <w:tab w:val="left" w:pos="3600"/>
          <w:tab w:val="left" w:pos="4320"/>
          <w:tab w:val="left" w:pos="5040"/>
          <w:tab w:val="left" w:pos="5760"/>
          <w:tab w:val="left" w:pos="6480"/>
          <w:tab w:val="left" w:pos="7200"/>
          <w:tab w:val="right" w:pos="8505"/>
        </w:tabs>
      </w:pPr>
      <w:r w:rsidRPr="000A2EE1">
        <w:t>5.2.1.8.2</w:t>
      </w:r>
      <w:r w:rsidRPr="000A2EE1">
        <w:tab/>
        <w:t>Replace “markings” by “marks”.</w:t>
      </w:r>
    </w:p>
    <w:p w:rsidR="00E3232B" w:rsidRPr="000A2EE1" w:rsidRDefault="00E3232B" w:rsidP="00697083">
      <w:pPr>
        <w:pStyle w:val="SingleTxtG"/>
        <w:tabs>
          <w:tab w:val="left" w:pos="1985"/>
          <w:tab w:val="left" w:pos="2268"/>
        </w:tabs>
      </w:pPr>
      <w:r w:rsidRPr="000A2EE1">
        <w:t>5.2.1.8.3</w:t>
      </w:r>
      <w:r w:rsidRPr="000A2EE1">
        <w:tab/>
        <w:t>In the paragraph after the figure, replace “marking” by “mark” (twice).</w:t>
      </w:r>
    </w:p>
    <w:p w:rsidR="00E3232B" w:rsidRPr="000A2EE1" w:rsidRDefault="00E3232B" w:rsidP="00697083">
      <w:pPr>
        <w:pStyle w:val="SingleTxtG"/>
        <w:tabs>
          <w:tab w:val="left" w:pos="1985"/>
          <w:tab w:val="left" w:pos="2268"/>
        </w:tabs>
      </w:pPr>
      <w:r w:rsidRPr="000A2EE1">
        <w:t>5.2.1</w:t>
      </w:r>
      <w:r w:rsidRPr="000A2EE1">
        <w:tab/>
        <w:t>Add a new 5.2.1.9 to read as follows:</w:t>
      </w:r>
    </w:p>
    <w:p w:rsidR="00E3232B" w:rsidRPr="000A2EE1" w:rsidRDefault="00E3232B" w:rsidP="00697083">
      <w:pPr>
        <w:pStyle w:val="SingleTxtG"/>
        <w:tabs>
          <w:tab w:val="left" w:pos="1985"/>
          <w:tab w:val="left" w:pos="2268"/>
        </w:tabs>
        <w:rPr>
          <w:i/>
        </w:rPr>
      </w:pPr>
      <w:r w:rsidRPr="000A2EE1">
        <w:t>“</w:t>
      </w:r>
      <w:r w:rsidRPr="000A2EE1">
        <w:rPr>
          <w:b/>
        </w:rPr>
        <w:t>5.2.1.9</w:t>
      </w:r>
      <w:r w:rsidRPr="000A2EE1">
        <w:rPr>
          <w:b/>
        </w:rPr>
        <w:tab/>
      </w:r>
      <w:r w:rsidRPr="000A2EE1">
        <w:rPr>
          <w:b/>
          <w:i/>
        </w:rPr>
        <w:t>Lithium battery mark</w:t>
      </w:r>
    </w:p>
    <w:p w:rsidR="00E3232B" w:rsidRPr="000A2EE1" w:rsidRDefault="00E3232B" w:rsidP="00697083">
      <w:pPr>
        <w:pStyle w:val="SingleTxtG"/>
        <w:tabs>
          <w:tab w:val="left" w:pos="1985"/>
          <w:tab w:val="left" w:pos="2268"/>
        </w:tabs>
      </w:pPr>
      <w:r w:rsidRPr="000A2EE1">
        <w:t>5.2.1.9.1</w:t>
      </w:r>
      <w:r w:rsidRPr="000A2EE1">
        <w:tab/>
        <w:t>Packages containing lithium cells or batteries prepared in accordance with special provision 188 shall be marked as shown in Figure 5.2.1.9.2.</w:t>
      </w:r>
    </w:p>
    <w:p w:rsidR="00E3232B" w:rsidRPr="000A2EE1" w:rsidRDefault="00E3232B" w:rsidP="00697083">
      <w:pPr>
        <w:pStyle w:val="SingleTxtG"/>
        <w:tabs>
          <w:tab w:val="left" w:pos="1985"/>
          <w:tab w:val="left" w:pos="2268"/>
        </w:tabs>
      </w:pPr>
      <w:r w:rsidRPr="000A2EE1">
        <w:t>5.2.1.9.2</w:t>
      </w:r>
      <w:r w:rsidRPr="000A2EE1">
        <w:tab/>
        <w:t>The mark shall indicate the UN number preceded by the letters “UN”, i.e. ‘UN 3090’ for lithium metal cells or batteries or ‘UN 3480’ for lithium ion cells or batteries. Where the lithium cells or batteries are contained in, or packed with, equipment, the UN number preceded by the letters “UN”, i.e. ‘UN 3091’ or ‘UN 3481’ as appropriate shall be indicated. Where a package contains lithium cells or batteries assigned to different UN numbers, all applicable UN numbers shall be indicated on one or more marks.</w:t>
      </w:r>
    </w:p>
    <w:p w:rsidR="00E3232B" w:rsidRPr="000A2EE1" w:rsidRDefault="00E3232B" w:rsidP="00823914">
      <w:pPr>
        <w:pStyle w:val="SingleTxtG"/>
        <w:pageBreakBefore/>
        <w:jc w:val="center"/>
        <w:rPr>
          <w:b/>
        </w:rPr>
      </w:pPr>
      <w:r w:rsidRPr="000A2EE1">
        <w:rPr>
          <w:b/>
        </w:rPr>
        <w:t>Figure 5.2.1.9.2</w:t>
      </w:r>
    </w:p>
    <w:p w:rsidR="00E3232B" w:rsidRPr="000A2EE1" w:rsidRDefault="00B95DFC" w:rsidP="00E3232B">
      <w:pPr>
        <w:pStyle w:val="SingleTxtG"/>
        <w:jc w:val="center"/>
      </w:pPr>
      <w:r>
        <w:pict>
          <v:shape id="_x0000_i1026" type="#_x0000_t75" style="width:241.35pt;height:172.4pt">
            <v:imagedata r:id="rId20" o:title="Damaged-batteries-label-eng"/>
          </v:shape>
        </w:pict>
      </w:r>
    </w:p>
    <w:p w:rsidR="00E3232B" w:rsidRPr="000A2EE1" w:rsidRDefault="00E3232B" w:rsidP="00E3232B">
      <w:pPr>
        <w:pStyle w:val="SingleTxtG"/>
        <w:jc w:val="center"/>
      </w:pPr>
      <w:r w:rsidRPr="000A2EE1">
        <w:t>Lithium battery mark</w:t>
      </w:r>
    </w:p>
    <w:p w:rsidR="00E3232B" w:rsidRPr="000A2EE1" w:rsidRDefault="00E3232B" w:rsidP="00E3232B">
      <w:pPr>
        <w:pStyle w:val="SingleTxtG"/>
        <w:jc w:val="left"/>
      </w:pPr>
      <w:r w:rsidRPr="000A2EE1">
        <w:t>*</w:t>
      </w:r>
      <w:r w:rsidRPr="000A2EE1">
        <w:tab/>
        <w:t>Place for UN number(s)</w:t>
      </w:r>
    </w:p>
    <w:p w:rsidR="00E3232B" w:rsidRPr="000A2EE1" w:rsidRDefault="00E3232B" w:rsidP="00E3232B">
      <w:pPr>
        <w:pStyle w:val="SingleTxtG"/>
        <w:jc w:val="left"/>
      </w:pPr>
      <w:r w:rsidRPr="000A2EE1">
        <w:t>**</w:t>
      </w:r>
      <w:r w:rsidRPr="000A2EE1">
        <w:tab/>
        <w:t>Place for telephone number for additional information</w:t>
      </w:r>
    </w:p>
    <w:p w:rsidR="00E3232B" w:rsidRPr="000A2EE1" w:rsidRDefault="00E3232B" w:rsidP="00E3232B">
      <w:pPr>
        <w:pStyle w:val="SingleTxtG"/>
      </w:pPr>
      <w:r w:rsidRPr="000A2EE1">
        <w:t>The mark shall be in the form of a rectangle with hatched edging. The dimensions shall be a minimum of 120 mm wide x 110 mm high and the minimum width of the hatching shall be 5 mm. The symbol (group of batteries, one damaged and emitting flame, above the UN number for lithium ion or lithium metal batteries or cells) shall be black on white. The hatching shall be red. If the size of the package so requires, the dimensions/line thickness may be reduced to not less than 105 mm wide x 74 mm high. Where dimensions are not specified, all features shall be in approximate proportion to those shown.”.</w:t>
      </w:r>
    </w:p>
    <w:p w:rsidR="00E3232B" w:rsidRPr="000A2EE1" w:rsidRDefault="00E3232B" w:rsidP="00E3232B">
      <w:pPr>
        <w:pStyle w:val="SingleTxtG"/>
      </w:pPr>
      <w:r w:rsidRPr="000A2EE1">
        <w:t>Renumber 5.2.1.9 as 5.2.1.10 and renumber as appropriate subsequent paragraphs, references and figures in this sub-section.</w:t>
      </w:r>
    </w:p>
    <w:p w:rsidR="00E3232B" w:rsidRPr="000A2EE1" w:rsidRDefault="00E3232B" w:rsidP="00823914">
      <w:pPr>
        <w:pStyle w:val="SingleTxtG"/>
        <w:tabs>
          <w:tab w:val="left" w:pos="1985"/>
          <w:tab w:val="left" w:pos="2268"/>
        </w:tabs>
        <w:ind w:right="521"/>
      </w:pPr>
      <w:r w:rsidRPr="000A2EE1">
        <w:t>5.2.2.1.2</w:t>
      </w:r>
      <w:r w:rsidRPr="000A2EE1">
        <w:tab/>
        <w:t>Replace “marking” by “mark”.</w:t>
      </w:r>
    </w:p>
    <w:p w:rsidR="00E3232B" w:rsidRPr="000A2EE1" w:rsidRDefault="00E3232B" w:rsidP="00823914">
      <w:pPr>
        <w:pStyle w:val="SingleTxtG"/>
        <w:tabs>
          <w:tab w:val="left" w:pos="1985"/>
          <w:tab w:val="left" w:pos="2268"/>
        </w:tabs>
        <w:ind w:right="521"/>
      </w:pPr>
      <w:r w:rsidRPr="000A2EE1">
        <w:t>5.2.2.1.6 (b)</w:t>
      </w:r>
      <w:r w:rsidRPr="000A2EE1">
        <w:tab/>
        <w:t>Replace “marking” by “mark”.</w:t>
      </w:r>
    </w:p>
    <w:p w:rsidR="00E3232B" w:rsidRPr="000A2EE1" w:rsidRDefault="00E3232B" w:rsidP="00823914">
      <w:pPr>
        <w:pStyle w:val="SingleTxtG"/>
        <w:tabs>
          <w:tab w:val="left" w:pos="1985"/>
          <w:tab w:val="left" w:pos="2268"/>
        </w:tabs>
        <w:ind w:right="521"/>
      </w:pPr>
      <w:r w:rsidRPr="000A2EE1">
        <w:t>5.2.2.1.11.1</w:t>
      </w:r>
      <w:r w:rsidRPr="000A2EE1">
        <w:tab/>
        <w:t>In the penultimate sentence, replace “markings” by “marks”.</w:t>
      </w:r>
    </w:p>
    <w:p w:rsidR="00E3232B" w:rsidRPr="000A2EE1" w:rsidRDefault="00E3232B" w:rsidP="00823914">
      <w:pPr>
        <w:pStyle w:val="SingleTxtG"/>
        <w:tabs>
          <w:tab w:val="left" w:pos="1985"/>
          <w:tab w:val="left" w:pos="2268"/>
        </w:tabs>
      </w:pPr>
      <w:r w:rsidRPr="000A2EE1">
        <w:t>5.2.2.2.1.1</w:t>
      </w:r>
      <w:r w:rsidRPr="000A2EE1">
        <w:tab/>
      </w:r>
      <w:r w:rsidR="00823914" w:rsidRPr="000A2EE1">
        <w:tab/>
      </w:r>
      <w:r w:rsidRPr="000A2EE1">
        <w:t>Figure 5.2.2.2.1.1, in the text for figure note **, insert “/symbol” after “text/number”.</w:t>
      </w:r>
    </w:p>
    <w:p w:rsidR="00E3232B" w:rsidRPr="000A2EE1" w:rsidRDefault="00E3232B" w:rsidP="00823914">
      <w:pPr>
        <w:pStyle w:val="SingleTxtG"/>
        <w:tabs>
          <w:tab w:val="left" w:pos="1985"/>
          <w:tab w:val="left" w:pos="2268"/>
        </w:tabs>
        <w:spacing w:line="240" w:lineRule="auto"/>
        <w:rPr>
          <w:iCs/>
        </w:rPr>
      </w:pPr>
      <w:r w:rsidRPr="000A2EE1">
        <w:rPr>
          <w:iCs/>
        </w:rPr>
        <w:t>5.2.2.2.1.2</w:t>
      </w:r>
      <w:r w:rsidRPr="000A2EE1">
        <w:rPr>
          <w:iCs/>
        </w:rPr>
        <w:tab/>
      </w:r>
      <w:r w:rsidR="00823914" w:rsidRPr="000A2EE1">
        <w:rPr>
          <w:iCs/>
        </w:rPr>
        <w:tab/>
      </w:r>
      <w:r w:rsidRPr="000A2EE1">
        <w:rPr>
          <w:iCs/>
        </w:rPr>
        <w:t>After the first paragraph, add a new Note to read as follows:</w:t>
      </w:r>
    </w:p>
    <w:p w:rsidR="00E3232B" w:rsidRPr="000A2EE1" w:rsidRDefault="00E3232B" w:rsidP="00823914">
      <w:pPr>
        <w:pStyle w:val="SingleTxtG"/>
        <w:tabs>
          <w:tab w:val="left" w:pos="1985"/>
          <w:tab w:val="left" w:pos="2268"/>
        </w:tabs>
        <w:spacing w:line="240" w:lineRule="auto"/>
        <w:rPr>
          <w:rFonts w:eastAsia="Calibri"/>
          <w:i/>
        </w:rPr>
      </w:pPr>
      <w:r w:rsidRPr="000A2EE1">
        <w:t>“</w:t>
      </w:r>
      <w:r w:rsidRPr="000A2EE1">
        <w:rPr>
          <w:rFonts w:eastAsia="Calibri"/>
          <w:b/>
          <w:i/>
        </w:rPr>
        <w:t>NOTE:</w:t>
      </w:r>
      <w:r w:rsidRPr="000A2EE1">
        <w:rPr>
          <w:rFonts w:eastAsia="Calibri"/>
          <w:i/>
        </w:rPr>
        <w:tab/>
        <w:t>When the diameter of the cylinder is too small to permit the display of the reduced size labels on the non-cylindrical upper part of the cylinder, the reduced sized labels may be displayed on the cylindrical part.</w:t>
      </w:r>
      <w:r w:rsidRPr="000A2EE1">
        <w:rPr>
          <w:rFonts w:eastAsia="Calibri"/>
        </w:rPr>
        <w:t>”.</w:t>
      </w:r>
    </w:p>
    <w:p w:rsidR="00E3232B" w:rsidRPr="000A2EE1" w:rsidRDefault="00E3232B" w:rsidP="00823914">
      <w:pPr>
        <w:pStyle w:val="SingleTxtG"/>
        <w:tabs>
          <w:tab w:val="left" w:pos="1985"/>
          <w:tab w:val="left" w:pos="2268"/>
        </w:tabs>
      </w:pPr>
      <w:r w:rsidRPr="000A2EE1">
        <w:t>5.2.2.2.1.3</w:t>
      </w:r>
      <w:r w:rsidRPr="000A2EE1">
        <w:tab/>
      </w:r>
      <w:r w:rsidR="00823914" w:rsidRPr="000A2EE1">
        <w:tab/>
      </w:r>
      <w:r w:rsidRPr="000A2EE1">
        <w:t>After sub-paragraph (c), add the following new paragraph:</w:t>
      </w:r>
    </w:p>
    <w:p w:rsidR="00E3232B" w:rsidRPr="000A2EE1" w:rsidRDefault="00E3232B" w:rsidP="00823914">
      <w:pPr>
        <w:pStyle w:val="SingleTxtG"/>
        <w:tabs>
          <w:tab w:val="left" w:pos="1985"/>
          <w:tab w:val="left" w:pos="2268"/>
        </w:tabs>
      </w:pPr>
      <w:r w:rsidRPr="000A2EE1">
        <w:t>“However for label model No. 9A, the upper half of the label shall only contain the seven vertical stripes of the symbol and the lower half shall contain the group of batteries of the symbol and the class number.”.</w:t>
      </w:r>
    </w:p>
    <w:p w:rsidR="00E3232B" w:rsidRPr="000A2EE1" w:rsidRDefault="00E3232B" w:rsidP="00823914">
      <w:pPr>
        <w:pStyle w:val="SingleTxtG"/>
        <w:tabs>
          <w:tab w:val="left" w:pos="1985"/>
        </w:tabs>
        <w:spacing w:line="240" w:lineRule="auto"/>
      </w:pPr>
      <w:r w:rsidRPr="000A2EE1">
        <w:t>At the beginning of the last paragraph, insert “Except for label model No. 9A,”.</w:t>
      </w:r>
    </w:p>
    <w:p w:rsidR="00E3232B" w:rsidRPr="000A2EE1" w:rsidRDefault="00E3232B" w:rsidP="00823914">
      <w:pPr>
        <w:pStyle w:val="SingleTxtG"/>
        <w:tabs>
          <w:tab w:val="left" w:pos="1985"/>
        </w:tabs>
      </w:pPr>
      <w:r w:rsidRPr="000A2EE1">
        <w:t>5.2.2.2.2</w:t>
      </w:r>
      <w:r w:rsidRPr="000A2EE1">
        <w:tab/>
        <w:t>Under “</w:t>
      </w:r>
      <w:r w:rsidRPr="000A2EE1">
        <w:rPr>
          <w:b/>
        </w:rPr>
        <w:t>CLASS 9 HAZARD Miscellaneous dangerous substances and articles</w:t>
      </w:r>
      <w:r w:rsidRPr="000A2EE1">
        <w:t>”, after the generic No. 9 label, add the following: “</w:t>
      </w:r>
    </w:p>
    <w:p w:rsidR="00E3232B" w:rsidRPr="000A2EE1" w:rsidRDefault="00B95DFC" w:rsidP="00E3232B">
      <w:pPr>
        <w:pStyle w:val="SingleTxtG"/>
        <w:spacing w:before="120"/>
        <w:jc w:val="center"/>
      </w:pPr>
      <w:r>
        <w:pict>
          <v:shape id="_x0000_i1027" type="#_x0000_t75" style="width:181.5pt;height:182.55pt">
            <v:imagedata r:id="rId21" o:title="Label 9A"/>
          </v:shape>
        </w:pict>
      </w:r>
    </w:p>
    <w:p w:rsidR="00E3232B" w:rsidRPr="000A2EE1" w:rsidRDefault="00E3232B" w:rsidP="00E3232B">
      <w:pPr>
        <w:pStyle w:val="SingleTxtG"/>
        <w:spacing w:before="120"/>
        <w:jc w:val="center"/>
      </w:pPr>
      <w:r w:rsidRPr="000A2EE1">
        <w:t>(No.9A)</w:t>
      </w:r>
    </w:p>
    <w:p w:rsidR="00E3232B" w:rsidRPr="000A2EE1" w:rsidRDefault="00E3232B" w:rsidP="00E3232B">
      <w:pPr>
        <w:pStyle w:val="SingleTxtG"/>
        <w:jc w:val="center"/>
      </w:pPr>
      <w:r w:rsidRPr="000A2EE1">
        <w:t>Symbol (seven vertical black stripes in upper half; battery group, one broken and emitting flame in lower half): black;</w:t>
      </w:r>
      <w:r w:rsidR="00BE2AF7" w:rsidRPr="000A2EE1">
        <w:t xml:space="preserve"> </w:t>
      </w:r>
      <w:r w:rsidRPr="000A2EE1">
        <w:t>Background: white;</w:t>
      </w:r>
      <w:r w:rsidR="00BE2AF7" w:rsidRPr="000A2EE1">
        <w:t xml:space="preserve"> </w:t>
      </w:r>
      <w:r w:rsidRPr="000A2EE1">
        <w:t>Figure “9” underlined in bottom corner”.</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5.3</w:t>
      </w:r>
    </w:p>
    <w:p w:rsidR="00E3232B" w:rsidRPr="000A2EE1" w:rsidRDefault="00E3232B" w:rsidP="001C27E6">
      <w:pPr>
        <w:pStyle w:val="SingleTxtG"/>
        <w:tabs>
          <w:tab w:val="left" w:pos="1701"/>
          <w:tab w:val="left" w:pos="1985"/>
          <w:tab w:val="left" w:pos="2268"/>
        </w:tabs>
        <w:rPr>
          <w:bCs/>
        </w:rPr>
      </w:pPr>
      <w:r w:rsidRPr="000A2EE1">
        <w:rPr>
          <w:bCs/>
        </w:rPr>
        <w:t>5.3.1</w:t>
      </w:r>
      <w:r w:rsidRPr="000A2EE1">
        <w:rPr>
          <w:bCs/>
        </w:rPr>
        <w:tab/>
        <w:t>Insert a new 5.3.1.1.4 to read as follows:</w:t>
      </w:r>
    </w:p>
    <w:p w:rsidR="00E3232B" w:rsidRPr="000A2EE1" w:rsidRDefault="00E3232B" w:rsidP="001C27E6">
      <w:pPr>
        <w:pStyle w:val="SingleTxtG"/>
        <w:tabs>
          <w:tab w:val="left" w:pos="1701"/>
          <w:tab w:val="left" w:pos="1985"/>
          <w:tab w:val="left" w:pos="2268"/>
        </w:tabs>
        <w:rPr>
          <w:bCs/>
        </w:rPr>
      </w:pPr>
      <w:r w:rsidRPr="000A2EE1">
        <w:rPr>
          <w:bCs/>
        </w:rPr>
        <w:t>“5.3.1.1.4</w:t>
      </w:r>
      <w:r w:rsidRPr="000A2EE1">
        <w:rPr>
          <w:bCs/>
        </w:rPr>
        <w:tab/>
        <w:t xml:space="preserve">For Class 9 the placard shall correspond to the label model No. 9 as in 5.2.2.2.2; label model No. 9A shall not be used for placarding purposes.”. </w:t>
      </w:r>
    </w:p>
    <w:p w:rsidR="00E3232B" w:rsidRPr="000A2EE1" w:rsidRDefault="00E3232B" w:rsidP="001C27E6">
      <w:pPr>
        <w:pStyle w:val="SingleTxtG"/>
        <w:tabs>
          <w:tab w:val="left" w:pos="1701"/>
          <w:tab w:val="left" w:pos="1985"/>
          <w:tab w:val="left" w:pos="2268"/>
        </w:tabs>
        <w:rPr>
          <w:bCs/>
        </w:rPr>
      </w:pPr>
      <w:r w:rsidRPr="000A2EE1">
        <w:rPr>
          <w:bCs/>
        </w:rPr>
        <w:t>Renumber existing paragraphs accordingly.</w:t>
      </w:r>
    </w:p>
    <w:p w:rsidR="00E3232B" w:rsidRPr="000A2EE1" w:rsidRDefault="00E3232B" w:rsidP="001C27E6">
      <w:pPr>
        <w:pStyle w:val="SingleTxtG"/>
        <w:tabs>
          <w:tab w:val="left" w:pos="1701"/>
          <w:tab w:val="left" w:pos="1985"/>
          <w:tab w:val="left" w:pos="2127"/>
          <w:tab w:val="left" w:pos="2268"/>
        </w:tabs>
        <w:spacing w:line="240" w:lineRule="auto"/>
        <w:rPr>
          <w:rFonts w:eastAsia="Calibri"/>
        </w:rPr>
      </w:pPr>
      <w:r w:rsidRPr="000A2EE1">
        <w:rPr>
          <w:rFonts w:eastAsia="Calibri"/>
        </w:rPr>
        <w:t>5.3.1.2</w:t>
      </w:r>
      <w:r w:rsidRPr="000A2EE1">
        <w:rPr>
          <w:rFonts w:eastAsia="Calibri"/>
        </w:rPr>
        <w:tab/>
      </w:r>
      <w:r w:rsidR="001C27E6" w:rsidRPr="000A2EE1">
        <w:rPr>
          <w:rFonts w:eastAsia="Calibri"/>
        </w:rPr>
        <w:tab/>
      </w:r>
      <w:r w:rsidRPr="000A2EE1">
        <w:rPr>
          <w:rFonts w:eastAsia="Calibri"/>
        </w:rPr>
        <w:t>At the end, add the following new sentence:</w:t>
      </w:r>
      <w:r w:rsidR="00BE2AF7" w:rsidRPr="000A2EE1">
        <w:rPr>
          <w:rFonts w:eastAsia="Calibri"/>
        </w:rPr>
        <w:t xml:space="preserve"> </w:t>
      </w:r>
      <w:r w:rsidRPr="000A2EE1">
        <w:rPr>
          <w:rFonts w:eastAsia="Calibri"/>
        </w:rPr>
        <w:t>“</w:t>
      </w:r>
      <w:r w:rsidRPr="000A2EE1">
        <w:t>If all compartments have to bear the same placards, these placards need to be displayed only once along each side and at both ends of the tank container or portable tank.”</w:t>
      </w:r>
      <w:r w:rsidRPr="000A2EE1">
        <w:rPr>
          <w:rFonts w:eastAsia="Calibri"/>
        </w:rPr>
        <w:t xml:space="preserve">. </w:t>
      </w:r>
    </w:p>
    <w:p w:rsidR="00E3232B" w:rsidRPr="000A2EE1" w:rsidRDefault="00E3232B" w:rsidP="001C27E6">
      <w:pPr>
        <w:pStyle w:val="SingleTxtG"/>
        <w:tabs>
          <w:tab w:val="left" w:pos="1701"/>
          <w:tab w:val="left" w:pos="1985"/>
          <w:tab w:val="left" w:pos="2268"/>
        </w:tabs>
        <w:spacing w:line="240" w:lineRule="auto"/>
        <w:rPr>
          <w:rFonts w:eastAsia="Calibri"/>
        </w:rPr>
      </w:pPr>
      <w:r w:rsidRPr="000A2EE1">
        <w:rPr>
          <w:rFonts w:eastAsia="Calibri"/>
        </w:rPr>
        <w:t>5.3.1.4.1</w:t>
      </w:r>
      <w:r w:rsidRPr="000A2EE1">
        <w:rPr>
          <w:rFonts w:eastAsia="Calibri"/>
        </w:rPr>
        <w:tab/>
        <w:t>In the last sentence of the second paragraph, at the beginning, delete “However, in such case,”.</w:t>
      </w:r>
    </w:p>
    <w:p w:rsidR="00E3232B" w:rsidRPr="000A2EE1" w:rsidRDefault="00E3232B" w:rsidP="001C27E6">
      <w:pPr>
        <w:pStyle w:val="SingleTxtG"/>
        <w:tabs>
          <w:tab w:val="left" w:pos="1701"/>
          <w:tab w:val="left" w:pos="1985"/>
          <w:tab w:val="left" w:pos="2268"/>
        </w:tabs>
      </w:pPr>
      <w:r w:rsidRPr="000A2EE1">
        <w:t>5.3.2.1.8</w:t>
      </w:r>
      <w:r w:rsidRPr="000A2EE1">
        <w:tab/>
        <w:t>Replace “Orange-coloured marking” by “Orange-coloured plates”.</w:t>
      </w:r>
    </w:p>
    <w:p w:rsidR="000D6229" w:rsidRPr="000A2EE1" w:rsidRDefault="000D6229" w:rsidP="001C27E6">
      <w:pPr>
        <w:pStyle w:val="SingleTxtG"/>
        <w:tabs>
          <w:tab w:val="left" w:pos="1701"/>
          <w:tab w:val="left" w:pos="1985"/>
          <w:tab w:val="left" w:pos="2268"/>
        </w:tabs>
        <w:spacing w:line="240" w:lineRule="auto"/>
      </w:pPr>
      <w:r w:rsidRPr="000A2EE1">
        <w:t>5.3.2.3.2</w:t>
      </w:r>
      <w:r w:rsidRPr="000A2EE1">
        <w:tab/>
        <w:t>For hazard identification number 40, at the end insert “, or polymerizing substance”.</w:t>
      </w:r>
    </w:p>
    <w:p w:rsidR="00FA6418" w:rsidRPr="000A2EE1" w:rsidRDefault="00FA6418" w:rsidP="001C27E6">
      <w:pPr>
        <w:pStyle w:val="SingleTxtG"/>
        <w:tabs>
          <w:tab w:val="left" w:pos="1701"/>
          <w:tab w:val="left" w:pos="1985"/>
          <w:tab w:val="left" w:pos="2268"/>
        </w:tabs>
        <w:spacing w:line="240" w:lineRule="auto"/>
      </w:pPr>
      <w:r w:rsidRPr="000A2EE1">
        <w:t>5.3.2.3.2</w:t>
      </w:r>
      <w:r w:rsidR="00BE2AF7" w:rsidRPr="000A2EE1">
        <w:tab/>
        <w:t>A</w:t>
      </w:r>
      <w:r w:rsidRPr="000A2EE1">
        <w:t>fter “</w:t>
      </w:r>
      <w:r w:rsidRPr="000A2EE1">
        <w:rPr>
          <w:lang w:eastAsia="fr-FR"/>
        </w:rPr>
        <w:t>70 radioactive material</w:t>
      </w:r>
      <w:r w:rsidRPr="000A2EE1">
        <w:t xml:space="preserve">” insert a new line to read </w:t>
      </w:r>
      <w:r w:rsidRPr="000A2EE1">
        <w:br/>
        <w:t>“768</w:t>
      </w:r>
      <w:r w:rsidRPr="000A2EE1">
        <w:tab/>
        <w:t>radioactive material, toxic, corrosive”.</w:t>
      </w:r>
    </w:p>
    <w:p w:rsidR="00E3232B" w:rsidRPr="000A2EE1" w:rsidRDefault="00E3232B" w:rsidP="001C27E6">
      <w:pPr>
        <w:pStyle w:val="SingleTxtG"/>
        <w:tabs>
          <w:tab w:val="left" w:pos="1701"/>
          <w:tab w:val="left" w:pos="1985"/>
          <w:tab w:val="left" w:pos="2127"/>
          <w:tab w:val="left" w:pos="2268"/>
        </w:tabs>
        <w:spacing w:line="240" w:lineRule="auto"/>
        <w:rPr>
          <w:rFonts w:eastAsia="Calibri"/>
        </w:rPr>
      </w:pPr>
      <w:r w:rsidRPr="000A2EE1">
        <w:t>5.3.3</w:t>
      </w:r>
      <w:r w:rsidRPr="000A2EE1">
        <w:tab/>
        <w:t>In the second paragraph, replace “marking” by “mark” and insert a new fourth sentence to read as follows:</w:t>
      </w:r>
      <w:r w:rsidR="002610E0" w:rsidRPr="000A2EE1">
        <w:t xml:space="preserve"> </w:t>
      </w:r>
      <w:r w:rsidRPr="000A2EE1">
        <w:rPr>
          <w:rFonts w:eastAsia="Calibri"/>
        </w:rPr>
        <w:t>“</w:t>
      </w:r>
      <w:r w:rsidRPr="000A2EE1">
        <w:rPr>
          <w:lang w:eastAsia="en-GB"/>
        </w:rPr>
        <w:t>For tank-containers or portable tanks with a capacity of not more than 3</w:t>
      </w:r>
      <w:r w:rsidRPr="000A2EE1">
        <w:t> </w:t>
      </w:r>
      <w:r w:rsidRPr="000A2EE1">
        <w:rPr>
          <w:lang w:eastAsia="en-GB"/>
        </w:rPr>
        <w:t>000 litres and with an available surface area insufficient to affix the prescribed marks, the minimum dimensions of the sides may be reduced to 100</w:t>
      </w:r>
      <w:r w:rsidRPr="000A2EE1">
        <w:t> </w:t>
      </w:r>
      <w:r w:rsidRPr="000A2EE1">
        <w:rPr>
          <w:lang w:eastAsia="en-GB"/>
        </w:rPr>
        <w:t>mm.</w:t>
      </w:r>
      <w:r w:rsidRPr="000A2EE1">
        <w:rPr>
          <w:rFonts w:eastAsia="Calibri"/>
        </w:rPr>
        <w:t>”.</w:t>
      </w:r>
    </w:p>
    <w:p w:rsidR="00E3232B" w:rsidRPr="000A2EE1" w:rsidRDefault="00E3232B" w:rsidP="001C27E6">
      <w:pPr>
        <w:pStyle w:val="SingleTxtG"/>
        <w:tabs>
          <w:tab w:val="left" w:pos="1701"/>
          <w:tab w:val="left" w:pos="1985"/>
          <w:tab w:val="left" w:pos="2127"/>
          <w:tab w:val="left" w:pos="2268"/>
        </w:tabs>
        <w:spacing w:line="240" w:lineRule="auto"/>
        <w:rPr>
          <w:rFonts w:eastAsia="Calibri"/>
        </w:rPr>
      </w:pPr>
      <w:r w:rsidRPr="000A2EE1">
        <w:rPr>
          <w:rFonts w:eastAsia="Calibri"/>
        </w:rPr>
        <w:t>5.3.6.2</w:t>
      </w:r>
      <w:r w:rsidRPr="000A2EE1">
        <w:rPr>
          <w:rFonts w:eastAsia="Calibri"/>
        </w:rPr>
        <w:tab/>
      </w:r>
      <w:r w:rsidR="001C27E6" w:rsidRPr="000A2EE1">
        <w:rPr>
          <w:rFonts w:eastAsia="Calibri"/>
        </w:rPr>
        <w:tab/>
      </w:r>
      <w:r w:rsidRPr="000A2EE1">
        <w:rPr>
          <w:rFonts w:eastAsia="Calibri"/>
        </w:rPr>
        <w:t>Add a new penultimate sentence to read as follows:</w:t>
      </w:r>
      <w:r w:rsidR="002610E0" w:rsidRPr="000A2EE1">
        <w:rPr>
          <w:rFonts w:eastAsia="Calibri"/>
        </w:rPr>
        <w:t xml:space="preserve"> </w:t>
      </w:r>
      <w:r w:rsidRPr="000A2EE1">
        <w:rPr>
          <w:rFonts w:eastAsia="Calibri"/>
        </w:rPr>
        <w:t>“</w:t>
      </w:r>
      <w:r w:rsidRPr="000A2EE1">
        <w:rPr>
          <w:lang w:eastAsia="en-GB"/>
        </w:rPr>
        <w:t>For tank-containers or portable tanks with a capacity of not more than 3</w:t>
      </w:r>
      <w:r w:rsidRPr="000A2EE1">
        <w:t> </w:t>
      </w:r>
      <w:r w:rsidRPr="000A2EE1">
        <w:rPr>
          <w:lang w:eastAsia="en-GB"/>
        </w:rPr>
        <w:t>000 litres and with an available surface area insufficient to affix the prescribed marks, the minimum dimensions may be reduced to 100</w:t>
      </w:r>
      <w:r w:rsidRPr="000A2EE1">
        <w:t> </w:t>
      </w:r>
      <w:r w:rsidRPr="000A2EE1">
        <w:rPr>
          <w:lang w:eastAsia="en-GB"/>
        </w:rPr>
        <w:t>mm</w:t>
      </w:r>
      <w:r w:rsidRPr="000A2EE1">
        <w:t> </w:t>
      </w:r>
      <w:r w:rsidRPr="000A2EE1">
        <w:rPr>
          <w:lang w:eastAsia="en-GB"/>
        </w:rPr>
        <w:t>x</w:t>
      </w:r>
      <w:r w:rsidRPr="000A2EE1">
        <w:t> </w:t>
      </w:r>
      <w:r w:rsidRPr="000A2EE1">
        <w:rPr>
          <w:lang w:eastAsia="en-GB"/>
        </w:rPr>
        <w:t>100 mm.</w:t>
      </w:r>
      <w:r w:rsidRPr="000A2EE1">
        <w:rPr>
          <w:rFonts w:eastAsia="Calibri"/>
        </w:rPr>
        <w:t>”.</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5.4</w:t>
      </w:r>
    </w:p>
    <w:p w:rsidR="00E3232B" w:rsidRPr="000A2EE1" w:rsidRDefault="00E3232B" w:rsidP="001C27E6">
      <w:pPr>
        <w:pStyle w:val="SingleTxtG"/>
        <w:tabs>
          <w:tab w:val="left" w:pos="1701"/>
          <w:tab w:val="left" w:pos="1985"/>
          <w:tab w:val="left" w:pos="2268"/>
        </w:tabs>
      </w:pPr>
      <w:r w:rsidRPr="000A2EE1">
        <w:t>5.4.1.1.1 (c)</w:t>
      </w:r>
      <w:r w:rsidRPr="000A2EE1">
        <w:tab/>
        <w:t>Insert a new third indent as follows:</w:t>
      </w:r>
    </w:p>
    <w:p w:rsidR="00E3232B" w:rsidRPr="000A2EE1" w:rsidRDefault="00791E53" w:rsidP="001C27E6">
      <w:pPr>
        <w:pStyle w:val="SingleTxtG"/>
        <w:tabs>
          <w:tab w:val="left" w:pos="1701"/>
          <w:tab w:val="left" w:pos="1985"/>
          <w:tab w:val="left" w:pos="2268"/>
        </w:tabs>
      </w:pPr>
      <w:r w:rsidRPr="000A2EE1">
        <w:t>“</w:t>
      </w:r>
      <w:r w:rsidR="00E3232B" w:rsidRPr="000A2EE1">
        <w:t>–</w:t>
      </w:r>
      <w:r w:rsidR="00E3232B" w:rsidRPr="000A2EE1">
        <w:tab/>
        <w:t xml:space="preserve">for lithium batteries of UN numbers 3090, 3091, 3480 and 3481: the Class number </w:t>
      </w:r>
      <w:r w:rsidRPr="000A2EE1">
        <w:t>“</w:t>
      </w:r>
      <w:r w:rsidR="00E3232B" w:rsidRPr="000A2EE1">
        <w:t>9</w:t>
      </w:r>
      <w:r w:rsidRPr="000A2EE1">
        <w:t>”</w:t>
      </w:r>
      <w:r w:rsidR="00E3232B" w:rsidRPr="000A2EE1">
        <w:t>;</w:t>
      </w:r>
      <w:r w:rsidRPr="000A2EE1">
        <w:t>”</w:t>
      </w:r>
      <w:r w:rsidR="00E3232B" w:rsidRPr="000A2EE1">
        <w:t>.</w:t>
      </w:r>
    </w:p>
    <w:p w:rsidR="00E3232B" w:rsidRPr="000A2EE1" w:rsidRDefault="00E3232B" w:rsidP="001C27E6">
      <w:pPr>
        <w:pStyle w:val="SingleTxtG"/>
        <w:tabs>
          <w:tab w:val="left" w:pos="1701"/>
          <w:tab w:val="left" w:pos="1985"/>
          <w:tab w:val="left" w:pos="2268"/>
        </w:tabs>
      </w:pPr>
      <w:r w:rsidRPr="000A2EE1">
        <w:t>Amend the beginning of the new fourth indent (former third indent) to read:</w:t>
      </w:r>
      <w:r w:rsidR="00F769A2" w:rsidRPr="000A2EE1">
        <w:t xml:space="preserve"> </w:t>
      </w:r>
      <w:r w:rsidR="00791E53" w:rsidRPr="000A2EE1">
        <w:t>“</w:t>
      </w:r>
      <w:r w:rsidRPr="000A2EE1">
        <w:t>for other substances and articles:</w:t>
      </w:r>
      <w:r w:rsidR="00791E53" w:rsidRPr="000A2EE1">
        <w:t>”</w:t>
      </w:r>
      <w:r w:rsidRPr="000A2EE1">
        <w:t>.</w:t>
      </w:r>
    </w:p>
    <w:p w:rsidR="00E3232B" w:rsidRPr="000A2EE1" w:rsidRDefault="00E3232B" w:rsidP="001C27E6">
      <w:pPr>
        <w:pStyle w:val="SingleTxtG"/>
        <w:tabs>
          <w:tab w:val="left" w:pos="1701"/>
          <w:tab w:val="left" w:pos="1985"/>
          <w:tab w:val="left" w:pos="2268"/>
        </w:tabs>
      </w:pPr>
      <w:r w:rsidRPr="000A2EE1">
        <w:t>5.4.1.1.6.2.1</w:t>
      </w:r>
      <w:r w:rsidRPr="000A2EE1">
        <w:tab/>
      </w:r>
      <w:r w:rsidRPr="000A2EE1">
        <w:tab/>
        <w:t>Amend last paragraph to read as follows:</w:t>
      </w:r>
    </w:p>
    <w:p w:rsidR="00E3232B" w:rsidRPr="000A2EE1" w:rsidRDefault="00791E53" w:rsidP="001C27E6">
      <w:pPr>
        <w:pStyle w:val="SingleTxtG"/>
        <w:tabs>
          <w:tab w:val="left" w:pos="1701"/>
          <w:tab w:val="left" w:pos="1985"/>
          <w:tab w:val="left" w:pos="2268"/>
        </w:tabs>
      </w:pPr>
      <w:r w:rsidRPr="000A2EE1">
        <w:t>“</w:t>
      </w:r>
      <w:r w:rsidR="00E3232B" w:rsidRPr="000A2EE1">
        <w:t>In addition, in such a case</w:t>
      </w:r>
      <w:r w:rsidR="00F769A2" w:rsidRPr="000A2EE1">
        <w:t>:</w:t>
      </w:r>
    </w:p>
    <w:p w:rsidR="00E3232B" w:rsidRPr="000A2EE1" w:rsidRDefault="00F769A2" w:rsidP="001C27E6">
      <w:pPr>
        <w:pStyle w:val="SingleTxtG"/>
        <w:tabs>
          <w:tab w:val="left" w:pos="1701"/>
          <w:tab w:val="left" w:pos="1985"/>
          <w:tab w:val="left" w:pos="2268"/>
        </w:tabs>
      </w:pPr>
      <w:r w:rsidRPr="000A2EE1">
        <w:tab/>
      </w:r>
      <w:r w:rsidR="00E3232B" w:rsidRPr="000A2EE1">
        <w:t>(a)</w:t>
      </w:r>
      <w:r w:rsidR="00E3232B" w:rsidRPr="000A2EE1">
        <w:tab/>
      </w:r>
      <w:r w:rsidRPr="000A2EE1">
        <w:t xml:space="preserve">If </w:t>
      </w:r>
      <w:r w:rsidR="00E3232B" w:rsidRPr="000A2EE1">
        <w:t xml:space="preserve">the dangerous goods last loaded are goods of Class 2, the information prescribed in 5.4.1.1.1 (c) may be replaced by the number of the class </w:t>
      </w:r>
      <w:r w:rsidR="00791E53" w:rsidRPr="000A2EE1">
        <w:t>“</w:t>
      </w:r>
      <w:r w:rsidR="00E3232B" w:rsidRPr="000A2EE1">
        <w:t>2</w:t>
      </w:r>
      <w:r w:rsidRPr="000A2EE1">
        <w:t>”;</w:t>
      </w:r>
    </w:p>
    <w:p w:rsidR="00E3232B" w:rsidRPr="000A2EE1" w:rsidRDefault="00F769A2" w:rsidP="001C27E6">
      <w:pPr>
        <w:pStyle w:val="SingleTxtG"/>
        <w:tabs>
          <w:tab w:val="left" w:pos="1701"/>
          <w:tab w:val="left" w:pos="1985"/>
          <w:tab w:val="left" w:pos="2268"/>
        </w:tabs>
      </w:pPr>
      <w:r w:rsidRPr="000A2EE1">
        <w:tab/>
      </w:r>
      <w:r w:rsidR="00E3232B" w:rsidRPr="000A2EE1">
        <w:t>(b)</w:t>
      </w:r>
      <w:r w:rsidR="00E3232B" w:rsidRPr="000A2EE1">
        <w:tab/>
      </w:r>
      <w:r w:rsidRPr="000A2EE1">
        <w:t xml:space="preserve">If </w:t>
      </w:r>
      <w:r w:rsidR="00E3232B" w:rsidRPr="000A2EE1">
        <w:t xml:space="preserve">the dangerous goods last loaded are goods of Classes 3, 4.1, 4.2, 4.3, 5.1, 5.2, 6.1, 8 or 9, the information of the goods last loaded, as described in 5.4.1.1.1 (c) may be replaced by the words </w:t>
      </w:r>
      <w:r w:rsidR="00791E53" w:rsidRPr="000A2EE1">
        <w:t>“</w:t>
      </w:r>
      <w:r w:rsidR="00E3232B" w:rsidRPr="000A2EE1">
        <w:t>WITH RESIDUES OF</w:t>
      </w:r>
      <w:r w:rsidR="00E3232B" w:rsidRPr="000A2EE1" w:rsidDel="009819B0">
        <w:t xml:space="preserve"> </w:t>
      </w:r>
      <w:r w:rsidR="00E3232B" w:rsidRPr="000A2EE1">
        <w:t>[...]</w:t>
      </w:r>
      <w:r w:rsidR="00791E53" w:rsidRPr="000A2EE1">
        <w:t>”</w:t>
      </w:r>
      <w:r w:rsidR="00E3232B" w:rsidRPr="000A2EE1">
        <w:t xml:space="preserve"> followed by the class(es) and subsidiary risk(s) corresponding to the different residues, in the class numbering order. </w:t>
      </w:r>
    </w:p>
    <w:p w:rsidR="00E3232B" w:rsidRPr="000A2EE1" w:rsidRDefault="00F769A2" w:rsidP="001C27E6">
      <w:pPr>
        <w:pStyle w:val="SingleTxtG"/>
        <w:tabs>
          <w:tab w:val="left" w:pos="1701"/>
          <w:tab w:val="left" w:pos="1985"/>
          <w:tab w:val="left" w:pos="2268"/>
        </w:tabs>
      </w:pPr>
      <w:r w:rsidRPr="000A2EE1">
        <w:tab/>
      </w:r>
      <w:r w:rsidR="00E3232B" w:rsidRPr="000A2EE1">
        <w:t>Example: Empty packagings, uncleaned, having contained goods of Class 3 carried together with empty packagings, uncleaned, having contained goods of Class 8 with a Class 6.1 subsidiary risk may be referred to in the transport document as:</w:t>
      </w:r>
    </w:p>
    <w:p w:rsidR="00E3232B" w:rsidRPr="000A2EE1" w:rsidRDefault="00791E53" w:rsidP="001C27E6">
      <w:pPr>
        <w:pStyle w:val="SingleTxtG"/>
        <w:tabs>
          <w:tab w:val="left" w:pos="1701"/>
          <w:tab w:val="left" w:pos="1985"/>
          <w:tab w:val="left" w:pos="2268"/>
        </w:tabs>
      </w:pPr>
      <w:r w:rsidRPr="000A2EE1">
        <w:t>“</w:t>
      </w:r>
      <w:r w:rsidR="00E3232B" w:rsidRPr="000A2EE1">
        <w:t>EMPTY PACKAGINGS, WITH RESIDUES OF 3, 6.1, 8</w:t>
      </w:r>
      <w:r w:rsidRPr="000A2EE1">
        <w:t>”</w:t>
      </w:r>
      <w:r w:rsidR="00E3232B" w:rsidRPr="000A2EE1">
        <w:t>.</w:t>
      </w:r>
      <w:r w:rsidRPr="000A2EE1">
        <w:t>”</w:t>
      </w:r>
      <w:r w:rsidR="00E3232B" w:rsidRPr="000A2EE1">
        <w:t xml:space="preserve">. </w:t>
      </w:r>
    </w:p>
    <w:p w:rsidR="00E3232B" w:rsidRPr="000A2EE1" w:rsidRDefault="00E3232B" w:rsidP="001C27E6">
      <w:pPr>
        <w:pStyle w:val="SingleTxtG"/>
        <w:tabs>
          <w:tab w:val="left" w:pos="1701"/>
          <w:tab w:val="left" w:pos="1985"/>
          <w:tab w:val="left" w:pos="2268"/>
          <w:tab w:val="left" w:pos="2694"/>
        </w:tabs>
      </w:pPr>
      <w:r w:rsidRPr="000A2EE1">
        <w:t>Insert a new 5.4.1.1.20 and 5.4.1.1.21 to read as follows:</w:t>
      </w:r>
    </w:p>
    <w:p w:rsidR="00E3232B" w:rsidRPr="000A2EE1" w:rsidRDefault="00E3232B" w:rsidP="001C27E6">
      <w:pPr>
        <w:pStyle w:val="SingleTxtG"/>
        <w:tabs>
          <w:tab w:val="left" w:pos="1701"/>
          <w:tab w:val="left" w:pos="1985"/>
          <w:tab w:val="left" w:pos="2268"/>
          <w:tab w:val="left" w:pos="2694"/>
        </w:tabs>
        <w:rPr>
          <w:i/>
        </w:rPr>
      </w:pPr>
      <w:r w:rsidRPr="000A2EE1">
        <w:rPr>
          <w:i/>
        </w:rPr>
        <w:t>“</w:t>
      </w:r>
      <w:r w:rsidRPr="000A2EE1">
        <w:t>5.4.1.1.20</w:t>
      </w:r>
      <w:r w:rsidRPr="000A2EE1">
        <w:rPr>
          <w:i/>
        </w:rPr>
        <w:tab/>
        <w:t>Special provisions for the carriage of substances classified in accordance with 2.1.2.8</w:t>
      </w:r>
    </w:p>
    <w:p w:rsidR="00E3232B" w:rsidRPr="000A2EE1" w:rsidRDefault="00E3232B" w:rsidP="001C27E6">
      <w:pPr>
        <w:pStyle w:val="SingleTxtG"/>
        <w:tabs>
          <w:tab w:val="left" w:pos="1701"/>
          <w:tab w:val="left" w:pos="1985"/>
          <w:tab w:val="left" w:pos="2268"/>
          <w:tab w:val="left" w:pos="2694"/>
        </w:tabs>
      </w:pPr>
      <w:r w:rsidRPr="000A2EE1">
        <w:t>For carriage in accordance with 2.1.2.8, a statement shall be included in the transport document, as follows “Classified in accordance with 2.1.2.8”.</w:t>
      </w:r>
    </w:p>
    <w:p w:rsidR="00E3232B" w:rsidRPr="000A2EE1" w:rsidRDefault="00E3232B" w:rsidP="001C27E6">
      <w:pPr>
        <w:pStyle w:val="SingleTxtG"/>
        <w:tabs>
          <w:tab w:val="left" w:pos="1701"/>
          <w:tab w:val="left" w:pos="1985"/>
          <w:tab w:val="left" w:pos="2268"/>
        </w:tabs>
        <w:rPr>
          <w:i/>
        </w:rPr>
      </w:pPr>
      <w:r w:rsidRPr="000A2EE1">
        <w:t>5.4.1.1.21</w:t>
      </w:r>
      <w:r w:rsidRPr="000A2EE1">
        <w:rPr>
          <w:i/>
        </w:rPr>
        <w:tab/>
      </w:r>
      <w:r w:rsidR="001C27E6" w:rsidRPr="000A2EE1">
        <w:rPr>
          <w:i/>
        </w:rPr>
        <w:tab/>
      </w:r>
      <w:r w:rsidRPr="000A2EE1">
        <w:rPr>
          <w:i/>
        </w:rPr>
        <w:t>Special provisions for the carriage of UN Nos. 3528, 3529 and 3530</w:t>
      </w:r>
    </w:p>
    <w:p w:rsidR="00E3232B" w:rsidRPr="000A2EE1" w:rsidRDefault="00E3232B" w:rsidP="001C27E6">
      <w:pPr>
        <w:pStyle w:val="SingleTxtG"/>
        <w:tabs>
          <w:tab w:val="left" w:pos="1701"/>
          <w:tab w:val="left" w:pos="1985"/>
          <w:tab w:val="left" w:pos="2268"/>
        </w:tabs>
      </w:pPr>
      <w:r w:rsidRPr="000A2EE1">
        <w:t>For carriage of UN Nos. 3528, 3529 and 3530, the transport document, when required according to special provision 363 of Chapter 3.3, shall contain the following additional statement “Transport in accordance with special provision 363”.”.</w:t>
      </w:r>
    </w:p>
    <w:p w:rsidR="00E3232B" w:rsidRPr="000A2EE1" w:rsidRDefault="00E3232B" w:rsidP="001C27E6">
      <w:pPr>
        <w:tabs>
          <w:tab w:val="left" w:pos="1701"/>
          <w:tab w:val="left" w:pos="1985"/>
          <w:tab w:val="left" w:pos="2268"/>
        </w:tabs>
        <w:spacing w:before="120" w:after="120"/>
        <w:ind w:left="1134" w:right="1134"/>
      </w:pPr>
      <w:r w:rsidRPr="000A2EE1">
        <w:t>5.4.1.2.2</w:t>
      </w:r>
      <w:r w:rsidR="00C93AF8" w:rsidRPr="000A2EE1">
        <w:t xml:space="preserve"> </w:t>
      </w:r>
      <w:r w:rsidRPr="000A2EE1">
        <w:t>(c)</w:t>
      </w:r>
      <w:r w:rsidRPr="000A2EE1">
        <w:tab/>
        <w:t xml:space="preserve"> Amen</w:t>
      </w:r>
      <w:r w:rsidR="001C27E6" w:rsidRPr="000A2EE1">
        <w:t>d</w:t>
      </w:r>
      <w:r w:rsidRPr="000A2EE1">
        <w:t xml:space="preserve"> to read as follows:</w:t>
      </w:r>
    </w:p>
    <w:p w:rsidR="00E3232B" w:rsidRPr="000A2EE1" w:rsidRDefault="00E3232B" w:rsidP="001C27E6">
      <w:pPr>
        <w:tabs>
          <w:tab w:val="left" w:pos="1701"/>
          <w:tab w:val="left" w:pos="1985"/>
          <w:tab w:val="left" w:pos="2268"/>
        </w:tabs>
        <w:spacing w:before="120" w:after="120"/>
        <w:ind w:left="1134" w:right="1134"/>
      </w:pPr>
      <w:r w:rsidRPr="000A2EE1">
        <w:t>“(c)</w:t>
      </w:r>
      <w:r w:rsidRPr="000A2EE1">
        <w:tab/>
        <w:t>(Reserved)”.</w:t>
      </w:r>
    </w:p>
    <w:p w:rsidR="00E3232B" w:rsidRPr="000A2EE1" w:rsidRDefault="00E3232B" w:rsidP="001C27E6">
      <w:pPr>
        <w:tabs>
          <w:tab w:val="left" w:pos="1701"/>
          <w:tab w:val="left" w:pos="1985"/>
          <w:tab w:val="left" w:pos="2268"/>
        </w:tabs>
        <w:spacing w:before="120" w:after="120"/>
        <w:ind w:left="1134" w:right="1134"/>
      </w:pPr>
      <w:r w:rsidRPr="000A2EE1">
        <w:t>5.4.1.2.2(d)</w:t>
      </w:r>
      <w:r w:rsidRPr="000A2EE1">
        <w:tab/>
        <w:t>Amen</w:t>
      </w:r>
      <w:r w:rsidR="00142ED7" w:rsidRPr="000A2EE1">
        <w:t>d</w:t>
      </w:r>
      <w:r w:rsidRPr="000A2EE1">
        <w:t xml:space="preserve"> to read as follows:</w:t>
      </w:r>
    </w:p>
    <w:p w:rsidR="00E3232B" w:rsidRPr="000A2EE1" w:rsidRDefault="00E3232B" w:rsidP="001C27E6">
      <w:pPr>
        <w:tabs>
          <w:tab w:val="left" w:pos="567"/>
          <w:tab w:val="left" w:pos="1701"/>
          <w:tab w:val="left" w:pos="1985"/>
          <w:tab w:val="left" w:pos="2268"/>
        </w:tabs>
        <w:spacing w:before="120" w:after="120"/>
        <w:ind w:left="1134" w:right="1134"/>
        <w:jc w:val="both"/>
      </w:pPr>
      <w:r w:rsidRPr="000A2EE1">
        <w:t>“(d)</w:t>
      </w:r>
      <w:r w:rsidRPr="000A2EE1">
        <w:tab/>
        <w:t>In the case of tank-containers carrying refrigerated liquefied gases the consignor shall enter in the transport document the date at which the actual holding time ends, in the following format:</w:t>
      </w:r>
    </w:p>
    <w:p w:rsidR="00E3232B" w:rsidRPr="000A2EE1" w:rsidRDefault="00791E53" w:rsidP="001C27E6">
      <w:pPr>
        <w:tabs>
          <w:tab w:val="left" w:pos="1701"/>
          <w:tab w:val="left" w:pos="1985"/>
          <w:tab w:val="left" w:pos="2268"/>
        </w:tabs>
        <w:spacing w:before="120" w:after="120"/>
        <w:ind w:left="1134" w:right="1134"/>
      </w:pPr>
      <w:r w:rsidRPr="000A2EE1">
        <w:t>“</w:t>
      </w:r>
      <w:r w:rsidR="00E3232B" w:rsidRPr="000A2EE1">
        <w:t>End of holding time: ............... (DD/MM/YYYY)</w:t>
      </w:r>
      <w:r w:rsidRPr="000A2EE1">
        <w:t>”</w:t>
      </w:r>
      <w:r w:rsidR="00E3232B" w:rsidRPr="000A2EE1">
        <w:t>.</w:t>
      </w:r>
      <w:r w:rsidRPr="000A2EE1">
        <w:t>”.</w:t>
      </w:r>
    </w:p>
    <w:p w:rsidR="00FA6418" w:rsidRPr="000A2EE1" w:rsidRDefault="00FA6418" w:rsidP="001C27E6">
      <w:pPr>
        <w:tabs>
          <w:tab w:val="left" w:pos="567"/>
          <w:tab w:val="left" w:pos="1701"/>
          <w:tab w:val="left" w:pos="1985"/>
          <w:tab w:val="left" w:pos="2268"/>
        </w:tabs>
        <w:spacing w:before="120" w:after="120"/>
        <w:ind w:left="1134" w:right="1134"/>
        <w:jc w:val="both"/>
      </w:pPr>
      <w:r w:rsidRPr="000A2EE1">
        <w:t>5.4.1.2.3</w:t>
      </w:r>
      <w:r w:rsidRPr="000A2EE1">
        <w:tab/>
        <w:t>In the heading, after “self-reactive substances” insert</w:t>
      </w:r>
      <w:r w:rsidR="00C93AF8" w:rsidRPr="000A2EE1">
        <w:t xml:space="preserve"> “and polymerizing substances”.</w:t>
      </w:r>
    </w:p>
    <w:p w:rsidR="00FA6418" w:rsidRPr="000A2EE1" w:rsidRDefault="00FA6418" w:rsidP="001C27E6">
      <w:pPr>
        <w:tabs>
          <w:tab w:val="left" w:pos="567"/>
          <w:tab w:val="left" w:pos="1701"/>
          <w:tab w:val="left" w:pos="1985"/>
          <w:tab w:val="left" w:pos="2268"/>
        </w:tabs>
        <w:spacing w:before="120" w:after="120"/>
        <w:ind w:left="1134" w:right="1134"/>
        <w:jc w:val="both"/>
      </w:pPr>
      <w:r w:rsidRPr="000A2EE1">
        <w:t>5.4.1.2.3.1</w:t>
      </w:r>
      <w:r w:rsidRPr="000A2EE1">
        <w:tab/>
        <w:t>After “self</w:t>
      </w:r>
      <w:r w:rsidRPr="000A2EE1">
        <w:noBreakHyphen/>
        <w:t>reactive substances” insert “or polymerizing substances”. In the text in parenthesis, after “see 2.2.41.1.17;” insert “for polymerizing substance see 2.2.41.1.21”.</w:t>
      </w:r>
    </w:p>
    <w:p w:rsidR="00E3232B" w:rsidRPr="000A2EE1" w:rsidRDefault="00E3232B" w:rsidP="001C27E6">
      <w:pPr>
        <w:pStyle w:val="SingleTxtG"/>
        <w:tabs>
          <w:tab w:val="left" w:pos="1701"/>
          <w:tab w:val="left" w:pos="1985"/>
          <w:tab w:val="left" w:pos="2268"/>
        </w:tabs>
        <w:rPr>
          <w:iCs/>
          <w:snapToGrid w:val="0"/>
        </w:rPr>
      </w:pPr>
      <w:r w:rsidRPr="000A2EE1">
        <w:rPr>
          <w:iCs/>
          <w:snapToGrid w:val="0"/>
        </w:rPr>
        <w:t>5.4.2</w:t>
      </w:r>
      <w:r w:rsidRPr="000A2EE1">
        <w:rPr>
          <w:iCs/>
          <w:snapToGrid w:val="0"/>
        </w:rPr>
        <w:tab/>
        <w:t>Amend as follows:</w:t>
      </w:r>
    </w:p>
    <w:p w:rsidR="00E3232B" w:rsidRPr="000A2EE1" w:rsidRDefault="00E3232B" w:rsidP="00E3232B">
      <w:pPr>
        <w:pStyle w:val="SingleTxtG"/>
        <w:ind w:left="1701"/>
        <w:rPr>
          <w:iCs/>
          <w:snapToGrid w:val="0"/>
        </w:rPr>
      </w:pPr>
      <w:r w:rsidRPr="000A2EE1">
        <w:rPr>
          <w:iCs/>
          <w:snapToGrid w:val="0"/>
        </w:rPr>
        <w:t xml:space="preserve">In the title, replace </w:t>
      </w:r>
      <w:r w:rsidR="00791E53" w:rsidRPr="000A2EE1">
        <w:rPr>
          <w:iCs/>
          <w:snapToGrid w:val="0"/>
        </w:rPr>
        <w:t>“</w:t>
      </w:r>
      <w:r w:rsidRPr="000A2EE1">
        <w:rPr>
          <w:iCs/>
          <w:snapToGrid w:val="0"/>
        </w:rPr>
        <w:t>Large container</w:t>
      </w:r>
      <w:r w:rsidR="00791E53" w:rsidRPr="000A2EE1">
        <w:rPr>
          <w:iCs/>
          <w:snapToGrid w:val="0"/>
        </w:rPr>
        <w:t>”</w:t>
      </w:r>
      <w:r w:rsidRPr="000A2EE1">
        <w:rPr>
          <w:iCs/>
          <w:snapToGrid w:val="0"/>
        </w:rPr>
        <w:t xml:space="preserve"> by </w:t>
      </w:r>
      <w:r w:rsidR="00791E53" w:rsidRPr="000A2EE1">
        <w:rPr>
          <w:iCs/>
          <w:snapToGrid w:val="0"/>
        </w:rPr>
        <w:t>“</w:t>
      </w:r>
      <w:r w:rsidRPr="000A2EE1">
        <w:rPr>
          <w:iCs/>
          <w:snapToGrid w:val="0"/>
        </w:rPr>
        <w:t>Container</w:t>
      </w:r>
      <w:r w:rsidR="00791E53" w:rsidRPr="000A2EE1">
        <w:rPr>
          <w:iCs/>
          <w:snapToGrid w:val="0"/>
        </w:rPr>
        <w:t>”</w:t>
      </w:r>
      <w:r w:rsidRPr="000A2EE1">
        <w:rPr>
          <w:iCs/>
          <w:snapToGrid w:val="0"/>
        </w:rPr>
        <w:t>.</w:t>
      </w:r>
    </w:p>
    <w:p w:rsidR="00E3232B" w:rsidRPr="000A2EE1" w:rsidRDefault="00E3232B" w:rsidP="00E3232B">
      <w:pPr>
        <w:pStyle w:val="SingleTxtG"/>
        <w:ind w:left="1701"/>
        <w:rPr>
          <w:iCs/>
          <w:snapToGrid w:val="0"/>
        </w:rPr>
      </w:pPr>
      <w:r w:rsidRPr="000A2EE1">
        <w:rPr>
          <w:iCs/>
          <w:snapToGrid w:val="0"/>
        </w:rPr>
        <w:t xml:space="preserve">In the first paragraph, replace </w:t>
      </w:r>
      <w:r w:rsidR="00791E53" w:rsidRPr="000A2EE1">
        <w:rPr>
          <w:iCs/>
          <w:snapToGrid w:val="0"/>
        </w:rPr>
        <w:t>“</w:t>
      </w:r>
      <w:r w:rsidRPr="000A2EE1">
        <w:rPr>
          <w:iCs/>
          <w:snapToGrid w:val="0"/>
        </w:rPr>
        <w:t>large container</w:t>
      </w:r>
      <w:r w:rsidR="00791E53" w:rsidRPr="000A2EE1">
        <w:rPr>
          <w:iCs/>
          <w:snapToGrid w:val="0"/>
        </w:rPr>
        <w:t>”</w:t>
      </w:r>
      <w:r w:rsidRPr="000A2EE1">
        <w:rPr>
          <w:iCs/>
          <w:snapToGrid w:val="0"/>
        </w:rPr>
        <w:t xml:space="preserve"> by </w:t>
      </w:r>
      <w:r w:rsidR="00791E53" w:rsidRPr="000A2EE1">
        <w:rPr>
          <w:iCs/>
          <w:snapToGrid w:val="0"/>
        </w:rPr>
        <w:t>“</w:t>
      </w:r>
      <w:r w:rsidRPr="000A2EE1">
        <w:rPr>
          <w:iCs/>
          <w:snapToGrid w:val="0"/>
        </w:rPr>
        <w:t>container</w:t>
      </w:r>
      <w:r w:rsidR="00791E53" w:rsidRPr="000A2EE1">
        <w:rPr>
          <w:iCs/>
          <w:snapToGrid w:val="0"/>
        </w:rPr>
        <w:t>”</w:t>
      </w:r>
      <w:r w:rsidRPr="000A2EE1">
        <w:rPr>
          <w:iCs/>
          <w:snapToGrid w:val="0"/>
        </w:rPr>
        <w:t xml:space="preserve"> and </w:t>
      </w:r>
      <w:r w:rsidR="00791E53" w:rsidRPr="000A2EE1">
        <w:rPr>
          <w:iCs/>
          <w:snapToGrid w:val="0"/>
        </w:rPr>
        <w:t>“</w:t>
      </w:r>
      <w:r w:rsidRPr="000A2EE1">
        <w:t>container packing certificate</w:t>
      </w:r>
      <w:r w:rsidR="00791E53" w:rsidRPr="000A2EE1">
        <w:rPr>
          <w:iCs/>
          <w:snapToGrid w:val="0"/>
        </w:rPr>
        <w:t>”</w:t>
      </w:r>
      <w:r w:rsidRPr="000A2EE1">
        <w:rPr>
          <w:iCs/>
          <w:snapToGrid w:val="0"/>
        </w:rPr>
        <w:t xml:space="preserve"> by </w:t>
      </w:r>
      <w:r w:rsidR="00791E53" w:rsidRPr="000A2EE1">
        <w:rPr>
          <w:iCs/>
          <w:snapToGrid w:val="0"/>
        </w:rPr>
        <w:t>“</w:t>
      </w:r>
      <w:r w:rsidRPr="000A2EE1">
        <w:t>container/vehicle packing certificate</w:t>
      </w:r>
      <w:r w:rsidR="00791E53" w:rsidRPr="000A2EE1">
        <w:rPr>
          <w:iCs/>
          <w:snapToGrid w:val="0"/>
        </w:rPr>
        <w:t>”</w:t>
      </w:r>
      <w:r w:rsidRPr="000A2EE1">
        <w:rPr>
          <w:iCs/>
          <w:snapToGrid w:val="0"/>
        </w:rPr>
        <w:t>.</w:t>
      </w:r>
    </w:p>
    <w:p w:rsidR="00E3232B" w:rsidRPr="000A2EE1" w:rsidRDefault="00E3232B" w:rsidP="00E3232B">
      <w:pPr>
        <w:pStyle w:val="SingleTxtG"/>
        <w:ind w:left="1701"/>
        <w:rPr>
          <w:iCs/>
          <w:snapToGrid w:val="0"/>
        </w:rPr>
      </w:pPr>
      <w:r w:rsidRPr="000A2EE1">
        <w:rPr>
          <w:iCs/>
          <w:snapToGrid w:val="0"/>
        </w:rPr>
        <w:t xml:space="preserve">In the second paragraph and Note, replace </w:t>
      </w:r>
      <w:r w:rsidR="00791E53" w:rsidRPr="000A2EE1">
        <w:rPr>
          <w:iCs/>
          <w:snapToGrid w:val="0"/>
        </w:rPr>
        <w:t>“</w:t>
      </w:r>
      <w:r w:rsidRPr="000A2EE1">
        <w:rPr>
          <w:iCs/>
          <w:snapToGrid w:val="0"/>
        </w:rPr>
        <w:t>container</w:t>
      </w:r>
      <w:r w:rsidR="00791E53" w:rsidRPr="000A2EE1">
        <w:rPr>
          <w:iCs/>
          <w:snapToGrid w:val="0"/>
        </w:rPr>
        <w:t>”</w:t>
      </w:r>
      <w:r w:rsidRPr="000A2EE1">
        <w:rPr>
          <w:iCs/>
          <w:snapToGrid w:val="0"/>
        </w:rPr>
        <w:t xml:space="preserve"> by </w:t>
      </w:r>
      <w:r w:rsidR="00791E53" w:rsidRPr="000A2EE1">
        <w:rPr>
          <w:iCs/>
          <w:snapToGrid w:val="0"/>
        </w:rPr>
        <w:t>“</w:t>
      </w:r>
      <w:r w:rsidRPr="000A2EE1">
        <w:rPr>
          <w:iCs/>
          <w:snapToGrid w:val="0"/>
        </w:rPr>
        <w:t>container/vehicle</w:t>
      </w:r>
      <w:r w:rsidR="00791E53" w:rsidRPr="000A2EE1">
        <w:rPr>
          <w:iCs/>
          <w:snapToGrid w:val="0"/>
        </w:rPr>
        <w:t>”</w:t>
      </w:r>
      <w:r w:rsidRPr="000A2EE1">
        <w:rPr>
          <w:iCs/>
          <w:snapToGrid w:val="0"/>
        </w:rPr>
        <w:t xml:space="preserve"> wherever it appears (three times).</w:t>
      </w:r>
    </w:p>
    <w:p w:rsidR="00E3232B" w:rsidRPr="000A2EE1" w:rsidRDefault="00E3232B" w:rsidP="00C93AF8">
      <w:pPr>
        <w:pStyle w:val="SingleTxtG"/>
        <w:tabs>
          <w:tab w:val="left" w:pos="2127"/>
        </w:tabs>
      </w:pPr>
      <w:r w:rsidRPr="000A2EE1">
        <w:t>5.4.3.4</w:t>
      </w:r>
      <w:r w:rsidRPr="000A2EE1">
        <w:tab/>
      </w:r>
      <w:r w:rsidR="00C93AF8" w:rsidRPr="000A2EE1">
        <w:t>In the third page</w:t>
      </w:r>
      <w:r w:rsidRPr="000A2EE1">
        <w:t xml:space="preserve"> of the</w:t>
      </w:r>
      <w:r w:rsidR="00C93AF8" w:rsidRPr="000A2EE1">
        <w:t xml:space="preserve"> model of</w:t>
      </w:r>
      <w:r w:rsidRPr="000A2EE1">
        <w:t xml:space="preserve"> instructions in writing, in the line for danger label model No. 9, insert the new danger label model No. 9A.”.</w:t>
      </w:r>
    </w:p>
    <w:p w:rsidR="00E3232B" w:rsidRPr="000A2EE1" w:rsidRDefault="00E3232B" w:rsidP="00C93AF8">
      <w:pPr>
        <w:pStyle w:val="SingleTxtG"/>
        <w:tabs>
          <w:tab w:val="left" w:pos="2127"/>
        </w:tabs>
      </w:pPr>
      <w:r w:rsidRPr="000A2EE1">
        <w:t>5.4.3</w:t>
      </w:r>
      <w:r w:rsidRPr="000A2EE1">
        <w:tab/>
        <w:t xml:space="preserve">Amend the text of Note 2 </w:t>
      </w:r>
      <w:r w:rsidR="00C93AF8" w:rsidRPr="000A2EE1">
        <w:t>in the third page</w:t>
      </w:r>
      <w:r w:rsidRPr="000A2EE1">
        <w:t xml:space="preserve"> of the model of </w:t>
      </w:r>
      <w:r w:rsidR="00C93AF8" w:rsidRPr="000A2EE1">
        <w:t xml:space="preserve">instructions </w:t>
      </w:r>
      <w:r w:rsidRPr="000A2EE1">
        <w:t>in writing as follows: replace “above” by “in column (3) of the table”.</w:t>
      </w:r>
    </w:p>
    <w:p w:rsidR="00E3232B" w:rsidRPr="000A2EE1" w:rsidRDefault="00E3232B" w:rsidP="00C93AF8">
      <w:pPr>
        <w:pStyle w:val="SingleTxtG"/>
        <w:tabs>
          <w:tab w:val="left" w:pos="2127"/>
        </w:tabs>
      </w:pPr>
      <w:r w:rsidRPr="000A2EE1">
        <w:t>5.4.3.4</w:t>
      </w:r>
      <w:r w:rsidRPr="000A2EE1">
        <w:tab/>
        <w:t>In the fourth page of the model of Instruction</w:t>
      </w:r>
      <w:r w:rsidR="00C93AF8" w:rsidRPr="000A2EE1">
        <w:t>s</w:t>
      </w:r>
      <w:r w:rsidRPr="000A2EE1">
        <w:t xml:space="preserve"> in writing, in the heading after the Table, replace </w:t>
      </w:r>
      <w:r w:rsidR="00791E53" w:rsidRPr="000A2EE1">
        <w:t>“</w:t>
      </w:r>
      <w:r w:rsidRPr="000A2EE1">
        <w:t>vehicle</w:t>
      </w:r>
      <w:r w:rsidR="00791E53" w:rsidRPr="000A2EE1">
        <w:t>”</w:t>
      </w:r>
      <w:r w:rsidRPr="000A2EE1">
        <w:t xml:space="preserve"> by </w:t>
      </w:r>
      <w:r w:rsidR="00791E53" w:rsidRPr="000A2EE1">
        <w:t>“</w:t>
      </w:r>
      <w:r w:rsidRPr="000A2EE1">
        <w:t>transport unit</w:t>
      </w:r>
      <w:r w:rsidR="00791E53" w:rsidRPr="000A2EE1">
        <w:t>”</w:t>
      </w:r>
      <w:r w:rsidRPr="000A2EE1">
        <w:t>.</w:t>
      </w:r>
    </w:p>
    <w:p w:rsidR="00E3232B" w:rsidRPr="000A2EE1" w:rsidRDefault="00E3232B" w:rsidP="00C93AF8">
      <w:pPr>
        <w:pStyle w:val="SingleTxtG"/>
        <w:tabs>
          <w:tab w:val="left" w:pos="2127"/>
        </w:tabs>
        <w:rPr>
          <w:rFonts w:cs="Arial"/>
          <w:szCs w:val="22"/>
        </w:rPr>
      </w:pPr>
      <w:r w:rsidRPr="000A2EE1">
        <w:rPr>
          <w:rFonts w:cs="Arial"/>
          <w:szCs w:val="22"/>
        </w:rPr>
        <w:t>5.4.3.4</w:t>
      </w:r>
      <w:r w:rsidRPr="000A2EE1">
        <w:rPr>
          <w:rFonts w:cs="Arial"/>
          <w:szCs w:val="22"/>
        </w:rPr>
        <w:tab/>
        <w:t xml:space="preserve">In the fourth page of the model </w:t>
      </w:r>
      <w:r w:rsidR="00C93AF8" w:rsidRPr="000A2EE1">
        <w:rPr>
          <w:rFonts w:cs="Arial"/>
          <w:szCs w:val="22"/>
        </w:rPr>
        <w:t>of</w:t>
      </w:r>
      <w:r w:rsidRPr="000A2EE1">
        <w:rPr>
          <w:rFonts w:cs="Arial"/>
          <w:szCs w:val="22"/>
        </w:rPr>
        <w:t xml:space="preserve"> </w:t>
      </w:r>
      <w:r w:rsidR="00C93AF8" w:rsidRPr="000A2EE1">
        <w:rPr>
          <w:rFonts w:cs="Arial"/>
          <w:szCs w:val="22"/>
        </w:rPr>
        <w:t xml:space="preserve">instructions </w:t>
      </w:r>
      <w:r w:rsidRPr="000A2EE1">
        <w:rPr>
          <w:rFonts w:cs="Arial"/>
          <w:szCs w:val="22"/>
        </w:rPr>
        <w:t xml:space="preserve">in writing, first indent after </w:t>
      </w:r>
      <w:r w:rsidR="00791E53" w:rsidRPr="000A2EE1">
        <w:rPr>
          <w:rFonts w:cs="Arial"/>
          <w:szCs w:val="22"/>
        </w:rPr>
        <w:t>“</w:t>
      </w:r>
      <w:r w:rsidRPr="000A2EE1">
        <w:t>Additional equipment required for certain classes:</w:t>
      </w:r>
      <w:r w:rsidR="00791E53" w:rsidRPr="000A2EE1">
        <w:t>”</w:t>
      </w:r>
      <w:r w:rsidR="000B5ED8" w:rsidRPr="000A2EE1">
        <w:t>, r</w:t>
      </w:r>
      <w:r w:rsidRPr="000A2EE1">
        <w:rPr>
          <w:rFonts w:cs="Arial"/>
          <w:szCs w:val="22"/>
        </w:rPr>
        <w:t xml:space="preserve">eplace </w:t>
      </w:r>
      <w:r w:rsidR="00791E53" w:rsidRPr="000A2EE1">
        <w:rPr>
          <w:rFonts w:cs="Arial"/>
          <w:szCs w:val="22"/>
        </w:rPr>
        <w:t>“</w:t>
      </w:r>
      <w:r w:rsidRPr="000A2EE1">
        <w:rPr>
          <w:rFonts w:cs="Arial"/>
          <w:szCs w:val="22"/>
        </w:rPr>
        <w:t>on board the vehicle</w:t>
      </w:r>
      <w:r w:rsidR="000B5ED8" w:rsidRPr="000A2EE1">
        <w:rPr>
          <w:rFonts w:cs="Arial"/>
          <w:szCs w:val="22"/>
        </w:rPr>
        <w:t>”</w:t>
      </w:r>
      <w:r w:rsidRPr="000A2EE1">
        <w:rPr>
          <w:rFonts w:cs="Arial"/>
          <w:szCs w:val="22"/>
        </w:rPr>
        <w:t xml:space="preserve"> by </w:t>
      </w:r>
      <w:r w:rsidR="000B5ED8" w:rsidRPr="000A2EE1">
        <w:rPr>
          <w:rFonts w:cs="Arial"/>
          <w:szCs w:val="22"/>
        </w:rPr>
        <w:t>“</w:t>
      </w:r>
      <w:r w:rsidRPr="000A2EE1">
        <w:rPr>
          <w:rFonts w:cs="Arial"/>
          <w:szCs w:val="22"/>
        </w:rPr>
        <w:t>on board the transport unit</w:t>
      </w:r>
      <w:r w:rsidR="000B5ED8" w:rsidRPr="000A2EE1">
        <w:rPr>
          <w:rFonts w:cs="Arial"/>
          <w:szCs w:val="22"/>
        </w:rPr>
        <w:t>”</w:t>
      </w:r>
      <w:r w:rsidRPr="000A2EE1">
        <w:rPr>
          <w:rFonts w:cs="Arial"/>
          <w:szCs w:val="22"/>
        </w:rPr>
        <w:t>.</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5.5</w:t>
      </w:r>
    </w:p>
    <w:p w:rsidR="00E3232B" w:rsidRPr="000A2EE1" w:rsidRDefault="00E3232B" w:rsidP="00E3232B">
      <w:pPr>
        <w:pStyle w:val="SingleTxtG"/>
      </w:pPr>
      <w:r w:rsidRPr="000A2EE1">
        <w:t>5.5.2.1.1</w:t>
      </w:r>
      <w:r w:rsidRPr="000A2EE1">
        <w:tab/>
        <w:t>Delete the Note.</w:t>
      </w:r>
    </w:p>
    <w:p w:rsidR="00E3232B" w:rsidRPr="000A2EE1" w:rsidRDefault="00E3232B" w:rsidP="00E3232B">
      <w:pPr>
        <w:pStyle w:val="SingleTxtG"/>
        <w:ind w:right="521"/>
      </w:pPr>
      <w:r w:rsidRPr="000A2EE1">
        <w:t>5.5.2.3.2</w:t>
      </w:r>
      <w:r w:rsidRPr="000A2EE1">
        <w:tab/>
        <w:t>In the paragraph after figure 5.5.2.3.2, replace “marking” by “mark” (twice).</w:t>
      </w:r>
    </w:p>
    <w:p w:rsidR="00E3232B" w:rsidRPr="000A2EE1" w:rsidRDefault="00E3232B" w:rsidP="00E3232B">
      <w:pPr>
        <w:pStyle w:val="SingleTxtG"/>
      </w:pPr>
      <w:r w:rsidRPr="000A2EE1">
        <w:t>5.5.3.1.1</w:t>
      </w:r>
      <w:r w:rsidRPr="000A2EE1">
        <w:tab/>
        <w:t>Amend to read as follows:</w:t>
      </w:r>
    </w:p>
    <w:p w:rsidR="00E3232B" w:rsidRPr="000A2EE1" w:rsidRDefault="00E3232B" w:rsidP="00E3232B">
      <w:pPr>
        <w:pStyle w:val="SingleTxtG"/>
      </w:pPr>
      <w:r w:rsidRPr="000A2EE1">
        <w:t>“5.5.3.1.1</w:t>
      </w:r>
      <w:r w:rsidRPr="000A2EE1">
        <w:tab/>
        <w:t>This section is not applicable to substances which may be used for cooling or conditioning purposes when carried as a consignment of dangerous goods, except for the carriage of dry ice (UN No. 1845). When they are carried as a consignment, these substances shall be carried under the relevant entry of Table A of Chapter 3.2 in accordance with the associated conditions of carriage.</w:t>
      </w:r>
    </w:p>
    <w:p w:rsidR="00E3232B" w:rsidRPr="000A2EE1" w:rsidRDefault="00E3232B" w:rsidP="00E3232B">
      <w:pPr>
        <w:pStyle w:val="SingleTxtG"/>
        <w:rPr>
          <w:iCs/>
        </w:rPr>
      </w:pPr>
      <w:r w:rsidRPr="000A2EE1">
        <w:t>For UN No. 1845, the conditions of carriage specified in this section, except 5.5.3.3.1, apply for all kinds of carriage, as a coolant, conditioner, or as a consignment. For the carriage of UN No. 1845, no other provisions of ADR apply.”.</w:t>
      </w:r>
    </w:p>
    <w:p w:rsidR="00E3232B" w:rsidRPr="000A2EE1" w:rsidRDefault="00E3232B" w:rsidP="00E3232B">
      <w:pPr>
        <w:pStyle w:val="SingleTxtG"/>
      </w:pPr>
      <w:r w:rsidRPr="000A2EE1">
        <w:t>5.5.3.1.5</w:t>
      </w:r>
      <w:r w:rsidRPr="000A2EE1">
        <w:tab/>
        <w:t>Amend the end to read as follows:</w:t>
      </w:r>
    </w:p>
    <w:p w:rsidR="00E3232B" w:rsidRPr="000A2EE1" w:rsidRDefault="00E3232B" w:rsidP="00E3232B">
      <w:pPr>
        <w:pStyle w:val="SingleTxtG"/>
      </w:pPr>
      <w:r w:rsidRPr="000A2EE1">
        <w:t>“…duration of the journey, the types of containment to be used and the gas concentration limits given in the note to 5.5.3.3.3.”.</w:t>
      </w:r>
    </w:p>
    <w:p w:rsidR="00E3232B" w:rsidRPr="000A2EE1" w:rsidRDefault="00E3232B" w:rsidP="00E3232B">
      <w:pPr>
        <w:pStyle w:val="SingleTxtG"/>
      </w:pPr>
      <w:r w:rsidRPr="000A2EE1">
        <w:t>5.5.3.3.3</w:t>
      </w:r>
      <w:r w:rsidRPr="000A2EE1">
        <w:tab/>
        <w:t>Amend to read as follows:</w:t>
      </w:r>
    </w:p>
    <w:p w:rsidR="00E3232B" w:rsidRPr="000A2EE1" w:rsidRDefault="00E3232B" w:rsidP="00E3232B">
      <w:pPr>
        <w:pStyle w:val="SingleTxtG"/>
      </w:pPr>
      <w:r w:rsidRPr="000A2EE1">
        <w:t>“5.5.3.3.3</w:t>
      </w:r>
      <w:r w:rsidRPr="000A2EE1">
        <w:tab/>
        <w:t>Packages containing a coolant or conditioner shall be carried in well ventilated vehicles and containers. Marking according to 5.5.3.6 is not required in this case.</w:t>
      </w:r>
    </w:p>
    <w:p w:rsidR="00E3232B" w:rsidRPr="000A2EE1" w:rsidRDefault="00E3232B" w:rsidP="00E3232B">
      <w:pPr>
        <w:pStyle w:val="SingleTxtG"/>
      </w:pPr>
      <w:r w:rsidRPr="000A2EE1">
        <w:t>Ventilation is not required, and marking according to 5.5.3.6 is required, if:</w:t>
      </w:r>
    </w:p>
    <w:p w:rsidR="00E3232B" w:rsidRPr="000A2EE1" w:rsidRDefault="00E3232B" w:rsidP="00E3232B">
      <w:pPr>
        <w:pStyle w:val="SingleTxtG"/>
        <w:ind w:left="2061" w:hanging="360"/>
      </w:pPr>
      <w:r w:rsidRPr="000A2EE1">
        <w:t>-</w:t>
      </w:r>
      <w:r w:rsidRPr="000A2EE1">
        <w:tab/>
        <w:t>gas exchange between the load compartment and the driver’s cabin is prevented; or</w:t>
      </w:r>
    </w:p>
    <w:p w:rsidR="00E3232B" w:rsidRPr="000A2EE1" w:rsidRDefault="00E3232B" w:rsidP="00E3232B">
      <w:pPr>
        <w:pStyle w:val="SingleTxtG"/>
        <w:ind w:left="2061" w:hanging="360"/>
      </w:pPr>
      <w:r w:rsidRPr="000A2EE1">
        <w:t>-</w:t>
      </w:r>
      <w:r w:rsidRPr="000A2EE1">
        <w:tab/>
        <w:t>the load compartment is insulated, refrigerated or mechanically refrigerated equipment, for example as defined in the Agreement on the International Carriage of Perishable Foodstuffs and on the Special Equipment to be Used for such Carriage (ATP) where this requirement is fulfilled.</w:t>
      </w:r>
    </w:p>
    <w:p w:rsidR="00E3232B" w:rsidRPr="000A2EE1" w:rsidRDefault="00E3232B" w:rsidP="00E3232B">
      <w:pPr>
        <w:pStyle w:val="SingleTxtG"/>
        <w:spacing w:before="120"/>
        <w:rPr>
          <w:i/>
        </w:rPr>
      </w:pPr>
      <w:r w:rsidRPr="000A2EE1">
        <w:rPr>
          <w:b/>
          <w:i/>
        </w:rPr>
        <w:t>NOTE:</w:t>
      </w:r>
      <w:r w:rsidRPr="000A2EE1">
        <w:rPr>
          <w:i/>
        </w:rPr>
        <w:t xml:space="preserve"> In this context “well ventilated” means there is an atmosphere where the carbon dioxide concentration is below 0.5% by volume and the oxygen concentration is above 19.5% by volume.”.</w:t>
      </w:r>
    </w:p>
    <w:p w:rsidR="00E3232B" w:rsidRPr="000A2EE1" w:rsidRDefault="00E3232B" w:rsidP="00E3232B">
      <w:pPr>
        <w:pStyle w:val="SingleTxtG"/>
        <w:ind w:right="521"/>
      </w:pPr>
      <w:r w:rsidRPr="000A2EE1">
        <w:t>5.5.3.4.2</w:t>
      </w:r>
      <w:r w:rsidRPr="000A2EE1">
        <w:tab/>
      </w:r>
      <w:r w:rsidRPr="000A2EE1">
        <w:rPr>
          <w:rFonts w:eastAsia="Calibri"/>
        </w:rPr>
        <w:t>R</w:t>
      </w:r>
      <w:r w:rsidRPr="000A2EE1">
        <w:t>eplace “markings” by “marks”.</w:t>
      </w:r>
    </w:p>
    <w:p w:rsidR="00E3232B" w:rsidRPr="000A2EE1" w:rsidRDefault="00E3232B" w:rsidP="00E3232B">
      <w:pPr>
        <w:pStyle w:val="SingleTxtG"/>
      </w:pPr>
      <w:r w:rsidRPr="000A2EE1">
        <w:t>5.5.3.6.1</w:t>
      </w:r>
      <w:r w:rsidRPr="000A2EE1">
        <w:tab/>
        <w:t>Amend to read as follows:</w:t>
      </w:r>
    </w:p>
    <w:p w:rsidR="00E3232B" w:rsidRPr="000A2EE1" w:rsidRDefault="00E3232B" w:rsidP="00E3232B">
      <w:pPr>
        <w:pStyle w:val="SingleTxtG"/>
      </w:pPr>
      <w:r w:rsidRPr="000A2EE1">
        <w:t>“5.5.3.6.1</w:t>
      </w:r>
      <w:r w:rsidRPr="000A2EE1">
        <w:tab/>
        <w:t>Vehicles and containers</w:t>
      </w:r>
      <w:r w:rsidRPr="000A2EE1">
        <w:rPr>
          <w:i/>
        </w:rPr>
        <w:t xml:space="preserve"> </w:t>
      </w:r>
      <w:r w:rsidRPr="000A2EE1">
        <w:t>containing dangerous goods used for cooling or conditioning purposes that are not well ventilated shall be marked with a warning mark, as specified in 5.5.3.6.2, affixed at each access point in a location where it will be easily seen by persons opening or entering the vehicle or container. This mark shall remain on the vehicle or container until the following provisions are met:</w:t>
      </w:r>
    </w:p>
    <w:p w:rsidR="00E3232B" w:rsidRPr="000A2EE1" w:rsidRDefault="00E3232B" w:rsidP="00E3232B">
      <w:pPr>
        <w:pStyle w:val="SingleTxtG"/>
        <w:ind w:left="2061" w:hanging="360"/>
      </w:pPr>
      <w:r w:rsidRPr="000A2EE1">
        <w:t>(a)</w:t>
      </w:r>
      <w:r w:rsidRPr="000A2EE1">
        <w:tab/>
        <w:t>The vehicle or container has been well ventilated to remove harmful concentrations of coolant or conditioner; and</w:t>
      </w:r>
    </w:p>
    <w:p w:rsidR="00E3232B" w:rsidRPr="000A2EE1" w:rsidRDefault="00E3232B" w:rsidP="00E3232B">
      <w:pPr>
        <w:pStyle w:val="SingleTxtG"/>
        <w:ind w:left="2061" w:hanging="360"/>
      </w:pPr>
      <w:r w:rsidRPr="000A2EE1">
        <w:t>(b)</w:t>
      </w:r>
      <w:r w:rsidRPr="000A2EE1">
        <w:tab/>
        <w:t>The cooled or conditioned goods have been unloaded.</w:t>
      </w:r>
    </w:p>
    <w:p w:rsidR="00E3232B" w:rsidRPr="000A2EE1" w:rsidRDefault="00E3232B" w:rsidP="00E3232B">
      <w:pPr>
        <w:pStyle w:val="SingleTxtG"/>
      </w:pPr>
      <w:r w:rsidRPr="000A2EE1">
        <w:t>As long as the vehicle or container is marked, the necessary precautions have to be taken before entering it. The necessity of ventilating through the cargo doors or other means (e.g. forced ventilation) has to be evaluated and included in training of the involved persons.”.</w:t>
      </w:r>
    </w:p>
    <w:p w:rsidR="00E3232B" w:rsidRPr="000A2EE1" w:rsidRDefault="00E3232B" w:rsidP="00E3232B">
      <w:pPr>
        <w:pStyle w:val="SingleTxtG"/>
        <w:spacing w:line="240" w:lineRule="auto"/>
      </w:pPr>
      <w:r w:rsidRPr="000A2EE1">
        <w:t>5.5.3.6.2</w:t>
      </w:r>
      <w:r w:rsidRPr="000A2EE1">
        <w:tab/>
        <w:t>In the paragraph following the caption of figure 5.5.3.6.2, replace “marking” by “mark”.</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6.1</w:t>
      </w:r>
    </w:p>
    <w:p w:rsidR="00E3232B" w:rsidRPr="000A2EE1" w:rsidRDefault="00E3232B" w:rsidP="00D42EAB">
      <w:pPr>
        <w:pStyle w:val="SingleTxtG"/>
        <w:spacing w:line="240" w:lineRule="auto"/>
      </w:pPr>
      <w:r w:rsidRPr="000A2EE1">
        <w:t>6.1.1.3</w:t>
      </w:r>
      <w:r w:rsidRPr="000A2EE1">
        <w:tab/>
      </w:r>
      <w:r w:rsidRPr="000A2EE1">
        <w:tab/>
        <w:t>Amend the introductory sentence to read as follows:</w:t>
      </w:r>
      <w:r w:rsidR="00D42EAB" w:rsidRPr="000A2EE1">
        <w:t xml:space="preserve"> </w:t>
      </w:r>
      <w:r w:rsidRPr="000A2EE1">
        <w:t xml:space="preserve">“Every </w:t>
      </w:r>
      <w:r w:rsidR="00D42EAB" w:rsidRPr="000A2EE1">
        <w:t>p</w:t>
      </w:r>
      <w:r w:rsidRPr="000A2EE1">
        <w:t>ackaging intended to contain liquids shall successfully undergo a suitable leakproofness test. This test is part of a quality assurance programme as stipulated in 6.1.1.4 which shows the capability of meeting the appropriate test level indicated in 6.1.5.4.3:”.</w:t>
      </w:r>
    </w:p>
    <w:p w:rsidR="00787141" w:rsidRPr="000A2EE1" w:rsidRDefault="00E3232B" w:rsidP="00E3232B">
      <w:pPr>
        <w:pStyle w:val="SingleTxtG"/>
      </w:pPr>
      <w:r w:rsidRPr="000A2EE1">
        <w:t>6.1.3</w:t>
      </w:r>
      <w:r w:rsidR="00787141" w:rsidRPr="000A2EE1">
        <w:t>, Note 1</w:t>
      </w:r>
      <w:r w:rsidR="00787141" w:rsidRPr="000A2EE1">
        <w:tab/>
      </w:r>
      <w:r w:rsidR="00787141" w:rsidRPr="000A2EE1">
        <w:tab/>
        <w:t>A</w:t>
      </w:r>
      <w:r w:rsidRPr="000A2EE1">
        <w:t>mend the beginning to read as follows: “</w:t>
      </w:r>
      <w:r w:rsidRPr="000A2EE1">
        <w:rPr>
          <w:i/>
        </w:rPr>
        <w:t>The marks indicate that the packaging which bears them correspond to…</w:t>
      </w:r>
      <w:r w:rsidRPr="000A2EE1">
        <w:t xml:space="preserve">”. In the second sentence, replace “mark does” by “marks do”. </w:t>
      </w:r>
    </w:p>
    <w:p w:rsidR="00CD6003" w:rsidRPr="000A2EE1" w:rsidRDefault="00787141" w:rsidP="00E3232B">
      <w:pPr>
        <w:pStyle w:val="SingleTxtG"/>
      </w:pPr>
      <w:r w:rsidRPr="000A2EE1">
        <w:t xml:space="preserve">6.1.3, </w:t>
      </w:r>
      <w:r w:rsidR="00E3232B" w:rsidRPr="000A2EE1">
        <w:t>Note 2</w:t>
      </w:r>
      <w:r w:rsidRPr="000A2EE1">
        <w:tab/>
      </w:r>
      <w:r w:rsidRPr="000A2EE1">
        <w:tab/>
        <w:t>R</w:t>
      </w:r>
      <w:r w:rsidR="00E3232B" w:rsidRPr="000A2EE1">
        <w:t xml:space="preserve">eplace “marking is” by “marks are” (twice). </w:t>
      </w:r>
    </w:p>
    <w:p w:rsidR="00E3232B" w:rsidRPr="000A2EE1" w:rsidRDefault="00CD6003" w:rsidP="00E3232B">
      <w:pPr>
        <w:pStyle w:val="SingleTxtG"/>
      </w:pPr>
      <w:r w:rsidRPr="000A2EE1">
        <w:t xml:space="preserve">6.1.3, </w:t>
      </w:r>
      <w:r w:rsidR="00E3232B" w:rsidRPr="000A2EE1">
        <w:t>Note 3</w:t>
      </w:r>
      <w:r w:rsidRPr="000A2EE1">
        <w:tab/>
      </w:r>
      <w:r w:rsidRPr="000A2EE1">
        <w:tab/>
        <w:t>R</w:t>
      </w:r>
      <w:r w:rsidR="00E3232B" w:rsidRPr="000A2EE1">
        <w:t>eplace “marking does” by “marks do”. In the second sentence, replace “marking” by “mark”.</w:t>
      </w:r>
    </w:p>
    <w:p w:rsidR="001E5DB5" w:rsidRPr="000A2EE1" w:rsidRDefault="00E3232B" w:rsidP="00E3232B">
      <w:pPr>
        <w:pStyle w:val="SingleTxtG"/>
      </w:pPr>
      <w:r w:rsidRPr="000A2EE1">
        <w:t>6.1.3.1</w:t>
      </w:r>
      <w:r w:rsidRPr="000A2EE1">
        <w:tab/>
      </w:r>
      <w:r w:rsidRPr="000A2EE1">
        <w:tab/>
        <w:t xml:space="preserve">In the first paragraph, </w:t>
      </w:r>
      <w:r w:rsidRPr="000A2EE1">
        <w:rPr>
          <w:rFonts w:eastAsia="Calibri"/>
        </w:rPr>
        <w:t>r</w:t>
      </w:r>
      <w:r w:rsidRPr="000A2EE1">
        <w:t xml:space="preserve">eplace “markings” by “marks” (twice). </w:t>
      </w:r>
    </w:p>
    <w:p w:rsidR="00E3232B" w:rsidRPr="000A2EE1" w:rsidRDefault="001E5DB5" w:rsidP="00E3232B">
      <w:pPr>
        <w:pStyle w:val="SingleTxtG"/>
      </w:pPr>
      <w:r w:rsidRPr="000A2EE1">
        <w:t>6.1.3.1</w:t>
      </w:r>
      <w:r w:rsidRPr="000A2EE1">
        <w:tab/>
      </w:r>
      <w:r w:rsidRPr="000A2EE1">
        <w:tab/>
        <w:t>In the second paragraph, i</w:t>
      </w:r>
      <w:r w:rsidR="00E3232B" w:rsidRPr="000A2EE1">
        <w:t xml:space="preserve">n the introductory sentence of the subparagraphs, replace “marking” by “marks”. </w:t>
      </w:r>
    </w:p>
    <w:p w:rsidR="009060E5" w:rsidRPr="000A2EE1" w:rsidRDefault="009060E5" w:rsidP="009060E5">
      <w:pPr>
        <w:pStyle w:val="SingleTxtG"/>
      </w:pPr>
      <w:r w:rsidRPr="000A2EE1">
        <w:t>6.1.3.1 (a) (i)</w:t>
      </w:r>
      <w:r w:rsidRPr="000A2EE1">
        <w:tab/>
        <w:t xml:space="preserve">Amend the second sentence to read as follows: </w:t>
      </w:r>
      <w:r w:rsidR="000B5ED8" w:rsidRPr="000A2EE1">
        <w:t>“</w:t>
      </w:r>
      <w:r w:rsidRPr="000A2EE1">
        <w:t>This symbol shall not be used for any purpose other than certifying that a packaging, a flexible bulk container, a portable tank or a MEGC complies with the relevant requirements in Chapter 6.1, 6.2, 6.3, 6.5, 6.6, 6.7 or 6.11.</w:t>
      </w:r>
      <w:r w:rsidR="000B5ED8" w:rsidRPr="000A2EE1">
        <w:t>”</w:t>
      </w:r>
      <w:r w:rsidRPr="000A2EE1">
        <w:t>.</w:t>
      </w:r>
    </w:p>
    <w:p w:rsidR="001E5DB5" w:rsidRPr="000A2EE1" w:rsidRDefault="001E5DB5" w:rsidP="001E5DB5">
      <w:pPr>
        <w:pStyle w:val="SingleTxtG"/>
      </w:pPr>
      <w:r w:rsidRPr="000A2EE1">
        <w:t>6.1.3.1 (e)</w:t>
      </w:r>
      <w:r w:rsidRPr="000A2EE1">
        <w:tab/>
        <w:t xml:space="preserve">Replace “marking” by “marks”. In note </w:t>
      </w:r>
      <w:r w:rsidRPr="000A2EE1">
        <w:rPr>
          <w:sz w:val="22"/>
          <w:szCs w:val="22"/>
        </w:rPr>
        <w:t>*</w:t>
      </w:r>
      <w:r w:rsidRPr="000A2EE1">
        <w:t xml:space="preserve"> related to the figure in (e), replace “marking” by “mark”.</w:t>
      </w:r>
    </w:p>
    <w:p w:rsidR="00E3232B" w:rsidRPr="000A2EE1" w:rsidRDefault="00E3232B" w:rsidP="00E3232B">
      <w:pPr>
        <w:pStyle w:val="SingleTxtG"/>
        <w:ind w:right="521"/>
      </w:pPr>
      <w:r w:rsidRPr="000A2EE1">
        <w:t>6.1.3.2</w:t>
      </w:r>
      <w:r w:rsidRPr="000A2EE1">
        <w:tab/>
      </w:r>
      <w:r w:rsidRPr="000A2EE1">
        <w:tab/>
        <w:t xml:space="preserve">In the </w:t>
      </w:r>
      <w:r w:rsidRPr="000A2EE1">
        <w:rPr>
          <w:rFonts w:eastAsia="Calibri"/>
        </w:rPr>
        <w:t>first sentence r</w:t>
      </w:r>
      <w:r w:rsidRPr="000A2EE1">
        <w:t>eplace “markings” by “marks”.</w:t>
      </w:r>
    </w:p>
    <w:p w:rsidR="00E3232B" w:rsidRPr="000A2EE1" w:rsidRDefault="00E3232B" w:rsidP="00E3232B">
      <w:pPr>
        <w:pStyle w:val="SingleTxtG"/>
        <w:ind w:right="521"/>
      </w:pPr>
      <w:r w:rsidRPr="000A2EE1">
        <w:t>6.1.3.3</w:t>
      </w:r>
      <w:r w:rsidRPr="000A2EE1">
        <w:tab/>
      </w:r>
      <w:r w:rsidRPr="000A2EE1">
        <w:tab/>
        <w:t xml:space="preserve">In the </w:t>
      </w:r>
      <w:r w:rsidRPr="000A2EE1">
        <w:rPr>
          <w:rFonts w:eastAsia="Calibri"/>
        </w:rPr>
        <w:t>last sentence r</w:t>
      </w:r>
      <w:r w:rsidRPr="000A2EE1">
        <w:t>eplace “markings” by “marks”.</w:t>
      </w:r>
    </w:p>
    <w:p w:rsidR="00E3232B" w:rsidRPr="000A2EE1" w:rsidRDefault="00E3232B" w:rsidP="00E3232B">
      <w:pPr>
        <w:pStyle w:val="SingleTxtG"/>
        <w:ind w:right="521"/>
      </w:pPr>
      <w:r w:rsidRPr="000A2EE1">
        <w:t>6.1.3.4</w:t>
      </w:r>
      <w:r w:rsidRPr="000A2EE1">
        <w:tab/>
      </w:r>
      <w:r w:rsidRPr="000A2EE1">
        <w:tab/>
      </w:r>
      <w:r w:rsidRPr="000A2EE1">
        <w:rPr>
          <w:rFonts w:eastAsia="Calibri"/>
        </w:rPr>
        <w:t>R</w:t>
      </w:r>
      <w:r w:rsidRPr="000A2EE1">
        <w:t>eplace “markings” by “marks” (twice).</w:t>
      </w:r>
    </w:p>
    <w:p w:rsidR="00E3232B" w:rsidRPr="000A2EE1" w:rsidRDefault="00E3232B" w:rsidP="00E3232B">
      <w:pPr>
        <w:pStyle w:val="SingleTxtG"/>
        <w:ind w:right="521"/>
      </w:pPr>
      <w:r w:rsidRPr="000A2EE1">
        <w:t>6.1.3.5</w:t>
      </w:r>
      <w:r w:rsidRPr="000A2EE1">
        <w:tab/>
      </w:r>
      <w:r w:rsidRPr="000A2EE1">
        <w:tab/>
      </w:r>
      <w:r w:rsidRPr="000A2EE1">
        <w:rPr>
          <w:rFonts w:eastAsia="Calibri"/>
        </w:rPr>
        <w:t>R</w:t>
      </w:r>
      <w:r w:rsidRPr="000A2EE1">
        <w:t>eplace “markings” by “marks”.</w:t>
      </w:r>
    </w:p>
    <w:p w:rsidR="00E3232B" w:rsidRPr="000A2EE1" w:rsidRDefault="00E3232B" w:rsidP="00E3232B">
      <w:pPr>
        <w:pStyle w:val="SingleTxtG"/>
        <w:ind w:right="521"/>
      </w:pPr>
      <w:r w:rsidRPr="000A2EE1">
        <w:t>6.1.3.6</w:t>
      </w:r>
      <w:r w:rsidRPr="000A2EE1">
        <w:tab/>
      </w:r>
      <w:r w:rsidRPr="000A2EE1">
        <w:tab/>
      </w:r>
      <w:r w:rsidRPr="000A2EE1">
        <w:rPr>
          <w:rFonts w:eastAsia="Calibri"/>
        </w:rPr>
        <w:t>R</w:t>
      </w:r>
      <w:r w:rsidRPr="000A2EE1">
        <w:t>eplace “marking” by “marks” and replace “is valid” by “are valid”.</w:t>
      </w:r>
    </w:p>
    <w:p w:rsidR="00E3232B" w:rsidRPr="000A2EE1" w:rsidRDefault="00E3232B" w:rsidP="00E3232B">
      <w:pPr>
        <w:pStyle w:val="SingleTxtG"/>
      </w:pPr>
      <w:r w:rsidRPr="000A2EE1">
        <w:t>6.1.3.7</w:t>
      </w:r>
      <w:r w:rsidRPr="000A2EE1">
        <w:tab/>
      </w:r>
      <w:r w:rsidRPr="000A2EE1">
        <w:tab/>
        <w:t>At the beginning, replace “Marking” by “Marks” and “elements of the marking” by “mark”. In the second paragraph, amend the end to read as follows: “…still enable the other marks required in 6.1.3.1 to be correctly identified.”.</w:t>
      </w:r>
    </w:p>
    <w:p w:rsidR="00E3232B" w:rsidRPr="000A2EE1" w:rsidRDefault="00E3232B" w:rsidP="00E3232B">
      <w:pPr>
        <w:pStyle w:val="SingleTxtG"/>
      </w:pPr>
      <w:r w:rsidRPr="000A2EE1">
        <w:t xml:space="preserve">Amend the beginning of the second paragraph to read as follows: </w:t>
      </w:r>
      <w:r w:rsidR="000B5ED8" w:rsidRPr="000A2EE1">
        <w:t>“</w:t>
      </w:r>
      <w:r w:rsidRPr="000A2EE1">
        <w:t>Any additional marks…</w:t>
      </w:r>
      <w:r w:rsidR="000B5ED8" w:rsidRPr="000A2EE1">
        <w:t>”</w:t>
      </w:r>
      <w:r w:rsidRPr="000A2EE1">
        <w:t>.</w:t>
      </w:r>
    </w:p>
    <w:p w:rsidR="00E3232B" w:rsidRPr="000A2EE1" w:rsidRDefault="00E3232B" w:rsidP="00E3232B">
      <w:pPr>
        <w:pStyle w:val="SingleTxtG"/>
      </w:pPr>
      <w:r w:rsidRPr="000A2EE1">
        <w:t>6.1.3.8</w:t>
      </w:r>
      <w:r w:rsidRPr="000A2EE1">
        <w:tab/>
      </w:r>
      <w:r w:rsidRPr="000A2EE1">
        <w:tab/>
        <w:t>In the introductory sentence, amend the end to read as follows: “…in sequence, durable marks showing:”.</w:t>
      </w:r>
    </w:p>
    <w:p w:rsidR="00E3232B" w:rsidRPr="000A2EE1" w:rsidRDefault="00E3232B" w:rsidP="00E3232B">
      <w:pPr>
        <w:pStyle w:val="SingleTxtG"/>
        <w:ind w:right="521"/>
      </w:pPr>
      <w:r w:rsidRPr="000A2EE1">
        <w:t>6.1.3.9</w:t>
      </w:r>
      <w:r w:rsidRPr="000A2EE1">
        <w:tab/>
      </w:r>
      <w:r w:rsidRPr="000A2EE1">
        <w:tab/>
        <w:t>Replace “markings” by “marks” (twice).</w:t>
      </w:r>
    </w:p>
    <w:p w:rsidR="00E3232B" w:rsidRPr="000A2EE1" w:rsidRDefault="00E3232B" w:rsidP="00E3232B">
      <w:pPr>
        <w:pStyle w:val="SingleTxtG"/>
        <w:ind w:right="521"/>
      </w:pPr>
      <w:r w:rsidRPr="000A2EE1">
        <w:t>6.1.3.10</w:t>
      </w:r>
      <w:r w:rsidRPr="000A2EE1">
        <w:tab/>
      </w:r>
      <w:r w:rsidRPr="000A2EE1">
        <w:rPr>
          <w:rFonts w:eastAsia="Calibri"/>
        </w:rPr>
        <w:t>R</w:t>
      </w:r>
      <w:r w:rsidRPr="000A2EE1">
        <w:t xml:space="preserve">eplace “mark” (second occurrence) by “marks”. </w:t>
      </w:r>
    </w:p>
    <w:p w:rsidR="00E3232B" w:rsidRPr="000A2EE1" w:rsidRDefault="00E3232B" w:rsidP="00E3232B">
      <w:pPr>
        <w:pStyle w:val="SingleTxtG"/>
        <w:ind w:right="521"/>
      </w:pPr>
      <w:r w:rsidRPr="000A2EE1">
        <w:t>6.1.3.11</w:t>
      </w:r>
      <w:r w:rsidRPr="000A2EE1">
        <w:tab/>
        <w:t>In the heading, replace “of markings for” by “for marking”.</w:t>
      </w:r>
    </w:p>
    <w:p w:rsidR="00E3232B" w:rsidRPr="000A2EE1" w:rsidRDefault="00E3232B" w:rsidP="00E3232B">
      <w:pPr>
        <w:pStyle w:val="SingleTxtG"/>
        <w:ind w:right="521"/>
      </w:pPr>
      <w:r w:rsidRPr="000A2EE1">
        <w:t>6.1.3.12</w:t>
      </w:r>
      <w:r w:rsidRPr="000A2EE1">
        <w:tab/>
        <w:t>In the heading, replace “of markings for” by “for marking”.</w:t>
      </w:r>
    </w:p>
    <w:p w:rsidR="00E3232B" w:rsidRPr="000A2EE1" w:rsidRDefault="00E3232B" w:rsidP="00E3232B">
      <w:pPr>
        <w:pStyle w:val="SingleTxtG"/>
      </w:pPr>
      <w:r w:rsidRPr="000A2EE1">
        <w:t>6.1.3.13</w:t>
      </w:r>
      <w:r w:rsidRPr="000A2EE1">
        <w:tab/>
        <w:t>In the heading, replace “of markings for” by “for marking” and in the Note “markings” by “marking”.</w:t>
      </w:r>
    </w:p>
    <w:p w:rsidR="00E3232B" w:rsidRPr="000A2EE1" w:rsidRDefault="00E3232B" w:rsidP="00E3232B">
      <w:pPr>
        <w:pStyle w:val="SingleTxtG"/>
        <w:ind w:left="2268" w:hanging="1134"/>
        <w:rPr>
          <w:rFonts w:eastAsia="Calibri"/>
        </w:rPr>
      </w:pPr>
      <w:r w:rsidRPr="000A2EE1">
        <w:t>6.1.3.14</w:t>
      </w:r>
      <w:r w:rsidRPr="000A2EE1">
        <w:tab/>
      </w:r>
      <w:r w:rsidRPr="000A2EE1">
        <w:tab/>
        <w:t>Replace “</w:t>
      </w:r>
      <w:r w:rsidRPr="000A2EE1">
        <w:rPr>
          <w:rFonts w:eastAsia="Calibri"/>
        </w:rPr>
        <w:t>marking”</w:t>
      </w:r>
      <w:r w:rsidRPr="000A2EE1">
        <w:t xml:space="preserve"> by “</w:t>
      </w:r>
      <w:r w:rsidRPr="000A2EE1">
        <w:rPr>
          <w:rFonts w:eastAsia="Calibri"/>
        </w:rPr>
        <w:t>marks”.</w:t>
      </w:r>
    </w:p>
    <w:p w:rsidR="00E3232B" w:rsidRPr="000A2EE1" w:rsidRDefault="00E3232B" w:rsidP="00E3232B">
      <w:pPr>
        <w:pStyle w:val="SingleTxtG"/>
        <w:rPr>
          <w:bCs/>
        </w:rPr>
      </w:pPr>
      <w:r w:rsidRPr="000A2EE1">
        <w:t>6.1.5.1.6</w:t>
      </w:r>
      <w:r w:rsidR="00495821" w:rsidRPr="000A2EE1">
        <w:t>, Note</w:t>
      </w:r>
      <w:r w:rsidRPr="000A2EE1">
        <w:tab/>
      </w:r>
      <w:r w:rsidR="00495821" w:rsidRPr="000A2EE1">
        <w:t>R</w:t>
      </w:r>
      <w:r w:rsidRPr="000A2EE1">
        <w:t xml:space="preserve">eplace “assembling” by “using”. Add a new last sentence to read as follows: </w:t>
      </w:r>
      <w:r w:rsidRPr="000A2EE1">
        <w:rPr>
          <w:bCs/>
        </w:rPr>
        <w:t>“These conditions do not limit the use of inner packagings when applying 6.1.5.1.7.”.</w:t>
      </w:r>
    </w:p>
    <w:p w:rsidR="00E3232B" w:rsidRPr="000A2EE1" w:rsidRDefault="00E3232B" w:rsidP="00E3232B">
      <w:pPr>
        <w:pStyle w:val="SingleTxtG"/>
      </w:pPr>
      <w:r w:rsidRPr="000A2EE1">
        <w:t>6.1.5.5.4</w:t>
      </w:r>
      <w:r w:rsidRPr="000A2EE1">
        <w:tab/>
        <w:t>In the third sentence, replace “marking” by “mark”.</w:t>
      </w:r>
    </w:p>
    <w:p w:rsidR="00E3232B" w:rsidRPr="000A2EE1" w:rsidRDefault="00E3232B" w:rsidP="00E3232B">
      <w:pPr>
        <w:pStyle w:val="H1G"/>
        <w:rPr>
          <w:rFonts w:ascii="Times New Roman Bold" w:hAnsi="Times New Roman Bold"/>
        </w:rPr>
      </w:pPr>
      <w:r w:rsidRPr="000A2EE1">
        <w:rPr>
          <w:rFonts w:ascii="Times New Roman Bold" w:hAnsi="Times New Roman Bold"/>
        </w:rPr>
        <w:tab/>
      </w:r>
      <w:r w:rsidRPr="000A2EE1">
        <w:rPr>
          <w:rFonts w:ascii="Times New Roman Bold" w:hAnsi="Times New Roman Bold"/>
        </w:rPr>
        <w:tab/>
        <w:t>Chapter 6.2</w:t>
      </w:r>
    </w:p>
    <w:p w:rsidR="00E3232B" w:rsidRPr="000A2EE1" w:rsidRDefault="00E3232B" w:rsidP="00E3232B">
      <w:pPr>
        <w:pStyle w:val="SingleTxtG"/>
      </w:pPr>
      <w:r w:rsidRPr="000A2EE1">
        <w:t>6.2.1.1.9</w:t>
      </w:r>
      <w:r w:rsidRPr="000A2EE1">
        <w:tab/>
        <w:t>In the introductory sentence, after “and testing specified by” insert “a standard or technical code recognised by”.</w:t>
      </w:r>
    </w:p>
    <w:p w:rsidR="00E3232B" w:rsidRPr="000A2EE1" w:rsidRDefault="00E3232B" w:rsidP="00E3232B">
      <w:pPr>
        <w:pStyle w:val="SingleTxtG"/>
      </w:pPr>
      <w:r w:rsidRPr="000A2EE1">
        <w:t>6.2.1.5.1 (g)</w:t>
      </w:r>
      <w:r w:rsidRPr="000A2EE1">
        <w:tab/>
        <w:t>Amend the text before the Note to read as follows:</w:t>
      </w:r>
    </w:p>
    <w:p w:rsidR="00E3232B" w:rsidRPr="000A2EE1" w:rsidRDefault="00E3232B" w:rsidP="00E3232B">
      <w:pPr>
        <w:pStyle w:val="SingleTxtG"/>
      </w:pPr>
      <w:r w:rsidRPr="000A2EE1">
        <w:t>“(g)</w:t>
      </w:r>
      <w:r w:rsidRPr="000A2EE1">
        <w:tab/>
        <w:t>A hydraulic pressure test. Pressure receptacles shall meet the acceptance criteria specified in the design and construction technical standard or technical code;”.</w:t>
      </w:r>
    </w:p>
    <w:p w:rsidR="00E3232B" w:rsidRPr="000A2EE1" w:rsidRDefault="00E3232B" w:rsidP="00E3232B">
      <w:pPr>
        <w:pStyle w:val="SingleTxtG"/>
      </w:pPr>
      <w:r w:rsidRPr="000A2EE1">
        <w:t>6.2.1.5.1 (i)</w:t>
      </w:r>
      <w:r w:rsidRPr="000A2EE1">
        <w:tab/>
        <w:t>Replace “markings” by “marks”.</w:t>
      </w:r>
    </w:p>
    <w:p w:rsidR="00E3232B" w:rsidRPr="000A2EE1" w:rsidRDefault="00E3232B" w:rsidP="00E3232B">
      <w:pPr>
        <w:pStyle w:val="SingleTxtG"/>
      </w:pPr>
      <w:r w:rsidRPr="000A2EE1">
        <w:t>6.2.1.6.1 (a)</w:t>
      </w:r>
      <w:r w:rsidRPr="000A2EE1">
        <w:tab/>
        <w:t>Replace “markings” by “marks”.</w:t>
      </w:r>
    </w:p>
    <w:p w:rsidR="00E3232B" w:rsidRPr="000A2EE1" w:rsidRDefault="00E3232B" w:rsidP="00E3232B">
      <w:pPr>
        <w:pStyle w:val="SingleTxtG"/>
        <w:rPr>
          <w:szCs w:val="22"/>
        </w:rPr>
      </w:pPr>
      <w:r w:rsidRPr="000A2EE1">
        <w:t>6.2.2.1.1</w:t>
      </w:r>
      <w:r w:rsidRPr="000A2EE1">
        <w:tab/>
        <w:t>A</w:t>
      </w:r>
      <w:r w:rsidRPr="000A2EE1">
        <w:rPr>
          <w:szCs w:val="22"/>
        </w:rPr>
        <w:t>fter the entry for ISO 9809-3:2010 insert a new entry to read as follows: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03"/>
        <w:gridCol w:w="1842"/>
      </w:tblGrid>
      <w:tr w:rsidR="00E3232B" w:rsidRPr="000A2EE1" w:rsidTr="00912ED1">
        <w:trPr>
          <w:trHeight w:val="434"/>
        </w:trPr>
        <w:tc>
          <w:tcPr>
            <w:tcW w:w="1560" w:type="dxa"/>
          </w:tcPr>
          <w:p w:rsidR="00E3232B" w:rsidRPr="000A2EE1" w:rsidRDefault="00E3232B" w:rsidP="00763390">
            <w:pPr>
              <w:pStyle w:val="Default"/>
              <w:spacing w:after="60"/>
              <w:rPr>
                <w:color w:val="auto"/>
                <w:sz w:val="18"/>
                <w:szCs w:val="18"/>
                <w:u w:val="single"/>
                <w:lang w:val="en-GB"/>
              </w:rPr>
            </w:pPr>
            <w:r w:rsidRPr="000A2EE1">
              <w:rPr>
                <w:color w:val="auto"/>
                <w:sz w:val="18"/>
                <w:szCs w:val="18"/>
                <w:lang w:val="en-GB"/>
              </w:rPr>
              <w:t>ISO 9809-4:2014</w:t>
            </w:r>
          </w:p>
        </w:tc>
        <w:tc>
          <w:tcPr>
            <w:tcW w:w="5103" w:type="dxa"/>
          </w:tcPr>
          <w:p w:rsidR="00E3232B" w:rsidRPr="000A2EE1" w:rsidRDefault="00E3232B" w:rsidP="00763390">
            <w:pPr>
              <w:pStyle w:val="Default"/>
              <w:spacing w:after="60"/>
              <w:rPr>
                <w:color w:val="auto"/>
                <w:sz w:val="18"/>
                <w:szCs w:val="18"/>
                <w:lang w:val="en-GB"/>
              </w:rPr>
            </w:pPr>
            <w:r w:rsidRPr="000A2EE1">
              <w:rPr>
                <w:color w:val="auto"/>
                <w:sz w:val="18"/>
                <w:szCs w:val="18"/>
                <w:lang w:val="en-GB"/>
              </w:rPr>
              <w:t>Gas cylinders – Refillable seamless steel gas cylinders – Design, construction and testing – Part 4: Stainless steel cylinders with an Rm value of less than 1 100 MPa</w:t>
            </w:r>
          </w:p>
        </w:tc>
        <w:tc>
          <w:tcPr>
            <w:tcW w:w="1842" w:type="dxa"/>
          </w:tcPr>
          <w:p w:rsidR="00E3232B" w:rsidRPr="000A2EE1" w:rsidRDefault="00E3232B" w:rsidP="00763390">
            <w:pPr>
              <w:pStyle w:val="Default"/>
              <w:spacing w:after="60"/>
              <w:rPr>
                <w:color w:val="auto"/>
                <w:sz w:val="18"/>
                <w:szCs w:val="18"/>
                <w:lang w:val="en-GB"/>
              </w:rPr>
            </w:pPr>
            <w:r w:rsidRPr="000A2EE1">
              <w:rPr>
                <w:color w:val="auto"/>
                <w:sz w:val="18"/>
                <w:szCs w:val="18"/>
                <w:lang w:val="en-GB"/>
              </w:rPr>
              <w:t xml:space="preserve">Until further notice </w:t>
            </w:r>
          </w:p>
        </w:tc>
      </w:tr>
    </w:tbl>
    <w:p w:rsidR="00E3232B" w:rsidRPr="000A2EE1" w:rsidRDefault="00E3232B" w:rsidP="00E3232B">
      <w:pPr>
        <w:pStyle w:val="SingleTxtG"/>
        <w:spacing w:before="120"/>
        <w:rPr>
          <w:szCs w:val="22"/>
        </w:rPr>
      </w:pPr>
      <w:r w:rsidRPr="000A2EE1">
        <w:t>6.2.2.1.1</w:t>
      </w:r>
      <w:r w:rsidRPr="000A2EE1">
        <w:tab/>
      </w:r>
      <w:r w:rsidRPr="000A2EE1">
        <w:rPr>
          <w:szCs w:val="22"/>
        </w:rPr>
        <w:t>In the entry for ISO 7866:2012, in the first column, insert “</w:t>
      </w:r>
      <w:r w:rsidRPr="000A2EE1">
        <w:rPr>
          <w:iCs/>
        </w:rPr>
        <w:t>+ Cor 1:2014</w:t>
      </w:r>
      <w:r w:rsidRPr="000A2EE1">
        <w:rPr>
          <w:szCs w:val="22"/>
        </w:rPr>
        <w:t>” after “</w:t>
      </w:r>
      <w:r w:rsidRPr="000A2EE1">
        <w:rPr>
          <w:iCs/>
        </w:rPr>
        <w:t>ISO 7866:2012</w:t>
      </w:r>
      <w:r w:rsidRPr="000A2EE1">
        <w:rPr>
          <w:szCs w:val="22"/>
        </w:rPr>
        <w:t>”.</w:t>
      </w:r>
    </w:p>
    <w:p w:rsidR="00E3232B" w:rsidRPr="000A2EE1" w:rsidRDefault="00E3232B" w:rsidP="00E3232B">
      <w:pPr>
        <w:pStyle w:val="SingleTxtG"/>
        <w:spacing w:before="120"/>
      </w:pPr>
      <w:r w:rsidRPr="000A2EE1">
        <w:rPr>
          <w:iCs/>
        </w:rPr>
        <w:t>6.2.2.1.1</w:t>
      </w:r>
      <w:r w:rsidRPr="000A2EE1">
        <w:rPr>
          <w:iCs/>
        </w:rPr>
        <w:tab/>
        <w:t xml:space="preserve">At the end of the table, replace the three last entries (corresponding to standards </w:t>
      </w:r>
      <w:r w:rsidRPr="000A2EE1">
        <w:t>“ISO 11119-1:2002”, “ISO 11119-2:2002” and “ISO 11119-3:2002”) with the following entries:</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5146"/>
        <w:gridCol w:w="1799"/>
      </w:tblGrid>
      <w:tr w:rsidR="00E3232B" w:rsidRPr="000A2EE1" w:rsidTr="004A3FC5">
        <w:trPr>
          <w:cantSplit/>
        </w:trPr>
        <w:tc>
          <w:tcPr>
            <w:tcW w:w="1560" w:type="dxa"/>
            <w:shd w:val="clear" w:color="auto" w:fill="auto"/>
          </w:tcPr>
          <w:p w:rsidR="00E3232B" w:rsidRPr="000A2EE1" w:rsidRDefault="00E3232B" w:rsidP="00763390">
            <w:pPr>
              <w:tabs>
                <w:tab w:val="left" w:pos="1985"/>
              </w:tabs>
              <w:spacing w:after="60" w:line="240" w:lineRule="auto"/>
              <w:ind w:left="57"/>
              <w:rPr>
                <w:sz w:val="18"/>
                <w:szCs w:val="18"/>
              </w:rPr>
            </w:pPr>
            <w:r w:rsidRPr="000A2EE1">
              <w:rPr>
                <w:sz w:val="18"/>
                <w:szCs w:val="18"/>
              </w:rPr>
              <w:t>ISO 11119-1:2002</w:t>
            </w:r>
          </w:p>
        </w:tc>
        <w:tc>
          <w:tcPr>
            <w:tcW w:w="5146" w:type="dxa"/>
            <w:shd w:val="clear" w:color="auto" w:fill="auto"/>
          </w:tcPr>
          <w:p w:rsidR="00E3232B" w:rsidRPr="000A2EE1" w:rsidRDefault="00E3232B" w:rsidP="00763390">
            <w:pPr>
              <w:spacing w:after="60" w:line="240" w:lineRule="auto"/>
              <w:ind w:left="57" w:right="23"/>
              <w:jc w:val="both"/>
              <w:rPr>
                <w:sz w:val="18"/>
                <w:szCs w:val="18"/>
              </w:rPr>
            </w:pPr>
            <w:r w:rsidRPr="000A2EE1">
              <w:rPr>
                <w:sz w:val="18"/>
                <w:szCs w:val="18"/>
              </w:rPr>
              <w:t>Gas cylinders of composite construction – Specification and test methods – Part 1: Hoop wrapped composite gas cylinders</w:t>
            </w:r>
          </w:p>
        </w:tc>
        <w:tc>
          <w:tcPr>
            <w:tcW w:w="1799" w:type="dxa"/>
            <w:shd w:val="clear" w:color="auto" w:fill="auto"/>
          </w:tcPr>
          <w:p w:rsidR="00E3232B" w:rsidRPr="000A2EE1" w:rsidRDefault="00E3232B" w:rsidP="00763390">
            <w:pPr>
              <w:spacing w:after="60" w:line="240" w:lineRule="auto"/>
              <w:ind w:left="57" w:right="142"/>
              <w:rPr>
                <w:sz w:val="18"/>
                <w:szCs w:val="18"/>
              </w:rPr>
            </w:pPr>
            <w:r w:rsidRPr="000A2EE1">
              <w:rPr>
                <w:sz w:val="18"/>
                <w:szCs w:val="18"/>
              </w:rPr>
              <w:t>Until 31 December 2020</w:t>
            </w:r>
          </w:p>
        </w:tc>
      </w:tr>
      <w:tr w:rsidR="00E3232B" w:rsidRPr="000A2EE1" w:rsidTr="004A3FC5">
        <w:trPr>
          <w:cantSplit/>
        </w:trPr>
        <w:tc>
          <w:tcPr>
            <w:tcW w:w="1560" w:type="dxa"/>
            <w:shd w:val="clear" w:color="auto" w:fill="auto"/>
          </w:tcPr>
          <w:p w:rsidR="00E3232B" w:rsidRPr="000A2EE1" w:rsidRDefault="00E3232B" w:rsidP="00763390">
            <w:pPr>
              <w:tabs>
                <w:tab w:val="left" w:pos="1985"/>
              </w:tabs>
              <w:spacing w:after="60" w:line="240" w:lineRule="auto"/>
              <w:ind w:left="57"/>
              <w:rPr>
                <w:sz w:val="18"/>
                <w:szCs w:val="18"/>
              </w:rPr>
            </w:pPr>
            <w:r w:rsidRPr="000A2EE1">
              <w:rPr>
                <w:iCs/>
                <w:sz w:val="18"/>
                <w:szCs w:val="18"/>
              </w:rPr>
              <w:t>ISO 11119-1:2012</w:t>
            </w:r>
          </w:p>
        </w:tc>
        <w:tc>
          <w:tcPr>
            <w:tcW w:w="5146" w:type="dxa"/>
            <w:shd w:val="clear" w:color="auto" w:fill="auto"/>
          </w:tcPr>
          <w:p w:rsidR="00E3232B" w:rsidRPr="000A2EE1" w:rsidRDefault="00E3232B" w:rsidP="00291D25">
            <w:pPr>
              <w:spacing w:after="60" w:line="240" w:lineRule="auto"/>
              <w:ind w:left="57" w:right="23"/>
              <w:jc w:val="both"/>
              <w:rPr>
                <w:sz w:val="18"/>
                <w:szCs w:val="18"/>
              </w:rPr>
            </w:pPr>
            <w:r w:rsidRPr="000A2EE1">
              <w:rPr>
                <w:iCs/>
                <w:sz w:val="18"/>
                <w:szCs w:val="18"/>
              </w:rPr>
              <w:t xml:space="preserve">Gas cylinders – Refillable composite gas cylinders and tubes – Design, construction and testing – Part 1: Hoop wrapped fibre reinforced composite gas cylinders and tubes up to 450 </w:t>
            </w:r>
            <w:r w:rsidR="00291D25" w:rsidRPr="000A2EE1">
              <w:rPr>
                <w:i/>
                <w:iCs/>
                <w:sz w:val="18"/>
                <w:szCs w:val="18"/>
              </w:rPr>
              <w:t>l</w:t>
            </w:r>
          </w:p>
        </w:tc>
        <w:tc>
          <w:tcPr>
            <w:tcW w:w="1799" w:type="dxa"/>
            <w:shd w:val="clear" w:color="auto" w:fill="auto"/>
          </w:tcPr>
          <w:p w:rsidR="00E3232B" w:rsidRPr="000A2EE1" w:rsidRDefault="00E3232B" w:rsidP="00763390">
            <w:pPr>
              <w:spacing w:after="60" w:line="240" w:lineRule="auto"/>
              <w:ind w:left="57" w:right="142"/>
              <w:rPr>
                <w:sz w:val="18"/>
                <w:szCs w:val="18"/>
              </w:rPr>
            </w:pPr>
            <w:r w:rsidRPr="000A2EE1">
              <w:rPr>
                <w:sz w:val="18"/>
                <w:szCs w:val="18"/>
              </w:rPr>
              <w:t>Until further notice</w:t>
            </w:r>
          </w:p>
        </w:tc>
      </w:tr>
      <w:tr w:rsidR="00E3232B" w:rsidRPr="000A2EE1" w:rsidTr="004A3FC5">
        <w:trPr>
          <w:cantSplit/>
        </w:trPr>
        <w:tc>
          <w:tcPr>
            <w:tcW w:w="1560" w:type="dxa"/>
            <w:shd w:val="clear" w:color="auto" w:fill="auto"/>
          </w:tcPr>
          <w:p w:rsidR="00E3232B" w:rsidRPr="000A2EE1" w:rsidRDefault="00E3232B" w:rsidP="00763390">
            <w:pPr>
              <w:tabs>
                <w:tab w:val="left" w:pos="1985"/>
              </w:tabs>
              <w:spacing w:after="60" w:line="240" w:lineRule="auto"/>
              <w:ind w:left="57"/>
              <w:rPr>
                <w:sz w:val="18"/>
                <w:szCs w:val="18"/>
              </w:rPr>
            </w:pPr>
            <w:r w:rsidRPr="000A2EE1">
              <w:rPr>
                <w:sz w:val="18"/>
                <w:szCs w:val="18"/>
              </w:rPr>
              <w:t>ISO 11119-2:2002</w:t>
            </w:r>
          </w:p>
          <w:p w:rsidR="00E3232B" w:rsidRPr="000A2EE1" w:rsidRDefault="00E3232B" w:rsidP="00763390">
            <w:pPr>
              <w:tabs>
                <w:tab w:val="left" w:pos="1985"/>
              </w:tabs>
              <w:spacing w:after="60" w:line="240" w:lineRule="auto"/>
              <w:ind w:left="57"/>
              <w:rPr>
                <w:sz w:val="18"/>
                <w:szCs w:val="18"/>
              </w:rPr>
            </w:pPr>
          </w:p>
        </w:tc>
        <w:tc>
          <w:tcPr>
            <w:tcW w:w="5146" w:type="dxa"/>
            <w:shd w:val="clear" w:color="auto" w:fill="auto"/>
          </w:tcPr>
          <w:p w:rsidR="00E3232B" w:rsidRPr="000A2EE1" w:rsidRDefault="00E3232B" w:rsidP="00763390">
            <w:pPr>
              <w:spacing w:after="60" w:line="240" w:lineRule="auto"/>
              <w:ind w:left="57" w:right="23"/>
              <w:jc w:val="both"/>
              <w:rPr>
                <w:sz w:val="18"/>
                <w:szCs w:val="18"/>
              </w:rPr>
            </w:pPr>
            <w:r w:rsidRPr="000A2EE1">
              <w:rPr>
                <w:sz w:val="18"/>
                <w:szCs w:val="18"/>
              </w:rPr>
              <w:t>Gas cylinders of composite construction – Specification and test methods – Part 2: Fully wrapped fibre reinforced composite gas cylinders with load-sharing metal liners</w:t>
            </w:r>
          </w:p>
        </w:tc>
        <w:tc>
          <w:tcPr>
            <w:tcW w:w="1799" w:type="dxa"/>
            <w:shd w:val="clear" w:color="auto" w:fill="auto"/>
          </w:tcPr>
          <w:p w:rsidR="00E3232B" w:rsidRPr="000A2EE1" w:rsidRDefault="00E3232B" w:rsidP="00763390">
            <w:pPr>
              <w:spacing w:after="60" w:line="240" w:lineRule="auto"/>
              <w:ind w:left="57" w:right="142"/>
              <w:rPr>
                <w:sz w:val="18"/>
                <w:szCs w:val="18"/>
              </w:rPr>
            </w:pPr>
            <w:r w:rsidRPr="000A2EE1">
              <w:rPr>
                <w:sz w:val="18"/>
                <w:szCs w:val="18"/>
              </w:rPr>
              <w:t>Until 31 December 2020</w:t>
            </w:r>
          </w:p>
        </w:tc>
      </w:tr>
      <w:tr w:rsidR="00E3232B" w:rsidRPr="000A2EE1" w:rsidTr="004A3FC5">
        <w:trPr>
          <w:cantSplit/>
        </w:trPr>
        <w:tc>
          <w:tcPr>
            <w:tcW w:w="1560" w:type="dxa"/>
            <w:shd w:val="clear" w:color="auto" w:fill="auto"/>
          </w:tcPr>
          <w:p w:rsidR="00E3232B" w:rsidRPr="000A2EE1" w:rsidRDefault="00E3232B" w:rsidP="00763390">
            <w:pPr>
              <w:tabs>
                <w:tab w:val="left" w:pos="1985"/>
              </w:tabs>
              <w:spacing w:after="60" w:line="240" w:lineRule="auto"/>
              <w:ind w:left="57"/>
              <w:rPr>
                <w:sz w:val="18"/>
                <w:szCs w:val="18"/>
              </w:rPr>
            </w:pPr>
            <w:r w:rsidRPr="000A2EE1">
              <w:rPr>
                <w:sz w:val="18"/>
                <w:szCs w:val="18"/>
              </w:rPr>
              <w:t>ISO 11119-2:2012 + Amd 1:2014</w:t>
            </w:r>
          </w:p>
        </w:tc>
        <w:tc>
          <w:tcPr>
            <w:tcW w:w="5146" w:type="dxa"/>
            <w:shd w:val="clear" w:color="auto" w:fill="auto"/>
          </w:tcPr>
          <w:p w:rsidR="00E3232B" w:rsidRPr="000A2EE1" w:rsidRDefault="00E3232B" w:rsidP="00763390">
            <w:pPr>
              <w:spacing w:after="60" w:line="240" w:lineRule="auto"/>
              <w:ind w:left="57" w:right="23"/>
              <w:jc w:val="both"/>
              <w:rPr>
                <w:sz w:val="18"/>
                <w:szCs w:val="18"/>
              </w:rPr>
            </w:pPr>
            <w:r w:rsidRPr="000A2EE1">
              <w:rPr>
                <w:iCs/>
                <w:sz w:val="18"/>
                <w:szCs w:val="18"/>
              </w:rPr>
              <w:t xml:space="preserve">Gas cylinders – Refillable composite gas cylinders and tubes – Design, construction and testing – Part 2: Fully wrapped fibre reinforced composite gas cylinders and tubes up to 450 </w:t>
            </w:r>
            <w:r w:rsidRPr="000A2EE1">
              <w:rPr>
                <w:i/>
                <w:iCs/>
                <w:sz w:val="18"/>
                <w:szCs w:val="18"/>
              </w:rPr>
              <w:t>l</w:t>
            </w:r>
            <w:r w:rsidRPr="000A2EE1">
              <w:rPr>
                <w:iCs/>
                <w:sz w:val="18"/>
                <w:szCs w:val="18"/>
              </w:rPr>
              <w:t xml:space="preserve"> with load-sharing metal liners</w:t>
            </w:r>
          </w:p>
        </w:tc>
        <w:tc>
          <w:tcPr>
            <w:tcW w:w="1799" w:type="dxa"/>
            <w:shd w:val="clear" w:color="auto" w:fill="auto"/>
          </w:tcPr>
          <w:p w:rsidR="00E3232B" w:rsidRPr="000A2EE1" w:rsidRDefault="00E3232B" w:rsidP="00763390">
            <w:pPr>
              <w:spacing w:after="60" w:line="240" w:lineRule="auto"/>
              <w:ind w:left="57" w:right="142"/>
              <w:rPr>
                <w:sz w:val="18"/>
                <w:szCs w:val="18"/>
              </w:rPr>
            </w:pPr>
            <w:r w:rsidRPr="000A2EE1">
              <w:rPr>
                <w:sz w:val="18"/>
                <w:szCs w:val="18"/>
              </w:rPr>
              <w:t>Until further notice</w:t>
            </w:r>
          </w:p>
        </w:tc>
      </w:tr>
      <w:tr w:rsidR="00E3232B" w:rsidRPr="000A2EE1" w:rsidTr="004A3FC5">
        <w:trPr>
          <w:cantSplit/>
        </w:trPr>
        <w:tc>
          <w:tcPr>
            <w:tcW w:w="1560" w:type="dxa"/>
            <w:shd w:val="clear" w:color="auto" w:fill="auto"/>
          </w:tcPr>
          <w:p w:rsidR="00E3232B" w:rsidRPr="000A2EE1" w:rsidRDefault="00E3232B" w:rsidP="00763390">
            <w:pPr>
              <w:tabs>
                <w:tab w:val="left" w:pos="1985"/>
              </w:tabs>
              <w:spacing w:after="60" w:line="240" w:lineRule="auto"/>
              <w:ind w:left="57"/>
              <w:rPr>
                <w:iCs/>
                <w:sz w:val="18"/>
                <w:szCs w:val="18"/>
              </w:rPr>
            </w:pPr>
            <w:r w:rsidRPr="000A2EE1">
              <w:rPr>
                <w:iCs/>
                <w:sz w:val="18"/>
                <w:szCs w:val="18"/>
              </w:rPr>
              <w:t>ISO 11119-3:2002</w:t>
            </w:r>
          </w:p>
        </w:tc>
        <w:tc>
          <w:tcPr>
            <w:tcW w:w="5146" w:type="dxa"/>
            <w:shd w:val="clear" w:color="auto" w:fill="auto"/>
          </w:tcPr>
          <w:p w:rsidR="00E3232B" w:rsidRPr="000A2EE1" w:rsidRDefault="00E3232B" w:rsidP="00763390">
            <w:pPr>
              <w:spacing w:after="60" w:line="240" w:lineRule="auto"/>
              <w:ind w:left="57" w:right="23"/>
              <w:jc w:val="both"/>
              <w:rPr>
                <w:iCs/>
                <w:sz w:val="18"/>
                <w:szCs w:val="18"/>
              </w:rPr>
            </w:pPr>
            <w:r w:rsidRPr="000A2EE1">
              <w:rPr>
                <w:iCs/>
                <w:sz w:val="18"/>
                <w:szCs w:val="18"/>
              </w:rPr>
              <w:t>Gas cylinders of composite construction – Specification and test methods – Part 3: Fully wrapped fibre reinforced composite gas cylinders with non-load-sharing metallic or non-metallic liners</w:t>
            </w:r>
          </w:p>
        </w:tc>
        <w:tc>
          <w:tcPr>
            <w:tcW w:w="1799" w:type="dxa"/>
            <w:shd w:val="clear" w:color="auto" w:fill="auto"/>
          </w:tcPr>
          <w:p w:rsidR="00E3232B" w:rsidRPr="000A2EE1" w:rsidRDefault="00E3232B" w:rsidP="00763390">
            <w:pPr>
              <w:spacing w:after="60" w:line="240" w:lineRule="auto"/>
              <w:ind w:left="57" w:right="142"/>
              <w:rPr>
                <w:iCs/>
                <w:sz w:val="18"/>
                <w:szCs w:val="18"/>
              </w:rPr>
            </w:pPr>
            <w:r w:rsidRPr="000A2EE1">
              <w:rPr>
                <w:iCs/>
                <w:sz w:val="18"/>
                <w:szCs w:val="18"/>
              </w:rPr>
              <w:t>Until 31 December 2020</w:t>
            </w:r>
          </w:p>
        </w:tc>
      </w:tr>
      <w:tr w:rsidR="00E3232B" w:rsidRPr="000A2EE1" w:rsidTr="004A3FC5">
        <w:trPr>
          <w:cantSplit/>
        </w:trPr>
        <w:tc>
          <w:tcPr>
            <w:tcW w:w="1560" w:type="dxa"/>
            <w:shd w:val="clear" w:color="auto" w:fill="auto"/>
          </w:tcPr>
          <w:p w:rsidR="00E3232B" w:rsidRPr="000A2EE1" w:rsidRDefault="00E3232B" w:rsidP="00763390">
            <w:pPr>
              <w:tabs>
                <w:tab w:val="left" w:pos="1985"/>
              </w:tabs>
              <w:spacing w:after="60" w:line="240" w:lineRule="auto"/>
              <w:ind w:left="57"/>
              <w:rPr>
                <w:iCs/>
                <w:sz w:val="18"/>
                <w:szCs w:val="18"/>
              </w:rPr>
            </w:pPr>
            <w:r w:rsidRPr="000A2EE1">
              <w:rPr>
                <w:iCs/>
                <w:sz w:val="18"/>
                <w:szCs w:val="18"/>
              </w:rPr>
              <w:t>ISO 11119-3:2013</w:t>
            </w:r>
          </w:p>
        </w:tc>
        <w:tc>
          <w:tcPr>
            <w:tcW w:w="5146" w:type="dxa"/>
            <w:shd w:val="clear" w:color="auto" w:fill="auto"/>
          </w:tcPr>
          <w:p w:rsidR="00E3232B" w:rsidRPr="000A2EE1" w:rsidRDefault="00E3232B" w:rsidP="00763390">
            <w:pPr>
              <w:spacing w:after="60" w:line="240" w:lineRule="auto"/>
              <w:ind w:left="57" w:right="23"/>
              <w:jc w:val="both"/>
              <w:rPr>
                <w:iCs/>
                <w:sz w:val="18"/>
                <w:szCs w:val="18"/>
              </w:rPr>
            </w:pPr>
            <w:r w:rsidRPr="000A2EE1">
              <w:rPr>
                <w:iCs/>
                <w:sz w:val="18"/>
                <w:szCs w:val="18"/>
              </w:rPr>
              <w:t xml:space="preserve">Gas cylinders – Refillable composite gas cylinders and tubes – Design, construction and testing – Part 3: Fully wrapped fibre reinforced composite gas cylinders and tubes up to 450 </w:t>
            </w:r>
            <w:r w:rsidRPr="000A2EE1">
              <w:rPr>
                <w:i/>
                <w:iCs/>
                <w:sz w:val="18"/>
                <w:szCs w:val="18"/>
              </w:rPr>
              <w:t>l</w:t>
            </w:r>
            <w:r w:rsidRPr="000A2EE1">
              <w:rPr>
                <w:iCs/>
                <w:sz w:val="18"/>
                <w:szCs w:val="18"/>
              </w:rPr>
              <w:t xml:space="preserve"> with non-load-sharing metallic or non-metallic liners</w:t>
            </w:r>
          </w:p>
        </w:tc>
        <w:tc>
          <w:tcPr>
            <w:tcW w:w="1799" w:type="dxa"/>
            <w:shd w:val="clear" w:color="auto" w:fill="auto"/>
          </w:tcPr>
          <w:p w:rsidR="00E3232B" w:rsidRPr="000A2EE1" w:rsidRDefault="00E3232B" w:rsidP="00763390">
            <w:pPr>
              <w:spacing w:after="60" w:line="240" w:lineRule="auto"/>
              <w:ind w:left="57" w:right="142"/>
              <w:rPr>
                <w:iCs/>
                <w:sz w:val="18"/>
                <w:szCs w:val="18"/>
              </w:rPr>
            </w:pPr>
            <w:r w:rsidRPr="000A2EE1">
              <w:rPr>
                <w:iCs/>
                <w:sz w:val="18"/>
                <w:szCs w:val="18"/>
              </w:rPr>
              <w:t>Until further notice</w:t>
            </w:r>
          </w:p>
        </w:tc>
      </w:tr>
    </w:tbl>
    <w:p w:rsidR="00E3232B" w:rsidRPr="000A2EE1" w:rsidRDefault="00E3232B" w:rsidP="00E3232B">
      <w:pPr>
        <w:pStyle w:val="SingleTxtG"/>
        <w:spacing w:before="120"/>
      </w:pPr>
      <w:r w:rsidRPr="000A2EE1">
        <w:t>6.2.2.1.1, Note 1</w:t>
      </w:r>
      <w:r w:rsidRPr="000A2EE1">
        <w:tab/>
        <w:t>Replace “unlimited service life” with “a design life of not less than 15 years.”.</w:t>
      </w:r>
    </w:p>
    <w:p w:rsidR="00E3232B" w:rsidRPr="000A2EE1" w:rsidRDefault="00E3232B" w:rsidP="00E3232B">
      <w:pPr>
        <w:pStyle w:val="SingleTxtG"/>
      </w:pPr>
      <w:r w:rsidRPr="000A2EE1">
        <w:t>6.2.2.1.1</w:t>
      </w:r>
      <w:r w:rsidRPr="000A2EE1">
        <w:tab/>
        <w:t>Amend Note 2 to read as follows:</w:t>
      </w:r>
    </w:p>
    <w:p w:rsidR="00E3232B" w:rsidRPr="000A2EE1" w:rsidRDefault="00E3232B" w:rsidP="00E3232B">
      <w:pPr>
        <w:pStyle w:val="SingleTxtG"/>
        <w:rPr>
          <w:i/>
        </w:rPr>
      </w:pPr>
      <w:r w:rsidRPr="000A2EE1">
        <w:rPr>
          <w:b/>
          <w:i/>
        </w:rPr>
        <w:t>“NOTE 2:</w:t>
      </w:r>
      <w:r w:rsidRPr="000A2EE1">
        <w:rPr>
          <w:i/>
        </w:rPr>
        <w:tab/>
        <w:t>Composite cylinders with a design life longer than 15 years shall not be filled after 15 years from the date of manufacture, unless the design has successfully passed a service life test programme. The programme shall be part of the initial design type approval and shall specify inspections and tests to demonstrate that cylinders manufactured accordingly remain safe to the end of their design life. The service life test programme and the results shall be approved by the competent authority of the country of approval that is responsible for the initial approval of the cylinder design. The service life of a composite cylinder shall not be extended beyond its initial approved design life.”.</w:t>
      </w:r>
    </w:p>
    <w:p w:rsidR="00E3232B" w:rsidRPr="000A2EE1" w:rsidRDefault="00E3232B" w:rsidP="00E3232B">
      <w:pPr>
        <w:pStyle w:val="SingleTxtG"/>
      </w:pPr>
      <w:r w:rsidRPr="000A2EE1">
        <w:t>6.2.2.1.2</w:t>
      </w:r>
      <w:r w:rsidRPr="000A2EE1">
        <w:tab/>
        <w:t>After the entry for standard “ISO 11120:1999”, add the following new entries:</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9"/>
        <w:gridCol w:w="5354"/>
        <w:gridCol w:w="1842"/>
      </w:tblGrid>
      <w:tr w:rsidR="00E3232B" w:rsidRPr="000A2EE1" w:rsidTr="009B5E14">
        <w:trPr>
          <w:cantSplit/>
        </w:trPr>
        <w:tc>
          <w:tcPr>
            <w:tcW w:w="1309" w:type="dxa"/>
            <w:shd w:val="clear" w:color="auto" w:fill="auto"/>
          </w:tcPr>
          <w:p w:rsidR="00E3232B" w:rsidRPr="000A2EE1" w:rsidRDefault="00E3232B" w:rsidP="00763390">
            <w:pPr>
              <w:spacing w:after="60" w:line="240" w:lineRule="auto"/>
              <w:ind w:left="57"/>
              <w:rPr>
                <w:sz w:val="18"/>
                <w:szCs w:val="18"/>
              </w:rPr>
            </w:pPr>
            <w:r w:rsidRPr="000A2EE1">
              <w:rPr>
                <w:iCs/>
                <w:sz w:val="18"/>
                <w:szCs w:val="18"/>
              </w:rPr>
              <w:t>ISO 11119-1:2012</w:t>
            </w:r>
          </w:p>
        </w:tc>
        <w:tc>
          <w:tcPr>
            <w:tcW w:w="5354" w:type="dxa"/>
            <w:shd w:val="clear" w:color="auto" w:fill="auto"/>
          </w:tcPr>
          <w:p w:rsidR="00E3232B" w:rsidRPr="000A2EE1" w:rsidRDefault="00E3232B" w:rsidP="00763390">
            <w:pPr>
              <w:spacing w:after="60" w:line="240" w:lineRule="auto"/>
              <w:ind w:left="57"/>
              <w:rPr>
                <w:sz w:val="18"/>
                <w:szCs w:val="18"/>
              </w:rPr>
            </w:pPr>
            <w:r w:rsidRPr="000A2EE1">
              <w:rPr>
                <w:iCs/>
                <w:sz w:val="18"/>
                <w:szCs w:val="18"/>
              </w:rPr>
              <w:t xml:space="preserve">Gas cylinders – Refillable composite gas cylinders and tubes – Design, construction and testing – Part 1: Hoop wrapped fibre reinforced composite gas cylinders and tubes up to 450 </w:t>
            </w:r>
            <w:r w:rsidRPr="000A2EE1">
              <w:rPr>
                <w:i/>
                <w:iCs/>
                <w:sz w:val="18"/>
                <w:szCs w:val="18"/>
              </w:rPr>
              <w:t>l</w:t>
            </w:r>
          </w:p>
        </w:tc>
        <w:tc>
          <w:tcPr>
            <w:tcW w:w="1842" w:type="dxa"/>
            <w:shd w:val="clear" w:color="auto" w:fill="auto"/>
          </w:tcPr>
          <w:p w:rsidR="00E3232B" w:rsidRPr="000A2EE1" w:rsidRDefault="00E3232B" w:rsidP="00763390">
            <w:pPr>
              <w:spacing w:after="60" w:line="240" w:lineRule="auto"/>
              <w:ind w:left="57"/>
              <w:rPr>
                <w:sz w:val="18"/>
                <w:szCs w:val="18"/>
              </w:rPr>
            </w:pPr>
            <w:r w:rsidRPr="000A2EE1">
              <w:rPr>
                <w:sz w:val="18"/>
                <w:szCs w:val="18"/>
              </w:rPr>
              <w:t>Until further notice</w:t>
            </w:r>
          </w:p>
        </w:tc>
      </w:tr>
      <w:tr w:rsidR="00E3232B" w:rsidRPr="000A2EE1" w:rsidTr="009B5E14">
        <w:trPr>
          <w:cantSplit/>
        </w:trPr>
        <w:tc>
          <w:tcPr>
            <w:tcW w:w="1309" w:type="dxa"/>
            <w:shd w:val="clear" w:color="auto" w:fill="auto"/>
          </w:tcPr>
          <w:p w:rsidR="00E3232B" w:rsidRPr="000A2EE1" w:rsidRDefault="00E3232B" w:rsidP="00763390">
            <w:pPr>
              <w:spacing w:after="60" w:line="240" w:lineRule="auto"/>
              <w:ind w:left="57"/>
              <w:rPr>
                <w:sz w:val="18"/>
                <w:szCs w:val="18"/>
              </w:rPr>
            </w:pPr>
            <w:r w:rsidRPr="000A2EE1">
              <w:rPr>
                <w:sz w:val="18"/>
                <w:szCs w:val="18"/>
              </w:rPr>
              <w:t>ISO 11119-2:2012 + Amd 1:2014</w:t>
            </w:r>
          </w:p>
        </w:tc>
        <w:tc>
          <w:tcPr>
            <w:tcW w:w="5354" w:type="dxa"/>
            <w:shd w:val="clear" w:color="auto" w:fill="auto"/>
          </w:tcPr>
          <w:p w:rsidR="00E3232B" w:rsidRPr="000A2EE1" w:rsidRDefault="00E3232B" w:rsidP="00763390">
            <w:pPr>
              <w:spacing w:after="60" w:line="240" w:lineRule="auto"/>
              <w:ind w:left="57"/>
              <w:rPr>
                <w:sz w:val="18"/>
                <w:szCs w:val="18"/>
              </w:rPr>
            </w:pPr>
            <w:r w:rsidRPr="000A2EE1">
              <w:rPr>
                <w:iCs/>
                <w:sz w:val="18"/>
                <w:szCs w:val="18"/>
              </w:rPr>
              <w:t xml:space="preserve">Gas cylinders – Refillable composite gas cylinders and tubes – Design, construction and testing – Part 2: Fully wrapped fibre reinforced composite gas cylinders and tubes up to 450 </w:t>
            </w:r>
            <w:r w:rsidRPr="000A2EE1">
              <w:rPr>
                <w:i/>
                <w:iCs/>
                <w:sz w:val="18"/>
                <w:szCs w:val="18"/>
              </w:rPr>
              <w:t>l</w:t>
            </w:r>
            <w:r w:rsidRPr="000A2EE1">
              <w:rPr>
                <w:iCs/>
                <w:sz w:val="18"/>
                <w:szCs w:val="18"/>
              </w:rPr>
              <w:t xml:space="preserve"> with load-sharing metal liners</w:t>
            </w:r>
          </w:p>
        </w:tc>
        <w:tc>
          <w:tcPr>
            <w:tcW w:w="1842" w:type="dxa"/>
            <w:shd w:val="clear" w:color="auto" w:fill="auto"/>
          </w:tcPr>
          <w:p w:rsidR="00E3232B" w:rsidRPr="000A2EE1" w:rsidRDefault="00E3232B" w:rsidP="00763390">
            <w:pPr>
              <w:spacing w:after="60" w:line="240" w:lineRule="auto"/>
              <w:ind w:left="57"/>
              <w:rPr>
                <w:sz w:val="18"/>
                <w:szCs w:val="18"/>
              </w:rPr>
            </w:pPr>
            <w:r w:rsidRPr="000A2EE1">
              <w:rPr>
                <w:sz w:val="18"/>
                <w:szCs w:val="18"/>
              </w:rPr>
              <w:t>Until further notice</w:t>
            </w:r>
          </w:p>
        </w:tc>
      </w:tr>
      <w:tr w:rsidR="00E3232B" w:rsidRPr="000A2EE1" w:rsidTr="009B5E14">
        <w:trPr>
          <w:cantSplit/>
        </w:trPr>
        <w:tc>
          <w:tcPr>
            <w:tcW w:w="1309" w:type="dxa"/>
            <w:shd w:val="clear" w:color="auto" w:fill="auto"/>
          </w:tcPr>
          <w:p w:rsidR="00E3232B" w:rsidRPr="000A2EE1" w:rsidRDefault="00E3232B" w:rsidP="00763390">
            <w:pPr>
              <w:spacing w:after="60" w:line="240" w:lineRule="auto"/>
              <w:ind w:left="57"/>
              <w:rPr>
                <w:iCs/>
                <w:sz w:val="18"/>
                <w:szCs w:val="18"/>
              </w:rPr>
            </w:pPr>
            <w:r w:rsidRPr="000A2EE1">
              <w:rPr>
                <w:iCs/>
                <w:sz w:val="18"/>
                <w:szCs w:val="18"/>
              </w:rPr>
              <w:t>ISO 11119-3:2013</w:t>
            </w:r>
          </w:p>
        </w:tc>
        <w:tc>
          <w:tcPr>
            <w:tcW w:w="5354" w:type="dxa"/>
            <w:shd w:val="clear" w:color="auto" w:fill="auto"/>
          </w:tcPr>
          <w:p w:rsidR="00E3232B" w:rsidRPr="000A2EE1" w:rsidRDefault="00E3232B" w:rsidP="00763390">
            <w:pPr>
              <w:spacing w:after="60" w:line="240" w:lineRule="auto"/>
              <w:ind w:left="57"/>
              <w:rPr>
                <w:iCs/>
                <w:sz w:val="18"/>
                <w:szCs w:val="18"/>
              </w:rPr>
            </w:pPr>
            <w:r w:rsidRPr="000A2EE1">
              <w:rPr>
                <w:iCs/>
                <w:sz w:val="18"/>
                <w:szCs w:val="18"/>
              </w:rPr>
              <w:t xml:space="preserve">Gas cylinders – Refillable composite gas cylinders and tubes – Design, construction and testing – Part 3: Fully wrapped fibre reinforced composite gas cylinders and tubes up to 450 </w:t>
            </w:r>
            <w:r w:rsidRPr="000A2EE1">
              <w:rPr>
                <w:i/>
                <w:iCs/>
                <w:sz w:val="18"/>
                <w:szCs w:val="18"/>
              </w:rPr>
              <w:t>l</w:t>
            </w:r>
            <w:r w:rsidRPr="000A2EE1">
              <w:rPr>
                <w:iCs/>
                <w:sz w:val="18"/>
                <w:szCs w:val="18"/>
              </w:rPr>
              <w:t xml:space="preserve"> with non-load-sharing metallic or non-metallic liners</w:t>
            </w:r>
          </w:p>
        </w:tc>
        <w:tc>
          <w:tcPr>
            <w:tcW w:w="1842" w:type="dxa"/>
            <w:shd w:val="clear" w:color="auto" w:fill="auto"/>
          </w:tcPr>
          <w:p w:rsidR="00E3232B" w:rsidRPr="000A2EE1" w:rsidRDefault="00E3232B" w:rsidP="00763390">
            <w:pPr>
              <w:spacing w:after="60" w:line="240" w:lineRule="auto"/>
              <w:ind w:left="57"/>
              <w:rPr>
                <w:iCs/>
                <w:sz w:val="18"/>
                <w:szCs w:val="18"/>
              </w:rPr>
            </w:pPr>
            <w:r w:rsidRPr="000A2EE1">
              <w:rPr>
                <w:iCs/>
                <w:sz w:val="18"/>
                <w:szCs w:val="18"/>
              </w:rPr>
              <w:t>Until further notice</w:t>
            </w:r>
          </w:p>
        </w:tc>
      </w:tr>
      <w:tr w:rsidR="00E3232B" w:rsidRPr="000A2EE1" w:rsidTr="009B5E14">
        <w:trPr>
          <w:cantSplit/>
        </w:trPr>
        <w:tc>
          <w:tcPr>
            <w:tcW w:w="1309" w:type="dxa"/>
            <w:shd w:val="clear" w:color="auto" w:fill="auto"/>
          </w:tcPr>
          <w:p w:rsidR="00E3232B" w:rsidRPr="000A2EE1" w:rsidRDefault="00E3232B" w:rsidP="00763390">
            <w:pPr>
              <w:spacing w:after="60" w:line="240" w:lineRule="auto"/>
              <w:ind w:left="57"/>
              <w:rPr>
                <w:iCs/>
                <w:sz w:val="18"/>
                <w:szCs w:val="18"/>
              </w:rPr>
            </w:pPr>
            <w:r w:rsidRPr="000A2EE1">
              <w:rPr>
                <w:sz w:val="18"/>
                <w:szCs w:val="18"/>
              </w:rPr>
              <w:t>ISO 11515: 2013</w:t>
            </w:r>
          </w:p>
        </w:tc>
        <w:tc>
          <w:tcPr>
            <w:tcW w:w="5354" w:type="dxa"/>
            <w:shd w:val="clear" w:color="auto" w:fill="auto"/>
          </w:tcPr>
          <w:p w:rsidR="00E3232B" w:rsidRPr="000A2EE1" w:rsidRDefault="00E3232B" w:rsidP="00763390">
            <w:pPr>
              <w:spacing w:after="60" w:line="240" w:lineRule="auto"/>
              <w:ind w:left="57"/>
              <w:rPr>
                <w:iCs/>
                <w:sz w:val="18"/>
                <w:szCs w:val="18"/>
              </w:rPr>
            </w:pPr>
            <w:r w:rsidRPr="000A2EE1">
              <w:rPr>
                <w:sz w:val="18"/>
                <w:szCs w:val="18"/>
              </w:rPr>
              <w:t xml:space="preserve">Gas cylinders – Refillable composite reinforced tubes of water capacity between 450 </w:t>
            </w:r>
            <w:r w:rsidRPr="000A2EE1">
              <w:rPr>
                <w:i/>
                <w:sz w:val="18"/>
                <w:szCs w:val="18"/>
              </w:rPr>
              <w:t>l</w:t>
            </w:r>
            <w:r w:rsidRPr="000A2EE1">
              <w:rPr>
                <w:sz w:val="18"/>
                <w:szCs w:val="18"/>
              </w:rPr>
              <w:t xml:space="preserve"> and 3 000</w:t>
            </w:r>
            <w:r w:rsidRPr="000A2EE1">
              <w:rPr>
                <w:i/>
                <w:sz w:val="18"/>
                <w:szCs w:val="18"/>
              </w:rPr>
              <w:t> l</w:t>
            </w:r>
            <w:r w:rsidRPr="000A2EE1">
              <w:rPr>
                <w:sz w:val="18"/>
                <w:szCs w:val="18"/>
              </w:rPr>
              <w:t xml:space="preserve"> – Design, construction and testing</w:t>
            </w:r>
          </w:p>
        </w:tc>
        <w:tc>
          <w:tcPr>
            <w:tcW w:w="1842" w:type="dxa"/>
            <w:shd w:val="clear" w:color="auto" w:fill="auto"/>
          </w:tcPr>
          <w:p w:rsidR="00E3232B" w:rsidRPr="000A2EE1" w:rsidRDefault="00E3232B" w:rsidP="00763390">
            <w:pPr>
              <w:spacing w:after="60" w:line="240" w:lineRule="auto"/>
              <w:ind w:left="57"/>
              <w:rPr>
                <w:iCs/>
                <w:sz w:val="18"/>
                <w:szCs w:val="18"/>
              </w:rPr>
            </w:pPr>
            <w:r w:rsidRPr="000A2EE1">
              <w:rPr>
                <w:sz w:val="18"/>
                <w:szCs w:val="18"/>
              </w:rPr>
              <w:t>Until further notice</w:t>
            </w:r>
          </w:p>
        </w:tc>
      </w:tr>
    </w:tbl>
    <w:p w:rsidR="00E3232B" w:rsidRPr="000A2EE1" w:rsidRDefault="00E3232B" w:rsidP="00E3232B">
      <w:pPr>
        <w:pStyle w:val="SingleTxtG"/>
        <w:spacing w:before="120"/>
      </w:pPr>
      <w:r w:rsidRPr="000A2EE1">
        <w:t>6.2.2.1.2</w:t>
      </w:r>
      <w:r w:rsidRPr="000A2EE1">
        <w:tab/>
        <w:t>Add the following NOTES after the table:</w:t>
      </w:r>
    </w:p>
    <w:p w:rsidR="00E3232B" w:rsidRPr="000A2EE1" w:rsidRDefault="00E3232B" w:rsidP="00E3232B">
      <w:pPr>
        <w:pStyle w:val="SingleTxtG"/>
        <w:spacing w:before="120"/>
      </w:pPr>
      <w:r w:rsidRPr="000A2EE1">
        <w:t>“</w:t>
      </w:r>
      <w:r w:rsidRPr="000A2EE1">
        <w:rPr>
          <w:b/>
          <w:i/>
        </w:rPr>
        <w:t>NOTE 1:</w:t>
      </w:r>
      <w:r w:rsidRPr="000A2EE1">
        <w:tab/>
      </w:r>
      <w:r w:rsidRPr="000A2EE1">
        <w:rPr>
          <w:i/>
        </w:rPr>
        <w:t>In the above referenced standards composite tubes shall be designed for a design life of not less than 15 years.</w:t>
      </w:r>
    </w:p>
    <w:p w:rsidR="00E3232B" w:rsidRPr="000A2EE1" w:rsidRDefault="00E3232B" w:rsidP="00E3232B">
      <w:pPr>
        <w:pStyle w:val="SingleTxtG"/>
      </w:pPr>
      <w:r w:rsidRPr="000A2EE1">
        <w:rPr>
          <w:b/>
          <w:i/>
        </w:rPr>
        <w:t>NOTE 2:</w:t>
      </w:r>
      <w:r w:rsidRPr="000A2EE1">
        <w:rPr>
          <w:i/>
        </w:rPr>
        <w:tab/>
        <w:t xml:space="preserve">Composite tubes with a design life longer than 15 years shall not be filled after 15 years from the date of manufacture, unless the design has successfully passed a service life test programme. The programme shall be part of the initial design type </w:t>
      </w:r>
      <w:r w:rsidRPr="000A2EE1">
        <w:t xml:space="preserve">approval </w:t>
      </w:r>
      <w:r w:rsidRPr="000A2EE1">
        <w:rPr>
          <w:i/>
        </w:rPr>
        <w:t>and shall specify inspections and tests to demonstrate that tubes manufactured accordingly remain safe to the end of their design life. The service life test programme and the results shall be approved by the competent authority of the country of approval that is responsible for the initial approval of the tube design. The service life of a composite tube shall not be extended beyond its initial approved design life.</w:t>
      </w:r>
      <w:r w:rsidRPr="000A2EE1">
        <w:t>”.</w:t>
      </w:r>
    </w:p>
    <w:p w:rsidR="00E3232B" w:rsidRPr="000A2EE1" w:rsidRDefault="00E3232B" w:rsidP="00E3232B">
      <w:pPr>
        <w:pStyle w:val="SingleTxtG"/>
      </w:pPr>
      <w:r w:rsidRPr="000A2EE1">
        <w:t>6.2.2.1.3</w:t>
      </w:r>
      <w:r w:rsidRPr="000A2EE1">
        <w:tab/>
      </w:r>
      <w:r w:rsidRPr="000A2EE1">
        <w:rPr>
          <w:iCs/>
        </w:rPr>
        <w:t xml:space="preserve">In the second table, for standards </w:t>
      </w:r>
      <w:r w:rsidRPr="000A2EE1">
        <w:t>“ISO 3807-1:2000” and “ISO 3807-2:2000”, amend the text in column “Applicable for manufacture” to read “</w:t>
      </w:r>
      <w:r w:rsidRPr="000A2EE1">
        <w:rPr>
          <w:szCs w:val="22"/>
        </w:rPr>
        <w:t>Until 31 December 2020”. After these standards, add the following new row:</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1842"/>
      </w:tblGrid>
      <w:tr w:rsidR="00E3232B" w:rsidRPr="000A2EE1" w:rsidTr="00F111DD">
        <w:trPr>
          <w:cantSplit/>
        </w:trPr>
        <w:tc>
          <w:tcPr>
            <w:tcW w:w="1276" w:type="dxa"/>
          </w:tcPr>
          <w:p w:rsidR="00E3232B" w:rsidRPr="000A2EE1" w:rsidRDefault="00E3232B" w:rsidP="00F111DD">
            <w:pPr>
              <w:spacing w:after="60"/>
              <w:rPr>
                <w:sz w:val="18"/>
                <w:szCs w:val="18"/>
              </w:rPr>
            </w:pPr>
            <w:r w:rsidRPr="000A2EE1">
              <w:rPr>
                <w:sz w:val="18"/>
                <w:szCs w:val="18"/>
              </w:rPr>
              <w:t>ISO 3807:2013</w:t>
            </w:r>
          </w:p>
        </w:tc>
        <w:tc>
          <w:tcPr>
            <w:tcW w:w="5387" w:type="dxa"/>
          </w:tcPr>
          <w:p w:rsidR="00E3232B" w:rsidRPr="000A2EE1" w:rsidRDefault="00E3232B" w:rsidP="00F111DD">
            <w:pPr>
              <w:spacing w:after="60"/>
              <w:rPr>
                <w:sz w:val="18"/>
                <w:szCs w:val="18"/>
              </w:rPr>
            </w:pPr>
            <w:r w:rsidRPr="000A2EE1">
              <w:rPr>
                <w:sz w:val="18"/>
                <w:szCs w:val="18"/>
              </w:rPr>
              <w:t>Gas cylinders – Acetylene cylinders – Basic requirements and type testing</w:t>
            </w:r>
          </w:p>
        </w:tc>
        <w:tc>
          <w:tcPr>
            <w:tcW w:w="1842" w:type="dxa"/>
          </w:tcPr>
          <w:p w:rsidR="00E3232B" w:rsidRPr="000A2EE1" w:rsidRDefault="00E3232B" w:rsidP="00F111DD">
            <w:pPr>
              <w:spacing w:after="60"/>
              <w:rPr>
                <w:sz w:val="18"/>
                <w:szCs w:val="18"/>
              </w:rPr>
            </w:pPr>
            <w:r w:rsidRPr="000A2EE1">
              <w:rPr>
                <w:sz w:val="18"/>
                <w:szCs w:val="18"/>
              </w:rPr>
              <w:t>Until further notice</w:t>
            </w:r>
          </w:p>
        </w:tc>
      </w:tr>
    </w:tbl>
    <w:p w:rsidR="00E3232B" w:rsidRPr="000A2EE1" w:rsidRDefault="00E3232B" w:rsidP="00E3232B">
      <w:pPr>
        <w:pStyle w:val="SingleTxtG"/>
        <w:spacing w:before="120"/>
        <w:ind w:left="1138" w:right="1138"/>
        <w:rPr>
          <w:iCs/>
        </w:rPr>
      </w:pPr>
      <w:r w:rsidRPr="000A2EE1">
        <w:rPr>
          <w:iCs/>
        </w:rPr>
        <w:t>6.2.2.2</w:t>
      </w:r>
      <w:r w:rsidRPr="000A2EE1">
        <w:rPr>
          <w:iCs/>
        </w:rPr>
        <w:tab/>
      </w:r>
      <w:r w:rsidRPr="000A2EE1">
        <w:rPr>
          <w:iCs/>
        </w:rPr>
        <w:tab/>
        <w:t xml:space="preserve">In the table, </w:t>
      </w:r>
      <w:r w:rsidRPr="000A2EE1">
        <w:t>replace the entry for “ISO 11114-2:2000” with the following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229"/>
      </w:tblGrid>
      <w:tr w:rsidR="00E3232B" w:rsidRPr="000A2EE1" w:rsidTr="00A56A54">
        <w:tc>
          <w:tcPr>
            <w:tcW w:w="1384" w:type="dxa"/>
            <w:shd w:val="clear" w:color="auto" w:fill="auto"/>
          </w:tcPr>
          <w:p w:rsidR="00E3232B" w:rsidRPr="000A2EE1" w:rsidRDefault="00E3232B" w:rsidP="00F111DD">
            <w:pPr>
              <w:spacing w:after="60"/>
              <w:ind w:right="113"/>
              <w:rPr>
                <w:iCs/>
                <w:sz w:val="18"/>
                <w:szCs w:val="18"/>
              </w:rPr>
            </w:pPr>
            <w:r w:rsidRPr="000A2EE1">
              <w:rPr>
                <w:iCs/>
                <w:sz w:val="18"/>
                <w:szCs w:val="18"/>
              </w:rPr>
              <w:t>ISO 11114-2:2013</w:t>
            </w:r>
          </w:p>
        </w:tc>
        <w:tc>
          <w:tcPr>
            <w:tcW w:w="7229" w:type="dxa"/>
            <w:shd w:val="clear" w:color="auto" w:fill="auto"/>
          </w:tcPr>
          <w:p w:rsidR="00E3232B" w:rsidRPr="000A2EE1" w:rsidRDefault="00E3232B" w:rsidP="00F111DD">
            <w:pPr>
              <w:spacing w:after="60"/>
              <w:ind w:right="113"/>
              <w:rPr>
                <w:iCs/>
                <w:sz w:val="18"/>
                <w:szCs w:val="18"/>
              </w:rPr>
            </w:pPr>
            <w:r w:rsidRPr="000A2EE1">
              <w:rPr>
                <w:sz w:val="18"/>
                <w:szCs w:val="18"/>
              </w:rPr>
              <w:t>Gas cylinders – Compatibility of cylinder and valve materials with gas contents – Part 2: Non-metallic materials</w:t>
            </w:r>
          </w:p>
        </w:tc>
      </w:tr>
    </w:tbl>
    <w:p w:rsidR="00E3232B" w:rsidRPr="000A2EE1" w:rsidRDefault="00E3232B" w:rsidP="00E3232B">
      <w:pPr>
        <w:pStyle w:val="SingleTxtG"/>
        <w:spacing w:before="120"/>
      </w:pPr>
      <w:r w:rsidRPr="000A2EE1">
        <w:t>6.2.2.3</w:t>
      </w:r>
      <w:r w:rsidRPr="000A2EE1">
        <w:tab/>
      </w:r>
      <w:r w:rsidRPr="000A2EE1">
        <w:tab/>
        <w:t>In the table, for ISO 10297:2006, in the column “Applicable for manufacture”, replace “Until further notice” with “Until 31 December 2020”.</w:t>
      </w:r>
    </w:p>
    <w:p w:rsidR="00E3232B" w:rsidRPr="000A2EE1" w:rsidRDefault="00E3232B" w:rsidP="00E3232B">
      <w:pPr>
        <w:pStyle w:val="SingleTxtG"/>
        <w:spacing w:after="240"/>
        <w:rPr>
          <w:szCs w:val="22"/>
        </w:rPr>
      </w:pPr>
      <w:r w:rsidRPr="000A2EE1">
        <w:rPr>
          <w:szCs w:val="22"/>
        </w:rPr>
        <w:t>After the entry for ISO 10297:2006, insert a new entry to read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87"/>
        <w:gridCol w:w="1842"/>
      </w:tblGrid>
      <w:tr w:rsidR="00E3232B" w:rsidRPr="000A2EE1" w:rsidTr="00F111DD">
        <w:tc>
          <w:tcPr>
            <w:tcW w:w="1384" w:type="dxa"/>
            <w:shd w:val="clear" w:color="auto" w:fill="auto"/>
          </w:tcPr>
          <w:p w:rsidR="00E3232B" w:rsidRPr="000A2EE1" w:rsidRDefault="00E3232B" w:rsidP="00F111DD">
            <w:pPr>
              <w:spacing w:after="60"/>
              <w:ind w:right="115"/>
              <w:rPr>
                <w:iCs/>
                <w:sz w:val="18"/>
                <w:szCs w:val="18"/>
              </w:rPr>
            </w:pPr>
            <w:r w:rsidRPr="000A2EE1">
              <w:rPr>
                <w:iCs/>
                <w:sz w:val="18"/>
                <w:szCs w:val="18"/>
              </w:rPr>
              <w:t>ISO 10297:2014</w:t>
            </w:r>
          </w:p>
        </w:tc>
        <w:tc>
          <w:tcPr>
            <w:tcW w:w="5387" w:type="dxa"/>
            <w:shd w:val="clear" w:color="auto" w:fill="auto"/>
          </w:tcPr>
          <w:p w:rsidR="00E3232B" w:rsidRPr="000A2EE1" w:rsidRDefault="00E3232B" w:rsidP="00F111DD">
            <w:pPr>
              <w:spacing w:after="60"/>
              <w:ind w:right="115"/>
              <w:rPr>
                <w:sz w:val="18"/>
                <w:szCs w:val="18"/>
              </w:rPr>
            </w:pPr>
            <w:r w:rsidRPr="000A2EE1">
              <w:rPr>
                <w:sz w:val="18"/>
                <w:szCs w:val="18"/>
              </w:rPr>
              <w:t>Gas cylinders – Cylinder valves – Specification and type testing</w:t>
            </w:r>
          </w:p>
          <w:p w:rsidR="00E3232B" w:rsidRPr="000A2EE1" w:rsidRDefault="00E3232B" w:rsidP="00F111DD">
            <w:pPr>
              <w:suppressAutoHyphens w:val="0"/>
              <w:autoSpaceDE w:val="0"/>
              <w:autoSpaceDN w:val="0"/>
              <w:adjustRightInd w:val="0"/>
              <w:spacing w:after="60" w:line="240" w:lineRule="auto"/>
              <w:rPr>
                <w:iCs/>
                <w:sz w:val="18"/>
                <w:szCs w:val="18"/>
              </w:rPr>
            </w:pPr>
            <w:r w:rsidRPr="000A2EE1">
              <w:rPr>
                <w:b/>
                <w:bCs/>
                <w:i/>
                <w:iCs/>
                <w:sz w:val="18"/>
                <w:szCs w:val="18"/>
                <w:lang w:eastAsia="fr-FR"/>
              </w:rPr>
              <w:t xml:space="preserve">NOTE: </w:t>
            </w:r>
            <w:r w:rsidRPr="000A2EE1">
              <w:rPr>
                <w:i/>
                <w:iCs/>
                <w:sz w:val="18"/>
                <w:szCs w:val="18"/>
                <w:lang w:eastAsia="fr-FR"/>
              </w:rPr>
              <w:t>The EN version of this ISO standard fulfils the requirements and may also be used.</w:t>
            </w:r>
          </w:p>
        </w:tc>
        <w:tc>
          <w:tcPr>
            <w:tcW w:w="1842" w:type="dxa"/>
            <w:shd w:val="clear" w:color="auto" w:fill="auto"/>
          </w:tcPr>
          <w:p w:rsidR="00E3232B" w:rsidRPr="000A2EE1" w:rsidRDefault="00E3232B" w:rsidP="00F111DD">
            <w:pPr>
              <w:spacing w:after="60"/>
              <w:ind w:right="115"/>
              <w:rPr>
                <w:iCs/>
                <w:sz w:val="18"/>
                <w:szCs w:val="18"/>
              </w:rPr>
            </w:pPr>
            <w:r w:rsidRPr="000A2EE1">
              <w:rPr>
                <w:iCs/>
                <w:sz w:val="18"/>
                <w:szCs w:val="18"/>
              </w:rPr>
              <w:t>Until further notice</w:t>
            </w:r>
          </w:p>
        </w:tc>
      </w:tr>
    </w:tbl>
    <w:p w:rsidR="00E3232B" w:rsidRPr="000A2EE1" w:rsidRDefault="00E3232B" w:rsidP="00E3232B">
      <w:pPr>
        <w:pStyle w:val="SingleTxtG"/>
        <w:spacing w:before="120"/>
      </w:pPr>
      <w:r w:rsidRPr="000A2EE1">
        <w:t>6.2.2.4</w:t>
      </w:r>
      <w:r w:rsidRPr="000A2EE1">
        <w:tab/>
      </w:r>
      <w:r w:rsidRPr="000A2EE1">
        <w:tab/>
        <w:t>In the table, for ISO 10462:2005, replace “Until further notice” by “Until 31 December 2018”.</w:t>
      </w:r>
    </w:p>
    <w:p w:rsidR="00E3232B" w:rsidRPr="000A2EE1" w:rsidRDefault="00E3232B" w:rsidP="00E3232B">
      <w:pPr>
        <w:pStyle w:val="SingleTxtG"/>
      </w:pPr>
      <w:r w:rsidRPr="000A2EE1">
        <w:t>6.2.2.4</w:t>
      </w:r>
      <w:r w:rsidRPr="000A2EE1">
        <w:tab/>
      </w:r>
      <w:r w:rsidRPr="000A2EE1">
        <w:tab/>
        <w:t>In the table, after ISO 10462:2005, insert a new row to read as follows: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842"/>
      </w:tblGrid>
      <w:tr w:rsidR="00E3232B" w:rsidRPr="000A2EE1" w:rsidTr="00A56A54">
        <w:tc>
          <w:tcPr>
            <w:tcW w:w="1276" w:type="dxa"/>
            <w:shd w:val="clear" w:color="auto" w:fill="auto"/>
          </w:tcPr>
          <w:p w:rsidR="00E3232B" w:rsidRPr="000A2EE1" w:rsidRDefault="00E3232B" w:rsidP="00A56A54">
            <w:pPr>
              <w:spacing w:after="60"/>
              <w:rPr>
                <w:sz w:val="18"/>
                <w:szCs w:val="18"/>
              </w:rPr>
            </w:pPr>
            <w:r w:rsidRPr="000A2EE1">
              <w:rPr>
                <w:sz w:val="18"/>
                <w:szCs w:val="18"/>
              </w:rPr>
              <w:t>ISO 10462:2013</w:t>
            </w:r>
          </w:p>
        </w:tc>
        <w:tc>
          <w:tcPr>
            <w:tcW w:w="5387" w:type="dxa"/>
            <w:shd w:val="clear" w:color="auto" w:fill="auto"/>
          </w:tcPr>
          <w:p w:rsidR="00E3232B" w:rsidRPr="000A2EE1" w:rsidRDefault="00E3232B" w:rsidP="00A56A54">
            <w:pPr>
              <w:spacing w:after="60"/>
              <w:rPr>
                <w:sz w:val="18"/>
                <w:szCs w:val="18"/>
              </w:rPr>
            </w:pPr>
            <w:r w:rsidRPr="000A2EE1">
              <w:rPr>
                <w:sz w:val="18"/>
                <w:szCs w:val="18"/>
              </w:rPr>
              <w:t>Gas cylinders – Acetylene cylinders – Periodic inspection and maintenance.</w:t>
            </w:r>
          </w:p>
        </w:tc>
        <w:tc>
          <w:tcPr>
            <w:tcW w:w="1842" w:type="dxa"/>
            <w:shd w:val="clear" w:color="auto" w:fill="auto"/>
          </w:tcPr>
          <w:p w:rsidR="00E3232B" w:rsidRPr="000A2EE1" w:rsidRDefault="00E3232B" w:rsidP="00A56A54">
            <w:pPr>
              <w:spacing w:after="60"/>
              <w:rPr>
                <w:sz w:val="18"/>
                <w:szCs w:val="18"/>
              </w:rPr>
            </w:pPr>
            <w:r w:rsidRPr="000A2EE1">
              <w:rPr>
                <w:sz w:val="18"/>
                <w:szCs w:val="18"/>
              </w:rPr>
              <w:t>Until further notice</w:t>
            </w:r>
          </w:p>
        </w:tc>
      </w:tr>
    </w:tbl>
    <w:p w:rsidR="00E3232B" w:rsidRPr="000A2EE1" w:rsidRDefault="00E3232B" w:rsidP="00E3232B">
      <w:pPr>
        <w:pStyle w:val="SingleTxtG"/>
        <w:spacing w:before="120"/>
        <w:ind w:right="522"/>
      </w:pPr>
      <w:r w:rsidRPr="000A2EE1">
        <w:t>6.2.2.5.2.1</w:t>
      </w:r>
      <w:r w:rsidRPr="000A2EE1">
        <w:tab/>
        <w:t>Replace “marking” by “marks”.</w:t>
      </w:r>
    </w:p>
    <w:p w:rsidR="00E3232B" w:rsidRPr="000A2EE1" w:rsidRDefault="00E3232B" w:rsidP="00E3232B">
      <w:pPr>
        <w:pStyle w:val="SingleTxtG"/>
        <w:ind w:right="521"/>
      </w:pPr>
      <w:r w:rsidRPr="000A2EE1">
        <w:t>6.2.2.5.5</w:t>
      </w:r>
      <w:r w:rsidRPr="000A2EE1">
        <w:tab/>
        <w:t>In the fourth paragraph, replace “</w:t>
      </w:r>
      <w:r w:rsidRPr="000A2EE1">
        <w:rPr>
          <w:rFonts w:eastAsia="Calibri"/>
        </w:rPr>
        <w:t>certification marking</w:t>
      </w:r>
      <w:r w:rsidRPr="000A2EE1">
        <w:t>” by “</w:t>
      </w:r>
      <w:r w:rsidRPr="000A2EE1">
        <w:rPr>
          <w:rFonts w:eastAsia="Calibri"/>
        </w:rPr>
        <w:t>certification marks</w:t>
      </w:r>
      <w:r w:rsidRPr="000A2EE1">
        <w:t>” (twice).</w:t>
      </w:r>
    </w:p>
    <w:p w:rsidR="00E3232B" w:rsidRPr="000A2EE1" w:rsidRDefault="00E3232B" w:rsidP="00E3232B">
      <w:pPr>
        <w:pStyle w:val="SingleTxtG"/>
        <w:ind w:right="521"/>
      </w:pPr>
      <w:r w:rsidRPr="000A2EE1">
        <w:t>6.2.2.6.2.1</w:t>
      </w:r>
      <w:r w:rsidRPr="000A2EE1">
        <w:tab/>
        <w:t>In the last sentence of the first paragraph, replace “marking” by “marks”.</w:t>
      </w:r>
    </w:p>
    <w:p w:rsidR="00E3232B" w:rsidRPr="000A2EE1" w:rsidRDefault="00E3232B" w:rsidP="00E3232B">
      <w:pPr>
        <w:pStyle w:val="SingleTxtG"/>
        <w:ind w:right="521"/>
      </w:pPr>
      <w:r w:rsidRPr="000A2EE1">
        <w:t>6.2.2.6.5</w:t>
      </w:r>
      <w:r w:rsidRPr="000A2EE1">
        <w:tab/>
        <w:t>In the first paragraph, replace “marking” by “marks” (twice).</w:t>
      </w:r>
    </w:p>
    <w:p w:rsidR="00622334" w:rsidRPr="000A2EE1" w:rsidRDefault="00622334" w:rsidP="00622334">
      <w:pPr>
        <w:pStyle w:val="SingleTxtG"/>
      </w:pPr>
      <w:r w:rsidRPr="000A2EE1">
        <w:t>6.2.2.7.2 (a)</w:t>
      </w:r>
      <w:r w:rsidRPr="000A2EE1">
        <w:tab/>
        <w:t>Amend the second sentence to read as follows: “This symbol shall not be used for any purpose other than certifying that a packaging, a flexible bulk container, a portable tank or a MEGC complies with the relevant requirements in Chapter 6.1, 6.2, 6.3, 6.5, 6.6, 6.7 or 6.11.”.</w:t>
      </w:r>
    </w:p>
    <w:p w:rsidR="00E3232B" w:rsidRPr="000A2EE1" w:rsidRDefault="00E3232B" w:rsidP="00E3232B">
      <w:pPr>
        <w:pStyle w:val="SingleTxtG"/>
        <w:rPr>
          <w:iCs/>
        </w:rPr>
      </w:pPr>
      <w:r w:rsidRPr="000A2EE1">
        <w:rPr>
          <w:iCs/>
        </w:rPr>
        <w:t>6.2.2.7.4</w:t>
      </w:r>
      <w:r w:rsidRPr="000A2EE1">
        <w:rPr>
          <w:iCs/>
        </w:rPr>
        <w:tab/>
        <w:t>Insert the following new sub-paragraphs and note at the end:</w:t>
      </w:r>
    </w:p>
    <w:p w:rsidR="00E3232B" w:rsidRPr="000A2EE1" w:rsidRDefault="00E3232B" w:rsidP="00E3232B">
      <w:pPr>
        <w:pStyle w:val="SingleTxtG"/>
        <w:ind w:left="1701" w:hanging="567"/>
      </w:pPr>
      <w:r w:rsidRPr="000A2EE1">
        <w:t>“(q)</w:t>
      </w:r>
      <w:r w:rsidRPr="000A2EE1">
        <w:tab/>
        <w:t xml:space="preserve">For composite cylinders and tubes having a limited design life, the letters “FINAL” followed by the design life shown as the year (four digits) followed by the month (two digits) separated by a slash (i.e. </w:t>
      </w:r>
      <w:r w:rsidR="005A255B" w:rsidRPr="000A2EE1">
        <w:t>“/”);</w:t>
      </w:r>
    </w:p>
    <w:p w:rsidR="00E3232B" w:rsidRPr="000A2EE1" w:rsidRDefault="00E3232B" w:rsidP="00E3232B">
      <w:pPr>
        <w:pStyle w:val="SingleTxtG"/>
        <w:ind w:left="1701" w:hanging="567"/>
      </w:pPr>
      <w:r w:rsidRPr="000A2EE1">
        <w:t>(r)</w:t>
      </w:r>
      <w:r w:rsidRPr="000A2EE1">
        <w:tab/>
        <w:t xml:space="preserve">For composite cylinders and tubes having a limited design life greater than 15 years and for composite cylinders and tubes having non-limited design life, the letters “SERVICE” followed by the date 15 years from the date of manufacture (initial inspection) shown as the year (four digits) followed by the month (two digits) separated by a slash (i.e. “/”). </w:t>
      </w:r>
    </w:p>
    <w:p w:rsidR="00E3232B" w:rsidRPr="000A2EE1" w:rsidRDefault="00E3232B" w:rsidP="00E3232B">
      <w:pPr>
        <w:pStyle w:val="SingleTxtG"/>
        <w:rPr>
          <w:i/>
        </w:rPr>
      </w:pPr>
      <w:r w:rsidRPr="000A2EE1">
        <w:rPr>
          <w:b/>
          <w:i/>
        </w:rPr>
        <w:t>NOTE:</w:t>
      </w:r>
      <w:r w:rsidRPr="000A2EE1">
        <w:rPr>
          <w:i/>
        </w:rPr>
        <w:tab/>
        <w:t>Once the initial design type has passed the service life test programme requirements in accordance with 6.2.2.1.1 NOTE 2 or 6.2.2.1.2 NOTE 2, future production no longer requires this initial service life mark. The initial service life mark shall be made unreadable on cylinders and tubes of a design type that has met the service life test programme requirements.”.</w:t>
      </w:r>
    </w:p>
    <w:p w:rsidR="00E3232B" w:rsidRPr="000A2EE1" w:rsidRDefault="00E3232B" w:rsidP="00E3232B">
      <w:pPr>
        <w:pStyle w:val="SingleTxtG"/>
      </w:pPr>
      <w:r w:rsidRPr="000A2EE1">
        <w:rPr>
          <w:iCs/>
        </w:rPr>
        <w:t>6.2.2.7.5</w:t>
      </w:r>
      <w:r w:rsidRPr="000A2EE1">
        <w:rPr>
          <w:iCs/>
        </w:rPr>
        <w:tab/>
        <w:t xml:space="preserve">Add the following text at the end of the first indent: </w:t>
      </w:r>
      <w:r w:rsidR="000B5ED8" w:rsidRPr="000A2EE1">
        <w:rPr>
          <w:iCs/>
        </w:rPr>
        <w:t>“</w:t>
      </w:r>
      <w:r w:rsidRPr="000A2EE1">
        <w:t>…except for the marks described in 6.2.2.7.4 (q) and (r) which shall be adjacent to the periodic inspection and test marks of 6.2.2.7.7</w:t>
      </w:r>
      <w:r w:rsidR="000B5ED8" w:rsidRPr="000A2EE1">
        <w:t>”</w:t>
      </w:r>
      <w:r w:rsidRPr="000A2EE1">
        <w:t>.</w:t>
      </w:r>
    </w:p>
    <w:p w:rsidR="00E3232B" w:rsidRPr="000A2EE1" w:rsidRDefault="00E3232B" w:rsidP="00E3232B">
      <w:pPr>
        <w:pStyle w:val="SingleTxtG"/>
      </w:pPr>
      <w:r w:rsidRPr="000A2EE1">
        <w:t>6.2.2.7.5</w:t>
      </w:r>
      <w:r w:rsidRPr="000A2EE1">
        <w:tab/>
        <w:t>In the sentence after the subparagraphs, amend the end to read as follows: “…example of marking a cylinder.”.</w:t>
      </w:r>
    </w:p>
    <w:p w:rsidR="00E3232B" w:rsidRPr="000A2EE1" w:rsidRDefault="00E3232B" w:rsidP="00E3232B">
      <w:pPr>
        <w:pStyle w:val="SingleTxtG"/>
      </w:pPr>
      <w:r w:rsidRPr="000A2EE1">
        <w:t>6.2.2.7.7 (a)</w:t>
      </w:r>
      <w:r w:rsidRPr="000A2EE1">
        <w:tab/>
        <w:t>In the second sentence, replace “marking” by “mark”.</w:t>
      </w:r>
    </w:p>
    <w:p w:rsidR="00E3232B" w:rsidRPr="000A2EE1" w:rsidRDefault="00E3232B" w:rsidP="00E3232B">
      <w:pPr>
        <w:pStyle w:val="SingleTxtG"/>
      </w:pPr>
      <w:r w:rsidRPr="000A2EE1">
        <w:t>6.2.2.8.3</w:t>
      </w:r>
      <w:r w:rsidRPr="000A2EE1">
        <w:tab/>
        <w:t>In the Note, amend the end to read as follows: “…substitute a label for these permanent marks.”.</w:t>
      </w:r>
    </w:p>
    <w:p w:rsidR="005B246C" w:rsidRPr="000A2EE1" w:rsidRDefault="005B246C" w:rsidP="005B246C">
      <w:pPr>
        <w:pStyle w:val="SingleTxtG"/>
      </w:pPr>
      <w:r w:rsidRPr="000A2EE1">
        <w:t>6.2.2.9.2 (a)</w:t>
      </w:r>
      <w:r w:rsidRPr="000A2EE1">
        <w:tab/>
        <w:t>Amend the second sentence to read as follows: “This symbol shall not be used for any purpose other than certifying that a packaging, a flexible bulk container, a portable tank or a MEGC complies with the relevant requirements in Chapter 6.1, 6.2, 6.3, 6.5, 6.6, 6.7 or 6.11.”.</w:t>
      </w:r>
    </w:p>
    <w:p w:rsidR="00E3232B" w:rsidRPr="000A2EE1" w:rsidRDefault="00E3232B" w:rsidP="00E3232B">
      <w:pPr>
        <w:pStyle w:val="SingleTxtG"/>
      </w:pPr>
      <w:r w:rsidRPr="000A2EE1">
        <w:t>6.2.2.9.4 (a)</w:t>
      </w:r>
      <w:r w:rsidRPr="000A2EE1">
        <w:tab/>
      </w:r>
      <w:r w:rsidRPr="000A2EE1">
        <w:tab/>
        <w:t>In the second sentence, replace “marking” by “mark”.</w:t>
      </w:r>
    </w:p>
    <w:p w:rsidR="00E3232B" w:rsidRPr="000A2EE1" w:rsidRDefault="00E3232B" w:rsidP="00E3232B">
      <w:pPr>
        <w:pStyle w:val="SingleTxtG"/>
        <w:tabs>
          <w:tab w:val="left" w:pos="1843"/>
          <w:tab w:val="left" w:pos="1985"/>
          <w:tab w:val="left" w:pos="2268"/>
        </w:tabs>
        <w:rPr>
          <w:rFonts w:eastAsia="Calibri"/>
        </w:rPr>
      </w:pPr>
      <w:r w:rsidRPr="000A2EE1">
        <w:t>6.2.3.5.2</w:t>
      </w:r>
      <w:r w:rsidRPr="000A2EE1">
        <w:tab/>
      </w:r>
      <w:r w:rsidR="005A255B" w:rsidRPr="000A2EE1">
        <w:t xml:space="preserve"> (a)</w:t>
      </w:r>
      <w:r w:rsidRPr="000A2EE1">
        <w:tab/>
        <w:t>Replace “</w:t>
      </w:r>
      <w:r w:rsidRPr="000A2EE1">
        <w:rPr>
          <w:rFonts w:eastAsia="Calibri"/>
        </w:rPr>
        <w:t>markings”</w:t>
      </w:r>
      <w:r w:rsidRPr="000A2EE1">
        <w:t xml:space="preserve"> by “</w:t>
      </w:r>
      <w:r w:rsidRPr="000A2EE1">
        <w:rPr>
          <w:rFonts w:eastAsia="Calibri"/>
        </w:rPr>
        <w:t>marks”.</w:t>
      </w:r>
    </w:p>
    <w:p w:rsidR="00E3232B" w:rsidRPr="000A2EE1" w:rsidRDefault="00E3232B" w:rsidP="00E3232B">
      <w:pPr>
        <w:pStyle w:val="SingleTxtG"/>
        <w:ind w:left="2268" w:hanging="1134"/>
        <w:rPr>
          <w:rFonts w:eastAsia="Calibri"/>
        </w:rPr>
      </w:pPr>
      <w:r w:rsidRPr="000A2EE1">
        <w:rPr>
          <w:rFonts w:eastAsia="Calibri"/>
        </w:rPr>
        <w:t>6.2.3.9.1</w:t>
      </w:r>
      <w:r w:rsidRPr="000A2EE1">
        <w:rPr>
          <w:rFonts w:eastAsia="Calibri"/>
        </w:rPr>
        <w:tab/>
      </w:r>
      <w:r w:rsidRPr="000A2EE1">
        <w:rPr>
          <w:rFonts w:eastAsia="Calibri"/>
        </w:rPr>
        <w:tab/>
      </w:r>
      <w:r w:rsidRPr="000A2EE1">
        <w:t>Replace “</w:t>
      </w:r>
      <w:r w:rsidRPr="000A2EE1">
        <w:rPr>
          <w:rFonts w:eastAsia="Calibri"/>
        </w:rPr>
        <w:t>Markings”</w:t>
      </w:r>
      <w:r w:rsidRPr="000A2EE1">
        <w:t xml:space="preserve"> by “</w:t>
      </w:r>
      <w:r w:rsidRPr="000A2EE1">
        <w:rPr>
          <w:rFonts w:eastAsia="Calibri"/>
        </w:rPr>
        <w:t>Marking”.</w:t>
      </w:r>
    </w:p>
    <w:p w:rsidR="009060E5" w:rsidRPr="000A2EE1" w:rsidRDefault="009060E5" w:rsidP="005A255B">
      <w:pPr>
        <w:pStyle w:val="SingleTxtG"/>
        <w:ind w:left="2268" w:hanging="1134"/>
      </w:pPr>
      <w:r w:rsidRPr="000A2EE1">
        <w:t>6.2.3.9.2</w:t>
      </w:r>
      <w:r w:rsidRPr="000A2EE1">
        <w:tab/>
        <w:t>Amend to read as follows:</w:t>
      </w:r>
    </w:p>
    <w:p w:rsidR="009060E5" w:rsidRPr="000A2EE1" w:rsidRDefault="005A255B" w:rsidP="005A255B">
      <w:pPr>
        <w:pStyle w:val="SingleTxtG"/>
      </w:pPr>
      <w:r w:rsidRPr="000A2EE1">
        <w:t>“</w:t>
      </w:r>
      <w:r w:rsidR="009060E5" w:rsidRPr="000A2EE1">
        <w:t>6.2.3.9.2</w:t>
      </w:r>
      <w:r w:rsidRPr="000A2EE1">
        <w:tab/>
      </w:r>
      <w:r w:rsidR="009060E5" w:rsidRPr="000A2EE1">
        <w:t>The United Nations packaging symbol specified in 6.2.2.7.2 (a) and the provisions of 6.2.2.7.4 (q) and (r) shall not be applied.</w:t>
      </w:r>
      <w:r w:rsidRPr="000A2EE1">
        <w:t>”.</w:t>
      </w:r>
    </w:p>
    <w:p w:rsidR="00E3232B" w:rsidRPr="000A2EE1" w:rsidRDefault="00E3232B" w:rsidP="00E3232B">
      <w:pPr>
        <w:pStyle w:val="SingleTxtG"/>
        <w:ind w:left="2268" w:hanging="1134"/>
        <w:rPr>
          <w:rFonts w:eastAsia="Calibri"/>
        </w:rPr>
      </w:pPr>
      <w:r w:rsidRPr="000A2EE1">
        <w:t>6.2.3.9.7.3 (a)</w:t>
      </w:r>
      <w:r w:rsidRPr="000A2EE1">
        <w:tab/>
      </w:r>
      <w:r w:rsidRPr="000A2EE1">
        <w:tab/>
      </w:r>
      <w:r w:rsidRPr="000A2EE1">
        <w:tab/>
        <w:t>Replace “This marking” by “This mark”</w:t>
      </w:r>
      <w:r w:rsidRPr="000A2EE1">
        <w:rPr>
          <w:rFonts w:eastAsia="Calibri"/>
        </w:rPr>
        <w:t>.</w:t>
      </w:r>
    </w:p>
    <w:p w:rsidR="00E3232B" w:rsidRPr="000A2EE1" w:rsidRDefault="00E3232B" w:rsidP="00E3232B">
      <w:pPr>
        <w:pStyle w:val="SingleTxtG"/>
        <w:ind w:left="2268" w:hanging="1134"/>
        <w:rPr>
          <w:b/>
        </w:rPr>
      </w:pPr>
      <w:r w:rsidRPr="000A2EE1">
        <w:rPr>
          <w:rFonts w:eastAsia="Calibri"/>
        </w:rPr>
        <w:t>6.2.3.10.1</w:t>
      </w:r>
      <w:r w:rsidRPr="000A2EE1">
        <w:rPr>
          <w:rFonts w:eastAsia="Calibri"/>
        </w:rPr>
        <w:tab/>
      </w:r>
      <w:r w:rsidRPr="000A2EE1">
        <w:t>Replace “</w:t>
      </w:r>
      <w:r w:rsidRPr="000A2EE1">
        <w:rPr>
          <w:rFonts w:eastAsia="Calibri"/>
        </w:rPr>
        <w:t>Markings”</w:t>
      </w:r>
      <w:r w:rsidRPr="000A2EE1">
        <w:t xml:space="preserve"> by “</w:t>
      </w:r>
      <w:r w:rsidRPr="000A2EE1">
        <w:rPr>
          <w:rFonts w:eastAsia="Calibri"/>
        </w:rPr>
        <w:t>Marking”.</w:t>
      </w:r>
    </w:p>
    <w:p w:rsidR="00E3232B" w:rsidRPr="000A2EE1" w:rsidRDefault="00E3232B" w:rsidP="00E3232B">
      <w:pPr>
        <w:pStyle w:val="SingleTxtG"/>
        <w:rPr>
          <w:i/>
        </w:rPr>
      </w:pPr>
      <w:r w:rsidRPr="000A2EE1">
        <w:rPr>
          <w:rFonts w:eastAsia="Calibri"/>
        </w:rPr>
        <w:t>6.2.3.11.4</w:t>
      </w:r>
      <w:r w:rsidRPr="000A2EE1">
        <w:rPr>
          <w:rFonts w:eastAsia="Calibri"/>
        </w:rPr>
        <w:tab/>
        <w:t xml:space="preserve">In the last sentence, </w:t>
      </w:r>
      <w:r w:rsidRPr="000A2EE1">
        <w:t>replace “</w:t>
      </w:r>
      <w:r w:rsidRPr="000A2EE1">
        <w:rPr>
          <w:rFonts w:eastAsia="Calibri"/>
        </w:rPr>
        <w:t>marking”</w:t>
      </w:r>
      <w:r w:rsidRPr="000A2EE1">
        <w:t xml:space="preserve"> by “</w:t>
      </w:r>
      <w:r w:rsidRPr="000A2EE1">
        <w:rPr>
          <w:rFonts w:eastAsia="Calibri"/>
        </w:rPr>
        <w:t>marks”.</w:t>
      </w:r>
    </w:p>
    <w:p w:rsidR="00E3232B" w:rsidRPr="000A2EE1" w:rsidRDefault="00E3232B" w:rsidP="00E3232B">
      <w:pPr>
        <w:tabs>
          <w:tab w:val="left" w:pos="1985"/>
        </w:tabs>
        <w:spacing w:before="120" w:after="120"/>
        <w:ind w:left="1134" w:right="1134"/>
        <w:jc w:val="both"/>
      </w:pPr>
      <w:r w:rsidRPr="000A2EE1">
        <w:t>6.2.4.1</w:t>
      </w:r>
      <w:r w:rsidRPr="000A2EE1">
        <w:tab/>
        <w:t xml:space="preserve">Insert the following first sentence: </w:t>
      </w:r>
      <w:r w:rsidR="000B5ED8" w:rsidRPr="000A2EE1">
        <w:t>“</w:t>
      </w:r>
      <w:r w:rsidRPr="000A2EE1">
        <w:t>Type approval certificates shall be issued in accordance with 1.8.7.</w:t>
      </w:r>
      <w:r w:rsidR="000B5ED8" w:rsidRPr="000A2EE1">
        <w:t>”.</w:t>
      </w:r>
    </w:p>
    <w:p w:rsidR="00E3232B" w:rsidRPr="000A2EE1" w:rsidRDefault="00BC2225" w:rsidP="00BC2225">
      <w:pPr>
        <w:tabs>
          <w:tab w:val="left" w:pos="1985"/>
        </w:tabs>
        <w:spacing w:before="120" w:after="120"/>
        <w:ind w:left="1134" w:right="1134"/>
        <w:jc w:val="both"/>
      </w:pPr>
      <w:r w:rsidRPr="000A2EE1">
        <w:t>6.2.4.1</w:t>
      </w:r>
      <w:r w:rsidRPr="000A2EE1">
        <w:tab/>
      </w:r>
      <w:r w:rsidR="00E3232B" w:rsidRPr="000A2EE1">
        <w:t xml:space="preserve">Amend the sentence </w:t>
      </w:r>
      <w:r w:rsidR="000B5ED8" w:rsidRPr="000A2EE1">
        <w:t>“</w:t>
      </w:r>
      <w:r w:rsidR="00E3232B" w:rsidRPr="000A2EE1">
        <w:t>The requirements of Chapter 6.2 referred to in column (3) shall prevail in all cases.</w:t>
      </w:r>
      <w:r w:rsidR="000B5ED8" w:rsidRPr="000A2EE1">
        <w:t>”</w:t>
      </w:r>
      <w:r w:rsidR="00E3232B" w:rsidRPr="000A2EE1">
        <w:t xml:space="preserve"> to read as follows: </w:t>
      </w:r>
      <w:r w:rsidR="000B5ED8" w:rsidRPr="000A2EE1">
        <w:t>“</w:t>
      </w:r>
      <w:r w:rsidR="00E3232B" w:rsidRPr="000A2EE1">
        <w:t>The standards shall be applied in accordance with 1.1.5.</w:t>
      </w:r>
      <w:r w:rsidR="000B5ED8" w:rsidRPr="000A2EE1">
        <w:t>”.</w:t>
      </w:r>
    </w:p>
    <w:p w:rsidR="00BC2225" w:rsidRPr="000A2EE1" w:rsidRDefault="00BC2225" w:rsidP="00BC2225">
      <w:pPr>
        <w:pStyle w:val="SingleTxtG"/>
        <w:tabs>
          <w:tab w:val="left" w:pos="1985"/>
        </w:tabs>
      </w:pPr>
      <w:r w:rsidRPr="000A2EE1">
        <w:t>6.2.4.1</w:t>
      </w:r>
      <w:r w:rsidRPr="000A2EE1">
        <w:tab/>
      </w:r>
      <w:r w:rsidR="00E3232B" w:rsidRPr="000A2EE1">
        <w:t xml:space="preserve">In the table, for EN 1251-2:2000, in column (2), add a note to read as follows: </w:t>
      </w:r>
    </w:p>
    <w:p w:rsidR="00E3232B" w:rsidRPr="000A2EE1" w:rsidRDefault="00E3232B" w:rsidP="00E3232B">
      <w:pPr>
        <w:pStyle w:val="SingleTxtG"/>
      </w:pPr>
      <w:r w:rsidRPr="000A2EE1">
        <w:rPr>
          <w:i/>
        </w:rPr>
        <w:t>“</w:t>
      </w:r>
      <w:r w:rsidRPr="000A2EE1">
        <w:rPr>
          <w:rFonts w:eastAsia="Calibri"/>
          <w:b/>
          <w:i/>
        </w:rPr>
        <w:t>NOTE:</w:t>
      </w:r>
      <w:r w:rsidRPr="000A2EE1">
        <w:rPr>
          <w:rFonts w:eastAsia="Calibri"/>
          <w:i/>
        </w:rPr>
        <w:t xml:space="preserve"> Standard EN 1252-1:1998 referenced in this standard is also applicable to </w:t>
      </w:r>
      <w:r w:rsidRPr="000A2EE1">
        <w:rPr>
          <w:i/>
        </w:rPr>
        <w:t>closed cryogenic receptacles</w:t>
      </w:r>
      <w:r w:rsidRPr="000A2EE1">
        <w:rPr>
          <w:rFonts w:eastAsia="Calibri"/>
          <w:i/>
        </w:rPr>
        <w:t xml:space="preserve"> for the carriage of UN No. 1972 (METHANE, REFRIGERATED LIQUID or NATURAL GAS, REFRIGERATED LIQUID).</w:t>
      </w:r>
      <w:r w:rsidRPr="000A2EE1">
        <w:rPr>
          <w:i/>
        </w:rPr>
        <w:t>”.</w:t>
      </w:r>
    </w:p>
    <w:p w:rsidR="00E3232B" w:rsidRPr="000A2EE1" w:rsidRDefault="00BC2225" w:rsidP="00BC2225">
      <w:pPr>
        <w:tabs>
          <w:tab w:val="left" w:pos="1985"/>
        </w:tabs>
        <w:spacing w:before="120" w:after="120"/>
        <w:ind w:left="1134" w:right="1134"/>
      </w:pPr>
      <w:r w:rsidRPr="000A2EE1">
        <w:t>6.2.4.1</w:t>
      </w:r>
      <w:r w:rsidRPr="000A2EE1">
        <w:tab/>
      </w:r>
      <w:r w:rsidR="00E3232B" w:rsidRPr="000A2EE1">
        <w:t xml:space="preserve">Amend the Table, under </w:t>
      </w:r>
      <w:r w:rsidR="000B5ED8" w:rsidRPr="000A2EE1">
        <w:t>“</w:t>
      </w:r>
      <w:r w:rsidR="00E3232B" w:rsidRPr="000A2EE1">
        <w:t>for design and construction</w:t>
      </w:r>
      <w:r w:rsidR="000B5ED8" w:rsidRPr="000A2EE1">
        <w:t>”</w:t>
      </w:r>
      <w:r w:rsidR="00E3232B" w:rsidRPr="000A2EE1">
        <w:t>, as follows:</w:t>
      </w:r>
    </w:p>
    <w:p w:rsidR="00E3232B" w:rsidRPr="000A2EE1" w:rsidRDefault="00E3232B" w:rsidP="00BC2225">
      <w:pPr>
        <w:widowControl w:val="0"/>
        <w:tabs>
          <w:tab w:val="left" w:pos="1418"/>
        </w:tabs>
        <w:spacing w:before="120" w:after="120"/>
        <w:ind w:left="1985" w:right="1134"/>
      </w:pPr>
      <w:r w:rsidRPr="000A2EE1">
        <w:t xml:space="preserve">For standard </w:t>
      </w:r>
      <w:r w:rsidR="000B5ED8" w:rsidRPr="000A2EE1">
        <w:t>“</w:t>
      </w:r>
      <w:r w:rsidRPr="000A2EE1">
        <w:t>EN 14140:2003 + A1:2006</w:t>
      </w:r>
      <w:r w:rsidR="000B5ED8" w:rsidRPr="000A2EE1">
        <w:t>”</w:t>
      </w:r>
      <w:r w:rsidRPr="000A2EE1">
        <w:t xml:space="preserve">, in column (4), replace </w:t>
      </w:r>
      <w:r w:rsidR="000B5ED8" w:rsidRPr="000A2EE1">
        <w:t>“</w:t>
      </w:r>
      <w:r w:rsidRPr="000A2EE1">
        <w:t>Until further notice</w:t>
      </w:r>
      <w:r w:rsidR="000B5ED8" w:rsidRPr="000A2EE1">
        <w:t>”</w:t>
      </w:r>
      <w:r w:rsidRPr="000A2EE1">
        <w:t xml:space="preserve"> by </w:t>
      </w:r>
      <w:r w:rsidR="000B5ED8" w:rsidRPr="000A2EE1">
        <w:t>“</w:t>
      </w:r>
      <w:r w:rsidRPr="000A2EE1">
        <w:t>Between 1 January 2009 and 31 December 2018</w:t>
      </w:r>
      <w:r w:rsidR="000B5ED8" w:rsidRPr="000A2EE1">
        <w:t>”</w:t>
      </w:r>
      <w:r w:rsidRPr="000A2EE1">
        <w:t>.</w:t>
      </w:r>
    </w:p>
    <w:p w:rsidR="00E3232B" w:rsidRPr="000A2EE1" w:rsidRDefault="00E3232B" w:rsidP="00BC2225">
      <w:pPr>
        <w:widowControl w:val="0"/>
        <w:tabs>
          <w:tab w:val="left" w:pos="1418"/>
        </w:tabs>
        <w:spacing w:before="120" w:after="120"/>
        <w:ind w:left="1985" w:right="1134"/>
      </w:pPr>
      <w:r w:rsidRPr="000A2EE1">
        <w:t xml:space="preserve">After standard </w:t>
      </w:r>
      <w:r w:rsidR="000B5ED8" w:rsidRPr="000A2EE1">
        <w:t>“</w:t>
      </w:r>
      <w:r w:rsidRPr="000A2EE1">
        <w:t>EN 14140:2003 + A1:2006</w:t>
      </w:r>
      <w:r w:rsidR="000B5ED8" w:rsidRPr="000A2EE1">
        <w:t>”</w:t>
      </w:r>
      <w:r w:rsidRPr="000A2EE1">
        <w:t>, insert the following new row:</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537"/>
        <w:gridCol w:w="1012"/>
        <w:gridCol w:w="956"/>
        <w:gridCol w:w="583"/>
      </w:tblGrid>
      <w:tr w:rsidR="00E3232B" w:rsidRPr="000A2EE1" w:rsidTr="009B5E14">
        <w:tc>
          <w:tcPr>
            <w:tcW w:w="1558" w:type="dxa"/>
            <w:vAlign w:val="center"/>
          </w:tcPr>
          <w:p w:rsidR="00E3232B" w:rsidRPr="000A2EE1" w:rsidRDefault="00E3232B" w:rsidP="009B5E14">
            <w:pPr>
              <w:widowControl w:val="0"/>
              <w:rPr>
                <w:sz w:val="18"/>
                <w:szCs w:val="18"/>
              </w:rPr>
            </w:pPr>
            <w:r w:rsidRPr="000A2EE1">
              <w:rPr>
                <w:sz w:val="18"/>
                <w:szCs w:val="18"/>
              </w:rPr>
              <w:t>EN 14140:2014</w:t>
            </w:r>
          </w:p>
          <w:p w:rsidR="00E3232B" w:rsidRPr="000A2EE1" w:rsidRDefault="00E3232B" w:rsidP="009B5E14">
            <w:pPr>
              <w:widowControl w:val="0"/>
              <w:rPr>
                <w:sz w:val="18"/>
                <w:szCs w:val="18"/>
              </w:rPr>
            </w:pPr>
            <w:r w:rsidRPr="000A2EE1">
              <w:rPr>
                <w:rFonts w:cs="Arial"/>
                <w:sz w:val="18"/>
                <w:szCs w:val="18"/>
              </w:rPr>
              <w:t>+AC:2015</w:t>
            </w:r>
          </w:p>
        </w:tc>
        <w:tc>
          <w:tcPr>
            <w:tcW w:w="4537" w:type="dxa"/>
            <w:vAlign w:val="center"/>
          </w:tcPr>
          <w:p w:rsidR="00E3232B" w:rsidRPr="000A2EE1" w:rsidRDefault="00E3232B" w:rsidP="009B5E14">
            <w:pPr>
              <w:widowControl w:val="0"/>
              <w:rPr>
                <w:sz w:val="18"/>
                <w:szCs w:val="18"/>
              </w:rPr>
            </w:pPr>
            <w:r w:rsidRPr="000A2EE1">
              <w:rPr>
                <w:sz w:val="18"/>
                <w:szCs w:val="18"/>
              </w:rPr>
              <w:t>LPG Equipment and accessories – Transportable refillable welded steel cylinders for LPG – Alternative design and construction</w:t>
            </w:r>
          </w:p>
        </w:tc>
        <w:tc>
          <w:tcPr>
            <w:tcW w:w="1012" w:type="dxa"/>
            <w:vAlign w:val="center"/>
          </w:tcPr>
          <w:p w:rsidR="00E3232B" w:rsidRPr="000A2EE1" w:rsidRDefault="00E3232B" w:rsidP="009B5E14">
            <w:pPr>
              <w:widowControl w:val="0"/>
              <w:rPr>
                <w:sz w:val="18"/>
                <w:szCs w:val="18"/>
              </w:rPr>
            </w:pPr>
            <w:r w:rsidRPr="000A2EE1">
              <w:rPr>
                <w:sz w:val="18"/>
                <w:szCs w:val="18"/>
              </w:rPr>
              <w:t>6.2.3.1 and 6.2.3.4</w:t>
            </w:r>
          </w:p>
        </w:tc>
        <w:tc>
          <w:tcPr>
            <w:tcW w:w="956" w:type="dxa"/>
            <w:vAlign w:val="center"/>
          </w:tcPr>
          <w:p w:rsidR="00E3232B" w:rsidRPr="000A2EE1" w:rsidRDefault="00E3232B" w:rsidP="009B5E14">
            <w:pPr>
              <w:widowControl w:val="0"/>
              <w:jc w:val="center"/>
              <w:rPr>
                <w:sz w:val="18"/>
                <w:szCs w:val="18"/>
              </w:rPr>
            </w:pPr>
            <w:r w:rsidRPr="000A2EE1">
              <w:rPr>
                <w:sz w:val="18"/>
                <w:szCs w:val="18"/>
              </w:rPr>
              <w:t>Until further notice</w:t>
            </w:r>
          </w:p>
        </w:tc>
        <w:tc>
          <w:tcPr>
            <w:tcW w:w="583" w:type="dxa"/>
            <w:vAlign w:val="center"/>
          </w:tcPr>
          <w:p w:rsidR="00E3232B" w:rsidRPr="000A2EE1" w:rsidRDefault="00E3232B" w:rsidP="009B5E14">
            <w:pPr>
              <w:widowControl w:val="0"/>
              <w:rPr>
                <w:sz w:val="18"/>
                <w:szCs w:val="18"/>
              </w:rPr>
            </w:pPr>
          </w:p>
        </w:tc>
      </w:tr>
    </w:tbl>
    <w:p w:rsidR="00E3232B" w:rsidRPr="000A2EE1" w:rsidRDefault="00E3232B" w:rsidP="00E3232B">
      <w:pPr>
        <w:tabs>
          <w:tab w:val="left" w:pos="1418"/>
          <w:tab w:val="left" w:pos="1985"/>
        </w:tabs>
        <w:spacing w:before="120" w:after="120"/>
        <w:ind w:left="1134"/>
      </w:pPr>
      <w:r w:rsidRPr="000A2EE1">
        <w:t>6.2.4.1</w:t>
      </w:r>
      <w:r w:rsidRPr="000A2EE1">
        <w:tab/>
        <w:t xml:space="preserve">Amend the Table, under </w:t>
      </w:r>
      <w:r w:rsidR="000B5ED8" w:rsidRPr="000A2EE1">
        <w:t>“</w:t>
      </w:r>
      <w:r w:rsidRPr="000A2EE1">
        <w:t>for closures</w:t>
      </w:r>
      <w:r w:rsidR="000B5ED8" w:rsidRPr="000A2EE1">
        <w:t>”</w:t>
      </w:r>
      <w:r w:rsidRPr="000A2EE1">
        <w:t>, as follows:</w:t>
      </w:r>
    </w:p>
    <w:p w:rsidR="00E3232B" w:rsidRPr="000A2EE1" w:rsidRDefault="00E3232B" w:rsidP="00BC2225">
      <w:pPr>
        <w:widowControl w:val="0"/>
        <w:tabs>
          <w:tab w:val="left" w:pos="1418"/>
        </w:tabs>
        <w:spacing w:before="120" w:after="120"/>
        <w:ind w:left="2268" w:hanging="284"/>
        <w:rPr>
          <w:rFonts w:cs="Arial"/>
          <w:szCs w:val="22"/>
        </w:rPr>
      </w:pPr>
      <w:r w:rsidRPr="000A2EE1">
        <w:rPr>
          <w:rFonts w:cs="Arial"/>
          <w:szCs w:val="22"/>
        </w:rPr>
        <w:t>At the end, add the following standards:</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4252"/>
        <w:gridCol w:w="1296"/>
        <w:gridCol w:w="972"/>
        <w:gridCol w:w="567"/>
      </w:tblGrid>
      <w:tr w:rsidR="00E3232B" w:rsidRPr="000A2EE1" w:rsidTr="009B5E14">
        <w:tc>
          <w:tcPr>
            <w:tcW w:w="1559" w:type="dxa"/>
            <w:vAlign w:val="center"/>
          </w:tcPr>
          <w:p w:rsidR="00E3232B" w:rsidRPr="000A2EE1" w:rsidRDefault="00E3232B" w:rsidP="009B5E14">
            <w:pPr>
              <w:widowControl w:val="0"/>
              <w:rPr>
                <w:sz w:val="18"/>
                <w:szCs w:val="18"/>
              </w:rPr>
            </w:pPr>
            <w:r w:rsidRPr="000A2EE1">
              <w:rPr>
                <w:sz w:val="18"/>
                <w:szCs w:val="18"/>
              </w:rPr>
              <w:t>EN 13175:</w:t>
            </w:r>
            <w:r w:rsidRPr="000A2EE1">
              <w:rPr>
                <w:sz w:val="18"/>
                <w:szCs w:val="18"/>
              </w:rPr>
              <w:br/>
              <w:t>2014</w:t>
            </w:r>
          </w:p>
        </w:tc>
        <w:tc>
          <w:tcPr>
            <w:tcW w:w="4252" w:type="dxa"/>
            <w:vAlign w:val="center"/>
          </w:tcPr>
          <w:p w:rsidR="00E3232B" w:rsidRPr="000A2EE1" w:rsidRDefault="00E3232B" w:rsidP="009B5E14">
            <w:pPr>
              <w:widowControl w:val="0"/>
              <w:rPr>
                <w:sz w:val="18"/>
                <w:szCs w:val="18"/>
              </w:rPr>
            </w:pPr>
            <w:r w:rsidRPr="000A2EE1">
              <w:rPr>
                <w:sz w:val="18"/>
                <w:szCs w:val="18"/>
              </w:rPr>
              <w:t>LPG Equipment and accessories – Specification and testing for Liquefied Petroleum Gas (LPG) pressure vessel valves and fittings</w:t>
            </w:r>
          </w:p>
        </w:tc>
        <w:tc>
          <w:tcPr>
            <w:tcW w:w="1296" w:type="dxa"/>
            <w:vAlign w:val="center"/>
          </w:tcPr>
          <w:p w:rsidR="00E3232B" w:rsidRPr="000A2EE1" w:rsidRDefault="00E3232B" w:rsidP="009B5E14">
            <w:pPr>
              <w:widowControl w:val="0"/>
              <w:rPr>
                <w:sz w:val="18"/>
                <w:szCs w:val="18"/>
              </w:rPr>
            </w:pPr>
            <w:r w:rsidRPr="000A2EE1">
              <w:rPr>
                <w:sz w:val="18"/>
                <w:szCs w:val="18"/>
              </w:rPr>
              <w:t>6.2.3.1 and 6.2.3.3</w:t>
            </w:r>
          </w:p>
        </w:tc>
        <w:tc>
          <w:tcPr>
            <w:tcW w:w="972" w:type="dxa"/>
            <w:vAlign w:val="center"/>
          </w:tcPr>
          <w:p w:rsidR="00E3232B" w:rsidRPr="000A2EE1" w:rsidRDefault="00E3232B" w:rsidP="009B5E14">
            <w:pPr>
              <w:widowControl w:val="0"/>
              <w:jc w:val="center"/>
              <w:rPr>
                <w:sz w:val="18"/>
                <w:szCs w:val="18"/>
              </w:rPr>
            </w:pPr>
            <w:r w:rsidRPr="000A2EE1">
              <w:rPr>
                <w:sz w:val="18"/>
                <w:szCs w:val="18"/>
              </w:rPr>
              <w:t>Until further notice</w:t>
            </w:r>
          </w:p>
        </w:tc>
        <w:tc>
          <w:tcPr>
            <w:tcW w:w="567" w:type="dxa"/>
          </w:tcPr>
          <w:p w:rsidR="00E3232B" w:rsidRPr="000A2EE1" w:rsidRDefault="00E3232B" w:rsidP="009B5E14">
            <w:pPr>
              <w:widowControl w:val="0"/>
              <w:spacing w:before="120" w:after="120"/>
              <w:jc w:val="center"/>
              <w:rPr>
                <w:rFonts w:cs="Arial"/>
                <w:sz w:val="18"/>
                <w:szCs w:val="18"/>
              </w:rPr>
            </w:pPr>
          </w:p>
        </w:tc>
      </w:tr>
      <w:tr w:rsidR="00E3232B" w:rsidRPr="000A2EE1" w:rsidTr="009B5E14">
        <w:tc>
          <w:tcPr>
            <w:tcW w:w="1559" w:type="dxa"/>
          </w:tcPr>
          <w:p w:rsidR="00E3232B" w:rsidRPr="000A2EE1" w:rsidRDefault="00E3232B" w:rsidP="009B5E14">
            <w:pPr>
              <w:widowControl w:val="0"/>
              <w:spacing w:before="120" w:after="120"/>
              <w:rPr>
                <w:rFonts w:cs="Arial"/>
                <w:sz w:val="18"/>
                <w:szCs w:val="18"/>
              </w:rPr>
            </w:pPr>
            <w:r w:rsidRPr="000A2EE1">
              <w:rPr>
                <w:rFonts w:cs="Arial"/>
                <w:sz w:val="18"/>
                <w:szCs w:val="18"/>
              </w:rPr>
              <w:t>EN ISO 17871:2015</w:t>
            </w:r>
          </w:p>
        </w:tc>
        <w:tc>
          <w:tcPr>
            <w:tcW w:w="4252" w:type="dxa"/>
          </w:tcPr>
          <w:p w:rsidR="00E3232B" w:rsidRPr="000A2EE1" w:rsidRDefault="00E3232B" w:rsidP="009B5E14">
            <w:pPr>
              <w:widowControl w:val="0"/>
              <w:spacing w:before="120" w:after="120"/>
              <w:rPr>
                <w:rFonts w:cs="Arial"/>
                <w:sz w:val="18"/>
                <w:szCs w:val="18"/>
              </w:rPr>
            </w:pPr>
            <w:r w:rsidRPr="000A2EE1">
              <w:rPr>
                <w:rFonts w:cs="Arial"/>
                <w:bCs/>
                <w:sz w:val="18"/>
                <w:szCs w:val="18"/>
              </w:rPr>
              <w:t>Gas cylinders – Quick-release cylinder valves - Specification and type testing (ISO 17871:2015)</w:t>
            </w:r>
          </w:p>
        </w:tc>
        <w:tc>
          <w:tcPr>
            <w:tcW w:w="1296" w:type="dxa"/>
          </w:tcPr>
          <w:p w:rsidR="00E3232B" w:rsidRPr="000A2EE1" w:rsidRDefault="00E3232B" w:rsidP="009B5E14">
            <w:pPr>
              <w:widowControl w:val="0"/>
              <w:spacing w:before="120" w:after="120"/>
              <w:rPr>
                <w:rFonts w:cs="Arial"/>
                <w:sz w:val="18"/>
                <w:szCs w:val="18"/>
              </w:rPr>
            </w:pPr>
            <w:r w:rsidRPr="000A2EE1">
              <w:rPr>
                <w:rFonts w:cs="Arial"/>
                <w:sz w:val="18"/>
                <w:szCs w:val="18"/>
              </w:rPr>
              <w:t>6.2.3.1, 6.2.3.3 and 6.2.3.4</w:t>
            </w:r>
          </w:p>
        </w:tc>
        <w:tc>
          <w:tcPr>
            <w:tcW w:w="972" w:type="dxa"/>
          </w:tcPr>
          <w:p w:rsidR="00E3232B" w:rsidRPr="000A2EE1" w:rsidRDefault="00E3232B" w:rsidP="009B5E14">
            <w:pPr>
              <w:widowControl w:val="0"/>
              <w:spacing w:before="120" w:after="120"/>
              <w:rPr>
                <w:rFonts w:cs="Arial"/>
                <w:sz w:val="18"/>
                <w:szCs w:val="18"/>
              </w:rPr>
            </w:pPr>
            <w:r w:rsidRPr="000A2EE1">
              <w:rPr>
                <w:rFonts w:cs="Arial"/>
                <w:sz w:val="18"/>
                <w:szCs w:val="18"/>
              </w:rPr>
              <w:t>Until further notice</w:t>
            </w:r>
          </w:p>
        </w:tc>
        <w:tc>
          <w:tcPr>
            <w:tcW w:w="567" w:type="dxa"/>
          </w:tcPr>
          <w:p w:rsidR="00E3232B" w:rsidRPr="000A2EE1" w:rsidRDefault="00E3232B" w:rsidP="009B5E14">
            <w:pPr>
              <w:widowControl w:val="0"/>
              <w:spacing w:before="120" w:after="120"/>
              <w:rPr>
                <w:rFonts w:cs="Arial"/>
                <w:sz w:val="18"/>
                <w:szCs w:val="18"/>
              </w:rPr>
            </w:pPr>
          </w:p>
        </w:tc>
      </w:tr>
      <w:tr w:rsidR="00E3232B" w:rsidRPr="000A2EE1" w:rsidTr="009B5E14">
        <w:tc>
          <w:tcPr>
            <w:tcW w:w="1559" w:type="dxa"/>
          </w:tcPr>
          <w:p w:rsidR="00E3232B" w:rsidRPr="000A2EE1" w:rsidRDefault="00E3232B" w:rsidP="009B5E14">
            <w:pPr>
              <w:widowControl w:val="0"/>
              <w:spacing w:before="120" w:after="120"/>
              <w:rPr>
                <w:rFonts w:cs="Arial"/>
                <w:sz w:val="18"/>
                <w:szCs w:val="18"/>
              </w:rPr>
            </w:pPr>
            <w:r w:rsidRPr="000A2EE1">
              <w:rPr>
                <w:rFonts w:cs="Arial"/>
                <w:sz w:val="18"/>
                <w:szCs w:val="18"/>
              </w:rPr>
              <w:t>EN 13953:2015</w:t>
            </w:r>
          </w:p>
        </w:tc>
        <w:tc>
          <w:tcPr>
            <w:tcW w:w="4252" w:type="dxa"/>
          </w:tcPr>
          <w:p w:rsidR="00E3232B" w:rsidRPr="000A2EE1" w:rsidRDefault="00E3232B" w:rsidP="009B5E14">
            <w:pPr>
              <w:widowControl w:val="0"/>
              <w:spacing w:before="120" w:after="120"/>
              <w:rPr>
                <w:rFonts w:cs="Arial"/>
                <w:bCs/>
                <w:sz w:val="18"/>
                <w:szCs w:val="18"/>
              </w:rPr>
            </w:pPr>
            <w:r w:rsidRPr="000A2EE1">
              <w:rPr>
                <w:rFonts w:cs="Arial"/>
                <w:bCs/>
                <w:sz w:val="18"/>
                <w:szCs w:val="18"/>
              </w:rPr>
              <w:t>LPG equipment and accessories – Pressure relief valves for transportable refillable cylinders for Liquefied Petroleum Gas (LPG)</w:t>
            </w:r>
          </w:p>
          <w:p w:rsidR="00E3232B" w:rsidRPr="000A2EE1" w:rsidRDefault="00E3232B" w:rsidP="009B5E14">
            <w:pPr>
              <w:widowControl w:val="0"/>
              <w:spacing w:before="120" w:after="120"/>
              <w:rPr>
                <w:rFonts w:cs="Arial"/>
                <w:bCs/>
                <w:i/>
                <w:sz w:val="18"/>
                <w:szCs w:val="18"/>
              </w:rPr>
            </w:pPr>
            <w:r w:rsidRPr="000A2EE1">
              <w:rPr>
                <w:rFonts w:cs="Arial"/>
                <w:b/>
                <w:bCs/>
                <w:i/>
                <w:sz w:val="18"/>
                <w:szCs w:val="18"/>
              </w:rPr>
              <w:t>NOTE:</w:t>
            </w:r>
            <w:r w:rsidRPr="000A2EE1">
              <w:rPr>
                <w:rFonts w:cs="Arial"/>
                <w:bCs/>
                <w:i/>
                <w:sz w:val="18"/>
                <w:szCs w:val="18"/>
              </w:rPr>
              <w:tab/>
              <w:t xml:space="preserve"> The final sentence of the scope shall not apply.</w:t>
            </w:r>
          </w:p>
        </w:tc>
        <w:tc>
          <w:tcPr>
            <w:tcW w:w="1296" w:type="dxa"/>
          </w:tcPr>
          <w:p w:rsidR="00E3232B" w:rsidRPr="000A2EE1" w:rsidRDefault="00E3232B" w:rsidP="009B5E14">
            <w:pPr>
              <w:widowControl w:val="0"/>
              <w:spacing w:before="120" w:after="120"/>
              <w:rPr>
                <w:rFonts w:cs="Arial"/>
                <w:sz w:val="18"/>
                <w:szCs w:val="18"/>
              </w:rPr>
            </w:pPr>
            <w:r w:rsidRPr="000A2EE1">
              <w:rPr>
                <w:rFonts w:cs="Arial"/>
                <w:sz w:val="18"/>
                <w:szCs w:val="18"/>
              </w:rPr>
              <w:t>6.2.3.1, 6.2.3.3 and 6.2.3.4</w:t>
            </w:r>
          </w:p>
        </w:tc>
        <w:tc>
          <w:tcPr>
            <w:tcW w:w="972" w:type="dxa"/>
          </w:tcPr>
          <w:p w:rsidR="00E3232B" w:rsidRPr="000A2EE1" w:rsidRDefault="00E3232B" w:rsidP="009B5E14">
            <w:pPr>
              <w:widowControl w:val="0"/>
              <w:spacing w:before="120" w:after="120"/>
              <w:rPr>
                <w:rFonts w:cs="Arial"/>
                <w:sz w:val="18"/>
                <w:szCs w:val="18"/>
              </w:rPr>
            </w:pPr>
            <w:r w:rsidRPr="000A2EE1">
              <w:rPr>
                <w:rFonts w:cs="Arial"/>
                <w:sz w:val="18"/>
                <w:szCs w:val="18"/>
              </w:rPr>
              <w:t>Until further notice</w:t>
            </w:r>
          </w:p>
        </w:tc>
        <w:tc>
          <w:tcPr>
            <w:tcW w:w="567" w:type="dxa"/>
          </w:tcPr>
          <w:p w:rsidR="00E3232B" w:rsidRPr="000A2EE1" w:rsidRDefault="00E3232B" w:rsidP="009B5E14">
            <w:pPr>
              <w:widowControl w:val="0"/>
              <w:spacing w:before="120" w:after="120"/>
              <w:rPr>
                <w:rFonts w:cs="Arial"/>
                <w:sz w:val="18"/>
                <w:szCs w:val="18"/>
              </w:rPr>
            </w:pPr>
          </w:p>
        </w:tc>
      </w:tr>
    </w:tbl>
    <w:p w:rsidR="00E3232B" w:rsidRPr="000A2EE1" w:rsidRDefault="00E3232B" w:rsidP="00BC2225">
      <w:pPr>
        <w:tabs>
          <w:tab w:val="left" w:pos="2268"/>
        </w:tabs>
        <w:spacing w:before="120" w:after="120"/>
        <w:ind w:left="1134"/>
      </w:pPr>
      <w:r w:rsidRPr="000A2EE1">
        <w:rPr>
          <w:rFonts w:cs="Arial"/>
          <w:szCs w:val="22"/>
        </w:rPr>
        <w:t>6.2.4.2</w:t>
      </w:r>
      <w:r w:rsidRPr="000A2EE1">
        <w:rPr>
          <w:rFonts w:cs="Arial"/>
          <w:szCs w:val="22"/>
        </w:rPr>
        <w:tab/>
      </w:r>
      <w:r w:rsidRPr="000A2EE1">
        <w:rPr>
          <w:rFonts w:cs="Arial"/>
          <w:szCs w:val="22"/>
        </w:rPr>
        <w:tab/>
        <w:t xml:space="preserve">At the end of the first sub-paragraph, delete </w:t>
      </w:r>
      <w:r w:rsidR="000B5ED8" w:rsidRPr="000A2EE1">
        <w:rPr>
          <w:rFonts w:cs="Arial"/>
          <w:szCs w:val="22"/>
        </w:rPr>
        <w:t>“</w:t>
      </w:r>
      <w:r w:rsidRPr="000A2EE1">
        <w:rPr>
          <w:rFonts w:cs="Arial"/>
          <w:szCs w:val="22"/>
        </w:rPr>
        <w:t>which shall prevail in all cases</w:t>
      </w:r>
      <w:r w:rsidR="000B5ED8" w:rsidRPr="000A2EE1">
        <w:rPr>
          <w:rFonts w:cs="Arial"/>
          <w:szCs w:val="22"/>
        </w:rPr>
        <w:t>”</w:t>
      </w:r>
      <w:r w:rsidRPr="000A2EE1">
        <w:rPr>
          <w:rFonts w:cs="Arial"/>
          <w:szCs w:val="22"/>
        </w:rPr>
        <w:t>.</w:t>
      </w:r>
      <w:r w:rsidR="00BC2225" w:rsidRPr="000A2EE1">
        <w:rPr>
          <w:rFonts w:cs="Arial"/>
          <w:szCs w:val="22"/>
        </w:rPr>
        <w:t xml:space="preserve"> </w:t>
      </w:r>
      <w:r w:rsidRPr="000A2EE1">
        <w:rPr>
          <w:rFonts w:cs="Arial"/>
          <w:szCs w:val="22"/>
        </w:rPr>
        <w:t xml:space="preserve">At the end of the first sub-paragraph, add the following sentence </w:t>
      </w:r>
      <w:r w:rsidR="000B5ED8" w:rsidRPr="000A2EE1">
        <w:rPr>
          <w:rFonts w:cs="Arial"/>
          <w:szCs w:val="22"/>
        </w:rPr>
        <w:t>“</w:t>
      </w:r>
      <w:r w:rsidRPr="000A2EE1">
        <w:rPr>
          <w:rFonts w:cs="Arial"/>
          <w:szCs w:val="22"/>
        </w:rPr>
        <w:t>The standards shall be applied in accordance with 1.1.5.</w:t>
      </w:r>
      <w:r w:rsidR="000B5ED8" w:rsidRPr="000A2EE1">
        <w:rPr>
          <w:rFonts w:cs="Arial"/>
          <w:szCs w:val="22"/>
        </w:rPr>
        <w:t>”</w:t>
      </w:r>
      <w:r w:rsidRPr="000A2EE1">
        <w:rPr>
          <w:rFonts w:cs="Arial"/>
          <w:szCs w:val="22"/>
        </w:rPr>
        <w:t>.</w:t>
      </w:r>
    </w:p>
    <w:p w:rsidR="00E3232B" w:rsidRPr="000A2EE1" w:rsidRDefault="00E3232B" w:rsidP="00E3232B">
      <w:pPr>
        <w:tabs>
          <w:tab w:val="left" w:pos="2268"/>
        </w:tabs>
        <w:spacing w:before="120" w:after="120"/>
        <w:ind w:left="1134"/>
        <w:rPr>
          <w:rFonts w:cs="Arial"/>
          <w:szCs w:val="22"/>
        </w:rPr>
      </w:pPr>
      <w:r w:rsidRPr="000A2EE1">
        <w:rPr>
          <w:rFonts w:cs="Arial"/>
          <w:szCs w:val="22"/>
        </w:rPr>
        <w:t>6.2.4.2</w:t>
      </w:r>
      <w:r w:rsidRPr="000A2EE1">
        <w:rPr>
          <w:rFonts w:cs="Arial"/>
          <w:szCs w:val="22"/>
        </w:rPr>
        <w:tab/>
        <w:t>Amend the Table as follows:</w:t>
      </w:r>
    </w:p>
    <w:p w:rsidR="00E3232B" w:rsidRPr="000A2EE1" w:rsidRDefault="00E3232B" w:rsidP="00BC2225">
      <w:pPr>
        <w:spacing w:before="120" w:after="120"/>
        <w:ind w:left="2268" w:right="1134"/>
        <w:jc w:val="both"/>
        <w:rPr>
          <w:rFonts w:cs="Arial"/>
          <w:szCs w:val="22"/>
        </w:rPr>
      </w:pPr>
      <w:r w:rsidRPr="000A2EE1">
        <w:rPr>
          <w:rFonts w:cs="Arial"/>
          <w:szCs w:val="22"/>
        </w:rPr>
        <w:t xml:space="preserve">For standard </w:t>
      </w:r>
      <w:r w:rsidR="000B5ED8" w:rsidRPr="000A2EE1">
        <w:rPr>
          <w:rFonts w:cs="Arial"/>
          <w:szCs w:val="22"/>
        </w:rPr>
        <w:t>“</w:t>
      </w:r>
      <w:r w:rsidRPr="000A2EE1">
        <w:rPr>
          <w:rFonts w:cs="Arial"/>
          <w:szCs w:val="22"/>
        </w:rPr>
        <w:t>EN 14912:2005</w:t>
      </w:r>
      <w:r w:rsidR="000B5ED8" w:rsidRPr="000A2EE1">
        <w:rPr>
          <w:rFonts w:cs="Arial"/>
          <w:szCs w:val="22"/>
        </w:rPr>
        <w:t>”</w:t>
      </w:r>
      <w:r w:rsidRPr="000A2EE1">
        <w:rPr>
          <w:rFonts w:cs="Arial"/>
          <w:szCs w:val="22"/>
        </w:rPr>
        <w:t xml:space="preserve">, in the last column, replace </w:t>
      </w:r>
      <w:r w:rsidR="000B5ED8" w:rsidRPr="000A2EE1">
        <w:rPr>
          <w:rFonts w:cs="Arial"/>
          <w:szCs w:val="22"/>
        </w:rPr>
        <w:t>“</w:t>
      </w:r>
      <w:r w:rsidRPr="000A2EE1">
        <w:rPr>
          <w:rFonts w:cs="Arial"/>
          <w:szCs w:val="22"/>
        </w:rPr>
        <w:t>Until further notice</w:t>
      </w:r>
      <w:r w:rsidR="000B5ED8" w:rsidRPr="000A2EE1">
        <w:rPr>
          <w:rFonts w:cs="Arial"/>
          <w:szCs w:val="22"/>
        </w:rPr>
        <w:t>”</w:t>
      </w:r>
      <w:r w:rsidRPr="000A2EE1">
        <w:rPr>
          <w:rFonts w:cs="Arial"/>
          <w:szCs w:val="22"/>
        </w:rPr>
        <w:t xml:space="preserve"> by </w:t>
      </w:r>
      <w:r w:rsidR="000B5ED8" w:rsidRPr="000A2EE1">
        <w:rPr>
          <w:rFonts w:cs="Arial"/>
          <w:szCs w:val="22"/>
        </w:rPr>
        <w:t>“</w:t>
      </w:r>
      <w:r w:rsidRPr="000A2EE1">
        <w:rPr>
          <w:rFonts w:cs="Arial"/>
          <w:szCs w:val="22"/>
        </w:rPr>
        <w:t>Until 31 December 2018</w:t>
      </w:r>
      <w:r w:rsidR="000B5ED8" w:rsidRPr="000A2EE1">
        <w:rPr>
          <w:rFonts w:cs="Arial"/>
          <w:szCs w:val="22"/>
        </w:rPr>
        <w:t>”</w:t>
      </w:r>
      <w:r w:rsidRPr="000A2EE1">
        <w:rPr>
          <w:rFonts w:cs="Arial"/>
          <w:szCs w:val="22"/>
        </w:rPr>
        <w:t>.</w:t>
      </w:r>
    </w:p>
    <w:p w:rsidR="00E3232B" w:rsidRPr="000A2EE1" w:rsidRDefault="00E3232B" w:rsidP="00BC2225">
      <w:pPr>
        <w:spacing w:before="120" w:after="120"/>
        <w:ind w:left="2268" w:right="1134"/>
        <w:jc w:val="both"/>
        <w:rPr>
          <w:rFonts w:cs="Arial"/>
          <w:szCs w:val="22"/>
        </w:rPr>
      </w:pPr>
      <w:r w:rsidRPr="000A2EE1">
        <w:rPr>
          <w:rFonts w:cs="Arial"/>
          <w:szCs w:val="22"/>
        </w:rPr>
        <w:t xml:space="preserve">After standard </w:t>
      </w:r>
      <w:r w:rsidR="000B5ED8" w:rsidRPr="000A2EE1">
        <w:rPr>
          <w:rFonts w:cs="Arial"/>
          <w:szCs w:val="22"/>
        </w:rPr>
        <w:t>“</w:t>
      </w:r>
      <w:r w:rsidRPr="000A2EE1">
        <w:rPr>
          <w:rFonts w:cs="Arial"/>
          <w:szCs w:val="22"/>
        </w:rPr>
        <w:t>EN 14912:2005</w:t>
      </w:r>
      <w:r w:rsidR="000B5ED8" w:rsidRPr="000A2EE1">
        <w:rPr>
          <w:rFonts w:cs="Arial"/>
          <w:szCs w:val="22"/>
        </w:rPr>
        <w:t>”</w:t>
      </w:r>
      <w:r w:rsidRPr="000A2EE1">
        <w:rPr>
          <w:rFonts w:cs="Arial"/>
          <w:szCs w:val="22"/>
        </w:rPr>
        <w:t>, insert the following new row:</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5342"/>
        <w:gridCol w:w="1417"/>
      </w:tblGrid>
      <w:tr w:rsidR="00E3232B" w:rsidRPr="000A2EE1" w:rsidTr="009B5E14">
        <w:tc>
          <w:tcPr>
            <w:tcW w:w="1887" w:type="dxa"/>
          </w:tcPr>
          <w:p w:rsidR="00E3232B" w:rsidRPr="000A2EE1" w:rsidRDefault="00E3232B" w:rsidP="009B5E14">
            <w:pPr>
              <w:widowControl w:val="0"/>
              <w:spacing w:before="120" w:after="120"/>
              <w:rPr>
                <w:rFonts w:cs="Arial"/>
                <w:sz w:val="18"/>
                <w:szCs w:val="18"/>
              </w:rPr>
            </w:pPr>
            <w:r w:rsidRPr="000A2EE1">
              <w:rPr>
                <w:rFonts w:cs="Arial"/>
                <w:sz w:val="18"/>
                <w:szCs w:val="18"/>
              </w:rPr>
              <w:t>EN 14912:2015</w:t>
            </w:r>
          </w:p>
        </w:tc>
        <w:tc>
          <w:tcPr>
            <w:tcW w:w="5342" w:type="dxa"/>
          </w:tcPr>
          <w:p w:rsidR="00E3232B" w:rsidRPr="000A2EE1" w:rsidRDefault="00E3232B" w:rsidP="009B5E14">
            <w:pPr>
              <w:widowControl w:val="0"/>
              <w:spacing w:before="120" w:after="120"/>
              <w:rPr>
                <w:rFonts w:cs="Arial"/>
                <w:sz w:val="18"/>
                <w:szCs w:val="18"/>
              </w:rPr>
            </w:pPr>
            <w:r w:rsidRPr="000A2EE1">
              <w:rPr>
                <w:rFonts w:cs="Arial"/>
                <w:bCs/>
                <w:sz w:val="18"/>
                <w:szCs w:val="18"/>
              </w:rPr>
              <w:t>LPG equipment and accessories – Inspection and maintenance of LPG cylinder valves at time of periodic inspection of cylinders</w:t>
            </w:r>
          </w:p>
        </w:tc>
        <w:tc>
          <w:tcPr>
            <w:tcW w:w="1417" w:type="dxa"/>
          </w:tcPr>
          <w:p w:rsidR="00E3232B" w:rsidRPr="000A2EE1" w:rsidRDefault="00E3232B" w:rsidP="009B5E14">
            <w:pPr>
              <w:widowControl w:val="0"/>
              <w:spacing w:before="120" w:after="120"/>
              <w:jc w:val="center"/>
              <w:rPr>
                <w:rFonts w:cs="Arial"/>
                <w:sz w:val="18"/>
                <w:szCs w:val="18"/>
              </w:rPr>
            </w:pPr>
            <w:r w:rsidRPr="000A2EE1">
              <w:rPr>
                <w:rFonts w:cs="Arial"/>
                <w:sz w:val="18"/>
                <w:szCs w:val="18"/>
              </w:rPr>
              <w:t>Mandatorily from 1 January 2019</w:t>
            </w:r>
          </w:p>
        </w:tc>
      </w:tr>
    </w:tbl>
    <w:p w:rsidR="00E3232B" w:rsidRPr="000A2EE1" w:rsidRDefault="00E3232B" w:rsidP="00E3232B">
      <w:pPr>
        <w:pStyle w:val="SingleTxtG"/>
      </w:pPr>
      <w:r w:rsidRPr="000A2EE1">
        <w:t>6.2.6.1.5</w:t>
      </w:r>
      <w:r w:rsidRPr="000A2EE1">
        <w:tab/>
        <w:t>At the end, insert the following new sentence:</w:t>
      </w:r>
    </w:p>
    <w:p w:rsidR="00E3232B" w:rsidRPr="000A2EE1" w:rsidRDefault="00E3232B" w:rsidP="00E3232B">
      <w:pPr>
        <w:pStyle w:val="SingleTxtG"/>
      </w:pPr>
      <w:r w:rsidRPr="000A2EE1">
        <w:t>“In addition, the product of test pressure and water capacity shall not exceed 30 bar</w:t>
      </w:r>
      <w:r w:rsidRPr="000A2EE1">
        <w:sym w:font="Symbol" w:char="F0D7"/>
      </w:r>
      <w:r w:rsidRPr="000A2EE1">
        <w:t>litres for liquefied gases or 54 bar</w:t>
      </w:r>
      <w:r w:rsidRPr="000A2EE1">
        <w:sym w:font="Symbol" w:char="F0D7"/>
      </w:r>
      <w:r w:rsidRPr="000A2EE1">
        <w:t>litres for compressed gases and the test pressure shall not exceed 250 bar for liquefied gases or 450 bar for compressed gases”.</w:t>
      </w:r>
    </w:p>
    <w:p w:rsidR="00E3232B" w:rsidRPr="000A2EE1" w:rsidRDefault="00E3232B" w:rsidP="00E3232B">
      <w:pPr>
        <w:spacing w:before="120" w:after="120"/>
        <w:ind w:left="1134"/>
      </w:pPr>
      <w:r w:rsidRPr="000A2EE1">
        <w:t>6.2.6.4</w:t>
      </w:r>
      <w:r w:rsidRPr="000A2EE1">
        <w:tab/>
      </w:r>
      <w:r w:rsidRPr="000A2EE1">
        <w:tab/>
        <w:t xml:space="preserve">At the end of the second indent, replace </w:t>
      </w:r>
      <w:r w:rsidR="000B5ED8" w:rsidRPr="000A2EE1">
        <w:t>“</w:t>
      </w:r>
      <w:r w:rsidRPr="000A2EE1">
        <w:t>;</w:t>
      </w:r>
      <w:r w:rsidR="000B5ED8" w:rsidRPr="000A2EE1">
        <w:t>”</w:t>
      </w:r>
      <w:r w:rsidRPr="000A2EE1">
        <w:t xml:space="preserve"> by </w:t>
      </w:r>
      <w:r w:rsidR="000B5ED8" w:rsidRPr="000A2EE1">
        <w:t>“</w:t>
      </w:r>
      <w:r w:rsidRPr="000A2EE1">
        <w:t>.</w:t>
      </w:r>
      <w:r w:rsidR="000B5ED8" w:rsidRPr="000A2EE1">
        <w:t>”</w:t>
      </w:r>
      <w:r w:rsidRPr="000A2EE1">
        <w:t>.</w:t>
      </w:r>
    </w:p>
    <w:p w:rsidR="00E3232B" w:rsidRPr="000A2EE1" w:rsidRDefault="00E3232B" w:rsidP="00E3232B">
      <w:pPr>
        <w:tabs>
          <w:tab w:val="left" w:pos="567"/>
        </w:tabs>
        <w:spacing w:before="120" w:after="120"/>
        <w:ind w:left="1134"/>
        <w:jc w:val="both"/>
      </w:pPr>
      <w:r w:rsidRPr="000A2EE1">
        <w:t>Add the following new indent:</w:t>
      </w:r>
    </w:p>
    <w:p w:rsidR="00E3232B" w:rsidRPr="000A2EE1" w:rsidRDefault="000B5ED8" w:rsidP="00E3232B">
      <w:pPr>
        <w:widowControl w:val="0"/>
        <w:tabs>
          <w:tab w:val="left" w:pos="1418"/>
        </w:tabs>
        <w:spacing w:before="120" w:after="120"/>
        <w:ind w:left="1134" w:right="1134"/>
        <w:jc w:val="both"/>
      </w:pPr>
      <w:r w:rsidRPr="000A2EE1">
        <w:t>“</w:t>
      </w:r>
      <w:r w:rsidR="00695792" w:rsidRPr="000A2EE1">
        <w:t>-</w:t>
      </w:r>
      <w:r w:rsidR="00E3232B" w:rsidRPr="000A2EE1">
        <w:tab/>
        <w:t>for UN No. 2037 small receptacles containing gas (gas cartridges) containing non-toxic, non-flammable compressed or liquefied gases: EN 16509:2014 Transportable gas cylinders – Non-refillable, small transportable, steel cylinders of capacities up to and including 120 ml containing compressed or liquefied gases (compact cylinders) – Design, construction, filling and testing (excluding clause 9).</w:t>
      </w:r>
      <w:r w:rsidRPr="000A2EE1">
        <w:t>”</w:t>
      </w:r>
      <w:r w:rsidR="00E3232B" w:rsidRPr="000A2EE1">
        <w:t>.</w:t>
      </w:r>
    </w:p>
    <w:p w:rsidR="00E3232B" w:rsidRPr="000A2EE1" w:rsidRDefault="00E3232B" w:rsidP="00E3232B">
      <w:pPr>
        <w:pStyle w:val="H1G"/>
      </w:pPr>
      <w:r w:rsidRPr="000A2EE1">
        <w:tab/>
      </w:r>
      <w:r w:rsidRPr="000A2EE1">
        <w:tab/>
        <w:t>Chapter 6.3</w:t>
      </w:r>
    </w:p>
    <w:p w:rsidR="00567154" w:rsidRPr="000A2EE1" w:rsidRDefault="00E3232B" w:rsidP="00E3232B">
      <w:pPr>
        <w:pStyle w:val="SingleTxtG"/>
      </w:pPr>
      <w:r w:rsidRPr="000A2EE1">
        <w:t>6.3.4</w:t>
      </w:r>
      <w:r w:rsidR="00567154" w:rsidRPr="000A2EE1">
        <w:t>, Note 1</w:t>
      </w:r>
      <w:r w:rsidR="00567154" w:rsidRPr="000A2EE1">
        <w:tab/>
      </w:r>
      <w:r w:rsidRPr="000A2EE1">
        <w:tab/>
      </w:r>
      <w:r w:rsidR="00567154" w:rsidRPr="000A2EE1">
        <w:t>A</w:t>
      </w:r>
      <w:r w:rsidRPr="000A2EE1">
        <w:t>mend the beginning to read as follows: “</w:t>
      </w:r>
      <w:r w:rsidRPr="000A2EE1">
        <w:rPr>
          <w:i/>
        </w:rPr>
        <w:t>The marks indicate that the packaging which bears them correspond to…</w:t>
      </w:r>
      <w:r w:rsidRPr="000A2EE1">
        <w:t xml:space="preserve">”. </w:t>
      </w:r>
    </w:p>
    <w:p w:rsidR="00567154" w:rsidRPr="000A2EE1" w:rsidRDefault="00567154" w:rsidP="00E3232B">
      <w:pPr>
        <w:pStyle w:val="SingleTxtG"/>
      </w:pPr>
      <w:r w:rsidRPr="000A2EE1">
        <w:t>6.3.4, Note 2</w:t>
      </w:r>
      <w:r w:rsidRPr="000A2EE1">
        <w:tab/>
      </w:r>
      <w:r w:rsidRPr="000A2EE1">
        <w:tab/>
        <w:t>R</w:t>
      </w:r>
      <w:r w:rsidR="00E3232B" w:rsidRPr="000A2EE1">
        <w:t xml:space="preserve">eplace “marking is” by “marks are”. </w:t>
      </w:r>
    </w:p>
    <w:p w:rsidR="00E3232B" w:rsidRPr="000A2EE1" w:rsidRDefault="00567154" w:rsidP="00E3232B">
      <w:pPr>
        <w:pStyle w:val="SingleTxtG"/>
      </w:pPr>
      <w:r w:rsidRPr="000A2EE1">
        <w:t>6.3.4, Note 3</w:t>
      </w:r>
      <w:r w:rsidRPr="000A2EE1">
        <w:tab/>
      </w:r>
      <w:r w:rsidRPr="000A2EE1">
        <w:tab/>
        <w:t>R</w:t>
      </w:r>
      <w:r w:rsidR="00E3232B" w:rsidRPr="000A2EE1">
        <w:t>eplace “marking does” by “marks do”.</w:t>
      </w:r>
    </w:p>
    <w:p w:rsidR="00E3232B" w:rsidRPr="000A2EE1" w:rsidRDefault="00E3232B" w:rsidP="00E3232B">
      <w:pPr>
        <w:pStyle w:val="SingleTxtG"/>
      </w:pPr>
      <w:r w:rsidRPr="000A2EE1">
        <w:t>6.3.4.1</w:t>
      </w:r>
      <w:r w:rsidRPr="000A2EE1">
        <w:tab/>
      </w:r>
      <w:r w:rsidRPr="000A2EE1">
        <w:tab/>
        <w:t>Replace “markings” by “marks” (twice).</w:t>
      </w:r>
    </w:p>
    <w:p w:rsidR="007B0216" w:rsidRPr="000A2EE1" w:rsidRDefault="007B0216" w:rsidP="007B0216">
      <w:pPr>
        <w:pStyle w:val="SingleTxtG"/>
      </w:pPr>
      <w:r w:rsidRPr="000A2EE1">
        <w:t>6.3.4.2 (a)</w:t>
      </w:r>
      <w:r w:rsidRPr="000A2EE1">
        <w:tab/>
        <w:t>Amend the second sentence to read as follows: “This symbol shall not be used for any purpose other than certifying that a packaging, a flexible bulk container, a portable tank or a MEGC complies with the relevant requirements in Chapter 6.1, 6.2, 6.3, 6.5, 6.6, 6.7 or 6.11.”.</w:t>
      </w:r>
    </w:p>
    <w:p w:rsidR="00E3232B" w:rsidRPr="000A2EE1" w:rsidRDefault="00E3232B" w:rsidP="00E3232B">
      <w:pPr>
        <w:pStyle w:val="SingleTxtG"/>
      </w:pPr>
      <w:r w:rsidRPr="000A2EE1">
        <w:t>6.3.4.2 (g)</w:t>
      </w:r>
      <w:r w:rsidRPr="000A2EE1">
        <w:tab/>
        <w:t>Replace “marking” by “mark”.</w:t>
      </w:r>
    </w:p>
    <w:p w:rsidR="00E3232B" w:rsidRPr="000A2EE1" w:rsidRDefault="00E3232B" w:rsidP="00E3232B">
      <w:pPr>
        <w:pStyle w:val="SingleTxtG"/>
      </w:pPr>
      <w:r w:rsidRPr="000A2EE1">
        <w:t>6.3.4.3</w:t>
      </w:r>
      <w:r w:rsidRPr="000A2EE1">
        <w:tab/>
      </w:r>
      <w:r w:rsidRPr="000A2EE1">
        <w:tab/>
        <w:t>At the beginning, replace “Marking” by “Marks” and “element of the marking” by “mark”. In the second paragraph, amend the end to read as follows: “…still enable the marks required in 6.3.4.1 to be correctly identified.”.</w:t>
      </w:r>
      <w:r w:rsidR="009F7903" w:rsidRPr="000A2EE1">
        <w:t xml:space="preserve"> </w:t>
      </w:r>
      <w:r w:rsidRPr="000A2EE1">
        <w:t xml:space="preserve">Amend the beginning of the second paragraph to read as follows: </w:t>
      </w:r>
      <w:r w:rsidR="00BA5DFB" w:rsidRPr="000A2EE1">
        <w:t>“</w:t>
      </w:r>
      <w:r w:rsidRPr="000A2EE1">
        <w:t>Any additional marks shall...</w:t>
      </w:r>
      <w:r w:rsidR="00BA5DFB" w:rsidRPr="000A2EE1">
        <w:t>”</w:t>
      </w:r>
      <w:r w:rsidRPr="000A2EE1">
        <w:t>.</w:t>
      </w:r>
    </w:p>
    <w:p w:rsidR="00E3232B" w:rsidRPr="000A2EE1" w:rsidRDefault="00E3232B" w:rsidP="00E3232B">
      <w:pPr>
        <w:pStyle w:val="SingleTxtG"/>
      </w:pPr>
      <w:r w:rsidRPr="000A2EE1">
        <w:t>6.3.5.1.6 (g)</w:t>
      </w:r>
      <w:r w:rsidRPr="000A2EE1">
        <w:tab/>
        <w:t>Replace “markings” by “marks”.</w:t>
      </w:r>
    </w:p>
    <w:p w:rsidR="00E3232B" w:rsidRPr="000A2EE1" w:rsidRDefault="00E3232B" w:rsidP="00E3232B">
      <w:pPr>
        <w:pStyle w:val="H1G"/>
      </w:pPr>
      <w:r w:rsidRPr="000A2EE1">
        <w:tab/>
      </w:r>
      <w:r w:rsidRPr="000A2EE1">
        <w:tab/>
        <w:t>Chapter 6.4</w:t>
      </w:r>
    </w:p>
    <w:p w:rsidR="00E3232B" w:rsidRPr="000A2EE1" w:rsidRDefault="00E3232B" w:rsidP="00E3232B">
      <w:pPr>
        <w:pStyle w:val="SingleTxtG"/>
      </w:pPr>
      <w:r w:rsidRPr="000A2EE1">
        <w:t>6.4.22.8</w:t>
      </w:r>
      <w:r w:rsidRPr="000A2EE1">
        <w:tab/>
        <w:t xml:space="preserve">In the first sentence, insert “design” after “package”. </w:t>
      </w:r>
    </w:p>
    <w:p w:rsidR="00E3232B" w:rsidRPr="000A2EE1" w:rsidRDefault="00E3232B" w:rsidP="00E3232B">
      <w:pPr>
        <w:pStyle w:val="SingleTxtG"/>
      </w:pPr>
      <w:r w:rsidRPr="000A2EE1">
        <w:t>6.4.22.8 (a)</w:t>
      </w:r>
      <w:r w:rsidRPr="000A2EE1">
        <w:tab/>
        <w:t>Amend the end to read as follows: “…and that this certificate is validated by a competent authority of an ADR Contracting Party;”.</w:t>
      </w:r>
    </w:p>
    <w:p w:rsidR="00E3232B" w:rsidRPr="000A2EE1" w:rsidRDefault="00E3232B" w:rsidP="00E3232B">
      <w:pPr>
        <w:pStyle w:val="SingleTxtG"/>
      </w:pPr>
      <w:r w:rsidRPr="000A2EE1">
        <w:t>6.4.22.8 (b)</w:t>
      </w:r>
      <w:r w:rsidRPr="000A2EE1">
        <w:tab/>
        <w:t>Amend the end to read as follows: “…is approved by the competent authority of an ADR Contracting Party.”.</w:t>
      </w:r>
    </w:p>
    <w:p w:rsidR="00E3232B" w:rsidRPr="000A2EE1" w:rsidRDefault="00E3232B" w:rsidP="00E3232B">
      <w:pPr>
        <w:pStyle w:val="SingleTxtG"/>
      </w:pPr>
      <w:r w:rsidRPr="000A2EE1">
        <w:t>6.4.23.12 (a)</w:t>
      </w:r>
      <w:r w:rsidRPr="000A2EE1">
        <w:tab/>
      </w:r>
      <w:r w:rsidRPr="000A2EE1">
        <w:tab/>
        <w:t>In the first sentence, replace “identification marking” by “identification marks”.</w:t>
      </w:r>
    </w:p>
    <w:p w:rsidR="00E3232B" w:rsidRPr="000A2EE1" w:rsidRDefault="00E3232B" w:rsidP="00E3232B">
      <w:pPr>
        <w:pStyle w:val="SingleTxtG"/>
      </w:pPr>
      <w:r w:rsidRPr="000A2EE1">
        <w:t>6.4.23.16 (b)</w:t>
      </w:r>
      <w:r w:rsidRPr="000A2EE1">
        <w:tab/>
      </w:r>
      <w:r w:rsidRPr="000A2EE1">
        <w:tab/>
        <w:t>The amendment does not apply to the English text.</w:t>
      </w:r>
    </w:p>
    <w:p w:rsidR="00E3232B" w:rsidRPr="000A2EE1" w:rsidRDefault="00E3232B" w:rsidP="00E3232B">
      <w:pPr>
        <w:pStyle w:val="H1G"/>
      </w:pPr>
      <w:r w:rsidRPr="000A2EE1">
        <w:tab/>
      </w:r>
      <w:r w:rsidRPr="000A2EE1">
        <w:tab/>
        <w:t>Chapter 6.5</w:t>
      </w:r>
    </w:p>
    <w:p w:rsidR="00E3232B" w:rsidRPr="000A2EE1" w:rsidRDefault="00E3232B" w:rsidP="00E3232B">
      <w:pPr>
        <w:pStyle w:val="SingleTxtG"/>
      </w:pPr>
      <w:r w:rsidRPr="000A2EE1">
        <w:t>6.5.2.1</w:t>
      </w:r>
      <w:r w:rsidRPr="000A2EE1">
        <w:tab/>
      </w:r>
      <w:r w:rsidRPr="000A2EE1">
        <w:tab/>
        <w:t>The amendment does not apply to the English text.</w:t>
      </w:r>
    </w:p>
    <w:p w:rsidR="00E3232B" w:rsidRPr="000A2EE1" w:rsidRDefault="00E3232B" w:rsidP="00E3232B">
      <w:pPr>
        <w:suppressAutoHyphens w:val="0"/>
        <w:autoSpaceDE w:val="0"/>
        <w:autoSpaceDN w:val="0"/>
        <w:adjustRightInd w:val="0"/>
        <w:spacing w:after="120" w:line="240" w:lineRule="auto"/>
        <w:ind w:left="1134" w:right="1134"/>
        <w:jc w:val="both"/>
      </w:pPr>
      <w:r w:rsidRPr="000A2EE1">
        <w:t>6.5.2.1.1</w:t>
      </w:r>
      <w:r w:rsidRPr="000A2EE1">
        <w:tab/>
        <w:t xml:space="preserve">In the first paragraph, replace “markings” by “marks”. </w:t>
      </w:r>
    </w:p>
    <w:p w:rsidR="00E3232B" w:rsidRPr="000A2EE1" w:rsidRDefault="00E3232B" w:rsidP="00E3232B">
      <w:pPr>
        <w:suppressAutoHyphens w:val="0"/>
        <w:autoSpaceDE w:val="0"/>
        <w:autoSpaceDN w:val="0"/>
        <w:adjustRightInd w:val="0"/>
        <w:spacing w:after="120" w:line="240" w:lineRule="auto"/>
        <w:ind w:left="1134" w:right="1134"/>
        <w:jc w:val="both"/>
      </w:pPr>
      <w:r w:rsidRPr="000A2EE1">
        <w:t>6.5.2.1.1 (a)</w:t>
      </w:r>
      <w:r w:rsidRPr="000A2EE1">
        <w:tab/>
      </w:r>
      <w:r w:rsidR="005C05E5" w:rsidRPr="000A2EE1">
        <w:t>Amend the second sentence to read as follows: “This symbol shall not be used for any purpose other than certifying that a packaging, a flexible bulk container, a portable tank or a MEGC complies with the relevant requirements in Chapter 6.1, 6.2, 6.3, 6.5, 6.6, 6.7 or 6.11.”. In the third sentence, r</w:t>
      </w:r>
      <w:r w:rsidRPr="000A2EE1">
        <w:t xml:space="preserve">eplace “marking is stamped” by “marks are stamped”. </w:t>
      </w:r>
    </w:p>
    <w:p w:rsidR="00E3232B" w:rsidRPr="000A2EE1" w:rsidRDefault="00E3232B" w:rsidP="00E3232B">
      <w:pPr>
        <w:suppressAutoHyphens w:val="0"/>
        <w:autoSpaceDE w:val="0"/>
        <w:autoSpaceDN w:val="0"/>
        <w:adjustRightInd w:val="0"/>
        <w:spacing w:after="120" w:line="240" w:lineRule="auto"/>
        <w:ind w:left="1134" w:right="1134"/>
        <w:jc w:val="both"/>
        <w:rPr>
          <w:lang w:eastAsia="en-GB"/>
        </w:rPr>
      </w:pPr>
      <w:r w:rsidRPr="000A2EE1">
        <w:t>6.5.2.1.1</w:t>
      </w:r>
      <w:r w:rsidRPr="000A2EE1">
        <w:tab/>
      </w:r>
      <w:r w:rsidRPr="000A2EE1">
        <w:rPr>
          <w:lang w:eastAsia="en-GB"/>
        </w:rPr>
        <w:t xml:space="preserve">Amend the text after sub-paragraph (h) to read: </w:t>
      </w:r>
    </w:p>
    <w:p w:rsidR="00E3232B" w:rsidRPr="000A2EE1" w:rsidRDefault="00E3232B" w:rsidP="00E3232B">
      <w:pPr>
        <w:pStyle w:val="SingleTxtG"/>
      </w:pPr>
      <w:r w:rsidRPr="000A2EE1">
        <w:rPr>
          <w:lang w:eastAsia="en-GB"/>
        </w:rPr>
        <w:t>“The primary marks required above shall be applied in the sequence of the subparagraphs above. The marks required by 6.5.2.2 and any further mark authorized by a competent authority shall still enable the primary marks to be correctly identified.</w:t>
      </w:r>
    </w:p>
    <w:p w:rsidR="00E3232B" w:rsidRPr="000A2EE1" w:rsidRDefault="00E3232B" w:rsidP="00E3232B">
      <w:pPr>
        <w:pStyle w:val="SingleTxtG"/>
        <w:rPr>
          <w:lang w:eastAsia="en-GB"/>
        </w:rPr>
      </w:pPr>
      <w:r w:rsidRPr="000A2EE1">
        <w:rPr>
          <w:lang w:eastAsia="en-GB"/>
        </w:rPr>
        <w:t>Each mark applied in accordance with (a) to (h) and with 6.5.2.2 shall be clearly separated, e.g. by a slash or space, so as to be easily identifiable.”.</w:t>
      </w:r>
    </w:p>
    <w:p w:rsidR="00E3232B" w:rsidRPr="000A2EE1" w:rsidRDefault="00E3232B" w:rsidP="00E3232B">
      <w:pPr>
        <w:pStyle w:val="SingleTxtG"/>
      </w:pPr>
      <w:r w:rsidRPr="000A2EE1">
        <w:rPr>
          <w:iCs/>
        </w:rPr>
        <w:t>6.5.2.1.2</w:t>
      </w:r>
      <w:r w:rsidRPr="000A2EE1">
        <w:rPr>
          <w:iCs/>
        </w:rPr>
        <w:tab/>
        <w:t>In the heading, r</w:t>
      </w:r>
      <w:r w:rsidRPr="000A2EE1">
        <w:t>eplace “markings” by “marking”.</w:t>
      </w:r>
    </w:p>
    <w:p w:rsidR="00E3232B" w:rsidRPr="000A2EE1" w:rsidRDefault="00E3232B" w:rsidP="00E3232B">
      <w:pPr>
        <w:pStyle w:val="SingleTxtG"/>
      </w:pPr>
      <w:r w:rsidRPr="000A2EE1">
        <w:t>6.5.2.2.1</w:t>
      </w:r>
      <w:r w:rsidRPr="000A2EE1">
        <w:tab/>
        <w:t>Replace “markings” by “marks”. In the table, in the heading of the first column, replace “marking” by “marks” and in table note b, replace “marking” by “mark”.</w:t>
      </w:r>
    </w:p>
    <w:p w:rsidR="00E3232B" w:rsidRPr="000A2EE1" w:rsidRDefault="00E3232B" w:rsidP="00E3232B">
      <w:pPr>
        <w:pStyle w:val="SingleTxtG"/>
      </w:pPr>
      <w:r w:rsidRPr="000A2EE1">
        <w:t>6.5.2.2.3</w:t>
      </w:r>
      <w:r w:rsidRPr="000A2EE1">
        <w:tab/>
        <w:t>Replace “markings” by “marks”.</w:t>
      </w:r>
    </w:p>
    <w:p w:rsidR="00E3232B" w:rsidRPr="000A2EE1" w:rsidRDefault="00E3232B" w:rsidP="00E3232B">
      <w:pPr>
        <w:pStyle w:val="SingleTxtG"/>
      </w:pPr>
      <w:r w:rsidRPr="000A2EE1">
        <w:t>6.5.2.2.4</w:t>
      </w:r>
      <w:r w:rsidR="005C05E5" w:rsidRPr="000A2EE1">
        <w:t>, first paragraph</w:t>
      </w:r>
      <w:r w:rsidRPr="000A2EE1">
        <w:tab/>
        <w:t>Amend as follows:</w:t>
      </w:r>
    </w:p>
    <w:p w:rsidR="00E3232B" w:rsidRPr="000A2EE1" w:rsidRDefault="00E3232B" w:rsidP="004A3FC5">
      <w:pPr>
        <w:pStyle w:val="SingleTxtG"/>
        <w:ind w:left="1701"/>
      </w:pPr>
      <w:r w:rsidRPr="000A2EE1">
        <w:t>Amend the beginning of the first sentence to read as follows: “Inner receptacles that are of composite IBC design type shall be identified by the application of the marks…”, remainder unchanged.</w:t>
      </w:r>
    </w:p>
    <w:p w:rsidR="005C05E5" w:rsidRPr="000A2EE1" w:rsidRDefault="00E3232B" w:rsidP="004A3FC5">
      <w:pPr>
        <w:pStyle w:val="SingleTxtG"/>
        <w:ind w:left="1701"/>
      </w:pPr>
      <w:r w:rsidRPr="000A2EE1">
        <w:t xml:space="preserve">In the third sentence, replace “marking” by “marks”. </w:t>
      </w:r>
    </w:p>
    <w:p w:rsidR="005C05E5" w:rsidRPr="000A2EE1" w:rsidRDefault="005C05E5" w:rsidP="005C05E5">
      <w:pPr>
        <w:pStyle w:val="SingleTxtG"/>
      </w:pPr>
      <w:r w:rsidRPr="000A2EE1">
        <w:t>6.5.2.2.4, second paragraph</w:t>
      </w:r>
      <w:r w:rsidRPr="000A2EE1">
        <w:tab/>
        <w:t>Amend as follows:</w:t>
      </w:r>
    </w:p>
    <w:p w:rsidR="00E3232B" w:rsidRPr="000A2EE1" w:rsidRDefault="005C05E5" w:rsidP="004A3FC5">
      <w:pPr>
        <w:pStyle w:val="SingleTxtG"/>
        <w:ind w:left="1701"/>
      </w:pPr>
      <w:r w:rsidRPr="000A2EE1">
        <w:t>R</w:t>
      </w:r>
      <w:r w:rsidR="00E3232B" w:rsidRPr="000A2EE1">
        <w:t>eplace “marking” by “marks” and “marking” by “mark”.</w:t>
      </w:r>
    </w:p>
    <w:p w:rsidR="00E3232B" w:rsidRPr="000A2EE1" w:rsidRDefault="005C05E5" w:rsidP="00E3232B">
      <w:pPr>
        <w:pStyle w:val="SingleTxtG"/>
      </w:pPr>
      <w:r w:rsidRPr="000A2EE1">
        <w:t>6.5.2.2.4</w:t>
      </w:r>
      <w:r w:rsidRPr="000A2EE1">
        <w:tab/>
      </w:r>
      <w:r w:rsidR="00E3232B" w:rsidRPr="000A2EE1">
        <w:t>Renumber the existing Note as Note 1. Add a new Note 2 to read as follows:</w:t>
      </w:r>
    </w:p>
    <w:p w:rsidR="00E3232B" w:rsidRPr="000A2EE1" w:rsidRDefault="00E3232B" w:rsidP="00E3232B">
      <w:pPr>
        <w:pStyle w:val="SingleTxtG"/>
        <w:rPr>
          <w:i/>
        </w:rPr>
      </w:pPr>
      <w:r w:rsidRPr="000A2EE1">
        <w:t>“</w:t>
      </w:r>
      <w:r w:rsidRPr="000A2EE1">
        <w:rPr>
          <w:b/>
          <w:i/>
        </w:rPr>
        <w:t>NOTE 2:</w:t>
      </w:r>
      <w:r w:rsidRPr="000A2EE1">
        <w:rPr>
          <w:i/>
        </w:rPr>
        <w:t xml:space="preserve"> The date of manufacture of the inner receptacle may be different from the marked date of manufacture (see 6.5.2.1), repair (see 6.5.4.5.3) or remanufacture (see 6.5.2.4) of the composite IBC.”.</w:t>
      </w:r>
    </w:p>
    <w:p w:rsidR="00E3232B" w:rsidRPr="000A2EE1" w:rsidRDefault="00E3232B" w:rsidP="00E3232B">
      <w:pPr>
        <w:pStyle w:val="SingleTxtG"/>
      </w:pPr>
      <w:r w:rsidRPr="000A2EE1">
        <w:t>6.5.2.3</w:t>
      </w:r>
      <w:r w:rsidRPr="000A2EE1">
        <w:tab/>
      </w:r>
      <w:r w:rsidRPr="000A2EE1">
        <w:tab/>
        <w:t>Replace “marking indicates” by “marks indicate”.</w:t>
      </w:r>
    </w:p>
    <w:p w:rsidR="00E3232B" w:rsidRPr="000A2EE1" w:rsidRDefault="00E3232B" w:rsidP="00E3232B">
      <w:pPr>
        <w:pStyle w:val="SingleTxtG"/>
      </w:pPr>
      <w:r w:rsidRPr="000A2EE1">
        <w:t>6.5.2.4</w:t>
      </w:r>
      <w:r w:rsidRPr="000A2EE1">
        <w:tab/>
      </w:r>
      <w:r w:rsidRPr="000A2EE1">
        <w:tab/>
        <w:t>Replace “marking” by “marks” and “markings” by “marks”</w:t>
      </w:r>
    </w:p>
    <w:p w:rsidR="00E3232B" w:rsidRPr="000A2EE1" w:rsidRDefault="00E3232B" w:rsidP="00E3232B">
      <w:pPr>
        <w:pStyle w:val="SingleTxtG"/>
      </w:pPr>
      <w:r w:rsidRPr="000A2EE1">
        <w:t>6.5.4.4.1(a) (i)</w:t>
      </w:r>
      <w:r w:rsidRPr="000A2EE1">
        <w:tab/>
        <w:t>Replace “marking” by “marks”.</w:t>
      </w:r>
    </w:p>
    <w:p w:rsidR="00E3232B" w:rsidRPr="000A2EE1" w:rsidRDefault="00E3232B" w:rsidP="00E3232B">
      <w:pPr>
        <w:pStyle w:val="SingleTxtG"/>
        <w:spacing w:line="240" w:lineRule="auto"/>
      </w:pPr>
      <w:r w:rsidRPr="000A2EE1">
        <w:t>6.5.4.4.2</w:t>
      </w:r>
      <w:r w:rsidRPr="000A2EE1">
        <w:tab/>
        <w:t>Amend the introductory sentence</w:t>
      </w:r>
      <w:r w:rsidRPr="000A2EE1" w:rsidDel="00D063A2">
        <w:t xml:space="preserve"> </w:t>
      </w:r>
      <w:r w:rsidRPr="000A2EE1">
        <w:t>to read as follows:</w:t>
      </w:r>
    </w:p>
    <w:p w:rsidR="00E3232B" w:rsidRPr="000A2EE1" w:rsidRDefault="00E3232B" w:rsidP="00E3232B">
      <w:pPr>
        <w:pStyle w:val="SingleTxtG"/>
        <w:spacing w:line="240" w:lineRule="auto"/>
      </w:pPr>
      <w:r w:rsidRPr="000A2EE1">
        <w:t>“6.5.4.4.2</w:t>
      </w:r>
      <w:r w:rsidRPr="000A2EE1">
        <w:tab/>
        <w:t>Every metal, rigid plastics and composite IBC for liquids, or for solids which are filled or discharged under pressure, shall undergo a suitable leakproofness test. This test is part of a quality assurance programme as stipulated in 6.5.4.1 which shows the capability of meeting the appropriate test level indicated in 6.5.6.7.3:”.</w:t>
      </w:r>
    </w:p>
    <w:p w:rsidR="00E3232B" w:rsidRPr="000A2EE1" w:rsidRDefault="00E3232B" w:rsidP="00E3232B">
      <w:pPr>
        <w:pStyle w:val="SingleTxtG"/>
      </w:pPr>
      <w:r w:rsidRPr="000A2EE1">
        <w:t>6.5.4.5.3</w:t>
      </w:r>
      <w:r w:rsidRPr="000A2EE1">
        <w:tab/>
        <w:t>Replace “marking” by “marks”.</w:t>
      </w:r>
    </w:p>
    <w:p w:rsidR="00E3232B" w:rsidRPr="000A2EE1" w:rsidRDefault="00E3232B" w:rsidP="00E3232B">
      <w:pPr>
        <w:pStyle w:val="H1G"/>
      </w:pPr>
      <w:r w:rsidRPr="000A2EE1">
        <w:tab/>
      </w:r>
      <w:r w:rsidRPr="000A2EE1">
        <w:tab/>
        <w:t>Chapter 6.6</w:t>
      </w:r>
    </w:p>
    <w:p w:rsidR="00E3232B" w:rsidRPr="000A2EE1" w:rsidRDefault="00E3232B" w:rsidP="00E3232B">
      <w:pPr>
        <w:pStyle w:val="SingleTxtG"/>
      </w:pPr>
      <w:r w:rsidRPr="000A2EE1">
        <w:t>6.6.3.1</w:t>
      </w:r>
      <w:r w:rsidRPr="000A2EE1">
        <w:tab/>
      </w:r>
      <w:r w:rsidRPr="000A2EE1">
        <w:tab/>
        <w:t xml:space="preserve">In the first paragraph, replace “markings” by “marks”. </w:t>
      </w:r>
    </w:p>
    <w:p w:rsidR="00917BA4" w:rsidRPr="000A2EE1" w:rsidRDefault="00917BA4" w:rsidP="00917BA4">
      <w:pPr>
        <w:pStyle w:val="SingleTxtG"/>
      </w:pPr>
      <w:r w:rsidRPr="000A2EE1">
        <w:t>6.6.3.1 (a)</w:t>
      </w:r>
      <w:r w:rsidRPr="000A2EE1">
        <w:tab/>
        <w:t>Amend the second sentence to read as follows: “This symbol shall not be used for any purpose other than certifying that a packaging, a flexible bulk container, a portable tank or a MEGC complies with the relevant requirements in Chapter 6.1, 6.2, 6.3, 6.5, 6.6, 6.7 or 6.11.”.</w:t>
      </w:r>
      <w:r w:rsidR="00B963CF" w:rsidRPr="000A2EE1">
        <w:t xml:space="preserve"> In the third sentence replace “marking is” by “marks are”. </w:t>
      </w:r>
    </w:p>
    <w:p w:rsidR="00B963CF" w:rsidRPr="000A2EE1" w:rsidRDefault="00B963CF" w:rsidP="00E3232B">
      <w:pPr>
        <w:pStyle w:val="SingleTxtG"/>
      </w:pPr>
      <w:r w:rsidRPr="000A2EE1">
        <w:t>6.6.3.1</w:t>
      </w:r>
      <w:r w:rsidRPr="000A2EE1">
        <w:tab/>
      </w:r>
      <w:r w:rsidRPr="000A2EE1">
        <w:tab/>
        <w:t>In the sentences after subparagraph (h), replace “marking” by “mark”, “element of the marking” by “mark”.</w:t>
      </w:r>
    </w:p>
    <w:p w:rsidR="00E3232B" w:rsidRPr="000A2EE1" w:rsidRDefault="00E3232B" w:rsidP="00E3232B">
      <w:pPr>
        <w:pStyle w:val="SingleTxtG"/>
      </w:pPr>
      <w:r w:rsidRPr="000A2EE1">
        <w:t>6.6.3.2</w:t>
      </w:r>
      <w:r w:rsidRPr="000A2EE1">
        <w:tab/>
      </w:r>
      <w:r w:rsidRPr="000A2EE1">
        <w:tab/>
        <w:t>In the heading, replace “the marking” by “marking”.</w:t>
      </w:r>
    </w:p>
    <w:p w:rsidR="00E3232B" w:rsidRPr="000A2EE1" w:rsidRDefault="00E3232B" w:rsidP="00E3232B">
      <w:pPr>
        <w:pStyle w:val="H1G"/>
      </w:pPr>
      <w:r w:rsidRPr="000A2EE1">
        <w:tab/>
      </w:r>
      <w:r w:rsidRPr="000A2EE1">
        <w:tab/>
        <w:t>Chapter 6.7</w:t>
      </w:r>
    </w:p>
    <w:p w:rsidR="00E3232B" w:rsidRPr="000A2EE1" w:rsidRDefault="00E3232B" w:rsidP="00E3232B">
      <w:pPr>
        <w:pStyle w:val="SingleTxtG"/>
      </w:pPr>
      <w:r w:rsidRPr="000A2EE1">
        <w:t>6.7.2.19.8 (a)</w:t>
      </w:r>
      <w:r w:rsidRPr="000A2EE1">
        <w:tab/>
        <w:t>Add a new last sentence to read as follows:</w:t>
      </w:r>
    </w:p>
    <w:p w:rsidR="00E3232B" w:rsidRPr="000A2EE1" w:rsidRDefault="00E3232B" w:rsidP="00E3232B">
      <w:pPr>
        <w:pStyle w:val="SingleTxtG"/>
        <w:rPr>
          <w:rFonts w:ascii="TimesNewRomanPSMT" w:hAnsi="TimesNewRomanPSMT" w:cs="TimesNewRomanPSMT"/>
        </w:rPr>
      </w:pPr>
      <w:r w:rsidRPr="000A2EE1">
        <w:t>“The wall thickness shall be verified by appropriate measurement if this inspection indicates a reduction of wall thickness</w:t>
      </w:r>
      <w:r w:rsidRPr="000A2EE1">
        <w:rPr>
          <w:rFonts w:ascii="TimesNewRomanPSMT" w:hAnsi="TimesNewRomanPSMT" w:cs="TimesNewRomanPSMT"/>
        </w:rPr>
        <w:t>;”.</w:t>
      </w:r>
    </w:p>
    <w:p w:rsidR="00E3232B" w:rsidRPr="000A2EE1" w:rsidRDefault="00E3232B" w:rsidP="00E3232B">
      <w:pPr>
        <w:pStyle w:val="SingleTxtG"/>
        <w:ind w:right="521"/>
      </w:pPr>
      <w:r w:rsidRPr="000A2EE1">
        <w:t>6.7.2.19.8 (g)</w:t>
      </w:r>
      <w:r w:rsidRPr="000A2EE1">
        <w:tab/>
      </w:r>
      <w:r w:rsidRPr="000A2EE1">
        <w:tab/>
        <w:t>Replace “markings” by “marks”.</w:t>
      </w:r>
    </w:p>
    <w:p w:rsidR="00E3232B" w:rsidRPr="000A2EE1" w:rsidRDefault="00E3232B" w:rsidP="00E3232B">
      <w:pPr>
        <w:pStyle w:val="SingleTxtG"/>
        <w:ind w:right="521"/>
      </w:pPr>
      <w:r w:rsidRPr="000A2EE1">
        <w:t>Figure 6.7.2.20.1</w:t>
      </w:r>
      <w:r w:rsidRPr="000A2EE1">
        <w:tab/>
        <w:t>Amend the heading to read “Example of a plate for marking”.</w:t>
      </w:r>
    </w:p>
    <w:p w:rsidR="00F1043B" w:rsidRPr="000A2EE1" w:rsidRDefault="004A3FC5" w:rsidP="00F1043B">
      <w:pPr>
        <w:pStyle w:val="SingleTxtG"/>
      </w:pPr>
      <w:r w:rsidRPr="000A2EE1">
        <w:t>6.7.2.20.1 (c) (i)</w:t>
      </w:r>
      <w:r w:rsidR="00F1043B" w:rsidRPr="000A2EE1">
        <w:tab/>
        <w:t>Amend the second sentence to read as follows: “This symbol shall not be used for any purpose other than certifying that a packaging, a flexible bulk container, a portable tank or a MEGC complies with the relevant requirements in Chapter 6.1, 6.2, 6.3, 6.5, 6.6, 6.7 or 6.11.”.</w:t>
      </w:r>
    </w:p>
    <w:p w:rsidR="00F1043B" w:rsidRPr="000A2EE1" w:rsidRDefault="00F1043B" w:rsidP="00F1043B">
      <w:pPr>
        <w:pStyle w:val="SingleTxtG"/>
      </w:pPr>
      <w:r w:rsidRPr="000A2EE1">
        <w:t>6.7.3.15.8 (a)</w:t>
      </w:r>
      <w:r w:rsidRPr="000A2EE1">
        <w:tab/>
        <w:t>Add a new last sentence to read as follows:</w:t>
      </w:r>
    </w:p>
    <w:p w:rsidR="00F1043B" w:rsidRPr="000A2EE1" w:rsidRDefault="00F1043B" w:rsidP="00F1043B">
      <w:pPr>
        <w:pStyle w:val="SingleTxtG"/>
        <w:rPr>
          <w:rFonts w:ascii="TimesNewRomanPSMT" w:hAnsi="TimesNewRomanPSMT" w:cs="TimesNewRomanPSMT"/>
        </w:rPr>
      </w:pPr>
      <w:r w:rsidRPr="000A2EE1">
        <w:t>“The wall thickness shall be verified by appropriate measurement if this inspection indicates a reduction of wall thickness</w:t>
      </w:r>
      <w:r w:rsidRPr="000A2EE1">
        <w:rPr>
          <w:rFonts w:ascii="TimesNewRomanPSMT" w:hAnsi="TimesNewRomanPSMT" w:cs="TimesNewRomanPSMT"/>
        </w:rPr>
        <w:t>;”.</w:t>
      </w:r>
    </w:p>
    <w:p w:rsidR="00E3232B" w:rsidRPr="000A2EE1" w:rsidRDefault="00E3232B" w:rsidP="00E3232B">
      <w:pPr>
        <w:pStyle w:val="SingleTxtG"/>
        <w:ind w:right="521"/>
      </w:pPr>
      <w:r w:rsidRPr="000A2EE1">
        <w:t>6.7.3.15.8 (f)</w:t>
      </w:r>
      <w:r w:rsidRPr="000A2EE1">
        <w:tab/>
      </w:r>
      <w:r w:rsidRPr="000A2EE1">
        <w:tab/>
        <w:t>Replace “markings” by “marks”.</w:t>
      </w:r>
    </w:p>
    <w:p w:rsidR="00E3232B" w:rsidRPr="000A2EE1" w:rsidRDefault="00E3232B" w:rsidP="00E3232B">
      <w:pPr>
        <w:pStyle w:val="SingleTxtG"/>
        <w:ind w:right="521"/>
      </w:pPr>
      <w:r w:rsidRPr="000A2EE1">
        <w:t>Figure 6.7.3.16.1</w:t>
      </w:r>
      <w:r w:rsidRPr="000A2EE1">
        <w:tab/>
        <w:t>Amend the heading to read “Example of a plate for marking”.</w:t>
      </w:r>
    </w:p>
    <w:p w:rsidR="00F1043B" w:rsidRPr="000A2EE1" w:rsidRDefault="00F1043B" w:rsidP="00F1043B">
      <w:pPr>
        <w:pStyle w:val="SingleTxtG"/>
      </w:pPr>
      <w:r w:rsidRPr="000A2EE1">
        <w:t>6.7.3.16.1 (c) (i)</w:t>
      </w:r>
      <w:r w:rsidRPr="000A2EE1">
        <w:tab/>
        <w:t>Amend the second sentence to read as follows: “This symbol shall not be used for any purpose other than certifying that a packaging, a flexible bulk container, a portable tank or a MEGC complies with the relevant requirements in Chapter 6.1, 6.2, 6.3, 6.5, 6.6, 6.7 or 6.11.”.</w:t>
      </w:r>
    </w:p>
    <w:p w:rsidR="00E3232B" w:rsidRPr="000A2EE1" w:rsidRDefault="00E3232B" w:rsidP="00E3232B">
      <w:pPr>
        <w:pStyle w:val="SingleTxtG"/>
        <w:ind w:right="521"/>
      </w:pPr>
      <w:r w:rsidRPr="000A2EE1">
        <w:t>6.7.4.14.9 (e)</w:t>
      </w:r>
      <w:r w:rsidRPr="000A2EE1">
        <w:tab/>
      </w:r>
      <w:r w:rsidRPr="000A2EE1">
        <w:tab/>
        <w:t>Replace “markings” by “marks”.</w:t>
      </w:r>
    </w:p>
    <w:p w:rsidR="00E3232B" w:rsidRPr="000A2EE1" w:rsidRDefault="00E3232B" w:rsidP="00E3232B">
      <w:pPr>
        <w:pStyle w:val="SingleTxtG"/>
        <w:ind w:right="521"/>
      </w:pPr>
      <w:r w:rsidRPr="000A2EE1">
        <w:t>Figure 6.7.4.15.1</w:t>
      </w:r>
      <w:r w:rsidRPr="000A2EE1">
        <w:tab/>
        <w:t>Amend the heading to read “Example of a plate for marking”.</w:t>
      </w:r>
    </w:p>
    <w:p w:rsidR="00451CF5" w:rsidRPr="000A2EE1" w:rsidRDefault="00451CF5" w:rsidP="00451CF5">
      <w:pPr>
        <w:pStyle w:val="SingleTxtG"/>
      </w:pPr>
      <w:r w:rsidRPr="000A2EE1">
        <w:t>6.7.4.15.1 (c) (i)</w:t>
      </w:r>
      <w:r w:rsidRPr="000A2EE1">
        <w:tab/>
        <w:t>Amend the second sentence to read as follows: “This symbol shall not be used for any purpose other than certifying that a packaging, a flexible bulk container, a portable tank or a MEGC complies with the relevant requirements in Chapter 6.1, 6.2, 6.3, 6.5, 6.6, 6.7 or 6.11.”.</w:t>
      </w:r>
    </w:p>
    <w:p w:rsidR="00E3232B" w:rsidRPr="000A2EE1" w:rsidRDefault="00E3232B" w:rsidP="00E3232B">
      <w:pPr>
        <w:pStyle w:val="SingleTxtG"/>
      </w:pPr>
      <w:r w:rsidRPr="000A2EE1">
        <w:t>6.7.5.2.4 (a)</w:t>
      </w:r>
      <w:r w:rsidRPr="000A2EE1">
        <w:tab/>
        <w:t>Replace “ISO 11114-2:2000” with “ISO 11114-2:2013”.</w:t>
      </w:r>
    </w:p>
    <w:p w:rsidR="00E3232B" w:rsidRPr="000A2EE1" w:rsidRDefault="00E3232B" w:rsidP="00E3232B">
      <w:pPr>
        <w:pStyle w:val="SingleTxtG"/>
        <w:ind w:right="521"/>
      </w:pPr>
      <w:r w:rsidRPr="000A2EE1">
        <w:t xml:space="preserve">6.7.5.12.6 (e) </w:t>
      </w:r>
      <w:r w:rsidRPr="000A2EE1">
        <w:tab/>
      </w:r>
      <w:r w:rsidRPr="000A2EE1">
        <w:tab/>
        <w:t>Replace “markings” by “marks”.</w:t>
      </w:r>
    </w:p>
    <w:p w:rsidR="00E3232B" w:rsidRPr="000A2EE1" w:rsidRDefault="00E3232B" w:rsidP="00E3232B">
      <w:pPr>
        <w:pStyle w:val="SingleTxtG"/>
        <w:tabs>
          <w:tab w:val="left" w:pos="2552"/>
        </w:tabs>
        <w:ind w:right="521"/>
      </w:pPr>
      <w:r w:rsidRPr="000A2EE1">
        <w:t>Figure 6.7.5.13.1</w:t>
      </w:r>
      <w:r w:rsidRPr="000A2EE1">
        <w:tab/>
      </w:r>
      <w:r w:rsidRPr="000A2EE1">
        <w:tab/>
        <w:t>Amend the heading to read “Example of a plate for marking”.</w:t>
      </w:r>
    </w:p>
    <w:p w:rsidR="00702B6E" w:rsidRPr="000A2EE1" w:rsidRDefault="00702B6E" w:rsidP="00702B6E">
      <w:pPr>
        <w:pStyle w:val="SingleTxtG"/>
      </w:pPr>
      <w:r w:rsidRPr="000A2EE1">
        <w:t>6.7.5.13.1 (c) (i)</w:t>
      </w:r>
      <w:r w:rsidRPr="000A2EE1">
        <w:tab/>
        <w:t>Amend the second sentence to read as follows: “This symbol shall not be used for any purpose other than certifying that a packaging, a flexible bulk container, a portable tank or a MEGC complies with the relevant requirements in Chapter 6.1, 6.2, 6.3, 6.5, 6.6, 6.7 or 6.11.”.</w:t>
      </w:r>
    </w:p>
    <w:p w:rsidR="00E3232B" w:rsidRPr="000A2EE1" w:rsidRDefault="00E3232B" w:rsidP="00E3232B">
      <w:pPr>
        <w:pStyle w:val="H1G"/>
      </w:pPr>
      <w:r w:rsidRPr="000A2EE1">
        <w:tab/>
      </w:r>
      <w:r w:rsidRPr="000A2EE1">
        <w:tab/>
        <w:t>Chapter 6.8</w:t>
      </w:r>
    </w:p>
    <w:p w:rsidR="00E3232B" w:rsidRPr="000A2EE1" w:rsidRDefault="00E3232B" w:rsidP="00E3232B">
      <w:pPr>
        <w:tabs>
          <w:tab w:val="left" w:pos="567"/>
        </w:tabs>
        <w:spacing w:before="120" w:after="120"/>
        <w:ind w:left="1134" w:right="1134"/>
        <w:jc w:val="both"/>
      </w:pPr>
      <w:r w:rsidRPr="000A2EE1">
        <w:t>6.8.2.1.21</w:t>
      </w:r>
      <w:r w:rsidRPr="000A2EE1">
        <w:tab/>
        <w:t>The first amendment does not apply to the English text.</w:t>
      </w:r>
      <w:r w:rsidR="008023C1" w:rsidRPr="000A2EE1">
        <w:t xml:space="preserve"> </w:t>
      </w:r>
      <w:r w:rsidRPr="000A2EE1">
        <w:t xml:space="preserve">In the second Table, after the row for </w:t>
      </w:r>
      <w:r w:rsidR="00BA5DFB" w:rsidRPr="000A2EE1">
        <w:t>“</w:t>
      </w:r>
      <w:r w:rsidRPr="000A2EE1">
        <w:rPr>
          <w:bCs/>
          <w:iCs/>
        </w:rPr>
        <w:t>Austenitic stainless</w:t>
      </w:r>
      <w:r w:rsidRPr="000A2EE1">
        <w:t xml:space="preserve"> steels</w:t>
      </w:r>
      <w:r w:rsidR="00BA5DFB" w:rsidRPr="000A2EE1">
        <w:t>”</w:t>
      </w:r>
      <w:r w:rsidRPr="000A2EE1">
        <w:t>, insert the following new row:</w:t>
      </w:r>
    </w:p>
    <w:tbl>
      <w:tblPr>
        <w:tblW w:w="762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992"/>
        <w:gridCol w:w="1418"/>
      </w:tblGrid>
      <w:tr w:rsidR="00E3232B" w:rsidRPr="000A2EE1" w:rsidTr="009B5E14">
        <w:tc>
          <w:tcPr>
            <w:tcW w:w="4077" w:type="dxa"/>
          </w:tcPr>
          <w:p w:rsidR="00E3232B" w:rsidRPr="000A2EE1" w:rsidRDefault="00E3232B" w:rsidP="009B5E14">
            <w:pPr>
              <w:pStyle w:val="Randnummer"/>
              <w:spacing w:before="120" w:after="120"/>
              <w:ind w:left="0" w:firstLine="0"/>
              <w:jc w:val="left"/>
              <w:rPr>
                <w:rFonts w:ascii="Times New Roman" w:hAnsi="Times New Roman" w:cs="Arial"/>
                <w:bCs/>
                <w:color w:val="auto"/>
                <w:szCs w:val="18"/>
                <w:lang w:val="en-GB" w:eastAsia="en-US"/>
              </w:rPr>
            </w:pPr>
            <w:r w:rsidRPr="000A2EE1">
              <w:rPr>
                <w:rFonts w:ascii="Times New Roman" w:hAnsi="Times New Roman" w:cs="Arial"/>
                <w:bCs/>
                <w:color w:val="auto"/>
                <w:szCs w:val="18"/>
                <w:lang w:val="en-GB" w:eastAsia="en-US"/>
              </w:rPr>
              <w:t>Austenitic-ferritic stainless steels</w:t>
            </w:r>
          </w:p>
        </w:tc>
        <w:tc>
          <w:tcPr>
            <w:tcW w:w="1134" w:type="dxa"/>
          </w:tcPr>
          <w:p w:rsidR="00E3232B" w:rsidRPr="000A2EE1" w:rsidRDefault="00E3232B" w:rsidP="009B5E14">
            <w:pPr>
              <w:pStyle w:val="Randnummer"/>
              <w:spacing w:before="120" w:after="120"/>
              <w:ind w:left="0" w:firstLine="0"/>
              <w:jc w:val="center"/>
              <w:rPr>
                <w:rFonts w:ascii="Times New Roman" w:hAnsi="Times New Roman" w:cs="Arial"/>
                <w:bCs/>
                <w:color w:val="auto"/>
                <w:szCs w:val="18"/>
                <w:lang w:val="en-GB" w:eastAsia="en-US"/>
              </w:rPr>
            </w:pPr>
            <w:r w:rsidRPr="000A2EE1">
              <w:rPr>
                <w:rFonts w:ascii="Times New Roman" w:hAnsi="Times New Roman" w:cs="Arial"/>
                <w:bCs/>
                <w:color w:val="auto"/>
                <w:szCs w:val="18"/>
                <w:lang w:val="en-GB" w:eastAsia="en-US"/>
              </w:rPr>
              <w:t>3 mm</w:t>
            </w:r>
          </w:p>
        </w:tc>
        <w:tc>
          <w:tcPr>
            <w:tcW w:w="992" w:type="dxa"/>
          </w:tcPr>
          <w:p w:rsidR="00E3232B" w:rsidRPr="000A2EE1" w:rsidRDefault="00E3232B" w:rsidP="009B5E14">
            <w:pPr>
              <w:pStyle w:val="Randnummer"/>
              <w:spacing w:before="120" w:after="120"/>
              <w:ind w:left="0" w:firstLine="0"/>
              <w:jc w:val="center"/>
              <w:rPr>
                <w:rFonts w:ascii="Times New Roman" w:hAnsi="Times New Roman" w:cs="Arial"/>
                <w:bCs/>
                <w:color w:val="auto"/>
                <w:szCs w:val="18"/>
                <w:lang w:val="en-GB" w:eastAsia="en-US"/>
              </w:rPr>
            </w:pPr>
            <w:r w:rsidRPr="000A2EE1">
              <w:rPr>
                <w:rFonts w:ascii="Times New Roman" w:hAnsi="Times New Roman" w:cs="Arial"/>
                <w:bCs/>
                <w:color w:val="auto"/>
                <w:szCs w:val="18"/>
                <w:lang w:val="en-GB" w:eastAsia="en-US"/>
              </w:rPr>
              <w:t>3 mm</w:t>
            </w:r>
          </w:p>
        </w:tc>
        <w:tc>
          <w:tcPr>
            <w:tcW w:w="1418" w:type="dxa"/>
          </w:tcPr>
          <w:p w:rsidR="00E3232B" w:rsidRPr="000A2EE1" w:rsidRDefault="00E3232B" w:rsidP="009B5E14">
            <w:pPr>
              <w:pStyle w:val="Randnummer"/>
              <w:spacing w:before="120" w:after="120"/>
              <w:ind w:left="0" w:firstLine="0"/>
              <w:jc w:val="center"/>
              <w:rPr>
                <w:rFonts w:ascii="Times New Roman" w:hAnsi="Times New Roman" w:cs="Arial"/>
                <w:bCs/>
                <w:color w:val="auto"/>
                <w:szCs w:val="18"/>
                <w:lang w:val="en-GB" w:eastAsia="en-US"/>
              </w:rPr>
            </w:pPr>
            <w:r w:rsidRPr="000A2EE1">
              <w:rPr>
                <w:rFonts w:ascii="Times New Roman" w:hAnsi="Times New Roman" w:cs="Arial"/>
                <w:bCs/>
                <w:color w:val="auto"/>
                <w:szCs w:val="18"/>
                <w:lang w:val="en-GB" w:eastAsia="en-US"/>
              </w:rPr>
              <w:t>3.5 mm</w:t>
            </w:r>
          </w:p>
        </w:tc>
      </w:tr>
    </w:tbl>
    <w:p w:rsidR="00E3232B" w:rsidRPr="000A2EE1" w:rsidRDefault="00E3232B" w:rsidP="00E3232B">
      <w:pPr>
        <w:spacing w:before="120" w:after="120"/>
        <w:ind w:left="1134" w:right="1134"/>
        <w:jc w:val="both"/>
      </w:pPr>
      <w:r w:rsidRPr="000A2EE1">
        <w:t>6.8.2.6.1</w:t>
      </w:r>
      <w:r w:rsidRPr="000A2EE1">
        <w:tab/>
        <w:t xml:space="preserve">Insert the following first sentence </w:t>
      </w:r>
      <w:r w:rsidR="00BA5DFB" w:rsidRPr="000A2EE1">
        <w:t>“</w:t>
      </w:r>
      <w:r w:rsidRPr="000A2EE1">
        <w:t>Type approval certificates shall be issued in accordance with 1.8.7 or 6.8.2.3.</w:t>
      </w:r>
      <w:r w:rsidR="00BA5DFB" w:rsidRPr="000A2EE1">
        <w:t>”</w:t>
      </w:r>
      <w:r w:rsidRPr="000A2EE1">
        <w:t>.</w:t>
      </w:r>
    </w:p>
    <w:p w:rsidR="00E3232B" w:rsidRPr="000A2EE1" w:rsidRDefault="00E3232B" w:rsidP="00E3232B">
      <w:pPr>
        <w:spacing w:before="120" w:after="120"/>
        <w:ind w:left="1134" w:right="1134"/>
        <w:jc w:val="both"/>
      </w:pPr>
      <w:r w:rsidRPr="000A2EE1">
        <w:t xml:space="preserve">Amend the sentence </w:t>
      </w:r>
      <w:r w:rsidR="00BA5DFB" w:rsidRPr="000A2EE1">
        <w:t>“</w:t>
      </w:r>
      <w:r w:rsidRPr="000A2EE1">
        <w:t>The requirements of Chapter 6.8 referred to in column (3) shall prevail in all cases.</w:t>
      </w:r>
      <w:r w:rsidR="00BA5DFB" w:rsidRPr="000A2EE1">
        <w:t>”</w:t>
      </w:r>
      <w:r w:rsidRPr="000A2EE1">
        <w:t xml:space="preserve"> to read as follows </w:t>
      </w:r>
      <w:r w:rsidR="00BA5DFB" w:rsidRPr="000A2EE1">
        <w:t>“</w:t>
      </w:r>
      <w:r w:rsidRPr="000A2EE1">
        <w:t>The standards shall be applied in accordance with 1.1.5.</w:t>
      </w:r>
      <w:r w:rsidR="00BA5DFB" w:rsidRPr="000A2EE1">
        <w:t>”.</w:t>
      </w:r>
    </w:p>
    <w:p w:rsidR="00E3232B" w:rsidRPr="000A2EE1" w:rsidRDefault="00E3232B" w:rsidP="00E3232B">
      <w:pPr>
        <w:pStyle w:val="SingleTxtG"/>
      </w:pPr>
      <w:r w:rsidRPr="000A2EE1">
        <w:t>6.8.2.6.1</w:t>
      </w:r>
      <w:r w:rsidRPr="000A2EE1">
        <w:tab/>
        <w:t>Restructure the Table as follows:</w:t>
      </w:r>
    </w:p>
    <w:p w:rsidR="00E3232B" w:rsidRPr="000A2EE1" w:rsidRDefault="00E3232B" w:rsidP="00E3232B">
      <w:pPr>
        <w:pStyle w:val="SingleTxtG"/>
        <w:rPr>
          <w:i/>
          <w:lang w:eastAsia="sv-SE"/>
        </w:rPr>
      </w:pPr>
      <w:r w:rsidRPr="000A2EE1">
        <w:rPr>
          <w:lang w:eastAsia="sv-SE"/>
        </w:rPr>
        <w:t>Delete the headings:</w:t>
      </w:r>
    </w:p>
    <w:p w:rsidR="00E3232B" w:rsidRPr="000A2EE1" w:rsidRDefault="00E3232B" w:rsidP="00E3232B">
      <w:pPr>
        <w:pStyle w:val="SingleTxtG"/>
        <w:rPr>
          <w:i/>
        </w:rPr>
      </w:pPr>
      <w:r w:rsidRPr="000A2EE1">
        <w:rPr>
          <w:i/>
        </w:rPr>
        <w:t>“For all tanks”;</w:t>
      </w:r>
    </w:p>
    <w:p w:rsidR="00E3232B" w:rsidRPr="000A2EE1" w:rsidRDefault="00E3232B" w:rsidP="00E3232B">
      <w:pPr>
        <w:pStyle w:val="SingleTxtG"/>
        <w:rPr>
          <w:i/>
        </w:rPr>
      </w:pPr>
      <w:r w:rsidRPr="000A2EE1">
        <w:rPr>
          <w:i/>
        </w:rPr>
        <w:t>“For tanks with a maximum working pressure not exceeding 50 kPa and…”;</w:t>
      </w:r>
    </w:p>
    <w:p w:rsidR="00E3232B" w:rsidRPr="000A2EE1" w:rsidRDefault="00E3232B" w:rsidP="00E3232B">
      <w:pPr>
        <w:pStyle w:val="SingleTxtG"/>
        <w:rPr>
          <w:i/>
        </w:rPr>
      </w:pPr>
      <w:r w:rsidRPr="000A2EE1">
        <w:rPr>
          <w:i/>
        </w:rPr>
        <w:t>“For tanks for gases of Class 2”; and</w:t>
      </w:r>
    </w:p>
    <w:p w:rsidR="00E3232B" w:rsidRPr="000A2EE1" w:rsidRDefault="00E3232B" w:rsidP="00E3232B">
      <w:pPr>
        <w:pStyle w:val="SingleTxtG"/>
        <w:rPr>
          <w:i/>
        </w:rPr>
      </w:pPr>
      <w:r w:rsidRPr="000A2EE1">
        <w:rPr>
          <w:i/>
        </w:rPr>
        <w:t>“For tanks intended for carriage of liquid petroleum products and…”.</w:t>
      </w:r>
    </w:p>
    <w:p w:rsidR="00E3232B" w:rsidRPr="000A2EE1" w:rsidRDefault="00E3232B" w:rsidP="00E3232B">
      <w:pPr>
        <w:pStyle w:val="SingleTxtG"/>
      </w:pPr>
      <w:r w:rsidRPr="000A2EE1">
        <w:t>Add the following headings:</w:t>
      </w:r>
    </w:p>
    <w:p w:rsidR="00E3232B" w:rsidRPr="000A2EE1" w:rsidRDefault="00E3232B" w:rsidP="00E3232B">
      <w:pPr>
        <w:pStyle w:val="SingleTxtG"/>
        <w:rPr>
          <w:i/>
          <w:iCs/>
        </w:rPr>
      </w:pPr>
      <w:r w:rsidRPr="000A2EE1">
        <w:rPr>
          <w:i/>
          <w:iCs/>
        </w:rPr>
        <w:t>“For design and construction of tanks”; and</w:t>
      </w:r>
    </w:p>
    <w:p w:rsidR="00E3232B" w:rsidRPr="000A2EE1" w:rsidRDefault="00E3232B" w:rsidP="00E3232B">
      <w:pPr>
        <w:pStyle w:val="SingleTxtG"/>
        <w:rPr>
          <w:i/>
          <w:iCs/>
        </w:rPr>
      </w:pPr>
      <w:r w:rsidRPr="000A2EE1">
        <w:rPr>
          <w:i/>
          <w:iCs/>
        </w:rPr>
        <w:t>“For equipment”.</w:t>
      </w:r>
    </w:p>
    <w:p w:rsidR="00E3232B" w:rsidRPr="000A2EE1" w:rsidRDefault="00E3232B" w:rsidP="00E3232B">
      <w:pPr>
        <w:pStyle w:val="SingleTxtG"/>
      </w:pPr>
      <w:r w:rsidRPr="000A2EE1">
        <w:t xml:space="preserve">Under </w:t>
      </w:r>
      <w:r w:rsidRPr="000A2EE1">
        <w:rPr>
          <w:i/>
          <w:iCs/>
        </w:rPr>
        <w:t>“For design and construction of tanks”</w:t>
      </w:r>
      <w:r w:rsidRPr="000A2EE1">
        <w:t>, add the lines corresponding to EN 14025:2003 + AC:2005, EN 14025:2008, EN 14025:2013, EN 13094:2004, EN 13094:2008 + AC:2008, EN 12493:2001 (except Annex C), EN 12493:2008 (except Annex C), EN 12493:2008 + A1:2012 (except Annex C), EN 12493:2013 (except Annex C), EN 13530-2:2002, EN 13530-2:2002 + A1:2004, EN 14398-2:2003 (except Table 1) and EN 14398-2:2003 + A2:2008.</w:t>
      </w:r>
    </w:p>
    <w:p w:rsidR="00E3232B" w:rsidRPr="000A2EE1" w:rsidRDefault="00E3232B" w:rsidP="00E3232B">
      <w:pPr>
        <w:pStyle w:val="SingleTxtG"/>
        <w:rPr>
          <w:lang w:eastAsia="sv-SE"/>
        </w:rPr>
      </w:pPr>
      <w:r w:rsidRPr="000A2EE1">
        <w:rPr>
          <w:iCs/>
        </w:rPr>
        <w:t>Under</w:t>
      </w:r>
      <w:r w:rsidRPr="000A2EE1">
        <w:rPr>
          <w:i/>
          <w:iCs/>
        </w:rPr>
        <w:t xml:space="preserve"> “For equipment”</w:t>
      </w:r>
      <w:r w:rsidRPr="000A2EE1">
        <w:t>, add the lines corresponding to EN 14432:2006, EN 14433:2006, EN 12252:2000, EN 12252:2005 + A1:2008, EN 14129:2014, EN 1626:2008 (except valve category B), EN 13082:2001, EN 13082:2008 , + A1:2012, EN 13308:2002 , EN 13314:2002 , EN 13316:2002 , EN 13317:2002 (</w:t>
      </w:r>
      <w:r w:rsidRPr="000A2EE1">
        <w:rPr>
          <w:lang w:eastAsia="fr-FR"/>
        </w:rPr>
        <w:t>(</w:t>
      </w:r>
      <w:r w:rsidRPr="000A2EE1">
        <w:t>except for the figure and Table B.2 in Annex B</w:t>
      </w:r>
      <w:r w:rsidRPr="000A2EE1">
        <w:rPr>
          <w:lang w:eastAsia="fr-FR"/>
        </w:rPr>
        <w:t>)</w:t>
      </w:r>
      <w:r w:rsidRPr="000A2EE1">
        <w:t>), EN 13317:2002 + A1:2006, EN 14595:2005 and EN 16257:2012.</w:t>
      </w:r>
    </w:p>
    <w:p w:rsidR="00E3232B" w:rsidRPr="000A2EE1" w:rsidRDefault="00E3232B" w:rsidP="00E3232B">
      <w:pPr>
        <w:spacing w:before="120" w:after="120"/>
        <w:ind w:left="1134"/>
      </w:pPr>
      <w:r w:rsidRPr="000A2EE1">
        <w:t>6.8.2.6.1</w:t>
      </w:r>
      <w:r w:rsidRPr="000A2EE1">
        <w:tab/>
        <w:t xml:space="preserve">Amend the Table under </w:t>
      </w:r>
      <w:r w:rsidR="00BA5DFB" w:rsidRPr="000A2EE1">
        <w:t>“</w:t>
      </w:r>
      <w:r w:rsidRPr="000A2EE1">
        <w:rPr>
          <w:i/>
          <w:iCs/>
        </w:rPr>
        <w:t>For design and construction of tanks</w:t>
      </w:r>
      <w:r w:rsidR="00BA5DFB" w:rsidRPr="000A2EE1">
        <w:t>”</w:t>
      </w:r>
      <w:r w:rsidRPr="000A2EE1">
        <w:t xml:space="preserve"> as follows:</w:t>
      </w:r>
    </w:p>
    <w:p w:rsidR="00E3232B" w:rsidRPr="000A2EE1" w:rsidRDefault="00E3232B" w:rsidP="00E3232B">
      <w:pPr>
        <w:spacing w:before="120" w:after="120"/>
        <w:ind w:left="1134" w:right="1134"/>
        <w:jc w:val="both"/>
      </w:pPr>
      <w:r w:rsidRPr="000A2EE1">
        <w:t xml:space="preserve">For standard </w:t>
      </w:r>
      <w:r w:rsidR="00BA5DFB" w:rsidRPr="000A2EE1">
        <w:rPr>
          <w:rFonts w:cs="Arial"/>
          <w:szCs w:val="22"/>
        </w:rPr>
        <w:t>“</w:t>
      </w:r>
      <w:r w:rsidRPr="000A2EE1">
        <w:rPr>
          <w:rFonts w:cs="Arial"/>
          <w:szCs w:val="22"/>
        </w:rPr>
        <w:t>EN 13094:2008 + AC:2008</w:t>
      </w:r>
      <w:r w:rsidR="00BA5DFB" w:rsidRPr="000A2EE1">
        <w:rPr>
          <w:rFonts w:cs="Arial"/>
          <w:szCs w:val="22"/>
        </w:rPr>
        <w:t>”</w:t>
      </w:r>
      <w:r w:rsidRPr="000A2EE1">
        <w:t xml:space="preserve">, in column (4), replace </w:t>
      </w:r>
      <w:r w:rsidR="00BA5DFB" w:rsidRPr="000A2EE1">
        <w:t>“</w:t>
      </w:r>
      <w:r w:rsidRPr="000A2EE1">
        <w:t>Until further notice</w:t>
      </w:r>
      <w:r w:rsidR="00BA5DFB" w:rsidRPr="000A2EE1">
        <w:t>”</w:t>
      </w:r>
      <w:r w:rsidRPr="000A2EE1">
        <w:t xml:space="preserve"> by </w:t>
      </w:r>
      <w:r w:rsidR="00BA5DFB" w:rsidRPr="000A2EE1">
        <w:t>“</w:t>
      </w:r>
      <w:r w:rsidRPr="000A2EE1">
        <w:t>Between 1 January 2010 and 31 December 2018</w:t>
      </w:r>
      <w:r w:rsidR="00BA5DFB" w:rsidRPr="000A2EE1">
        <w:t>”</w:t>
      </w:r>
      <w:r w:rsidRPr="000A2EE1">
        <w:t>.</w:t>
      </w:r>
    </w:p>
    <w:p w:rsidR="00E3232B" w:rsidRPr="000A2EE1" w:rsidRDefault="00E3232B" w:rsidP="00E3232B">
      <w:pPr>
        <w:spacing w:before="120" w:after="120"/>
        <w:ind w:left="1134" w:right="1134"/>
        <w:jc w:val="both"/>
      </w:pPr>
      <w:r w:rsidRPr="000A2EE1">
        <w:t>After the standard</w:t>
      </w:r>
      <w:r w:rsidRPr="000A2EE1">
        <w:rPr>
          <w:rFonts w:cs="Arial"/>
          <w:szCs w:val="22"/>
        </w:rPr>
        <w:t xml:space="preserve"> </w:t>
      </w:r>
      <w:r w:rsidR="00BA5DFB" w:rsidRPr="000A2EE1">
        <w:rPr>
          <w:rFonts w:cs="Arial"/>
          <w:szCs w:val="22"/>
        </w:rPr>
        <w:t>“</w:t>
      </w:r>
      <w:r w:rsidRPr="000A2EE1">
        <w:rPr>
          <w:rFonts w:cs="Arial"/>
          <w:szCs w:val="22"/>
        </w:rPr>
        <w:t>EN 13094:2008 + AC:2008</w:t>
      </w:r>
      <w:r w:rsidR="00BA5DFB" w:rsidRPr="000A2EE1">
        <w:rPr>
          <w:rFonts w:cs="Arial"/>
          <w:szCs w:val="22"/>
        </w:rPr>
        <w:t>”</w:t>
      </w:r>
      <w:r w:rsidRPr="000A2EE1">
        <w:t>, insert the following new standard</w:t>
      </w:r>
      <w:r w:rsidRPr="000A2EE1">
        <w:rPr>
          <w:rFonts w:cs="Arial"/>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4214"/>
        <w:gridCol w:w="1129"/>
        <w:gridCol w:w="1129"/>
        <w:gridCol w:w="845"/>
      </w:tblGrid>
      <w:tr w:rsidR="00E3232B" w:rsidRPr="000A2EE1" w:rsidTr="000B7D76">
        <w:tc>
          <w:tcPr>
            <w:tcW w:w="1721" w:type="dxa"/>
          </w:tcPr>
          <w:p w:rsidR="00E3232B" w:rsidRPr="000A2EE1" w:rsidRDefault="00E3232B" w:rsidP="009B5E14">
            <w:pPr>
              <w:tabs>
                <w:tab w:val="left" w:pos="1418"/>
              </w:tabs>
              <w:spacing w:before="120" w:after="120"/>
              <w:rPr>
                <w:rFonts w:cs="Arial"/>
                <w:sz w:val="18"/>
                <w:szCs w:val="18"/>
              </w:rPr>
            </w:pPr>
            <w:r w:rsidRPr="000A2EE1">
              <w:rPr>
                <w:rFonts w:cs="Arial"/>
                <w:sz w:val="18"/>
                <w:szCs w:val="18"/>
              </w:rPr>
              <w:t>EN 13094:2015</w:t>
            </w:r>
          </w:p>
        </w:tc>
        <w:tc>
          <w:tcPr>
            <w:tcW w:w="4214" w:type="dxa"/>
          </w:tcPr>
          <w:p w:rsidR="00E3232B" w:rsidRPr="000A2EE1" w:rsidRDefault="00E3232B" w:rsidP="009B5E14">
            <w:pPr>
              <w:tabs>
                <w:tab w:val="left" w:pos="625"/>
              </w:tabs>
              <w:spacing w:before="120" w:after="120"/>
              <w:rPr>
                <w:rFonts w:cs="Arial"/>
                <w:bCs/>
                <w:sz w:val="18"/>
                <w:szCs w:val="18"/>
              </w:rPr>
            </w:pPr>
            <w:r w:rsidRPr="000A2EE1">
              <w:rPr>
                <w:rFonts w:cs="Arial"/>
                <w:bCs/>
                <w:sz w:val="18"/>
                <w:szCs w:val="18"/>
              </w:rPr>
              <w:t>Tanks for the transport of dangerous goods – Metallic tanks with a working pressure not exceeding 0.5 bar – Design and construction</w:t>
            </w:r>
          </w:p>
        </w:tc>
        <w:tc>
          <w:tcPr>
            <w:tcW w:w="1129" w:type="dxa"/>
          </w:tcPr>
          <w:p w:rsidR="00E3232B" w:rsidRPr="000A2EE1" w:rsidRDefault="00E3232B" w:rsidP="009B5E14">
            <w:pPr>
              <w:tabs>
                <w:tab w:val="left" w:pos="1418"/>
              </w:tabs>
              <w:spacing w:before="120" w:after="120"/>
              <w:jc w:val="center"/>
              <w:rPr>
                <w:rFonts w:cs="Arial"/>
                <w:sz w:val="18"/>
                <w:szCs w:val="18"/>
              </w:rPr>
            </w:pPr>
            <w:r w:rsidRPr="000A2EE1">
              <w:rPr>
                <w:rFonts w:cs="Arial"/>
                <w:sz w:val="18"/>
                <w:szCs w:val="18"/>
              </w:rPr>
              <w:t>6.8.2.1</w:t>
            </w:r>
          </w:p>
        </w:tc>
        <w:tc>
          <w:tcPr>
            <w:tcW w:w="1129" w:type="dxa"/>
          </w:tcPr>
          <w:p w:rsidR="00E3232B" w:rsidRPr="000A2EE1" w:rsidRDefault="00E3232B" w:rsidP="009B5E14">
            <w:pPr>
              <w:tabs>
                <w:tab w:val="left" w:pos="1418"/>
              </w:tabs>
              <w:spacing w:before="120" w:after="120"/>
              <w:jc w:val="center"/>
              <w:rPr>
                <w:rFonts w:cs="Arial"/>
                <w:sz w:val="18"/>
                <w:szCs w:val="18"/>
              </w:rPr>
            </w:pPr>
            <w:r w:rsidRPr="000A2EE1">
              <w:rPr>
                <w:sz w:val="18"/>
                <w:szCs w:val="18"/>
              </w:rPr>
              <w:t>Until further notice</w:t>
            </w:r>
          </w:p>
        </w:tc>
        <w:tc>
          <w:tcPr>
            <w:tcW w:w="845" w:type="dxa"/>
          </w:tcPr>
          <w:p w:rsidR="00E3232B" w:rsidRPr="000A2EE1" w:rsidRDefault="00E3232B" w:rsidP="009B5E14">
            <w:pPr>
              <w:tabs>
                <w:tab w:val="left" w:pos="1418"/>
              </w:tabs>
              <w:spacing w:before="120" w:after="120"/>
              <w:rPr>
                <w:rFonts w:cs="Arial"/>
                <w:sz w:val="18"/>
                <w:szCs w:val="18"/>
              </w:rPr>
            </w:pPr>
          </w:p>
        </w:tc>
      </w:tr>
    </w:tbl>
    <w:p w:rsidR="00E3232B" w:rsidRPr="000A2EE1" w:rsidRDefault="00E3232B" w:rsidP="00E3232B">
      <w:pPr>
        <w:spacing w:before="120" w:after="120"/>
        <w:ind w:left="1134" w:right="1134"/>
        <w:jc w:val="both"/>
        <w:rPr>
          <w:rFonts w:cs="Arial"/>
          <w:szCs w:val="22"/>
        </w:rPr>
      </w:pPr>
      <w:r w:rsidRPr="000A2EE1">
        <w:rPr>
          <w:rFonts w:cs="Arial"/>
          <w:szCs w:val="22"/>
        </w:rPr>
        <w:t xml:space="preserve">For standard </w:t>
      </w:r>
      <w:r w:rsidR="00BA5DFB" w:rsidRPr="000A2EE1">
        <w:rPr>
          <w:rFonts w:cs="Arial"/>
          <w:szCs w:val="22"/>
        </w:rPr>
        <w:t>“</w:t>
      </w:r>
      <w:r w:rsidRPr="000A2EE1">
        <w:rPr>
          <w:rFonts w:cs="Arial"/>
          <w:szCs w:val="22"/>
        </w:rPr>
        <w:t>EN 12493:2013</w:t>
      </w:r>
      <w:r w:rsidR="00BA5DFB" w:rsidRPr="000A2EE1">
        <w:rPr>
          <w:rFonts w:cs="Arial"/>
          <w:szCs w:val="22"/>
        </w:rPr>
        <w:t>”</w:t>
      </w:r>
      <w:r w:rsidRPr="000A2EE1">
        <w:rPr>
          <w:rFonts w:cs="Arial"/>
          <w:szCs w:val="22"/>
        </w:rPr>
        <w:t xml:space="preserve">, in column (4), replace </w:t>
      </w:r>
      <w:r w:rsidR="00BA5DFB" w:rsidRPr="000A2EE1">
        <w:rPr>
          <w:rFonts w:cs="Arial"/>
          <w:szCs w:val="22"/>
        </w:rPr>
        <w:t>“</w:t>
      </w:r>
      <w:r w:rsidRPr="000A2EE1">
        <w:rPr>
          <w:rFonts w:cs="Arial"/>
          <w:szCs w:val="22"/>
        </w:rPr>
        <w:t>Until further notice</w:t>
      </w:r>
      <w:r w:rsidR="00BA5DFB" w:rsidRPr="000A2EE1">
        <w:rPr>
          <w:rFonts w:cs="Arial"/>
          <w:szCs w:val="22"/>
        </w:rPr>
        <w:t>”</w:t>
      </w:r>
      <w:r w:rsidRPr="000A2EE1">
        <w:rPr>
          <w:rFonts w:cs="Arial"/>
          <w:szCs w:val="22"/>
        </w:rPr>
        <w:t xml:space="preserve"> by </w:t>
      </w:r>
      <w:r w:rsidR="00BA5DFB" w:rsidRPr="000A2EE1">
        <w:t>“</w:t>
      </w:r>
      <w:r w:rsidRPr="000A2EE1">
        <w:t>Between 1 January 2015 and 31 December 2017</w:t>
      </w:r>
      <w:r w:rsidR="00BA5DFB" w:rsidRPr="000A2EE1">
        <w:t>”</w:t>
      </w:r>
      <w:r w:rsidRPr="000A2EE1">
        <w:t>.</w:t>
      </w:r>
    </w:p>
    <w:p w:rsidR="00E3232B" w:rsidRPr="000A2EE1" w:rsidRDefault="00E3232B" w:rsidP="00E3232B">
      <w:pPr>
        <w:spacing w:before="120" w:after="120"/>
        <w:ind w:left="1134" w:right="1134"/>
        <w:jc w:val="both"/>
        <w:rPr>
          <w:rFonts w:cs="Arial"/>
          <w:szCs w:val="22"/>
        </w:rPr>
      </w:pPr>
      <w:r w:rsidRPr="000A2EE1">
        <w:rPr>
          <w:rFonts w:cs="Arial"/>
          <w:szCs w:val="22"/>
        </w:rPr>
        <w:t xml:space="preserve">For standard </w:t>
      </w:r>
      <w:r w:rsidR="00BA5DFB" w:rsidRPr="000A2EE1">
        <w:rPr>
          <w:rFonts w:cs="Arial"/>
          <w:szCs w:val="22"/>
        </w:rPr>
        <w:t>“</w:t>
      </w:r>
      <w:r w:rsidRPr="000A2EE1">
        <w:rPr>
          <w:rFonts w:cs="Arial"/>
          <w:szCs w:val="22"/>
        </w:rPr>
        <w:t>EN 12493:2013</w:t>
      </w:r>
      <w:r w:rsidR="00BA5DFB" w:rsidRPr="000A2EE1">
        <w:rPr>
          <w:rFonts w:cs="Arial"/>
          <w:szCs w:val="22"/>
        </w:rPr>
        <w:t>”</w:t>
      </w:r>
      <w:r w:rsidRPr="000A2EE1">
        <w:rPr>
          <w:rFonts w:cs="Arial"/>
          <w:szCs w:val="22"/>
        </w:rPr>
        <w:t xml:space="preserve">, in column (5), insert </w:t>
      </w:r>
      <w:r w:rsidR="00BA5DFB" w:rsidRPr="000A2EE1">
        <w:rPr>
          <w:rFonts w:cs="Arial"/>
          <w:szCs w:val="22"/>
        </w:rPr>
        <w:t>“</w:t>
      </w:r>
      <w:r w:rsidRPr="000A2EE1">
        <w:rPr>
          <w:rFonts w:cs="Arial"/>
          <w:szCs w:val="22"/>
        </w:rPr>
        <w:t>31 December 2018</w:t>
      </w:r>
      <w:r w:rsidR="00BA5DFB" w:rsidRPr="000A2EE1">
        <w:rPr>
          <w:rFonts w:cs="Arial"/>
          <w:szCs w:val="22"/>
        </w:rPr>
        <w:t>”</w:t>
      </w:r>
      <w:r w:rsidRPr="000A2EE1">
        <w:rPr>
          <w:rFonts w:cs="Arial"/>
          <w:szCs w:val="22"/>
        </w:rPr>
        <w:t>.</w:t>
      </w:r>
    </w:p>
    <w:p w:rsidR="00E3232B" w:rsidRPr="000A2EE1" w:rsidRDefault="00E3232B" w:rsidP="00E3232B">
      <w:pPr>
        <w:spacing w:before="120" w:after="120"/>
        <w:ind w:left="1134" w:right="1134"/>
        <w:jc w:val="both"/>
        <w:rPr>
          <w:rFonts w:cs="Arial"/>
          <w:szCs w:val="22"/>
        </w:rPr>
      </w:pPr>
      <w:r w:rsidRPr="000A2EE1">
        <w:rPr>
          <w:rFonts w:cs="Arial"/>
          <w:szCs w:val="22"/>
        </w:rPr>
        <w:t xml:space="preserve">After the standard </w:t>
      </w:r>
      <w:r w:rsidR="00BA5DFB" w:rsidRPr="000A2EE1">
        <w:rPr>
          <w:rFonts w:cs="Arial"/>
          <w:szCs w:val="22"/>
        </w:rPr>
        <w:t>“</w:t>
      </w:r>
      <w:r w:rsidRPr="000A2EE1">
        <w:rPr>
          <w:rFonts w:cs="Arial"/>
          <w:szCs w:val="22"/>
        </w:rPr>
        <w:t>EN 12493:2013</w:t>
      </w:r>
      <w:r w:rsidR="00BA5DFB" w:rsidRPr="000A2EE1">
        <w:rPr>
          <w:rFonts w:cs="Arial"/>
          <w:szCs w:val="22"/>
        </w:rPr>
        <w:t>”</w:t>
      </w:r>
      <w:r w:rsidRPr="000A2EE1">
        <w:rPr>
          <w:rFonts w:cs="Arial"/>
          <w:szCs w:val="22"/>
        </w:rPr>
        <w:t>, insert the following new standard: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3"/>
        <w:gridCol w:w="992"/>
        <w:gridCol w:w="1134"/>
        <w:gridCol w:w="850"/>
      </w:tblGrid>
      <w:tr w:rsidR="00E3232B" w:rsidRPr="000A2EE1" w:rsidTr="009B5E14">
        <w:tc>
          <w:tcPr>
            <w:tcW w:w="1701" w:type="dxa"/>
          </w:tcPr>
          <w:p w:rsidR="00E3232B" w:rsidRPr="000A2EE1" w:rsidRDefault="00E3232B" w:rsidP="009B5E14">
            <w:pPr>
              <w:tabs>
                <w:tab w:val="left" w:pos="1418"/>
              </w:tabs>
              <w:spacing w:before="120" w:after="120"/>
              <w:rPr>
                <w:rFonts w:cs="Arial"/>
                <w:sz w:val="18"/>
                <w:szCs w:val="18"/>
              </w:rPr>
            </w:pPr>
            <w:r w:rsidRPr="000A2EE1">
              <w:rPr>
                <w:rFonts w:cs="Arial"/>
                <w:sz w:val="18"/>
                <w:szCs w:val="18"/>
              </w:rPr>
              <w:t>EN 12493:2013 + A1:2014 (except Annex C)</w:t>
            </w:r>
          </w:p>
        </w:tc>
        <w:tc>
          <w:tcPr>
            <w:tcW w:w="4253" w:type="dxa"/>
          </w:tcPr>
          <w:p w:rsidR="00E3232B" w:rsidRPr="000A2EE1" w:rsidRDefault="00E3232B" w:rsidP="009B5E14">
            <w:pPr>
              <w:tabs>
                <w:tab w:val="left" w:pos="625"/>
              </w:tabs>
              <w:spacing w:before="120" w:after="120"/>
              <w:rPr>
                <w:rFonts w:cs="Arial"/>
                <w:sz w:val="18"/>
                <w:szCs w:val="18"/>
              </w:rPr>
            </w:pPr>
            <w:r w:rsidRPr="000A2EE1">
              <w:rPr>
                <w:rFonts w:cs="Arial"/>
                <w:sz w:val="18"/>
                <w:szCs w:val="18"/>
              </w:rPr>
              <w:t>LPG equipment and accessories – Welded steel tanks for liquefied petroleum gas (LPG) – Road tankers – Design and manufacture</w:t>
            </w:r>
          </w:p>
          <w:p w:rsidR="00E3232B" w:rsidRPr="000A2EE1" w:rsidRDefault="00E3232B" w:rsidP="00BA5DFB">
            <w:pPr>
              <w:tabs>
                <w:tab w:val="left" w:pos="1418"/>
              </w:tabs>
              <w:spacing w:before="120" w:after="120"/>
              <w:jc w:val="both"/>
              <w:rPr>
                <w:rFonts w:cs="Arial"/>
                <w:sz w:val="18"/>
                <w:szCs w:val="18"/>
              </w:rPr>
            </w:pPr>
            <w:r w:rsidRPr="000A2EE1">
              <w:rPr>
                <w:b/>
                <w:i/>
                <w:sz w:val="18"/>
                <w:szCs w:val="18"/>
              </w:rPr>
              <w:t xml:space="preserve">NOTE: </w:t>
            </w:r>
            <w:r w:rsidRPr="000A2EE1">
              <w:rPr>
                <w:i/>
                <w:sz w:val="18"/>
                <w:szCs w:val="18"/>
              </w:rPr>
              <w:t xml:space="preserve">Road tankers is to be understood in the meaning of </w:t>
            </w:r>
            <w:r w:rsidR="00BA5DFB" w:rsidRPr="000A2EE1">
              <w:rPr>
                <w:i/>
                <w:sz w:val="18"/>
                <w:szCs w:val="18"/>
              </w:rPr>
              <w:t>“</w:t>
            </w:r>
            <w:r w:rsidRPr="000A2EE1">
              <w:rPr>
                <w:i/>
                <w:sz w:val="18"/>
                <w:szCs w:val="18"/>
              </w:rPr>
              <w:t>fixed tanks</w:t>
            </w:r>
            <w:r w:rsidR="00BA5DFB" w:rsidRPr="000A2EE1">
              <w:rPr>
                <w:i/>
                <w:sz w:val="18"/>
                <w:szCs w:val="18"/>
              </w:rPr>
              <w:t>”</w:t>
            </w:r>
            <w:r w:rsidRPr="000A2EE1">
              <w:rPr>
                <w:i/>
                <w:sz w:val="18"/>
                <w:szCs w:val="18"/>
              </w:rPr>
              <w:t xml:space="preserve"> and </w:t>
            </w:r>
            <w:r w:rsidR="00BA5DFB" w:rsidRPr="000A2EE1">
              <w:rPr>
                <w:i/>
                <w:sz w:val="18"/>
                <w:szCs w:val="18"/>
              </w:rPr>
              <w:t>“</w:t>
            </w:r>
            <w:r w:rsidRPr="000A2EE1">
              <w:rPr>
                <w:i/>
                <w:sz w:val="18"/>
                <w:szCs w:val="18"/>
              </w:rPr>
              <w:t>demountable tanks</w:t>
            </w:r>
            <w:r w:rsidR="00BA5DFB" w:rsidRPr="000A2EE1">
              <w:rPr>
                <w:i/>
                <w:sz w:val="18"/>
                <w:szCs w:val="18"/>
              </w:rPr>
              <w:t>”</w:t>
            </w:r>
            <w:r w:rsidRPr="000A2EE1">
              <w:rPr>
                <w:i/>
                <w:sz w:val="18"/>
                <w:szCs w:val="18"/>
              </w:rPr>
              <w:t xml:space="preserve"> as per ADR.</w:t>
            </w:r>
          </w:p>
        </w:tc>
        <w:tc>
          <w:tcPr>
            <w:tcW w:w="992" w:type="dxa"/>
          </w:tcPr>
          <w:p w:rsidR="00E3232B" w:rsidRPr="000A2EE1" w:rsidRDefault="00E3232B" w:rsidP="009B5E14">
            <w:pPr>
              <w:tabs>
                <w:tab w:val="left" w:pos="1418"/>
              </w:tabs>
              <w:spacing w:before="120" w:after="120"/>
              <w:jc w:val="center"/>
              <w:rPr>
                <w:rFonts w:cs="Arial"/>
                <w:sz w:val="18"/>
                <w:szCs w:val="18"/>
              </w:rPr>
            </w:pPr>
            <w:r w:rsidRPr="000A2EE1">
              <w:rPr>
                <w:rFonts w:cs="Arial"/>
                <w:sz w:val="18"/>
                <w:szCs w:val="18"/>
              </w:rPr>
              <w:t>6.8.2.1, 6.8.2.5, 6.8.3.1, 6.8.3.5, 6.8.5.1 to 6.8.5.3</w:t>
            </w:r>
          </w:p>
        </w:tc>
        <w:tc>
          <w:tcPr>
            <w:tcW w:w="1134" w:type="dxa"/>
          </w:tcPr>
          <w:p w:rsidR="00E3232B" w:rsidRPr="000A2EE1" w:rsidRDefault="00E3232B" w:rsidP="009B5E14">
            <w:pPr>
              <w:tabs>
                <w:tab w:val="left" w:pos="1418"/>
              </w:tabs>
              <w:spacing w:before="120" w:after="120"/>
              <w:jc w:val="center"/>
              <w:rPr>
                <w:rFonts w:cs="Arial"/>
                <w:sz w:val="18"/>
                <w:szCs w:val="18"/>
              </w:rPr>
            </w:pPr>
            <w:r w:rsidRPr="000A2EE1">
              <w:rPr>
                <w:rFonts w:cs="Arial"/>
                <w:sz w:val="18"/>
                <w:szCs w:val="18"/>
              </w:rPr>
              <w:t>Until further notice</w:t>
            </w:r>
          </w:p>
        </w:tc>
        <w:tc>
          <w:tcPr>
            <w:tcW w:w="850" w:type="dxa"/>
          </w:tcPr>
          <w:p w:rsidR="00E3232B" w:rsidRPr="000A2EE1" w:rsidRDefault="00E3232B" w:rsidP="009B5E14">
            <w:pPr>
              <w:tabs>
                <w:tab w:val="left" w:pos="1418"/>
              </w:tabs>
              <w:spacing w:before="120" w:after="120"/>
              <w:rPr>
                <w:rFonts w:cs="Arial"/>
                <w:sz w:val="18"/>
                <w:szCs w:val="18"/>
              </w:rPr>
            </w:pPr>
          </w:p>
        </w:tc>
      </w:tr>
    </w:tbl>
    <w:p w:rsidR="00E3232B" w:rsidRPr="000A2EE1" w:rsidRDefault="00E3232B" w:rsidP="00E3232B">
      <w:pPr>
        <w:pStyle w:val="SingleTxtG"/>
        <w:spacing w:before="120"/>
        <w:rPr>
          <w:i/>
        </w:rPr>
      </w:pPr>
      <w:r w:rsidRPr="000A2EE1">
        <w:t>6.8.2.6.1</w:t>
      </w:r>
      <w:r w:rsidRPr="000A2EE1">
        <w:tab/>
        <w:t xml:space="preserve">In the table, for EN 13530-2:2002 +A1:2004, in column (2), add a note to read as follows: </w:t>
      </w:r>
      <w:r w:rsidRPr="000A2EE1">
        <w:rPr>
          <w:i/>
        </w:rPr>
        <w:t>“</w:t>
      </w:r>
      <w:r w:rsidRPr="000A2EE1">
        <w:rPr>
          <w:rFonts w:eastAsia="Calibri"/>
          <w:b/>
          <w:i/>
        </w:rPr>
        <w:t>NOTE:</w:t>
      </w:r>
      <w:r w:rsidRPr="000A2EE1">
        <w:rPr>
          <w:rFonts w:eastAsia="Calibri"/>
          <w:i/>
        </w:rPr>
        <w:t xml:space="preserve"> Standard EN 1252-1:1998 referenced in this standard is also applicable to</w:t>
      </w:r>
      <w:r w:rsidRPr="000A2EE1">
        <w:rPr>
          <w:i/>
        </w:rPr>
        <w:t xml:space="preserve"> tanks</w:t>
      </w:r>
      <w:r w:rsidRPr="000A2EE1">
        <w:rPr>
          <w:rFonts w:eastAsia="Calibri"/>
          <w:i/>
        </w:rPr>
        <w:t xml:space="preserve"> for the carriage of UN No. 1972 (METHANE, REFRIGERATED LIQUID or NATURAL GAS, REFRIGERATED LIQUID).</w:t>
      </w:r>
      <w:r w:rsidRPr="000A2EE1">
        <w:rPr>
          <w:i/>
        </w:rPr>
        <w:t>”.</w:t>
      </w:r>
    </w:p>
    <w:p w:rsidR="00E3232B" w:rsidRPr="000A2EE1" w:rsidRDefault="00E3232B" w:rsidP="00E3232B">
      <w:pPr>
        <w:spacing w:before="120" w:after="120"/>
        <w:ind w:left="1134"/>
      </w:pPr>
      <w:r w:rsidRPr="000A2EE1">
        <w:t>6.8.2.6.1</w:t>
      </w:r>
      <w:r w:rsidRPr="000A2EE1">
        <w:tab/>
        <w:t xml:space="preserve">Amend the Table under </w:t>
      </w:r>
      <w:r w:rsidR="00BA5DFB" w:rsidRPr="000A2EE1">
        <w:t>“</w:t>
      </w:r>
      <w:r w:rsidRPr="000A2EE1">
        <w:rPr>
          <w:i/>
          <w:iCs/>
        </w:rPr>
        <w:t>For equipment</w:t>
      </w:r>
      <w:r w:rsidR="00BA5DFB" w:rsidRPr="000A2EE1">
        <w:t>”</w:t>
      </w:r>
      <w:r w:rsidRPr="000A2EE1">
        <w:t xml:space="preserve"> as follows:</w:t>
      </w:r>
    </w:p>
    <w:p w:rsidR="00E3232B" w:rsidRPr="000A2EE1" w:rsidRDefault="00E3232B" w:rsidP="00E3232B">
      <w:pPr>
        <w:spacing w:before="120" w:after="120"/>
        <w:ind w:left="1134" w:right="1134"/>
        <w:jc w:val="both"/>
      </w:pPr>
      <w:r w:rsidRPr="000A2EE1">
        <w:t xml:space="preserve">For standard </w:t>
      </w:r>
      <w:r w:rsidR="006E67B9" w:rsidRPr="000A2EE1">
        <w:rPr>
          <w:rFonts w:cs="Arial"/>
          <w:szCs w:val="22"/>
        </w:rPr>
        <w:t>“</w:t>
      </w:r>
      <w:r w:rsidRPr="000A2EE1">
        <w:rPr>
          <w:rFonts w:cs="Arial"/>
          <w:szCs w:val="22"/>
        </w:rPr>
        <w:t>EN 14432:2006</w:t>
      </w:r>
      <w:r w:rsidR="006E67B9" w:rsidRPr="000A2EE1">
        <w:rPr>
          <w:rFonts w:cs="Arial"/>
          <w:szCs w:val="22"/>
        </w:rPr>
        <w:t>”</w:t>
      </w:r>
      <w:r w:rsidRPr="000A2EE1">
        <w:t xml:space="preserve">, in column (4), replace </w:t>
      </w:r>
      <w:r w:rsidR="006E67B9" w:rsidRPr="000A2EE1">
        <w:t>“</w:t>
      </w:r>
      <w:r w:rsidRPr="000A2EE1">
        <w:t>Until further notice</w:t>
      </w:r>
      <w:r w:rsidR="006E67B9" w:rsidRPr="000A2EE1">
        <w:t>”</w:t>
      </w:r>
      <w:r w:rsidRPr="000A2EE1">
        <w:t xml:space="preserve"> by </w:t>
      </w:r>
      <w:r w:rsidR="006E67B9" w:rsidRPr="000A2EE1">
        <w:t>“</w:t>
      </w:r>
      <w:r w:rsidRPr="000A2EE1">
        <w:t>Between 1 January 2009 and 31 December 2018</w:t>
      </w:r>
      <w:r w:rsidR="006E67B9" w:rsidRPr="000A2EE1">
        <w:t>”</w:t>
      </w:r>
      <w:r w:rsidRPr="000A2EE1">
        <w:t>.</w:t>
      </w:r>
    </w:p>
    <w:p w:rsidR="00E3232B" w:rsidRPr="000A2EE1" w:rsidRDefault="00E3232B" w:rsidP="00E3232B">
      <w:pPr>
        <w:keepNext/>
        <w:spacing w:before="120" w:after="120"/>
        <w:ind w:left="1134"/>
      </w:pPr>
      <w:r w:rsidRPr="000A2EE1">
        <w:t xml:space="preserve">After the standard </w:t>
      </w:r>
      <w:r w:rsidR="006E67B9" w:rsidRPr="000A2EE1">
        <w:t>“</w:t>
      </w:r>
      <w:r w:rsidRPr="000A2EE1">
        <w:t>EN </w:t>
      </w:r>
      <w:r w:rsidRPr="000A2EE1">
        <w:rPr>
          <w:rFonts w:cs="Arial"/>
          <w:szCs w:val="22"/>
        </w:rPr>
        <w:t>14432:2006</w:t>
      </w:r>
      <w:r w:rsidR="006E67B9" w:rsidRPr="000A2EE1">
        <w:rPr>
          <w:rFonts w:cs="Arial"/>
          <w:szCs w:val="22"/>
        </w:rPr>
        <w:t>”</w:t>
      </w:r>
      <w:r w:rsidRPr="000A2EE1">
        <w:t>, insert the following new standard: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90"/>
        <w:gridCol w:w="1239"/>
        <w:gridCol w:w="1275"/>
        <w:gridCol w:w="567"/>
      </w:tblGrid>
      <w:tr w:rsidR="00E3232B" w:rsidRPr="000A2EE1" w:rsidTr="009B5E14">
        <w:tc>
          <w:tcPr>
            <w:tcW w:w="1559" w:type="dxa"/>
          </w:tcPr>
          <w:p w:rsidR="00E3232B" w:rsidRPr="000A2EE1" w:rsidRDefault="00E3232B" w:rsidP="009B5E14">
            <w:pPr>
              <w:keepNext/>
              <w:tabs>
                <w:tab w:val="left" w:pos="1418"/>
              </w:tabs>
              <w:spacing w:before="120" w:after="120"/>
              <w:rPr>
                <w:rFonts w:cs="Arial"/>
                <w:sz w:val="18"/>
                <w:szCs w:val="18"/>
              </w:rPr>
            </w:pPr>
            <w:r w:rsidRPr="000A2EE1">
              <w:rPr>
                <w:rFonts w:cs="Arial"/>
                <w:sz w:val="18"/>
                <w:szCs w:val="18"/>
              </w:rPr>
              <w:t>EN 14432:2014</w:t>
            </w:r>
          </w:p>
        </w:tc>
        <w:tc>
          <w:tcPr>
            <w:tcW w:w="4290" w:type="dxa"/>
          </w:tcPr>
          <w:p w:rsidR="00E3232B" w:rsidRPr="000A2EE1" w:rsidRDefault="00E3232B" w:rsidP="009B5E14">
            <w:pPr>
              <w:keepNext/>
              <w:tabs>
                <w:tab w:val="left" w:pos="1418"/>
              </w:tabs>
              <w:spacing w:before="120" w:after="120"/>
              <w:jc w:val="both"/>
              <w:rPr>
                <w:sz w:val="18"/>
                <w:szCs w:val="18"/>
              </w:rPr>
            </w:pPr>
            <w:r w:rsidRPr="000A2EE1">
              <w:rPr>
                <w:sz w:val="18"/>
                <w:szCs w:val="18"/>
              </w:rPr>
              <w:t>Tanks for the transport of dangerous goods – Tank equipment for the transport of liquid chemicals and liquefied gases – Product discharge and air inlet valves</w:t>
            </w:r>
          </w:p>
          <w:p w:rsidR="00E3232B" w:rsidRPr="000A2EE1" w:rsidRDefault="00E3232B" w:rsidP="009B5E14">
            <w:pPr>
              <w:keepNext/>
              <w:tabs>
                <w:tab w:val="left" w:pos="1418"/>
              </w:tabs>
              <w:spacing w:before="120" w:after="120"/>
              <w:jc w:val="both"/>
              <w:rPr>
                <w:rFonts w:cs="Arial"/>
                <w:sz w:val="18"/>
                <w:szCs w:val="18"/>
              </w:rPr>
            </w:pPr>
            <w:r w:rsidRPr="000A2EE1">
              <w:rPr>
                <w:b/>
                <w:i/>
                <w:sz w:val="18"/>
                <w:szCs w:val="18"/>
              </w:rPr>
              <w:t>NOTE:</w:t>
            </w:r>
            <w:r w:rsidRPr="000A2EE1">
              <w:rPr>
                <w:sz w:val="18"/>
                <w:szCs w:val="18"/>
              </w:rPr>
              <w:t xml:space="preserve"> </w:t>
            </w:r>
            <w:r w:rsidRPr="000A2EE1">
              <w:rPr>
                <w:i/>
                <w:sz w:val="18"/>
                <w:szCs w:val="18"/>
              </w:rPr>
              <w:t>This standard may also be used for tanks with a maximum working pressure not exceeding 0.5 bar.</w:t>
            </w:r>
          </w:p>
        </w:tc>
        <w:tc>
          <w:tcPr>
            <w:tcW w:w="1239" w:type="dxa"/>
          </w:tcPr>
          <w:p w:rsidR="00E3232B" w:rsidRPr="000A2EE1" w:rsidRDefault="00E3232B" w:rsidP="009B5E14">
            <w:pPr>
              <w:keepNext/>
              <w:tabs>
                <w:tab w:val="left" w:pos="1418"/>
              </w:tabs>
              <w:spacing w:before="120" w:after="120"/>
              <w:jc w:val="center"/>
              <w:rPr>
                <w:rFonts w:cs="Arial"/>
                <w:sz w:val="18"/>
                <w:szCs w:val="18"/>
              </w:rPr>
            </w:pPr>
            <w:r w:rsidRPr="000A2EE1">
              <w:rPr>
                <w:rFonts w:cs="Arial"/>
                <w:sz w:val="18"/>
                <w:szCs w:val="18"/>
              </w:rPr>
              <w:t>6.8.2.2.1, 6.8.2.2.2 and 6.8.2.3.1</w:t>
            </w:r>
          </w:p>
        </w:tc>
        <w:tc>
          <w:tcPr>
            <w:tcW w:w="1275" w:type="dxa"/>
          </w:tcPr>
          <w:p w:rsidR="00E3232B" w:rsidRPr="000A2EE1" w:rsidRDefault="00E3232B" w:rsidP="009B5E14">
            <w:pPr>
              <w:keepNext/>
              <w:tabs>
                <w:tab w:val="left" w:pos="1418"/>
              </w:tabs>
              <w:spacing w:before="120" w:after="120"/>
              <w:jc w:val="center"/>
              <w:rPr>
                <w:rFonts w:cs="Arial"/>
                <w:sz w:val="18"/>
                <w:szCs w:val="18"/>
              </w:rPr>
            </w:pPr>
            <w:r w:rsidRPr="000A2EE1">
              <w:rPr>
                <w:sz w:val="18"/>
                <w:szCs w:val="18"/>
              </w:rPr>
              <w:t>Until further notice</w:t>
            </w:r>
          </w:p>
        </w:tc>
        <w:tc>
          <w:tcPr>
            <w:tcW w:w="567" w:type="dxa"/>
          </w:tcPr>
          <w:p w:rsidR="00E3232B" w:rsidRPr="000A2EE1" w:rsidRDefault="00E3232B" w:rsidP="009B5E14">
            <w:pPr>
              <w:keepNext/>
              <w:tabs>
                <w:tab w:val="left" w:pos="1418"/>
              </w:tabs>
              <w:spacing w:before="120" w:after="120"/>
              <w:rPr>
                <w:rFonts w:cs="Arial"/>
                <w:sz w:val="18"/>
                <w:szCs w:val="18"/>
              </w:rPr>
            </w:pPr>
          </w:p>
        </w:tc>
      </w:tr>
    </w:tbl>
    <w:p w:rsidR="00E3232B" w:rsidRPr="000A2EE1" w:rsidRDefault="00E3232B" w:rsidP="00E3232B">
      <w:pPr>
        <w:spacing w:before="120" w:after="120"/>
        <w:ind w:left="1134" w:right="1134"/>
        <w:jc w:val="both"/>
      </w:pPr>
      <w:r w:rsidRPr="000A2EE1">
        <w:t xml:space="preserve">For standard </w:t>
      </w:r>
      <w:r w:rsidR="006E67B9" w:rsidRPr="000A2EE1">
        <w:rPr>
          <w:rFonts w:cs="Arial"/>
          <w:szCs w:val="22"/>
        </w:rPr>
        <w:t>“</w:t>
      </w:r>
      <w:r w:rsidRPr="000A2EE1">
        <w:rPr>
          <w:rFonts w:cs="Arial"/>
          <w:szCs w:val="22"/>
        </w:rPr>
        <w:t>EN 14433:2006</w:t>
      </w:r>
      <w:r w:rsidR="006E67B9" w:rsidRPr="000A2EE1">
        <w:rPr>
          <w:rFonts w:cs="Arial"/>
          <w:szCs w:val="22"/>
        </w:rPr>
        <w:t>”</w:t>
      </w:r>
      <w:r w:rsidRPr="000A2EE1">
        <w:t xml:space="preserve">, in column (4), replace </w:t>
      </w:r>
      <w:r w:rsidR="006E67B9" w:rsidRPr="000A2EE1">
        <w:t>“</w:t>
      </w:r>
      <w:r w:rsidRPr="000A2EE1">
        <w:t>Until further notice</w:t>
      </w:r>
      <w:r w:rsidR="006E67B9" w:rsidRPr="000A2EE1">
        <w:t>”</w:t>
      </w:r>
      <w:r w:rsidRPr="000A2EE1">
        <w:t xml:space="preserve"> by </w:t>
      </w:r>
      <w:r w:rsidR="006E67B9" w:rsidRPr="000A2EE1">
        <w:t>“</w:t>
      </w:r>
      <w:r w:rsidRPr="000A2EE1">
        <w:t>Between 1 January 2009 and 31 December 2018</w:t>
      </w:r>
      <w:r w:rsidR="006E67B9" w:rsidRPr="000A2EE1">
        <w:t>”</w:t>
      </w:r>
      <w:r w:rsidRPr="000A2EE1">
        <w:t>.</w:t>
      </w:r>
    </w:p>
    <w:p w:rsidR="00E3232B" w:rsidRPr="000A2EE1" w:rsidRDefault="00E3232B" w:rsidP="00E3232B">
      <w:pPr>
        <w:spacing w:before="120" w:after="120"/>
        <w:ind w:left="1134" w:right="1134"/>
        <w:jc w:val="both"/>
      </w:pPr>
      <w:r w:rsidRPr="000A2EE1">
        <w:t xml:space="preserve">After the standard </w:t>
      </w:r>
      <w:r w:rsidR="006E67B9" w:rsidRPr="000A2EE1">
        <w:t>“</w:t>
      </w:r>
      <w:r w:rsidRPr="000A2EE1">
        <w:t>EN </w:t>
      </w:r>
      <w:r w:rsidRPr="000A2EE1">
        <w:rPr>
          <w:rFonts w:cs="Arial"/>
          <w:szCs w:val="22"/>
        </w:rPr>
        <w:t>14433:2006</w:t>
      </w:r>
      <w:r w:rsidR="006E67B9" w:rsidRPr="000A2EE1">
        <w:t>”</w:t>
      </w:r>
      <w:r w:rsidRPr="000A2EE1">
        <w:t>, insert the following new standard: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88"/>
        <w:gridCol w:w="1241"/>
        <w:gridCol w:w="1014"/>
        <w:gridCol w:w="828"/>
      </w:tblGrid>
      <w:tr w:rsidR="00E3232B" w:rsidRPr="000A2EE1" w:rsidTr="009B5E14">
        <w:tc>
          <w:tcPr>
            <w:tcW w:w="1559" w:type="dxa"/>
          </w:tcPr>
          <w:p w:rsidR="00E3232B" w:rsidRPr="000A2EE1" w:rsidRDefault="00E3232B" w:rsidP="009B5E14">
            <w:pPr>
              <w:tabs>
                <w:tab w:val="left" w:pos="1418"/>
              </w:tabs>
              <w:spacing w:before="120" w:after="120"/>
              <w:rPr>
                <w:rFonts w:cs="Arial"/>
                <w:szCs w:val="22"/>
              </w:rPr>
            </w:pPr>
            <w:r w:rsidRPr="000A2EE1">
              <w:rPr>
                <w:rFonts w:cs="Arial"/>
                <w:szCs w:val="22"/>
              </w:rPr>
              <w:t>EN 14433:2014</w:t>
            </w:r>
          </w:p>
        </w:tc>
        <w:tc>
          <w:tcPr>
            <w:tcW w:w="4288" w:type="dxa"/>
          </w:tcPr>
          <w:p w:rsidR="00E3232B" w:rsidRPr="000A2EE1" w:rsidRDefault="00E3232B" w:rsidP="009B5E14">
            <w:pPr>
              <w:tabs>
                <w:tab w:val="left" w:pos="1418"/>
              </w:tabs>
              <w:spacing w:before="120" w:after="120"/>
              <w:jc w:val="both"/>
            </w:pPr>
            <w:r w:rsidRPr="000A2EE1">
              <w:t>Tanks for the transport of dangerous goods – Tank equipment for the transport of liquid chemicals and liquefied gases – Foot valves</w:t>
            </w:r>
          </w:p>
          <w:p w:rsidR="00E3232B" w:rsidRPr="000A2EE1" w:rsidRDefault="00E3232B" w:rsidP="009B5E14">
            <w:pPr>
              <w:tabs>
                <w:tab w:val="left" w:pos="1418"/>
              </w:tabs>
              <w:spacing w:before="120" w:after="120"/>
              <w:jc w:val="both"/>
              <w:rPr>
                <w:rFonts w:cs="Arial"/>
                <w:szCs w:val="22"/>
              </w:rPr>
            </w:pPr>
            <w:r w:rsidRPr="000A2EE1">
              <w:rPr>
                <w:b/>
                <w:i/>
              </w:rPr>
              <w:t xml:space="preserve">NOTE: </w:t>
            </w:r>
            <w:r w:rsidRPr="000A2EE1">
              <w:rPr>
                <w:i/>
              </w:rPr>
              <w:t>This standard may also be used for tanks with a maximum working pressure not exceeding 0.5 bar.</w:t>
            </w:r>
          </w:p>
        </w:tc>
        <w:tc>
          <w:tcPr>
            <w:tcW w:w="1241" w:type="dxa"/>
          </w:tcPr>
          <w:p w:rsidR="00E3232B" w:rsidRPr="000A2EE1" w:rsidRDefault="00E3232B" w:rsidP="009B5E14">
            <w:pPr>
              <w:tabs>
                <w:tab w:val="left" w:pos="1418"/>
              </w:tabs>
              <w:spacing w:before="120" w:after="120"/>
              <w:jc w:val="center"/>
              <w:rPr>
                <w:rFonts w:cs="Arial"/>
                <w:szCs w:val="22"/>
              </w:rPr>
            </w:pPr>
            <w:r w:rsidRPr="000A2EE1">
              <w:rPr>
                <w:rFonts w:cs="Arial"/>
                <w:szCs w:val="22"/>
              </w:rPr>
              <w:t>6.8.2.2.1, 6.8.2.2.2 and 6.8.2.3.1</w:t>
            </w:r>
          </w:p>
        </w:tc>
        <w:tc>
          <w:tcPr>
            <w:tcW w:w="1014" w:type="dxa"/>
          </w:tcPr>
          <w:p w:rsidR="00E3232B" w:rsidRPr="000A2EE1" w:rsidRDefault="00E3232B" w:rsidP="009B5E14">
            <w:pPr>
              <w:tabs>
                <w:tab w:val="left" w:pos="1418"/>
              </w:tabs>
              <w:spacing w:before="120" w:after="120"/>
              <w:jc w:val="center"/>
              <w:rPr>
                <w:rFonts w:cs="Arial"/>
                <w:szCs w:val="22"/>
              </w:rPr>
            </w:pPr>
            <w:r w:rsidRPr="000A2EE1">
              <w:t>Until further notice</w:t>
            </w:r>
          </w:p>
        </w:tc>
        <w:tc>
          <w:tcPr>
            <w:tcW w:w="828" w:type="dxa"/>
          </w:tcPr>
          <w:p w:rsidR="00E3232B" w:rsidRPr="000A2EE1" w:rsidRDefault="00E3232B" w:rsidP="009B5E14">
            <w:pPr>
              <w:tabs>
                <w:tab w:val="left" w:pos="1418"/>
              </w:tabs>
              <w:spacing w:before="120" w:after="120"/>
              <w:rPr>
                <w:rFonts w:cs="Arial"/>
                <w:szCs w:val="22"/>
              </w:rPr>
            </w:pPr>
          </w:p>
        </w:tc>
      </w:tr>
    </w:tbl>
    <w:p w:rsidR="00E3232B" w:rsidRPr="000A2EE1" w:rsidRDefault="00E3232B" w:rsidP="00E3232B">
      <w:pPr>
        <w:spacing w:before="120" w:after="120"/>
        <w:ind w:left="1134" w:right="1134"/>
        <w:jc w:val="both"/>
        <w:rPr>
          <w:rFonts w:cs="Arial"/>
          <w:szCs w:val="22"/>
        </w:rPr>
      </w:pPr>
      <w:r w:rsidRPr="000A2EE1">
        <w:rPr>
          <w:rFonts w:cs="Arial"/>
          <w:szCs w:val="22"/>
        </w:rPr>
        <w:t xml:space="preserve">For standard </w:t>
      </w:r>
      <w:r w:rsidR="006E67B9" w:rsidRPr="000A2EE1">
        <w:rPr>
          <w:rFonts w:cs="Arial"/>
          <w:szCs w:val="22"/>
        </w:rPr>
        <w:t>“</w:t>
      </w:r>
      <w:r w:rsidRPr="000A2EE1">
        <w:rPr>
          <w:rFonts w:cs="Arial"/>
          <w:szCs w:val="22"/>
        </w:rPr>
        <w:t>EN 12252:2005 + A1:2008</w:t>
      </w:r>
      <w:r w:rsidR="006E67B9" w:rsidRPr="000A2EE1">
        <w:rPr>
          <w:rFonts w:cs="Arial"/>
          <w:szCs w:val="22"/>
        </w:rPr>
        <w:t>”</w:t>
      </w:r>
      <w:r w:rsidRPr="000A2EE1">
        <w:t xml:space="preserve">, in column (4), replace </w:t>
      </w:r>
      <w:r w:rsidR="006E67B9" w:rsidRPr="000A2EE1">
        <w:t>“</w:t>
      </w:r>
      <w:r w:rsidRPr="000A2EE1">
        <w:t>Until further notice</w:t>
      </w:r>
      <w:r w:rsidR="006E67B9" w:rsidRPr="000A2EE1">
        <w:t>”</w:t>
      </w:r>
      <w:r w:rsidRPr="000A2EE1">
        <w:t xml:space="preserve"> by </w:t>
      </w:r>
      <w:r w:rsidR="006E67B9" w:rsidRPr="000A2EE1">
        <w:t>“</w:t>
      </w:r>
      <w:r w:rsidRPr="000A2EE1">
        <w:t>Between 1 January 2011 and 31 December 2018</w:t>
      </w:r>
      <w:r w:rsidR="006E67B9" w:rsidRPr="000A2EE1">
        <w:t>”</w:t>
      </w:r>
      <w:r w:rsidRPr="000A2EE1">
        <w:t>.</w:t>
      </w:r>
    </w:p>
    <w:p w:rsidR="00E3232B" w:rsidRPr="000A2EE1" w:rsidRDefault="00E3232B" w:rsidP="00E3232B">
      <w:pPr>
        <w:spacing w:before="120" w:after="120"/>
        <w:ind w:left="1134" w:right="1134"/>
        <w:jc w:val="both"/>
        <w:rPr>
          <w:rFonts w:cs="Arial"/>
          <w:szCs w:val="22"/>
        </w:rPr>
      </w:pPr>
      <w:r w:rsidRPr="000A2EE1">
        <w:rPr>
          <w:rFonts w:cs="Arial"/>
          <w:szCs w:val="22"/>
        </w:rPr>
        <w:t xml:space="preserve">After the standard </w:t>
      </w:r>
      <w:r w:rsidR="006E67B9" w:rsidRPr="000A2EE1">
        <w:rPr>
          <w:rFonts w:cs="Arial"/>
          <w:szCs w:val="22"/>
        </w:rPr>
        <w:t>“</w:t>
      </w:r>
      <w:r w:rsidRPr="000A2EE1">
        <w:rPr>
          <w:rFonts w:cs="Arial"/>
          <w:szCs w:val="22"/>
        </w:rPr>
        <w:t>EN 12252:2005 + A1:2008</w:t>
      </w:r>
      <w:r w:rsidR="006E67B9" w:rsidRPr="000A2EE1">
        <w:rPr>
          <w:rFonts w:cs="Arial"/>
          <w:szCs w:val="22"/>
        </w:rPr>
        <w:t>”</w:t>
      </w:r>
      <w:r w:rsidRPr="000A2EE1">
        <w:rPr>
          <w:rFonts w:cs="Arial"/>
          <w:szCs w:val="22"/>
        </w:rPr>
        <w:t>, insert the following new standard: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336"/>
        <w:gridCol w:w="1193"/>
        <w:gridCol w:w="1006"/>
        <w:gridCol w:w="836"/>
      </w:tblGrid>
      <w:tr w:rsidR="00E3232B" w:rsidRPr="000A2EE1" w:rsidTr="009B5E14">
        <w:tc>
          <w:tcPr>
            <w:tcW w:w="1559" w:type="dxa"/>
          </w:tcPr>
          <w:p w:rsidR="00E3232B" w:rsidRPr="000A2EE1" w:rsidRDefault="00E3232B" w:rsidP="009B5E14">
            <w:pPr>
              <w:tabs>
                <w:tab w:val="left" w:pos="1418"/>
              </w:tabs>
              <w:spacing w:before="120" w:after="120"/>
              <w:rPr>
                <w:rFonts w:cs="Arial"/>
                <w:szCs w:val="22"/>
              </w:rPr>
            </w:pPr>
            <w:r w:rsidRPr="000A2EE1">
              <w:rPr>
                <w:rFonts w:cs="Arial"/>
                <w:szCs w:val="22"/>
              </w:rPr>
              <w:t>EN 12252:2014</w:t>
            </w:r>
          </w:p>
        </w:tc>
        <w:tc>
          <w:tcPr>
            <w:tcW w:w="4336" w:type="dxa"/>
          </w:tcPr>
          <w:p w:rsidR="00E3232B" w:rsidRPr="000A2EE1" w:rsidRDefault="00E3232B" w:rsidP="009B5E14">
            <w:pPr>
              <w:tabs>
                <w:tab w:val="left" w:pos="625"/>
              </w:tabs>
              <w:spacing w:before="120" w:after="120"/>
              <w:rPr>
                <w:rFonts w:cs="Arial"/>
                <w:szCs w:val="22"/>
              </w:rPr>
            </w:pPr>
            <w:r w:rsidRPr="000A2EE1">
              <w:rPr>
                <w:rFonts w:cs="Arial"/>
                <w:szCs w:val="22"/>
              </w:rPr>
              <w:t>LPG Equipment and accessories – Equipping of LPG road tankers</w:t>
            </w:r>
          </w:p>
          <w:p w:rsidR="00E3232B" w:rsidRPr="000A2EE1" w:rsidRDefault="00E3232B" w:rsidP="006E67B9">
            <w:pPr>
              <w:tabs>
                <w:tab w:val="left" w:pos="1418"/>
              </w:tabs>
              <w:spacing w:before="120" w:after="120"/>
              <w:jc w:val="both"/>
              <w:rPr>
                <w:rFonts w:cs="Arial"/>
                <w:szCs w:val="22"/>
              </w:rPr>
            </w:pPr>
            <w:r w:rsidRPr="000A2EE1">
              <w:rPr>
                <w:b/>
                <w:i/>
              </w:rPr>
              <w:t xml:space="preserve">NOTE: </w:t>
            </w:r>
            <w:r w:rsidRPr="000A2EE1">
              <w:rPr>
                <w:i/>
              </w:rPr>
              <w:t xml:space="preserve">Road tanker is to be understood in the meaning of </w:t>
            </w:r>
            <w:r w:rsidR="006E67B9" w:rsidRPr="000A2EE1">
              <w:rPr>
                <w:i/>
              </w:rPr>
              <w:t>“</w:t>
            </w:r>
            <w:r w:rsidRPr="000A2EE1">
              <w:rPr>
                <w:i/>
              </w:rPr>
              <w:t>fixed tanks</w:t>
            </w:r>
            <w:r w:rsidR="006E67B9" w:rsidRPr="000A2EE1">
              <w:rPr>
                <w:i/>
              </w:rPr>
              <w:t>”</w:t>
            </w:r>
            <w:r w:rsidRPr="000A2EE1">
              <w:rPr>
                <w:i/>
              </w:rPr>
              <w:t xml:space="preserve"> and </w:t>
            </w:r>
            <w:r w:rsidR="006E67B9" w:rsidRPr="000A2EE1">
              <w:rPr>
                <w:i/>
              </w:rPr>
              <w:t>“</w:t>
            </w:r>
            <w:r w:rsidRPr="000A2EE1">
              <w:rPr>
                <w:i/>
              </w:rPr>
              <w:t>demountable tanks</w:t>
            </w:r>
            <w:r w:rsidR="006E67B9" w:rsidRPr="000A2EE1">
              <w:rPr>
                <w:i/>
              </w:rPr>
              <w:t>”</w:t>
            </w:r>
            <w:r w:rsidRPr="000A2EE1">
              <w:rPr>
                <w:i/>
              </w:rPr>
              <w:t xml:space="preserve"> as per ADR.</w:t>
            </w:r>
          </w:p>
        </w:tc>
        <w:tc>
          <w:tcPr>
            <w:tcW w:w="1193" w:type="dxa"/>
          </w:tcPr>
          <w:p w:rsidR="00E3232B" w:rsidRPr="000A2EE1" w:rsidRDefault="00E3232B" w:rsidP="009B5E14">
            <w:pPr>
              <w:tabs>
                <w:tab w:val="left" w:pos="1418"/>
              </w:tabs>
              <w:spacing w:before="120" w:after="120"/>
              <w:jc w:val="center"/>
              <w:rPr>
                <w:rFonts w:cs="Arial"/>
                <w:szCs w:val="22"/>
              </w:rPr>
            </w:pPr>
            <w:r w:rsidRPr="000A2EE1">
              <w:rPr>
                <w:rFonts w:cs="Arial"/>
                <w:szCs w:val="22"/>
              </w:rPr>
              <w:t>6.8.3.2 and 6.8.3.4.9</w:t>
            </w:r>
          </w:p>
        </w:tc>
        <w:tc>
          <w:tcPr>
            <w:tcW w:w="1006" w:type="dxa"/>
          </w:tcPr>
          <w:p w:rsidR="00E3232B" w:rsidRPr="000A2EE1" w:rsidRDefault="00E3232B" w:rsidP="009B5E14">
            <w:pPr>
              <w:tabs>
                <w:tab w:val="left" w:pos="1418"/>
              </w:tabs>
              <w:spacing w:before="120" w:after="120"/>
              <w:jc w:val="center"/>
              <w:rPr>
                <w:rFonts w:cs="Arial"/>
                <w:szCs w:val="22"/>
              </w:rPr>
            </w:pPr>
            <w:r w:rsidRPr="000A2EE1">
              <w:rPr>
                <w:rFonts w:cs="Arial"/>
                <w:szCs w:val="22"/>
              </w:rPr>
              <w:t>Until further notice</w:t>
            </w:r>
          </w:p>
        </w:tc>
        <w:tc>
          <w:tcPr>
            <w:tcW w:w="836" w:type="dxa"/>
          </w:tcPr>
          <w:p w:rsidR="00E3232B" w:rsidRPr="000A2EE1" w:rsidRDefault="00E3232B" w:rsidP="009B5E14">
            <w:pPr>
              <w:tabs>
                <w:tab w:val="left" w:pos="1418"/>
              </w:tabs>
              <w:spacing w:before="120" w:after="120"/>
              <w:rPr>
                <w:rFonts w:cs="Arial"/>
                <w:szCs w:val="22"/>
              </w:rPr>
            </w:pPr>
          </w:p>
        </w:tc>
      </w:tr>
    </w:tbl>
    <w:p w:rsidR="00E3232B" w:rsidRPr="000A2EE1" w:rsidRDefault="00E3232B" w:rsidP="00E3232B">
      <w:pPr>
        <w:widowControl w:val="0"/>
        <w:spacing w:before="120" w:after="120"/>
        <w:ind w:left="1134" w:right="1134"/>
      </w:pPr>
      <w:r w:rsidRPr="000A2EE1">
        <w:t>At the end, add the following row: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4253"/>
        <w:gridCol w:w="1276"/>
        <w:gridCol w:w="992"/>
        <w:gridCol w:w="850"/>
      </w:tblGrid>
      <w:tr w:rsidR="00E3232B" w:rsidRPr="000A2EE1" w:rsidTr="000B7D76">
        <w:trPr>
          <w:cantSplit/>
          <w:tblHeader/>
        </w:trPr>
        <w:tc>
          <w:tcPr>
            <w:tcW w:w="1559" w:type="dxa"/>
            <w:vAlign w:val="center"/>
          </w:tcPr>
          <w:p w:rsidR="00E3232B" w:rsidRPr="000A2EE1" w:rsidRDefault="00E3232B" w:rsidP="009B5E14">
            <w:pPr>
              <w:widowControl w:val="0"/>
            </w:pPr>
            <w:r w:rsidRPr="000A2EE1">
              <w:t>EN 13175:2014</w:t>
            </w:r>
          </w:p>
        </w:tc>
        <w:tc>
          <w:tcPr>
            <w:tcW w:w="4253" w:type="dxa"/>
            <w:vAlign w:val="center"/>
          </w:tcPr>
          <w:p w:rsidR="00E3232B" w:rsidRPr="000A2EE1" w:rsidRDefault="00E3232B" w:rsidP="009B5E14">
            <w:pPr>
              <w:widowControl w:val="0"/>
            </w:pPr>
            <w:r w:rsidRPr="000A2EE1">
              <w:t>LPG Equipment and accessories – Specification and testing for Liquefied Petroleum Gas (LPG) pressure vessel valves and fittings</w:t>
            </w:r>
          </w:p>
        </w:tc>
        <w:tc>
          <w:tcPr>
            <w:tcW w:w="1276" w:type="dxa"/>
            <w:vAlign w:val="center"/>
          </w:tcPr>
          <w:p w:rsidR="00E3232B" w:rsidRPr="000A2EE1" w:rsidRDefault="00E3232B" w:rsidP="009B5E14">
            <w:pPr>
              <w:widowControl w:val="0"/>
            </w:pPr>
            <w:r w:rsidRPr="000A2EE1">
              <w:t>6.8.2.1.1, 6.8.2.2, 6.8.2.4.1 and 6.8.3.2.3</w:t>
            </w:r>
          </w:p>
        </w:tc>
        <w:tc>
          <w:tcPr>
            <w:tcW w:w="992" w:type="dxa"/>
            <w:vAlign w:val="center"/>
          </w:tcPr>
          <w:p w:rsidR="00E3232B" w:rsidRPr="000A2EE1" w:rsidRDefault="00E3232B" w:rsidP="009B5E14">
            <w:pPr>
              <w:widowControl w:val="0"/>
              <w:jc w:val="center"/>
            </w:pPr>
            <w:r w:rsidRPr="000A2EE1">
              <w:t>Until further notice</w:t>
            </w:r>
          </w:p>
        </w:tc>
        <w:tc>
          <w:tcPr>
            <w:tcW w:w="850" w:type="dxa"/>
            <w:vAlign w:val="center"/>
          </w:tcPr>
          <w:p w:rsidR="00E3232B" w:rsidRPr="000A2EE1" w:rsidRDefault="00E3232B" w:rsidP="009B5E14">
            <w:pPr>
              <w:widowControl w:val="0"/>
              <w:jc w:val="center"/>
            </w:pPr>
          </w:p>
        </w:tc>
      </w:tr>
    </w:tbl>
    <w:p w:rsidR="00E3232B" w:rsidRPr="000A2EE1" w:rsidRDefault="00E3232B" w:rsidP="000B7D76">
      <w:pPr>
        <w:widowControl w:val="0"/>
        <w:spacing w:before="120" w:after="120"/>
        <w:ind w:left="1134" w:right="1134"/>
      </w:pPr>
      <w:r w:rsidRPr="000A2EE1">
        <w:t>After the row for “EN 162</w:t>
      </w:r>
      <w:r w:rsidR="000B7D76" w:rsidRPr="000A2EE1">
        <w:t>6:2008”, add the following row: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4253"/>
        <w:gridCol w:w="1276"/>
        <w:gridCol w:w="992"/>
        <w:gridCol w:w="850"/>
      </w:tblGrid>
      <w:tr w:rsidR="00E3232B" w:rsidRPr="000A2EE1" w:rsidTr="000B7D76">
        <w:trPr>
          <w:cantSplit/>
          <w:tblHeader/>
        </w:trPr>
        <w:tc>
          <w:tcPr>
            <w:tcW w:w="1559" w:type="dxa"/>
          </w:tcPr>
          <w:p w:rsidR="00E3232B" w:rsidRPr="000A2EE1" w:rsidRDefault="00E3232B" w:rsidP="008023C1">
            <w:pPr>
              <w:keepNext/>
              <w:keepLines/>
              <w:tabs>
                <w:tab w:val="center" w:pos="4320"/>
                <w:tab w:val="right" w:pos="8640"/>
              </w:tabs>
              <w:spacing w:before="20" w:after="20" w:line="228" w:lineRule="auto"/>
              <w:jc w:val="center"/>
            </w:pPr>
            <w:r w:rsidRPr="000A2EE1">
              <w:t>EN 13648-1:2008</w:t>
            </w:r>
          </w:p>
        </w:tc>
        <w:tc>
          <w:tcPr>
            <w:tcW w:w="4253" w:type="dxa"/>
          </w:tcPr>
          <w:p w:rsidR="00E3232B" w:rsidRPr="000A2EE1" w:rsidRDefault="00E3232B" w:rsidP="009B5E14">
            <w:pPr>
              <w:keepNext/>
              <w:keepLines/>
              <w:spacing w:before="20" w:after="20" w:line="228" w:lineRule="auto"/>
            </w:pPr>
            <w:r w:rsidRPr="000A2EE1">
              <w:t>Cryogenic vessels – Safety devices for protection against excessive pressure – Part 1: Safety valves for cryogenic service</w:t>
            </w:r>
          </w:p>
        </w:tc>
        <w:tc>
          <w:tcPr>
            <w:tcW w:w="1276" w:type="dxa"/>
          </w:tcPr>
          <w:p w:rsidR="00E3232B" w:rsidRPr="000A2EE1" w:rsidRDefault="00E3232B" w:rsidP="009B5E14">
            <w:pPr>
              <w:keepNext/>
              <w:keepLines/>
              <w:spacing w:before="20" w:after="20" w:line="228" w:lineRule="auto"/>
              <w:jc w:val="center"/>
            </w:pPr>
            <w:r w:rsidRPr="000A2EE1">
              <w:t>6.8.2.4, 6.8.3.2.12 and 6.8.3.4</w:t>
            </w:r>
          </w:p>
        </w:tc>
        <w:tc>
          <w:tcPr>
            <w:tcW w:w="992" w:type="dxa"/>
          </w:tcPr>
          <w:p w:rsidR="00E3232B" w:rsidRPr="000A2EE1" w:rsidRDefault="00E3232B" w:rsidP="009B5E14">
            <w:pPr>
              <w:keepNext/>
              <w:keepLines/>
              <w:spacing w:before="20" w:after="20" w:line="228" w:lineRule="auto"/>
              <w:jc w:val="center"/>
            </w:pPr>
            <w:r w:rsidRPr="000A2EE1">
              <w:t>Until further notice</w:t>
            </w:r>
          </w:p>
        </w:tc>
        <w:tc>
          <w:tcPr>
            <w:tcW w:w="850" w:type="dxa"/>
          </w:tcPr>
          <w:p w:rsidR="00E3232B" w:rsidRPr="000A2EE1" w:rsidRDefault="00E3232B" w:rsidP="009B5E14">
            <w:pPr>
              <w:keepNext/>
              <w:keepLines/>
              <w:spacing w:before="20" w:after="20"/>
              <w:ind w:left="21" w:hanging="21"/>
              <w:jc w:val="center"/>
            </w:pPr>
          </w:p>
        </w:tc>
      </w:tr>
    </w:tbl>
    <w:p w:rsidR="00E3232B" w:rsidRPr="000A2EE1" w:rsidRDefault="00E3232B" w:rsidP="00E3232B">
      <w:pPr>
        <w:spacing w:before="120" w:after="120"/>
        <w:ind w:left="1418" w:right="1134" w:hanging="284"/>
        <w:jc w:val="both"/>
        <w:rPr>
          <w:rFonts w:cs="Arial"/>
          <w:szCs w:val="22"/>
        </w:rPr>
      </w:pPr>
      <w:r w:rsidRPr="000A2EE1">
        <w:rPr>
          <w:rFonts w:cs="Arial"/>
          <w:szCs w:val="22"/>
        </w:rPr>
        <w:t>6.8.2.6.2</w:t>
      </w:r>
      <w:r w:rsidRPr="000A2EE1">
        <w:rPr>
          <w:rFonts w:cs="Arial"/>
          <w:szCs w:val="22"/>
        </w:rPr>
        <w:tab/>
        <w:t xml:space="preserve">At the end of the first sub-paragraph, delete </w:t>
      </w:r>
      <w:r w:rsidR="006E67B9" w:rsidRPr="000A2EE1">
        <w:rPr>
          <w:rFonts w:cs="Arial"/>
          <w:szCs w:val="22"/>
        </w:rPr>
        <w:t>“</w:t>
      </w:r>
      <w:r w:rsidRPr="000A2EE1">
        <w:rPr>
          <w:rFonts w:cs="Arial"/>
          <w:szCs w:val="22"/>
        </w:rPr>
        <w:t>which shall prevail in all cases</w:t>
      </w:r>
      <w:r w:rsidR="006E67B9" w:rsidRPr="000A2EE1">
        <w:rPr>
          <w:rFonts w:cs="Arial"/>
          <w:szCs w:val="22"/>
        </w:rPr>
        <w:t>”</w:t>
      </w:r>
      <w:r w:rsidRPr="000A2EE1">
        <w:rPr>
          <w:rFonts w:cs="Arial"/>
          <w:szCs w:val="22"/>
        </w:rPr>
        <w:t>.</w:t>
      </w:r>
    </w:p>
    <w:p w:rsidR="00E3232B" w:rsidRPr="000A2EE1" w:rsidRDefault="00E3232B" w:rsidP="00E3232B">
      <w:pPr>
        <w:spacing w:before="120" w:after="120"/>
        <w:ind w:left="1134" w:right="1134"/>
        <w:jc w:val="both"/>
        <w:rPr>
          <w:rFonts w:cs="Arial"/>
          <w:szCs w:val="22"/>
        </w:rPr>
      </w:pPr>
      <w:r w:rsidRPr="000A2EE1">
        <w:rPr>
          <w:rFonts w:cs="Arial"/>
          <w:szCs w:val="22"/>
        </w:rPr>
        <w:t xml:space="preserve">At the end of the first sub-paragraph, add the following sentence </w:t>
      </w:r>
      <w:r w:rsidR="006E67B9" w:rsidRPr="000A2EE1">
        <w:rPr>
          <w:rFonts w:cs="Arial"/>
          <w:szCs w:val="22"/>
        </w:rPr>
        <w:t>“</w:t>
      </w:r>
      <w:r w:rsidRPr="000A2EE1">
        <w:rPr>
          <w:rFonts w:cs="Arial"/>
          <w:szCs w:val="22"/>
        </w:rPr>
        <w:t>The standards shall be applied in accordance with 1.1.5.</w:t>
      </w:r>
      <w:r w:rsidR="006E67B9" w:rsidRPr="000A2EE1">
        <w:rPr>
          <w:rFonts w:cs="Arial"/>
          <w:szCs w:val="22"/>
        </w:rPr>
        <w:t>”</w:t>
      </w:r>
      <w:r w:rsidRPr="000A2EE1">
        <w:rPr>
          <w:rFonts w:cs="Arial"/>
          <w:szCs w:val="22"/>
        </w:rPr>
        <w:t>.</w:t>
      </w:r>
    </w:p>
    <w:p w:rsidR="00E3232B" w:rsidRPr="000A2EE1" w:rsidRDefault="00E3232B" w:rsidP="00E3232B">
      <w:pPr>
        <w:spacing w:before="120" w:after="120"/>
        <w:ind w:left="1134" w:right="1134"/>
      </w:pPr>
      <w:r w:rsidRPr="000A2EE1">
        <w:t>6.8.2.6.2</w:t>
      </w:r>
      <w:r w:rsidRPr="000A2EE1">
        <w:tab/>
        <w:t>At the end, add the following row: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4253"/>
        <w:gridCol w:w="1701"/>
        <w:gridCol w:w="1417"/>
      </w:tblGrid>
      <w:tr w:rsidR="00E3232B" w:rsidRPr="000A2EE1" w:rsidTr="008023C1">
        <w:trPr>
          <w:cantSplit/>
          <w:tblHeader/>
        </w:trPr>
        <w:tc>
          <w:tcPr>
            <w:tcW w:w="1559" w:type="dxa"/>
            <w:vAlign w:val="center"/>
          </w:tcPr>
          <w:p w:rsidR="00E3232B" w:rsidRPr="000A2EE1" w:rsidRDefault="00E3232B" w:rsidP="009B5E14">
            <w:pPr>
              <w:widowControl w:val="0"/>
            </w:pPr>
            <w:r w:rsidRPr="000A2EE1">
              <w:t>EN 14334:2014</w:t>
            </w:r>
          </w:p>
        </w:tc>
        <w:tc>
          <w:tcPr>
            <w:tcW w:w="4253" w:type="dxa"/>
            <w:vAlign w:val="center"/>
          </w:tcPr>
          <w:p w:rsidR="00E3232B" w:rsidRPr="000A2EE1" w:rsidRDefault="00E3232B" w:rsidP="009B5E14">
            <w:pPr>
              <w:widowControl w:val="0"/>
            </w:pPr>
            <w:r w:rsidRPr="000A2EE1">
              <w:t>LPG equipment and accessories – Inspection and testing of LPG road tankers</w:t>
            </w:r>
          </w:p>
        </w:tc>
        <w:tc>
          <w:tcPr>
            <w:tcW w:w="1701" w:type="dxa"/>
            <w:vAlign w:val="center"/>
          </w:tcPr>
          <w:p w:rsidR="00E3232B" w:rsidRPr="000A2EE1" w:rsidRDefault="00E3232B" w:rsidP="009B5E14">
            <w:pPr>
              <w:widowControl w:val="0"/>
            </w:pPr>
            <w:r w:rsidRPr="000A2EE1">
              <w:t>6.8.2.4 (except 6.8.2.4.1), 6.8.3.4.2 and 6.8.3.4.9</w:t>
            </w:r>
          </w:p>
        </w:tc>
        <w:tc>
          <w:tcPr>
            <w:tcW w:w="1417" w:type="dxa"/>
            <w:vAlign w:val="center"/>
          </w:tcPr>
          <w:p w:rsidR="00E3232B" w:rsidRPr="000A2EE1" w:rsidRDefault="00E3232B" w:rsidP="009B5E14">
            <w:pPr>
              <w:widowControl w:val="0"/>
              <w:jc w:val="center"/>
            </w:pPr>
            <w:r w:rsidRPr="000A2EE1">
              <w:t>Until further notice</w:t>
            </w:r>
          </w:p>
        </w:tc>
      </w:tr>
    </w:tbl>
    <w:p w:rsidR="00E3232B" w:rsidRPr="000A2EE1" w:rsidRDefault="00E3232B" w:rsidP="00E3232B">
      <w:pPr>
        <w:spacing w:before="120" w:after="120"/>
        <w:ind w:left="1134" w:right="992"/>
        <w:jc w:val="both"/>
      </w:pPr>
      <w:r w:rsidRPr="000A2EE1">
        <w:t>6.8.3.2 15</w:t>
      </w:r>
      <w:r w:rsidRPr="000A2EE1">
        <w:tab/>
        <w:t>Insert a new last sentence to read as follows: “For type testing of the effectiveness of the insulation system, see 6.8.3.4.11.”.</w:t>
      </w:r>
    </w:p>
    <w:p w:rsidR="00E3232B" w:rsidRPr="000A2EE1" w:rsidRDefault="00E3232B" w:rsidP="00E3232B">
      <w:pPr>
        <w:spacing w:before="120" w:after="120"/>
        <w:ind w:left="1134" w:right="1134"/>
      </w:pPr>
      <w:r w:rsidRPr="000A2EE1">
        <w:t>6.8.3.4</w:t>
      </w:r>
      <w:r w:rsidRPr="000A2EE1">
        <w:tab/>
      </w:r>
      <w:r w:rsidRPr="000A2EE1">
        <w:tab/>
        <w:t>Insert two new paragraphs 6.8.3.4.10 and 6.8.3.4.11 on the right hand side of the page to read as follows:</w:t>
      </w:r>
    </w:p>
    <w:p w:rsidR="002537DE" w:rsidRPr="000A2EE1" w:rsidRDefault="002537DE" w:rsidP="00E3232B">
      <w:pPr>
        <w:spacing w:before="120" w:after="120"/>
        <w:ind w:left="1134" w:right="1134"/>
      </w:pPr>
      <w:r w:rsidRPr="000A2EE1">
        <w:t>“</w:t>
      </w:r>
      <w:r w:rsidRPr="000A2EE1">
        <w:rPr>
          <w:i/>
        </w:rPr>
        <w:t>Holding times for tank-containers carrying refrigerated liquefied gases</w:t>
      </w:r>
    </w:p>
    <w:tbl>
      <w:tblPr>
        <w:tblW w:w="0" w:type="auto"/>
        <w:tblInd w:w="1134" w:type="dxa"/>
        <w:tblBorders>
          <w:insideV w:val="single" w:sz="4" w:space="0" w:color="auto"/>
        </w:tblBorders>
        <w:tblCellMar>
          <w:left w:w="0" w:type="dxa"/>
          <w:right w:w="0" w:type="dxa"/>
        </w:tblCellMar>
        <w:tblLook w:val="04A0" w:firstRow="1" w:lastRow="0" w:firstColumn="1" w:lastColumn="0" w:noHBand="0" w:noVBand="1"/>
      </w:tblPr>
      <w:tblGrid>
        <w:gridCol w:w="3544"/>
        <w:gridCol w:w="4961"/>
      </w:tblGrid>
      <w:tr w:rsidR="00E3232B" w:rsidRPr="000A2EE1" w:rsidTr="002537DE">
        <w:tc>
          <w:tcPr>
            <w:tcW w:w="3544" w:type="dxa"/>
            <w:shd w:val="clear" w:color="auto" w:fill="auto"/>
          </w:tcPr>
          <w:p w:rsidR="00E3232B" w:rsidRPr="000A2EE1" w:rsidRDefault="002537DE" w:rsidP="009B5E14">
            <w:pPr>
              <w:pStyle w:val="SingleTxtG"/>
              <w:ind w:left="0"/>
            </w:pPr>
            <w:r w:rsidRPr="000A2EE1">
              <w:t>6.8.3.4.10</w:t>
            </w:r>
          </w:p>
        </w:tc>
        <w:tc>
          <w:tcPr>
            <w:tcW w:w="4961" w:type="dxa"/>
            <w:shd w:val="clear" w:color="auto" w:fill="auto"/>
          </w:tcPr>
          <w:p w:rsidR="00E3232B" w:rsidRPr="000A2EE1" w:rsidRDefault="00E3232B" w:rsidP="009B5E14">
            <w:pPr>
              <w:pStyle w:val="SingleTxtG"/>
              <w:ind w:left="141" w:right="283"/>
            </w:pPr>
            <w:r w:rsidRPr="000A2EE1">
              <w:t>The reference holding time for tank-containers carrying refrigerated liquefied gases shall be determined on the basis of the following:</w:t>
            </w:r>
          </w:p>
          <w:p w:rsidR="00E3232B" w:rsidRPr="000A2EE1" w:rsidRDefault="00E3232B" w:rsidP="009B5E14">
            <w:pPr>
              <w:pStyle w:val="SingleTxtG"/>
              <w:ind w:left="141" w:right="283"/>
            </w:pPr>
            <w:r w:rsidRPr="000A2EE1">
              <w:t>(a)</w:t>
            </w:r>
            <w:r w:rsidRPr="000A2EE1">
              <w:tab/>
              <w:t>The effectiveness of the insulation system, determined in accordance with 6.8.3.4.11;</w:t>
            </w:r>
          </w:p>
          <w:p w:rsidR="00E3232B" w:rsidRPr="000A2EE1" w:rsidRDefault="00E3232B" w:rsidP="009B5E14">
            <w:pPr>
              <w:pStyle w:val="SingleTxtG"/>
              <w:ind w:left="141" w:right="283"/>
            </w:pPr>
            <w:r w:rsidRPr="000A2EE1">
              <w:t>(b)</w:t>
            </w:r>
            <w:r w:rsidRPr="000A2EE1">
              <w:tab/>
              <w:t>The lowest set pressure of the pressure limiting device(s);</w:t>
            </w:r>
          </w:p>
          <w:p w:rsidR="00E3232B" w:rsidRPr="000A2EE1" w:rsidRDefault="00E3232B" w:rsidP="009B5E14">
            <w:pPr>
              <w:pStyle w:val="SingleTxtG"/>
              <w:ind w:left="141" w:right="283"/>
            </w:pPr>
            <w:r w:rsidRPr="000A2EE1">
              <w:t>(c)</w:t>
            </w:r>
            <w:r w:rsidRPr="000A2EE1">
              <w:tab/>
              <w:t>The initial filling conditions;</w:t>
            </w:r>
          </w:p>
          <w:p w:rsidR="00E3232B" w:rsidRPr="000A2EE1" w:rsidRDefault="00E3232B" w:rsidP="009B5E14">
            <w:pPr>
              <w:pStyle w:val="SingleTxtG"/>
              <w:ind w:left="141" w:right="283"/>
            </w:pPr>
            <w:r w:rsidRPr="000A2EE1">
              <w:t>(d)</w:t>
            </w:r>
            <w:r w:rsidRPr="000A2EE1">
              <w:tab/>
              <w:t>An assumed ambient temperature of 30 °C;</w:t>
            </w:r>
          </w:p>
          <w:p w:rsidR="00E3232B" w:rsidRPr="000A2EE1" w:rsidRDefault="00E3232B" w:rsidP="002537DE">
            <w:pPr>
              <w:pStyle w:val="SingleTxtG"/>
              <w:ind w:left="141" w:right="283"/>
            </w:pPr>
            <w:r w:rsidRPr="000A2EE1">
              <w:t>(e)</w:t>
            </w:r>
            <w:r w:rsidRPr="000A2EE1">
              <w:tab/>
              <w:t>The physical properties of the individual refrigerated liquefied gas intended to be carried</w:t>
            </w:r>
            <w:r w:rsidR="002537DE" w:rsidRPr="000A2EE1">
              <w:t>.</w:t>
            </w:r>
          </w:p>
        </w:tc>
      </w:tr>
      <w:tr w:rsidR="002537DE" w:rsidRPr="000A2EE1" w:rsidTr="002537DE">
        <w:tc>
          <w:tcPr>
            <w:tcW w:w="3544" w:type="dxa"/>
            <w:shd w:val="clear" w:color="auto" w:fill="auto"/>
          </w:tcPr>
          <w:p w:rsidR="002537DE" w:rsidRPr="000A2EE1" w:rsidRDefault="002537DE" w:rsidP="009B5E14">
            <w:pPr>
              <w:pStyle w:val="SingleTxtG"/>
              <w:ind w:left="0"/>
            </w:pPr>
            <w:r w:rsidRPr="000A2EE1">
              <w:t>6.8.3.4.11</w:t>
            </w:r>
          </w:p>
        </w:tc>
        <w:tc>
          <w:tcPr>
            <w:tcW w:w="4961" w:type="dxa"/>
            <w:shd w:val="clear" w:color="auto" w:fill="auto"/>
          </w:tcPr>
          <w:p w:rsidR="002537DE" w:rsidRPr="000A2EE1" w:rsidRDefault="002537DE" w:rsidP="002537DE">
            <w:pPr>
              <w:pStyle w:val="SingleTxtG"/>
              <w:ind w:left="141" w:right="283"/>
            </w:pPr>
            <w:r w:rsidRPr="000A2EE1">
              <w:t>The effectiveness of the insulation system (heat influx in Watts) shall be determined by type testing the tank-containers. This test shall consist of either:</w:t>
            </w:r>
          </w:p>
          <w:p w:rsidR="002537DE" w:rsidRPr="000A2EE1" w:rsidRDefault="002537DE" w:rsidP="002537DE">
            <w:pPr>
              <w:pStyle w:val="SingleTxtG"/>
              <w:ind w:left="141" w:right="283"/>
            </w:pPr>
            <w:r w:rsidRPr="000A2EE1">
              <w:t>(a)</w:t>
            </w:r>
            <w:r w:rsidRPr="000A2EE1">
              <w:tab/>
              <w:t xml:space="preserve">A constant pressure test (for example at atmospheric pressure) during </w:t>
            </w:r>
            <w:r w:rsidRPr="000A2EE1">
              <w:tab/>
              <w:t>which the loss of refrigerated liquefied gas is measured over a period of time; or</w:t>
            </w:r>
          </w:p>
          <w:p w:rsidR="002537DE" w:rsidRPr="000A2EE1" w:rsidRDefault="002537DE" w:rsidP="002537DE">
            <w:pPr>
              <w:pStyle w:val="SingleTxtG"/>
              <w:ind w:left="141" w:right="283"/>
            </w:pPr>
            <w:r w:rsidRPr="000A2EE1">
              <w:t>(b)</w:t>
            </w:r>
            <w:r w:rsidRPr="000A2EE1">
              <w:tab/>
              <w:t>A closed system test during which the rise in pressure in the shell is measured over a period of time.</w:t>
            </w:r>
          </w:p>
          <w:p w:rsidR="002537DE" w:rsidRPr="000A2EE1" w:rsidRDefault="002537DE" w:rsidP="002537DE">
            <w:pPr>
              <w:pStyle w:val="SingleTxtG"/>
              <w:ind w:left="141" w:right="283"/>
            </w:pPr>
            <w:r w:rsidRPr="000A2EE1">
              <w:t>When performing the constant pressure test, variations in atmospheric pressure shall be taken into account. When performing either tests corrections shall be made for any variation of the ambient temperature from the assumed ambient temperature reference value of 30 °C.</w:t>
            </w:r>
          </w:p>
          <w:p w:rsidR="002537DE" w:rsidRPr="000A2EE1" w:rsidRDefault="002537DE" w:rsidP="002537DE">
            <w:pPr>
              <w:pStyle w:val="SingleTxtG"/>
              <w:ind w:left="141" w:right="283"/>
            </w:pPr>
            <w:r w:rsidRPr="000A2EE1">
              <w:rPr>
                <w:b/>
                <w:i/>
              </w:rPr>
              <w:t>NOTE:</w:t>
            </w:r>
            <w:r w:rsidRPr="000A2EE1">
              <w:rPr>
                <w:i/>
              </w:rPr>
              <w:tab/>
              <w:t>ISO 21014:2006 ‘Cryogenic vessels — Cryogenic insulation performance’ details methods of determining the insulation performance of cryogenic vessels and provides a method of calculating the holding time.</w:t>
            </w:r>
            <w:r w:rsidRPr="000A2EE1">
              <w:t>”.</w:t>
            </w:r>
          </w:p>
        </w:tc>
      </w:tr>
    </w:tbl>
    <w:p w:rsidR="00E3232B" w:rsidRPr="000A2EE1" w:rsidRDefault="00E3232B" w:rsidP="00E3232B">
      <w:pPr>
        <w:spacing w:before="120" w:after="120"/>
        <w:ind w:left="1134" w:right="1134"/>
        <w:jc w:val="both"/>
      </w:pPr>
      <w:r w:rsidRPr="000A2EE1">
        <w:t xml:space="preserve">Renumber existing paragraphs </w:t>
      </w:r>
      <w:r w:rsidRPr="000A2EE1">
        <w:rPr>
          <w:lang w:eastAsia="en-GB"/>
        </w:rPr>
        <w:t>6.8.3.4.10 to 6.8.3.4.16 as 6.8.3.4.12 to 6.8.3.4.18 respectively.</w:t>
      </w:r>
    </w:p>
    <w:p w:rsidR="00E3232B" w:rsidRPr="000A2EE1" w:rsidRDefault="00E3232B" w:rsidP="00E3232B">
      <w:pPr>
        <w:spacing w:before="120" w:after="120"/>
        <w:ind w:left="1134" w:right="1134"/>
        <w:jc w:val="both"/>
      </w:pPr>
      <w:r w:rsidRPr="000A2EE1">
        <w:t>6.8.3.4.12 (former 6.8.3.4.10)</w:t>
      </w:r>
      <w:r w:rsidRPr="000A2EE1">
        <w:tab/>
        <w:t xml:space="preserve">Replace </w:t>
      </w:r>
      <w:r w:rsidR="006E67B9" w:rsidRPr="000A2EE1">
        <w:t>“</w:t>
      </w:r>
      <w:r w:rsidRPr="000A2EE1">
        <w:t>6.8.3.4.14</w:t>
      </w:r>
      <w:r w:rsidR="006E67B9" w:rsidRPr="000A2EE1">
        <w:t>”</w:t>
      </w:r>
      <w:r w:rsidRPr="000A2EE1">
        <w:t xml:space="preserve"> by </w:t>
      </w:r>
      <w:r w:rsidR="006E67B9" w:rsidRPr="000A2EE1">
        <w:t>“</w:t>
      </w:r>
      <w:r w:rsidRPr="000A2EE1">
        <w:t>6.8.3.4.16</w:t>
      </w:r>
      <w:r w:rsidR="006E67B9" w:rsidRPr="000A2EE1">
        <w:t>”</w:t>
      </w:r>
      <w:r w:rsidRPr="000A2EE1">
        <w:t>.</w:t>
      </w:r>
    </w:p>
    <w:p w:rsidR="00E3232B" w:rsidRPr="000A2EE1" w:rsidRDefault="00E3232B" w:rsidP="00E3232B">
      <w:pPr>
        <w:spacing w:before="120" w:after="120"/>
        <w:ind w:left="1134" w:right="1134"/>
        <w:jc w:val="both"/>
      </w:pPr>
      <w:r w:rsidRPr="000A2EE1">
        <w:t>6.8.3.4.16 (former 6.8.3.4.14)</w:t>
      </w:r>
      <w:r w:rsidRPr="000A2EE1">
        <w:tab/>
        <w:t xml:space="preserve">Replace </w:t>
      </w:r>
      <w:r w:rsidR="006E67B9" w:rsidRPr="000A2EE1">
        <w:t>“</w:t>
      </w:r>
      <w:r w:rsidRPr="000A2EE1">
        <w:t>6.8.3.4.15</w:t>
      </w:r>
      <w:r w:rsidR="006E67B9" w:rsidRPr="000A2EE1">
        <w:t>”</w:t>
      </w:r>
      <w:r w:rsidRPr="000A2EE1">
        <w:t xml:space="preserve"> by </w:t>
      </w:r>
      <w:r w:rsidR="006E67B9" w:rsidRPr="000A2EE1">
        <w:t>“</w:t>
      </w:r>
      <w:r w:rsidRPr="000A2EE1">
        <w:t>6.8.3.4.17</w:t>
      </w:r>
      <w:r w:rsidR="006E67B9" w:rsidRPr="000A2EE1">
        <w:t>”</w:t>
      </w:r>
      <w:r w:rsidRPr="000A2EE1">
        <w:t>.</w:t>
      </w:r>
    </w:p>
    <w:p w:rsidR="00E3232B" w:rsidRPr="000A2EE1" w:rsidRDefault="00E3232B" w:rsidP="00E3232B">
      <w:pPr>
        <w:spacing w:before="120" w:after="120"/>
        <w:ind w:left="1134" w:right="1134"/>
        <w:jc w:val="both"/>
      </w:pPr>
      <w:r w:rsidRPr="000A2EE1">
        <w:t>6.8.3.4.18 (former 6.8.3.4.16)</w:t>
      </w:r>
      <w:r w:rsidRPr="000A2EE1">
        <w:tab/>
        <w:t xml:space="preserve">Replace </w:t>
      </w:r>
      <w:r w:rsidR="006E67B9" w:rsidRPr="000A2EE1">
        <w:t>“</w:t>
      </w:r>
      <w:r w:rsidRPr="000A2EE1">
        <w:t>6.8.3.4.10 to 6.8.3.4.15</w:t>
      </w:r>
      <w:r w:rsidR="006E67B9" w:rsidRPr="000A2EE1">
        <w:t>”</w:t>
      </w:r>
      <w:r w:rsidRPr="000A2EE1">
        <w:t xml:space="preserve"> by </w:t>
      </w:r>
      <w:r w:rsidR="006E67B9" w:rsidRPr="000A2EE1">
        <w:t>“</w:t>
      </w:r>
      <w:r w:rsidRPr="000A2EE1">
        <w:t>6.8.3.4.12 to 6.8.3.4.17</w:t>
      </w:r>
      <w:r w:rsidR="006E67B9" w:rsidRPr="000A2EE1">
        <w:t>”</w:t>
      </w:r>
      <w:r w:rsidRPr="000A2EE1">
        <w:t>.</w:t>
      </w:r>
    </w:p>
    <w:p w:rsidR="00E3232B" w:rsidRPr="000A2EE1" w:rsidRDefault="00E3232B" w:rsidP="00E3232B">
      <w:pPr>
        <w:pStyle w:val="SingleTxtG"/>
        <w:ind w:left="2268" w:hanging="1134"/>
      </w:pPr>
      <w:r w:rsidRPr="000A2EE1">
        <w:t>6.8.3.4.17 (e) (former 6.8.3.4.15 (e))</w:t>
      </w:r>
      <w:r w:rsidRPr="000A2EE1">
        <w:tab/>
        <w:t>Replace “</w:t>
      </w:r>
      <w:r w:rsidRPr="000A2EE1">
        <w:rPr>
          <w:rFonts w:eastAsia="Calibri"/>
        </w:rPr>
        <w:t>markings”</w:t>
      </w:r>
      <w:r w:rsidRPr="000A2EE1">
        <w:t xml:space="preserve"> by “</w:t>
      </w:r>
      <w:r w:rsidRPr="000A2EE1">
        <w:rPr>
          <w:rFonts w:eastAsia="Calibri"/>
        </w:rPr>
        <w:t>marks”.</w:t>
      </w:r>
    </w:p>
    <w:p w:rsidR="00E3232B" w:rsidRPr="000A2EE1" w:rsidRDefault="00E3232B" w:rsidP="00E3232B">
      <w:pPr>
        <w:spacing w:before="120" w:after="120"/>
        <w:ind w:left="1134" w:right="1134"/>
        <w:rPr>
          <w:lang w:eastAsia="en-GB"/>
        </w:rPr>
      </w:pPr>
      <w:r w:rsidRPr="000A2EE1">
        <w:rPr>
          <w:lang w:eastAsia="en-GB"/>
        </w:rPr>
        <w:t>6.8.3.5.4</w:t>
      </w:r>
      <w:r w:rsidRPr="000A2EE1">
        <w:rPr>
          <w:lang w:eastAsia="en-GB"/>
        </w:rPr>
        <w:tab/>
      </w:r>
      <w:r w:rsidRPr="000A2EE1">
        <w:t>On the right hand side of the page,</w:t>
      </w:r>
      <w:r w:rsidRPr="000A2EE1">
        <w:rPr>
          <w:lang w:eastAsia="en-GB"/>
        </w:rPr>
        <w:t xml:space="preserve"> after the first indent, add two new indents to read as follows:</w:t>
      </w:r>
    </w:p>
    <w:tbl>
      <w:tblPr>
        <w:tblW w:w="0" w:type="auto"/>
        <w:tblInd w:w="1134"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5244"/>
      </w:tblGrid>
      <w:tr w:rsidR="00E3232B" w:rsidRPr="000A2EE1" w:rsidTr="009B5E14">
        <w:tc>
          <w:tcPr>
            <w:tcW w:w="3261" w:type="dxa"/>
            <w:shd w:val="clear" w:color="auto" w:fill="auto"/>
          </w:tcPr>
          <w:p w:rsidR="00E3232B" w:rsidRPr="000A2EE1" w:rsidRDefault="00E3232B" w:rsidP="009B5E14">
            <w:pPr>
              <w:pStyle w:val="SingleTxtG"/>
              <w:ind w:left="0"/>
            </w:pPr>
          </w:p>
        </w:tc>
        <w:tc>
          <w:tcPr>
            <w:tcW w:w="5244" w:type="dxa"/>
            <w:shd w:val="clear" w:color="auto" w:fill="auto"/>
          </w:tcPr>
          <w:p w:rsidR="00E3232B" w:rsidRPr="000A2EE1" w:rsidRDefault="00E3232B" w:rsidP="009B5E14">
            <w:pPr>
              <w:pStyle w:val="SingleTxtG"/>
              <w:pageBreakBefore/>
              <w:ind w:left="141" w:right="0"/>
              <w:rPr>
                <w:lang w:eastAsia="en-GB"/>
              </w:rPr>
            </w:pPr>
            <w:r w:rsidRPr="000A2EE1">
              <w:rPr>
                <w:lang w:eastAsia="en-GB"/>
              </w:rPr>
              <w:t>“-</w:t>
            </w:r>
            <w:r w:rsidRPr="000A2EE1">
              <w:rPr>
                <w:lang w:eastAsia="en-GB"/>
              </w:rPr>
              <w:tab/>
              <w:t xml:space="preserve">reference holding time (in days or hours) </w:t>
            </w:r>
            <w:r w:rsidRPr="000A2EE1">
              <w:rPr>
                <w:i/>
                <w:lang w:eastAsia="en-GB"/>
              </w:rPr>
              <w:t>for each gas</w:t>
            </w:r>
            <w:r w:rsidRPr="000A2EE1">
              <w:rPr>
                <w:vertAlign w:val="superscript"/>
                <w:lang w:eastAsia="en-GB"/>
              </w:rPr>
              <w:t xml:space="preserve"> 13</w:t>
            </w:r>
            <w:r w:rsidRPr="000A2EE1">
              <w:rPr>
                <w:lang w:eastAsia="en-GB"/>
              </w:rPr>
              <w:t>;</w:t>
            </w:r>
          </w:p>
          <w:p w:rsidR="00E3232B" w:rsidRPr="000A2EE1" w:rsidRDefault="00E3232B" w:rsidP="009B5E14">
            <w:pPr>
              <w:pStyle w:val="SingleTxtG"/>
              <w:pageBreakBefore/>
              <w:ind w:left="141" w:right="0"/>
            </w:pPr>
            <w:r w:rsidRPr="000A2EE1">
              <w:rPr>
                <w:lang w:eastAsia="en-GB"/>
              </w:rPr>
              <w:t>-</w:t>
            </w:r>
            <w:r w:rsidRPr="000A2EE1">
              <w:rPr>
                <w:lang w:eastAsia="en-GB"/>
              </w:rPr>
              <w:tab/>
            </w:r>
            <w:r w:rsidRPr="000A2EE1">
              <w:rPr>
                <w:i/>
                <w:lang w:eastAsia="en-GB"/>
              </w:rPr>
              <w:t xml:space="preserve">the associated </w:t>
            </w:r>
            <w:r w:rsidRPr="000A2EE1">
              <w:rPr>
                <w:lang w:eastAsia="en-GB"/>
              </w:rPr>
              <w:t>initial pressures (in bar gauge or kPa gauge)</w:t>
            </w:r>
            <w:r w:rsidRPr="000A2EE1">
              <w:rPr>
                <w:vertAlign w:val="superscript"/>
                <w:lang w:eastAsia="en-GB"/>
              </w:rPr>
              <w:t>13”</w:t>
            </w:r>
            <w:r w:rsidRPr="000A2EE1">
              <w:rPr>
                <w:lang w:eastAsia="en-GB"/>
              </w:rPr>
              <w:t>.”</w:t>
            </w:r>
          </w:p>
        </w:tc>
      </w:tr>
    </w:tbl>
    <w:p w:rsidR="00E3232B" w:rsidRPr="000A2EE1" w:rsidRDefault="00E3232B" w:rsidP="00E3232B">
      <w:pPr>
        <w:spacing w:before="120" w:after="120"/>
        <w:ind w:left="1134" w:right="1134"/>
        <w:jc w:val="both"/>
      </w:pPr>
      <w:r w:rsidRPr="000A2EE1">
        <w:t>6.8.3.5.10</w:t>
      </w:r>
      <w:r w:rsidRPr="000A2EE1">
        <w:tab/>
        <w:t xml:space="preserve">In the last but one indent, replace </w:t>
      </w:r>
      <w:r w:rsidR="006E67B9" w:rsidRPr="000A2EE1">
        <w:t>“</w:t>
      </w:r>
      <w:r w:rsidRPr="000A2EE1">
        <w:t>6.8.3.4.10 to 6.8.3.4.13</w:t>
      </w:r>
      <w:r w:rsidR="006E67B9" w:rsidRPr="000A2EE1">
        <w:t>”</w:t>
      </w:r>
      <w:r w:rsidRPr="000A2EE1">
        <w:t xml:space="preserve"> by </w:t>
      </w:r>
      <w:r w:rsidR="006E67B9" w:rsidRPr="000A2EE1">
        <w:t>“</w:t>
      </w:r>
      <w:r w:rsidRPr="000A2EE1">
        <w:t>6.8.3.4.12 and 6.8.3.4.15</w:t>
      </w:r>
      <w:r w:rsidR="006E67B9" w:rsidRPr="000A2EE1">
        <w:t>”</w:t>
      </w:r>
      <w:r w:rsidRPr="000A2EE1">
        <w:t>.</w:t>
      </w:r>
    </w:p>
    <w:p w:rsidR="00E3232B" w:rsidRPr="000A2EE1" w:rsidRDefault="00E3232B" w:rsidP="00E3232B">
      <w:pPr>
        <w:spacing w:before="120" w:after="120"/>
        <w:ind w:left="1134" w:right="1134"/>
        <w:jc w:val="both"/>
        <w:rPr>
          <w:rFonts w:cs="Arial"/>
          <w:szCs w:val="22"/>
        </w:rPr>
      </w:pPr>
      <w:r w:rsidRPr="000A2EE1">
        <w:rPr>
          <w:rFonts w:cs="Arial"/>
          <w:szCs w:val="22"/>
        </w:rPr>
        <w:t>6.8.3.6</w:t>
      </w:r>
      <w:r w:rsidRPr="000A2EE1">
        <w:rPr>
          <w:rFonts w:cs="Arial"/>
          <w:szCs w:val="22"/>
        </w:rPr>
        <w:tab/>
      </w:r>
      <w:r w:rsidRPr="000A2EE1">
        <w:tab/>
        <w:t xml:space="preserve">Insert the following first sentence </w:t>
      </w:r>
      <w:r w:rsidR="006E67B9" w:rsidRPr="000A2EE1">
        <w:t>“</w:t>
      </w:r>
      <w:r w:rsidRPr="000A2EE1">
        <w:t>Type approval certificates shall be issued in accordance with 1.8.7.</w:t>
      </w:r>
      <w:r w:rsidR="006E67B9" w:rsidRPr="000A2EE1">
        <w:t>”</w:t>
      </w:r>
      <w:r w:rsidRPr="000A2EE1">
        <w:t>.</w:t>
      </w:r>
    </w:p>
    <w:p w:rsidR="00E3232B" w:rsidRPr="000A2EE1" w:rsidRDefault="00E3232B" w:rsidP="00E3232B">
      <w:pPr>
        <w:spacing w:before="120" w:after="120"/>
        <w:ind w:left="1134" w:right="1134"/>
        <w:jc w:val="both"/>
        <w:rPr>
          <w:rFonts w:cs="Arial"/>
          <w:szCs w:val="22"/>
        </w:rPr>
      </w:pPr>
      <w:r w:rsidRPr="000A2EE1">
        <w:t xml:space="preserve">Amend the sentence </w:t>
      </w:r>
      <w:r w:rsidR="006E67B9" w:rsidRPr="000A2EE1">
        <w:t>“</w:t>
      </w:r>
      <w:r w:rsidRPr="000A2EE1">
        <w:t>The requirements of Chapter 6.8 referred to in column (3) shall prevail in all cases.</w:t>
      </w:r>
      <w:r w:rsidR="006E67B9" w:rsidRPr="000A2EE1">
        <w:t>”</w:t>
      </w:r>
      <w:r w:rsidRPr="000A2EE1">
        <w:t xml:space="preserve"> to read as follows:</w:t>
      </w:r>
      <w:r w:rsidRPr="000A2EE1">
        <w:rPr>
          <w:rFonts w:cs="Arial"/>
          <w:szCs w:val="22"/>
        </w:rPr>
        <w:t xml:space="preserve"> </w:t>
      </w:r>
      <w:r w:rsidR="006E67B9" w:rsidRPr="000A2EE1">
        <w:t>“</w:t>
      </w:r>
      <w:r w:rsidRPr="000A2EE1">
        <w:t>The standards shall be applied in accordance with 1.1.5.</w:t>
      </w:r>
      <w:r w:rsidR="006E67B9" w:rsidRPr="000A2EE1">
        <w:t>”</w:t>
      </w:r>
      <w:r w:rsidRPr="000A2EE1">
        <w:t>.</w:t>
      </w:r>
    </w:p>
    <w:p w:rsidR="00E3232B" w:rsidRPr="000A2EE1" w:rsidRDefault="00E3232B" w:rsidP="00E3232B">
      <w:pPr>
        <w:pStyle w:val="SingleTxtG"/>
      </w:pPr>
      <w:r w:rsidRPr="000A2EE1">
        <w:t>6.8.3.6</w:t>
      </w:r>
      <w:r w:rsidRPr="000A2EE1">
        <w:tab/>
      </w:r>
      <w:r w:rsidRPr="000A2EE1">
        <w:tab/>
        <w:t xml:space="preserve">In the table, for EN 13807:2003, in column (2), add a note to read as follows: </w:t>
      </w:r>
      <w:r w:rsidR="006E67B9" w:rsidRPr="000A2EE1">
        <w:t>“</w:t>
      </w:r>
      <w:r w:rsidRPr="000A2EE1">
        <w:rPr>
          <w:b/>
          <w:i/>
        </w:rPr>
        <w:t xml:space="preserve">NOTE: </w:t>
      </w:r>
      <w:r w:rsidRPr="000A2EE1">
        <w:rPr>
          <w:i/>
        </w:rPr>
        <w:t>Where appropriate this standard may also be applied to MEGCs which consist of pressure receptacles.</w:t>
      </w:r>
      <w:r w:rsidR="006E67B9" w:rsidRPr="000A2EE1">
        <w:t>”</w:t>
      </w:r>
      <w:r w:rsidRPr="000A2EE1">
        <w:t>.</w:t>
      </w:r>
    </w:p>
    <w:p w:rsidR="00E3232B" w:rsidRPr="000A2EE1" w:rsidRDefault="00E3232B" w:rsidP="00E3232B">
      <w:pPr>
        <w:spacing w:before="120" w:after="120"/>
        <w:ind w:left="1134" w:right="1134"/>
        <w:jc w:val="both"/>
        <w:rPr>
          <w:lang w:eastAsia="en-GB"/>
        </w:rPr>
      </w:pPr>
      <w:r w:rsidRPr="000A2EE1">
        <w:rPr>
          <w:lang w:eastAsia="en-GB"/>
        </w:rPr>
        <w:t>6.8.3.6</w:t>
      </w:r>
      <w:r w:rsidRPr="000A2EE1">
        <w:rPr>
          <w:lang w:eastAsia="en-GB"/>
        </w:rPr>
        <w:tab/>
      </w:r>
      <w:r w:rsidRPr="000A2EE1">
        <w:rPr>
          <w:lang w:eastAsia="en-GB"/>
        </w:rPr>
        <w:tab/>
        <w:t xml:space="preserve">For standard </w:t>
      </w:r>
      <w:r w:rsidR="006E67B9" w:rsidRPr="000A2EE1">
        <w:rPr>
          <w:lang w:eastAsia="en-GB"/>
        </w:rPr>
        <w:t>“</w:t>
      </w:r>
      <w:r w:rsidRPr="000A2EE1">
        <w:rPr>
          <w:lang w:eastAsia="en-GB"/>
        </w:rPr>
        <w:t>EN 13807:2003</w:t>
      </w:r>
      <w:r w:rsidR="006E67B9" w:rsidRPr="000A2EE1">
        <w:rPr>
          <w:lang w:eastAsia="en-GB"/>
        </w:rPr>
        <w:t>”</w:t>
      </w:r>
      <w:r w:rsidRPr="000A2EE1">
        <w:rPr>
          <w:lang w:eastAsia="en-GB"/>
        </w:rPr>
        <w:t xml:space="preserve">, in column (3), replace </w:t>
      </w:r>
      <w:r w:rsidR="006E67B9" w:rsidRPr="000A2EE1">
        <w:rPr>
          <w:lang w:eastAsia="en-GB"/>
        </w:rPr>
        <w:t>“</w:t>
      </w:r>
      <w:r w:rsidRPr="000A2EE1">
        <w:rPr>
          <w:lang w:eastAsia="en-GB"/>
        </w:rPr>
        <w:t>6.8.3.4.10 to 6.8.3.4.12</w:t>
      </w:r>
      <w:r w:rsidR="006E67B9" w:rsidRPr="000A2EE1">
        <w:rPr>
          <w:lang w:eastAsia="en-GB"/>
        </w:rPr>
        <w:t>”</w:t>
      </w:r>
      <w:r w:rsidRPr="000A2EE1">
        <w:rPr>
          <w:lang w:eastAsia="en-GB"/>
        </w:rPr>
        <w:t xml:space="preserve"> by </w:t>
      </w:r>
      <w:r w:rsidR="006E67B9" w:rsidRPr="000A2EE1">
        <w:rPr>
          <w:lang w:eastAsia="en-GB"/>
        </w:rPr>
        <w:t>“</w:t>
      </w:r>
      <w:r w:rsidRPr="000A2EE1">
        <w:rPr>
          <w:lang w:eastAsia="en-GB"/>
        </w:rPr>
        <w:t>6.8.3.4.12 to 6.8.3.4.14</w:t>
      </w:r>
      <w:r w:rsidR="006E67B9" w:rsidRPr="000A2EE1">
        <w:rPr>
          <w:lang w:eastAsia="en-GB"/>
        </w:rPr>
        <w:t>”</w:t>
      </w:r>
      <w:r w:rsidRPr="000A2EE1">
        <w:rPr>
          <w:lang w:eastAsia="en-GB"/>
        </w:rPr>
        <w:t>.</w:t>
      </w:r>
    </w:p>
    <w:p w:rsidR="00E3232B" w:rsidRPr="000A2EE1" w:rsidRDefault="00E3232B" w:rsidP="00E3232B">
      <w:pPr>
        <w:pStyle w:val="SingleTxtG"/>
      </w:pPr>
      <w:r w:rsidRPr="000A2EE1">
        <w:t xml:space="preserve">6.8.4, </w:t>
      </w:r>
      <w:r w:rsidR="007D773A" w:rsidRPr="000A2EE1">
        <w:rPr>
          <w:rFonts w:eastAsia="Calibri"/>
        </w:rPr>
        <w:t xml:space="preserve">special provision </w:t>
      </w:r>
      <w:r w:rsidRPr="000A2EE1">
        <w:t>TC8</w:t>
      </w:r>
      <w:r w:rsidRPr="000A2EE1">
        <w:tab/>
      </w:r>
      <w:r w:rsidR="00203C0A" w:rsidRPr="000A2EE1">
        <w:tab/>
      </w:r>
      <w:r w:rsidRPr="000A2EE1">
        <w:t>At the end insert the following sentence: “The shells may be designed for an external design pressure of not less than 5 kPa (0.05 bar).”</w:t>
      </w:r>
    </w:p>
    <w:p w:rsidR="00E3232B" w:rsidRPr="000A2EE1" w:rsidRDefault="00E3232B" w:rsidP="00E3232B">
      <w:pPr>
        <w:pStyle w:val="SingleTxtG"/>
        <w:rPr>
          <w:rFonts w:eastAsia="Calibri"/>
        </w:rPr>
      </w:pPr>
      <w:r w:rsidRPr="000A2EE1">
        <w:rPr>
          <w:rFonts w:eastAsia="Calibri"/>
        </w:rPr>
        <w:t>6.8.4, special provision TT8</w:t>
      </w:r>
      <w:r w:rsidRPr="000A2EE1">
        <w:rPr>
          <w:rFonts w:eastAsia="Calibri"/>
        </w:rPr>
        <w:tab/>
      </w:r>
      <w:r w:rsidRPr="000A2EE1">
        <w:rPr>
          <w:rFonts w:eastAsia="Calibri"/>
        </w:rPr>
        <w:tab/>
        <w:t xml:space="preserve">In the third paragraph, </w:t>
      </w:r>
      <w:r w:rsidRPr="000A2EE1">
        <w:t>replace “</w:t>
      </w:r>
      <w:r w:rsidRPr="000A2EE1">
        <w:rPr>
          <w:rFonts w:eastAsia="Calibri"/>
        </w:rPr>
        <w:t>marking”</w:t>
      </w:r>
      <w:r w:rsidRPr="000A2EE1">
        <w:t xml:space="preserve"> by “</w:t>
      </w:r>
      <w:r w:rsidRPr="000A2EE1">
        <w:rPr>
          <w:rFonts w:eastAsia="Calibri"/>
        </w:rPr>
        <w:t>mark”.</w:t>
      </w:r>
    </w:p>
    <w:p w:rsidR="00E3232B" w:rsidRPr="000A2EE1" w:rsidRDefault="00E3232B" w:rsidP="00E3232B">
      <w:pPr>
        <w:spacing w:before="120" w:after="120"/>
        <w:ind w:left="1134" w:right="1134"/>
        <w:jc w:val="both"/>
        <w:rPr>
          <w:rFonts w:cs="Arial"/>
          <w:szCs w:val="22"/>
        </w:rPr>
      </w:pPr>
      <w:r w:rsidRPr="000A2EE1">
        <w:t xml:space="preserve">6.8.4, </w:t>
      </w:r>
      <w:r w:rsidRPr="000A2EE1">
        <w:rPr>
          <w:rFonts w:eastAsia="Calibri"/>
        </w:rPr>
        <w:t xml:space="preserve">special provision </w:t>
      </w:r>
      <w:r w:rsidRPr="000A2EE1">
        <w:t>TT11</w:t>
      </w:r>
      <w:r w:rsidRPr="000A2EE1">
        <w:tab/>
        <w:t xml:space="preserve">In the sub-paragraph after the Table, replace </w:t>
      </w:r>
      <w:r w:rsidR="006E67B9" w:rsidRPr="000A2EE1">
        <w:t>“</w:t>
      </w:r>
      <w:r w:rsidRPr="000A2EE1">
        <w:t>EN 12493:2013</w:t>
      </w:r>
      <w:r w:rsidR="006E67B9" w:rsidRPr="000A2EE1">
        <w:t>”</w:t>
      </w:r>
      <w:r w:rsidRPr="000A2EE1">
        <w:t xml:space="preserve"> by </w:t>
      </w:r>
      <w:r w:rsidR="006E67B9" w:rsidRPr="000A2EE1">
        <w:t>“</w:t>
      </w:r>
      <w:r w:rsidRPr="000A2EE1">
        <w:t>EN 12493:2013 + A1:2014</w:t>
      </w:r>
      <w:r w:rsidR="006E67B9" w:rsidRPr="000A2EE1">
        <w:t>”</w:t>
      </w:r>
      <w:r w:rsidRPr="000A2EE1">
        <w:t>.</w:t>
      </w:r>
    </w:p>
    <w:p w:rsidR="00E3232B" w:rsidRPr="000A2EE1" w:rsidRDefault="00E3232B" w:rsidP="00E3232B">
      <w:pPr>
        <w:pStyle w:val="H1G"/>
      </w:pPr>
      <w:r w:rsidRPr="000A2EE1">
        <w:tab/>
      </w:r>
      <w:r w:rsidRPr="000A2EE1">
        <w:tab/>
        <w:t>Chapter 6.11</w:t>
      </w:r>
    </w:p>
    <w:p w:rsidR="00E3232B" w:rsidRPr="000A2EE1" w:rsidRDefault="00E3232B" w:rsidP="00E3232B">
      <w:pPr>
        <w:pStyle w:val="SingleTxtG"/>
      </w:pPr>
      <w:r w:rsidRPr="000A2EE1">
        <w:t>6.11.2.3</w:t>
      </w:r>
      <w:r w:rsidRPr="000A2EE1">
        <w:tab/>
        <w:t>In the table add the following new row:</w:t>
      </w:r>
    </w:p>
    <w:tbl>
      <w:tblPr>
        <w:tblW w:w="7370" w:type="dxa"/>
        <w:tblInd w:w="1134" w:type="dxa"/>
        <w:tblBorders>
          <w:top w:val="single" w:sz="6" w:space="0" w:color="auto"/>
          <w:bottom w:val="single" w:sz="6" w:space="0" w:color="auto"/>
        </w:tblBorders>
        <w:tblLayout w:type="fixed"/>
        <w:tblCellMar>
          <w:left w:w="0" w:type="dxa"/>
          <w:right w:w="0" w:type="dxa"/>
        </w:tblCellMar>
        <w:tblLook w:val="01E0" w:firstRow="1" w:lastRow="1" w:firstColumn="1" w:lastColumn="1" w:noHBand="0" w:noVBand="0"/>
      </w:tblPr>
      <w:tblGrid>
        <w:gridCol w:w="3685"/>
        <w:gridCol w:w="3685"/>
      </w:tblGrid>
      <w:tr w:rsidR="00E3232B" w:rsidRPr="000A2EE1" w:rsidTr="009B5E14">
        <w:tc>
          <w:tcPr>
            <w:tcW w:w="3685" w:type="dxa"/>
            <w:shd w:val="clear" w:color="auto" w:fill="auto"/>
            <w:vAlign w:val="bottom"/>
          </w:tcPr>
          <w:p w:rsidR="00E3232B" w:rsidRPr="000A2EE1" w:rsidRDefault="00E3232B" w:rsidP="009B5E14">
            <w:pPr>
              <w:spacing w:before="80" w:after="80" w:line="200" w:lineRule="exact"/>
              <w:ind w:right="113"/>
              <w:rPr>
                <w:i/>
              </w:rPr>
            </w:pPr>
            <w:r w:rsidRPr="000A2EE1">
              <w:t>Flexible bulk container</w:t>
            </w:r>
          </w:p>
        </w:tc>
        <w:tc>
          <w:tcPr>
            <w:tcW w:w="3685" w:type="dxa"/>
            <w:shd w:val="clear" w:color="auto" w:fill="auto"/>
            <w:vAlign w:val="bottom"/>
          </w:tcPr>
          <w:p w:rsidR="00E3232B" w:rsidRPr="000A2EE1" w:rsidRDefault="00E3232B" w:rsidP="009B5E14">
            <w:pPr>
              <w:spacing w:before="80" w:after="80" w:line="200" w:lineRule="exact"/>
              <w:ind w:right="113"/>
              <w:rPr>
                <w:i/>
              </w:rPr>
            </w:pPr>
            <w:r w:rsidRPr="000A2EE1">
              <w:t>BK3</w:t>
            </w:r>
          </w:p>
        </w:tc>
      </w:tr>
    </w:tbl>
    <w:p w:rsidR="00E3232B" w:rsidRPr="000A2EE1" w:rsidRDefault="00E3232B" w:rsidP="00E3232B">
      <w:pPr>
        <w:spacing w:before="120" w:after="120"/>
        <w:ind w:left="1134" w:right="1134"/>
      </w:pPr>
      <w:r w:rsidRPr="000A2EE1">
        <w:t>Add a new section 6.11.5 to read as follows:</w:t>
      </w:r>
    </w:p>
    <w:p w:rsidR="00E3232B" w:rsidRPr="000A2EE1" w:rsidRDefault="006E67B9" w:rsidP="00E3232B">
      <w:pPr>
        <w:pStyle w:val="SingleTxtG"/>
        <w:rPr>
          <w:b/>
        </w:rPr>
      </w:pPr>
      <w:r w:rsidRPr="000A2EE1">
        <w:rPr>
          <w:b/>
        </w:rPr>
        <w:t>“</w:t>
      </w:r>
      <w:r w:rsidR="00E3232B" w:rsidRPr="000A2EE1">
        <w:rPr>
          <w:b/>
        </w:rPr>
        <w:t>6.11.5</w:t>
      </w:r>
      <w:r w:rsidR="00E3232B" w:rsidRPr="000A2EE1">
        <w:rPr>
          <w:b/>
        </w:rPr>
        <w:tab/>
        <w:t xml:space="preserve">Requirements for the design, construction, inspection and testing of BK3 flexible bulk containers </w:t>
      </w:r>
    </w:p>
    <w:p w:rsidR="00E3232B" w:rsidRPr="000A2EE1" w:rsidRDefault="00E3232B" w:rsidP="00E3232B">
      <w:pPr>
        <w:pStyle w:val="SingleTxtG"/>
        <w:rPr>
          <w:b/>
          <w:i/>
        </w:rPr>
      </w:pPr>
      <w:r w:rsidRPr="000A2EE1">
        <w:rPr>
          <w:b/>
        </w:rPr>
        <w:t>6.11.5.1</w:t>
      </w:r>
      <w:r w:rsidRPr="000A2EE1">
        <w:rPr>
          <w:b/>
        </w:rPr>
        <w:tab/>
      </w:r>
      <w:r w:rsidRPr="000A2EE1">
        <w:rPr>
          <w:b/>
          <w:i/>
        </w:rPr>
        <w:t>Design and construction requirements</w:t>
      </w:r>
    </w:p>
    <w:p w:rsidR="00E3232B" w:rsidRPr="000A2EE1" w:rsidRDefault="00E3232B" w:rsidP="00E3232B">
      <w:pPr>
        <w:pStyle w:val="SingleTxtG"/>
      </w:pPr>
      <w:r w:rsidRPr="000A2EE1">
        <w:t>6.11.5.1.1</w:t>
      </w:r>
      <w:r w:rsidRPr="000A2EE1">
        <w:tab/>
        <w:t xml:space="preserve">Flexible bulk containers shall be sift-proof. </w:t>
      </w:r>
    </w:p>
    <w:p w:rsidR="00E3232B" w:rsidRPr="000A2EE1" w:rsidRDefault="00E3232B" w:rsidP="00E3232B">
      <w:pPr>
        <w:pStyle w:val="SingleTxtG"/>
      </w:pPr>
      <w:r w:rsidRPr="000A2EE1">
        <w:t>6.11.5.1.2</w:t>
      </w:r>
      <w:r w:rsidRPr="000A2EE1">
        <w:tab/>
        <w:t xml:space="preserve">Flexible bulk containers shall be completely closed to prevent the release of contents. </w:t>
      </w:r>
    </w:p>
    <w:p w:rsidR="00E3232B" w:rsidRPr="000A2EE1" w:rsidRDefault="00E3232B" w:rsidP="00E3232B">
      <w:pPr>
        <w:pStyle w:val="SingleTxtG"/>
      </w:pPr>
      <w:r w:rsidRPr="000A2EE1">
        <w:t>6.11.5.1.3</w:t>
      </w:r>
      <w:r w:rsidRPr="000A2EE1">
        <w:tab/>
        <w:t>Flexible bulk containers shall be waterproof.</w:t>
      </w:r>
    </w:p>
    <w:p w:rsidR="00E3232B" w:rsidRPr="000A2EE1" w:rsidRDefault="00E3232B" w:rsidP="00E3232B">
      <w:pPr>
        <w:pStyle w:val="SingleTxtG"/>
      </w:pPr>
      <w:r w:rsidRPr="000A2EE1">
        <w:t>6.11.5.1.4</w:t>
      </w:r>
      <w:r w:rsidRPr="000A2EE1">
        <w:tab/>
        <w:t>Parts of the flexible bulk container which are in direct contact with dangerous goods:</w:t>
      </w:r>
    </w:p>
    <w:p w:rsidR="00E3232B" w:rsidRPr="000A2EE1" w:rsidRDefault="00E3232B" w:rsidP="00E3232B">
      <w:pPr>
        <w:pStyle w:val="SingleTxtG"/>
      </w:pPr>
      <w:r w:rsidRPr="000A2EE1">
        <w:t>(a)</w:t>
      </w:r>
      <w:r w:rsidRPr="000A2EE1">
        <w:tab/>
        <w:t>shall not be affected or significantly weakened by those dangerous goods;</w:t>
      </w:r>
    </w:p>
    <w:p w:rsidR="00E3232B" w:rsidRPr="000A2EE1" w:rsidRDefault="00E3232B" w:rsidP="00E3232B">
      <w:pPr>
        <w:pStyle w:val="SingleTxtG"/>
      </w:pPr>
      <w:r w:rsidRPr="000A2EE1">
        <w:t>(b)</w:t>
      </w:r>
      <w:r w:rsidRPr="000A2EE1">
        <w:tab/>
        <w:t>shall not cause a dangerous effect, e.g. catalysing a reaction or reacting with the dangerous goods; and</w:t>
      </w:r>
    </w:p>
    <w:p w:rsidR="00E3232B" w:rsidRPr="000A2EE1" w:rsidRDefault="00E3232B" w:rsidP="00E3232B">
      <w:pPr>
        <w:pStyle w:val="SingleTxtG"/>
      </w:pPr>
      <w:r w:rsidRPr="000A2EE1">
        <w:t>(c)</w:t>
      </w:r>
      <w:r w:rsidRPr="000A2EE1">
        <w:tab/>
        <w:t>shall not allow permeation of the dangerous goods that could constitute a danger under normal conditions of carriage.</w:t>
      </w:r>
    </w:p>
    <w:p w:rsidR="00E3232B" w:rsidRPr="000A2EE1" w:rsidRDefault="00E3232B" w:rsidP="00E3232B">
      <w:pPr>
        <w:pStyle w:val="SingleTxtG"/>
        <w:rPr>
          <w:b/>
          <w:bCs/>
        </w:rPr>
      </w:pPr>
      <w:r w:rsidRPr="000A2EE1">
        <w:rPr>
          <w:b/>
          <w:bCs/>
        </w:rPr>
        <w:t>6.11.5.2</w:t>
      </w:r>
      <w:r w:rsidRPr="000A2EE1">
        <w:rPr>
          <w:b/>
          <w:bCs/>
        </w:rPr>
        <w:tab/>
      </w:r>
      <w:r w:rsidRPr="000A2EE1">
        <w:rPr>
          <w:b/>
          <w:bCs/>
          <w:i/>
        </w:rPr>
        <w:t>Service equipment and handling devices</w:t>
      </w:r>
    </w:p>
    <w:p w:rsidR="00E3232B" w:rsidRPr="000A2EE1" w:rsidRDefault="00E3232B" w:rsidP="00E3232B">
      <w:pPr>
        <w:pStyle w:val="SingleTxtG"/>
        <w:rPr>
          <w:bCs/>
        </w:rPr>
      </w:pPr>
      <w:r w:rsidRPr="000A2EE1">
        <w:rPr>
          <w:bCs/>
        </w:rPr>
        <w:t>6.11.5.2.1</w:t>
      </w:r>
      <w:r w:rsidRPr="000A2EE1">
        <w:rPr>
          <w:bCs/>
        </w:rPr>
        <w:tab/>
        <w:t>Filling and discharge devices shall be so constructed as to be protected against damage during carriage and handling. The filling and discharge devices shall be secured against unintended opening.</w:t>
      </w:r>
    </w:p>
    <w:p w:rsidR="00E3232B" w:rsidRPr="000A2EE1" w:rsidRDefault="00E3232B" w:rsidP="00E3232B">
      <w:pPr>
        <w:pStyle w:val="SingleTxtG"/>
        <w:rPr>
          <w:bCs/>
        </w:rPr>
      </w:pPr>
      <w:r w:rsidRPr="000A2EE1">
        <w:rPr>
          <w:bCs/>
        </w:rPr>
        <w:t>6.11.5.2.2</w:t>
      </w:r>
      <w:r w:rsidRPr="000A2EE1">
        <w:rPr>
          <w:bCs/>
        </w:rPr>
        <w:tab/>
        <w:t>Slings of the flexible bulk container, if fitted, shall withstand pressure and dynamic forces, which can appear in normal conditions of handling and carriage.</w:t>
      </w:r>
    </w:p>
    <w:p w:rsidR="00E3232B" w:rsidRPr="000A2EE1" w:rsidRDefault="00E3232B" w:rsidP="00E3232B">
      <w:pPr>
        <w:pStyle w:val="SingleTxtG"/>
        <w:rPr>
          <w:bCs/>
        </w:rPr>
      </w:pPr>
      <w:r w:rsidRPr="000A2EE1">
        <w:rPr>
          <w:bCs/>
        </w:rPr>
        <w:t>6.11.5.2.3</w:t>
      </w:r>
      <w:r w:rsidRPr="000A2EE1">
        <w:rPr>
          <w:bCs/>
        </w:rPr>
        <w:tab/>
        <w:t>The handling devices shall be strong enough to withstand repeated use.</w:t>
      </w:r>
    </w:p>
    <w:p w:rsidR="00E3232B" w:rsidRPr="000A2EE1" w:rsidRDefault="00E3232B" w:rsidP="00E3232B">
      <w:pPr>
        <w:pStyle w:val="SingleTxtG"/>
        <w:rPr>
          <w:b/>
          <w:bCs/>
        </w:rPr>
      </w:pPr>
      <w:r w:rsidRPr="000A2EE1">
        <w:rPr>
          <w:b/>
          <w:bCs/>
        </w:rPr>
        <w:t>6.11.5.3</w:t>
      </w:r>
      <w:r w:rsidRPr="000A2EE1">
        <w:rPr>
          <w:b/>
          <w:bCs/>
        </w:rPr>
        <w:tab/>
      </w:r>
      <w:r w:rsidRPr="000A2EE1">
        <w:rPr>
          <w:b/>
          <w:bCs/>
          <w:i/>
        </w:rPr>
        <w:t>Inspection and testing</w:t>
      </w:r>
    </w:p>
    <w:p w:rsidR="00E3232B" w:rsidRPr="000A2EE1" w:rsidRDefault="00E3232B" w:rsidP="00E3232B">
      <w:pPr>
        <w:pStyle w:val="SingleTxtG"/>
      </w:pPr>
      <w:r w:rsidRPr="000A2EE1">
        <w:rPr>
          <w:bCs/>
        </w:rPr>
        <w:t>6.11.5.3.1</w:t>
      </w:r>
      <w:r w:rsidRPr="000A2EE1">
        <w:rPr>
          <w:bCs/>
        </w:rPr>
        <w:tab/>
      </w:r>
      <w:r w:rsidRPr="000A2EE1">
        <w:t xml:space="preserve">The design type of each flexible bulk container shall be tested as provided for in 6.11.5 in accordance with procedures established </w:t>
      </w:r>
      <w:r w:rsidRPr="000A2EE1">
        <w:rPr>
          <w:bCs/>
        </w:rPr>
        <w:t>by the competent authority allowing the allocation of the mark and shall be approved by this competent authority</w:t>
      </w:r>
      <w:r w:rsidRPr="000A2EE1">
        <w:t>.</w:t>
      </w:r>
    </w:p>
    <w:p w:rsidR="00E3232B" w:rsidRPr="000A2EE1" w:rsidRDefault="00E3232B" w:rsidP="00E3232B">
      <w:pPr>
        <w:pStyle w:val="SingleTxtG"/>
        <w:rPr>
          <w:bCs/>
        </w:rPr>
      </w:pPr>
      <w:r w:rsidRPr="000A2EE1">
        <w:rPr>
          <w:bCs/>
        </w:rPr>
        <w:t xml:space="preserve">6.11.5.3.2 </w:t>
      </w:r>
      <w:r w:rsidRPr="000A2EE1">
        <w:rPr>
          <w:bCs/>
        </w:rPr>
        <w:tab/>
        <w:t>Tests shall also be repeated after each modification of the design type, which alters the design, material or manner of construction of a flexible bulk container.</w:t>
      </w:r>
    </w:p>
    <w:p w:rsidR="00E3232B" w:rsidRPr="000A2EE1" w:rsidRDefault="00E3232B" w:rsidP="00E3232B">
      <w:pPr>
        <w:pStyle w:val="SingleTxtG"/>
        <w:rPr>
          <w:bCs/>
        </w:rPr>
      </w:pPr>
      <w:r w:rsidRPr="000A2EE1">
        <w:rPr>
          <w:bCs/>
        </w:rPr>
        <w:t>6.11.5.3.3</w:t>
      </w:r>
      <w:r w:rsidRPr="000A2EE1">
        <w:rPr>
          <w:bCs/>
        </w:rPr>
        <w:tab/>
        <w:t>Tests shall be carried out on flexible bulk containers prepared as for carriage. Flexible bulk containers shall be filled to the maximum mass at which they may be used and the contents shall be evenly distributed. The substances to be carried in the flexible bulk container may be replaced by other substances except where this would invalidate the results of the test. When another substance is used it shall have the same physical characteristics (mass, grain size, etc.) as the substance to be carried. It is permissible to use additives, such as bags of lead shot, to achieve the requisite total mass of the flexible bulk container so long as they are placed so that the test results are not affected.</w:t>
      </w:r>
    </w:p>
    <w:p w:rsidR="00E3232B" w:rsidRPr="000A2EE1" w:rsidRDefault="00E3232B" w:rsidP="00E3232B">
      <w:pPr>
        <w:pStyle w:val="SingleTxtG"/>
      </w:pPr>
      <w:r w:rsidRPr="000A2EE1">
        <w:t>6.11.5.3.4</w:t>
      </w:r>
      <w:r w:rsidRPr="000A2EE1">
        <w:tab/>
        <w:t>Flexible bulk containers shall be manufactured and tested under a quality assurance programme which satisfies the competent authority, in order to ensure that each manufactured flexible bulk container meets the requirements of this Chapter.</w:t>
      </w:r>
    </w:p>
    <w:p w:rsidR="00E3232B" w:rsidRPr="000A2EE1" w:rsidRDefault="00E3232B" w:rsidP="00E3232B">
      <w:pPr>
        <w:pStyle w:val="SingleTxtG"/>
        <w:rPr>
          <w:bCs/>
        </w:rPr>
      </w:pPr>
      <w:r w:rsidRPr="000A2EE1">
        <w:rPr>
          <w:bCs/>
        </w:rPr>
        <w:t>6.11.5.3.5</w:t>
      </w:r>
      <w:r w:rsidRPr="000A2EE1">
        <w:rPr>
          <w:bCs/>
        </w:rPr>
        <w:tab/>
      </w:r>
      <w:r w:rsidRPr="000A2EE1">
        <w:rPr>
          <w:bCs/>
          <w:i/>
        </w:rPr>
        <w:t>Drop test</w:t>
      </w:r>
    </w:p>
    <w:p w:rsidR="00E3232B" w:rsidRPr="000A2EE1" w:rsidRDefault="00E3232B" w:rsidP="00E3232B">
      <w:pPr>
        <w:pStyle w:val="SingleTxtG"/>
        <w:rPr>
          <w:bCs/>
          <w:iCs/>
        </w:rPr>
      </w:pPr>
      <w:r w:rsidRPr="000A2EE1">
        <w:rPr>
          <w:bCs/>
          <w:iCs/>
        </w:rPr>
        <w:t>6.11.5.3.5.1</w:t>
      </w:r>
      <w:r w:rsidRPr="000A2EE1">
        <w:rPr>
          <w:bCs/>
          <w:iCs/>
        </w:rPr>
        <w:tab/>
        <w:t>Applicability</w:t>
      </w:r>
    </w:p>
    <w:p w:rsidR="00E3232B" w:rsidRPr="000A2EE1" w:rsidRDefault="00E3232B" w:rsidP="00E3232B">
      <w:pPr>
        <w:pStyle w:val="SingleTxtG"/>
        <w:rPr>
          <w:bCs/>
        </w:rPr>
      </w:pPr>
      <w:r w:rsidRPr="000A2EE1">
        <w:rPr>
          <w:bCs/>
        </w:rPr>
        <w:t>For all types of flexible bulk containers, as a design type test.</w:t>
      </w:r>
    </w:p>
    <w:p w:rsidR="00E3232B" w:rsidRPr="000A2EE1" w:rsidRDefault="00E3232B" w:rsidP="00E3232B">
      <w:pPr>
        <w:pStyle w:val="SingleTxtG"/>
        <w:rPr>
          <w:bCs/>
        </w:rPr>
      </w:pPr>
      <w:r w:rsidRPr="000A2EE1">
        <w:rPr>
          <w:bCs/>
          <w:iCs/>
        </w:rPr>
        <w:t>6.11.5.3.5.2</w:t>
      </w:r>
      <w:r w:rsidRPr="000A2EE1">
        <w:rPr>
          <w:bCs/>
          <w:iCs/>
        </w:rPr>
        <w:tab/>
        <w:t xml:space="preserve">Preparation </w:t>
      </w:r>
      <w:r w:rsidRPr="000A2EE1">
        <w:rPr>
          <w:bCs/>
        </w:rPr>
        <w:t>for testing</w:t>
      </w:r>
    </w:p>
    <w:p w:rsidR="00E3232B" w:rsidRPr="000A2EE1" w:rsidRDefault="00E3232B" w:rsidP="00E3232B">
      <w:pPr>
        <w:pStyle w:val="SingleTxtG"/>
        <w:rPr>
          <w:bCs/>
        </w:rPr>
      </w:pPr>
      <w:r w:rsidRPr="000A2EE1">
        <w:rPr>
          <w:bCs/>
        </w:rPr>
        <w:t>The flexible bulk container shall be filled to its maximum permissible gross mass.</w:t>
      </w:r>
    </w:p>
    <w:p w:rsidR="00E3232B" w:rsidRPr="000A2EE1" w:rsidRDefault="00E3232B" w:rsidP="00E3232B">
      <w:pPr>
        <w:pStyle w:val="SingleTxtG"/>
        <w:rPr>
          <w:bCs/>
        </w:rPr>
      </w:pPr>
      <w:r w:rsidRPr="000A2EE1">
        <w:rPr>
          <w:bCs/>
        </w:rPr>
        <w:t>6.11.5.3.5.3</w:t>
      </w:r>
      <w:r w:rsidRPr="000A2EE1">
        <w:rPr>
          <w:bCs/>
        </w:rPr>
        <w:tab/>
        <w:t>Method of testing</w:t>
      </w:r>
    </w:p>
    <w:p w:rsidR="00E3232B" w:rsidRPr="000A2EE1" w:rsidRDefault="00E3232B" w:rsidP="00E3232B">
      <w:pPr>
        <w:pStyle w:val="SingleTxtG"/>
        <w:rPr>
          <w:bCs/>
        </w:rPr>
      </w:pPr>
      <w:r w:rsidRPr="000A2EE1">
        <w:rPr>
          <w:bCs/>
        </w:rPr>
        <w:t>The flexible bulk container shall be dropped onto a target surface that is non-resilient and horizontal. The target surface shall be:</w:t>
      </w:r>
    </w:p>
    <w:p w:rsidR="00E3232B" w:rsidRPr="000A2EE1" w:rsidRDefault="00E3232B" w:rsidP="00E3232B">
      <w:pPr>
        <w:pStyle w:val="SingleTxtG"/>
        <w:rPr>
          <w:bCs/>
        </w:rPr>
      </w:pPr>
      <w:r w:rsidRPr="000A2EE1">
        <w:rPr>
          <w:bCs/>
        </w:rPr>
        <w:t>(a)</w:t>
      </w:r>
      <w:r w:rsidRPr="000A2EE1">
        <w:rPr>
          <w:bCs/>
        </w:rPr>
        <w:tab/>
        <w:t>Integral and massive enough to be immovable;</w:t>
      </w:r>
    </w:p>
    <w:p w:rsidR="00E3232B" w:rsidRPr="000A2EE1" w:rsidRDefault="00E3232B" w:rsidP="00E3232B">
      <w:pPr>
        <w:pStyle w:val="SingleTxtG"/>
        <w:rPr>
          <w:bCs/>
        </w:rPr>
      </w:pPr>
      <w:r w:rsidRPr="000A2EE1">
        <w:rPr>
          <w:bCs/>
        </w:rPr>
        <w:t>(b)</w:t>
      </w:r>
      <w:r w:rsidRPr="000A2EE1">
        <w:rPr>
          <w:bCs/>
        </w:rPr>
        <w:tab/>
        <w:t>Flat with a surface kept free from local defects capable of influencing the test results;</w:t>
      </w:r>
    </w:p>
    <w:p w:rsidR="00E3232B" w:rsidRPr="000A2EE1" w:rsidRDefault="00E3232B" w:rsidP="00E3232B">
      <w:pPr>
        <w:pStyle w:val="SingleTxtG"/>
        <w:rPr>
          <w:bCs/>
        </w:rPr>
      </w:pPr>
      <w:r w:rsidRPr="000A2EE1">
        <w:rPr>
          <w:bCs/>
        </w:rPr>
        <w:t>(c)</w:t>
      </w:r>
      <w:r w:rsidRPr="000A2EE1">
        <w:rPr>
          <w:bCs/>
        </w:rPr>
        <w:tab/>
        <w:t>Rigid enough to be non-deformable under test conditions and not liable to become damaged by the tests; and</w:t>
      </w:r>
    </w:p>
    <w:p w:rsidR="00E3232B" w:rsidRPr="000A2EE1" w:rsidRDefault="00E3232B" w:rsidP="00E3232B">
      <w:pPr>
        <w:pStyle w:val="SingleTxtG"/>
        <w:rPr>
          <w:bCs/>
        </w:rPr>
      </w:pPr>
      <w:r w:rsidRPr="000A2EE1">
        <w:rPr>
          <w:bCs/>
        </w:rPr>
        <w:t>(d)</w:t>
      </w:r>
      <w:r w:rsidRPr="000A2EE1">
        <w:rPr>
          <w:bCs/>
        </w:rPr>
        <w:tab/>
        <w:t>Sufficiently large to ensure that the test flexible bulk container falls entirely upon the surface.</w:t>
      </w:r>
    </w:p>
    <w:p w:rsidR="00E3232B" w:rsidRPr="000A2EE1" w:rsidRDefault="00E3232B" w:rsidP="00E3232B">
      <w:pPr>
        <w:pStyle w:val="SingleTxtG"/>
        <w:rPr>
          <w:bCs/>
        </w:rPr>
      </w:pPr>
      <w:r w:rsidRPr="000A2EE1">
        <w:rPr>
          <w:bCs/>
        </w:rPr>
        <w:t>Following the drop, the flexible bulk container shall be restored to the upright position for observation.</w:t>
      </w:r>
    </w:p>
    <w:p w:rsidR="00E3232B" w:rsidRPr="000A2EE1" w:rsidRDefault="00E3232B" w:rsidP="00E3232B">
      <w:pPr>
        <w:pStyle w:val="SingleTxtG"/>
        <w:rPr>
          <w:bCs/>
        </w:rPr>
      </w:pPr>
      <w:r w:rsidRPr="000A2EE1">
        <w:rPr>
          <w:bCs/>
        </w:rPr>
        <w:t>6.11.5.3.5.4</w:t>
      </w:r>
      <w:r w:rsidRPr="000A2EE1">
        <w:rPr>
          <w:bCs/>
        </w:rPr>
        <w:tab/>
        <w:t>Drop height shall be:</w:t>
      </w:r>
    </w:p>
    <w:p w:rsidR="00E3232B" w:rsidRPr="000A2EE1" w:rsidRDefault="00E3232B" w:rsidP="00E3232B">
      <w:pPr>
        <w:pStyle w:val="SingleTxtG"/>
        <w:rPr>
          <w:bCs/>
        </w:rPr>
      </w:pPr>
      <w:r w:rsidRPr="000A2EE1">
        <w:rPr>
          <w:bCs/>
        </w:rPr>
        <w:t>Packing group III: 0.8 m</w:t>
      </w:r>
    </w:p>
    <w:p w:rsidR="00E3232B" w:rsidRPr="000A2EE1" w:rsidRDefault="00E3232B" w:rsidP="00E3232B">
      <w:pPr>
        <w:pStyle w:val="SingleTxtG"/>
        <w:rPr>
          <w:bCs/>
        </w:rPr>
      </w:pPr>
      <w:r w:rsidRPr="000A2EE1">
        <w:rPr>
          <w:bCs/>
          <w:iCs/>
        </w:rPr>
        <w:t>6.11.5.3.5.5</w:t>
      </w:r>
      <w:r w:rsidRPr="000A2EE1">
        <w:rPr>
          <w:bCs/>
          <w:iCs/>
        </w:rPr>
        <w:tab/>
      </w:r>
      <w:r w:rsidRPr="000A2EE1">
        <w:rPr>
          <w:bCs/>
        </w:rPr>
        <w:t xml:space="preserve">Criteria for passing the test </w:t>
      </w:r>
    </w:p>
    <w:p w:rsidR="00E3232B" w:rsidRPr="000A2EE1" w:rsidRDefault="00E3232B" w:rsidP="00E3232B">
      <w:pPr>
        <w:pStyle w:val="SingleTxtG"/>
        <w:rPr>
          <w:bCs/>
        </w:rPr>
      </w:pPr>
      <w:r w:rsidRPr="000A2EE1">
        <w:rPr>
          <w:bCs/>
        </w:rPr>
        <w:t>(a)</w:t>
      </w:r>
      <w:r w:rsidRPr="000A2EE1">
        <w:rPr>
          <w:bCs/>
        </w:rPr>
        <w:tab/>
        <w:t>There shall be no loss of contents. A slight discharge, e.g. from closures or stitch holes, upon impact shall not be considered to be a failure of the flexible bulk container provided that no further leakage occurs after the container has been restored to the upright position;</w:t>
      </w:r>
    </w:p>
    <w:p w:rsidR="00E3232B" w:rsidRPr="000A2EE1" w:rsidRDefault="00E3232B" w:rsidP="00E3232B">
      <w:pPr>
        <w:pStyle w:val="SingleTxtG"/>
        <w:rPr>
          <w:bCs/>
        </w:rPr>
      </w:pPr>
      <w:r w:rsidRPr="000A2EE1">
        <w:rPr>
          <w:bCs/>
        </w:rPr>
        <w:t>(b)</w:t>
      </w:r>
      <w:r w:rsidRPr="000A2EE1">
        <w:rPr>
          <w:bCs/>
        </w:rPr>
        <w:tab/>
        <w:t>There shall be no damage, which renders the flexible bulk container unsafe to be carried for salvage or for disposal.</w:t>
      </w:r>
    </w:p>
    <w:p w:rsidR="00E3232B" w:rsidRPr="000A2EE1" w:rsidRDefault="00E3232B" w:rsidP="00E3232B">
      <w:pPr>
        <w:pStyle w:val="SingleTxtG"/>
        <w:rPr>
          <w:bCs/>
        </w:rPr>
      </w:pPr>
      <w:r w:rsidRPr="000A2EE1">
        <w:rPr>
          <w:bCs/>
        </w:rPr>
        <w:t>6.11.5.3.6</w:t>
      </w:r>
      <w:r w:rsidRPr="000A2EE1">
        <w:rPr>
          <w:bCs/>
        </w:rPr>
        <w:tab/>
      </w:r>
      <w:r w:rsidRPr="000A2EE1">
        <w:rPr>
          <w:bCs/>
          <w:i/>
        </w:rPr>
        <w:t>Top lift test</w:t>
      </w:r>
    </w:p>
    <w:p w:rsidR="00E3232B" w:rsidRPr="000A2EE1" w:rsidRDefault="00E3232B" w:rsidP="00E3232B">
      <w:pPr>
        <w:pStyle w:val="SingleTxtG"/>
        <w:rPr>
          <w:bCs/>
          <w:iCs/>
        </w:rPr>
      </w:pPr>
      <w:r w:rsidRPr="000A2EE1">
        <w:rPr>
          <w:bCs/>
          <w:iCs/>
        </w:rPr>
        <w:t>6.11.5.3.6.1</w:t>
      </w:r>
      <w:r w:rsidRPr="000A2EE1">
        <w:rPr>
          <w:bCs/>
          <w:iCs/>
        </w:rPr>
        <w:tab/>
        <w:t>Applicability</w:t>
      </w:r>
    </w:p>
    <w:p w:rsidR="00E3232B" w:rsidRPr="000A2EE1" w:rsidRDefault="00E3232B" w:rsidP="00E3232B">
      <w:pPr>
        <w:pStyle w:val="SingleTxtG"/>
        <w:rPr>
          <w:bCs/>
        </w:rPr>
      </w:pPr>
      <w:r w:rsidRPr="000A2EE1">
        <w:rPr>
          <w:bCs/>
        </w:rPr>
        <w:t>For all types of flexible bulk containers</w:t>
      </w:r>
      <w:r w:rsidRPr="000A2EE1" w:rsidDel="007955E9">
        <w:rPr>
          <w:bCs/>
        </w:rPr>
        <w:t xml:space="preserve"> </w:t>
      </w:r>
      <w:r w:rsidRPr="000A2EE1">
        <w:rPr>
          <w:bCs/>
        </w:rPr>
        <w:t>as a design type test.</w:t>
      </w:r>
    </w:p>
    <w:p w:rsidR="00E3232B" w:rsidRPr="000A2EE1" w:rsidRDefault="00E3232B" w:rsidP="00E3232B">
      <w:pPr>
        <w:pStyle w:val="SingleTxtG"/>
        <w:keepNext/>
        <w:keepLines/>
        <w:rPr>
          <w:bCs/>
        </w:rPr>
      </w:pPr>
      <w:r w:rsidRPr="000A2EE1">
        <w:rPr>
          <w:bCs/>
          <w:iCs/>
        </w:rPr>
        <w:t>6.11.5.3.6.2</w:t>
      </w:r>
      <w:r w:rsidRPr="000A2EE1">
        <w:rPr>
          <w:bCs/>
          <w:iCs/>
        </w:rPr>
        <w:tab/>
        <w:t xml:space="preserve">Preparation </w:t>
      </w:r>
      <w:r w:rsidRPr="000A2EE1">
        <w:rPr>
          <w:bCs/>
        </w:rPr>
        <w:t>for testing</w:t>
      </w:r>
    </w:p>
    <w:p w:rsidR="00E3232B" w:rsidRPr="000A2EE1" w:rsidRDefault="00E3232B" w:rsidP="00E3232B">
      <w:pPr>
        <w:pStyle w:val="SingleTxtG"/>
        <w:rPr>
          <w:bCs/>
        </w:rPr>
      </w:pPr>
      <w:r w:rsidRPr="000A2EE1">
        <w:rPr>
          <w:bCs/>
        </w:rPr>
        <w:t>Flexible bulk containers shall be filled to six times the maximum net mass, the load being evenly distributed.</w:t>
      </w:r>
    </w:p>
    <w:p w:rsidR="00E3232B" w:rsidRPr="000A2EE1" w:rsidRDefault="00E3232B" w:rsidP="00E3232B">
      <w:pPr>
        <w:pStyle w:val="SingleTxtG"/>
        <w:rPr>
          <w:bCs/>
        </w:rPr>
      </w:pPr>
      <w:r w:rsidRPr="000A2EE1">
        <w:rPr>
          <w:bCs/>
        </w:rPr>
        <w:t>6.11.5.3.6.3</w:t>
      </w:r>
      <w:r w:rsidRPr="000A2EE1">
        <w:rPr>
          <w:bCs/>
        </w:rPr>
        <w:tab/>
        <w:t>Method of testing</w:t>
      </w:r>
    </w:p>
    <w:p w:rsidR="00E3232B" w:rsidRPr="000A2EE1" w:rsidRDefault="00E3232B" w:rsidP="00E3232B">
      <w:pPr>
        <w:pStyle w:val="SingleTxtG"/>
        <w:rPr>
          <w:bCs/>
        </w:rPr>
      </w:pPr>
      <w:r w:rsidRPr="000A2EE1">
        <w:rPr>
          <w:bCs/>
        </w:rPr>
        <w:t>A flexible bulk container shall be lifted in the manner for which it is designed until clear of the floor and maintained in that position for a period of five minutes.</w:t>
      </w:r>
    </w:p>
    <w:p w:rsidR="00E3232B" w:rsidRPr="000A2EE1" w:rsidRDefault="00E3232B" w:rsidP="00E3232B">
      <w:pPr>
        <w:pStyle w:val="SingleTxtG"/>
        <w:rPr>
          <w:bCs/>
        </w:rPr>
      </w:pPr>
      <w:r w:rsidRPr="000A2EE1">
        <w:rPr>
          <w:bCs/>
        </w:rPr>
        <w:t>6.11.5.3.6.4</w:t>
      </w:r>
      <w:r w:rsidRPr="000A2EE1">
        <w:rPr>
          <w:bCs/>
        </w:rPr>
        <w:tab/>
        <w:t xml:space="preserve">Criteria for passing the test </w:t>
      </w:r>
    </w:p>
    <w:p w:rsidR="00E3232B" w:rsidRPr="000A2EE1" w:rsidRDefault="00E3232B" w:rsidP="00E3232B">
      <w:pPr>
        <w:pStyle w:val="SingleTxtG"/>
        <w:rPr>
          <w:bCs/>
        </w:rPr>
      </w:pPr>
      <w:r w:rsidRPr="000A2EE1">
        <w:rPr>
          <w:bCs/>
        </w:rPr>
        <w:t>There shall be no damage to the flexible bulk container or its lifting devices which renders the flexible bulk container unsafe for carriage or handling, and no loss of contents.</w:t>
      </w:r>
    </w:p>
    <w:p w:rsidR="00E3232B" w:rsidRPr="000A2EE1" w:rsidRDefault="00E3232B" w:rsidP="00E3232B">
      <w:pPr>
        <w:pStyle w:val="SingleTxtG"/>
        <w:rPr>
          <w:bCs/>
        </w:rPr>
      </w:pPr>
      <w:r w:rsidRPr="000A2EE1">
        <w:rPr>
          <w:bCs/>
        </w:rPr>
        <w:t>6.11.5.3.7</w:t>
      </w:r>
      <w:r w:rsidRPr="000A2EE1">
        <w:rPr>
          <w:bCs/>
        </w:rPr>
        <w:tab/>
      </w:r>
      <w:r w:rsidRPr="000A2EE1">
        <w:rPr>
          <w:bCs/>
          <w:i/>
        </w:rPr>
        <w:t>Topple test</w:t>
      </w:r>
    </w:p>
    <w:p w:rsidR="00E3232B" w:rsidRPr="000A2EE1" w:rsidRDefault="00E3232B" w:rsidP="00E3232B">
      <w:pPr>
        <w:pStyle w:val="SingleTxtG"/>
        <w:rPr>
          <w:bCs/>
          <w:iCs/>
        </w:rPr>
      </w:pPr>
      <w:r w:rsidRPr="000A2EE1">
        <w:rPr>
          <w:bCs/>
          <w:iCs/>
        </w:rPr>
        <w:t>6.11.5.3.7.1</w:t>
      </w:r>
      <w:r w:rsidRPr="000A2EE1">
        <w:rPr>
          <w:bCs/>
          <w:iCs/>
        </w:rPr>
        <w:tab/>
        <w:t>Applicability</w:t>
      </w:r>
    </w:p>
    <w:p w:rsidR="00E3232B" w:rsidRPr="000A2EE1" w:rsidRDefault="00E3232B" w:rsidP="00E3232B">
      <w:pPr>
        <w:pStyle w:val="SingleTxtG"/>
        <w:rPr>
          <w:bCs/>
        </w:rPr>
      </w:pPr>
      <w:r w:rsidRPr="000A2EE1">
        <w:rPr>
          <w:bCs/>
        </w:rPr>
        <w:t>For all types of flexible bulk containers as a design type test.</w:t>
      </w:r>
    </w:p>
    <w:p w:rsidR="00E3232B" w:rsidRPr="000A2EE1" w:rsidRDefault="00E3232B" w:rsidP="00E3232B">
      <w:pPr>
        <w:pStyle w:val="SingleTxtG"/>
        <w:rPr>
          <w:bCs/>
        </w:rPr>
      </w:pPr>
      <w:r w:rsidRPr="000A2EE1">
        <w:rPr>
          <w:bCs/>
          <w:iCs/>
        </w:rPr>
        <w:t>6.11.5.3.7.2</w:t>
      </w:r>
      <w:r w:rsidRPr="000A2EE1">
        <w:rPr>
          <w:bCs/>
          <w:iCs/>
        </w:rPr>
        <w:tab/>
        <w:t>Preparation for testing</w:t>
      </w:r>
    </w:p>
    <w:p w:rsidR="00E3232B" w:rsidRPr="000A2EE1" w:rsidRDefault="00E3232B" w:rsidP="00E3232B">
      <w:pPr>
        <w:pStyle w:val="SingleTxtG"/>
        <w:rPr>
          <w:bCs/>
        </w:rPr>
      </w:pPr>
      <w:r w:rsidRPr="000A2EE1">
        <w:rPr>
          <w:bCs/>
        </w:rPr>
        <w:t>The flexible bulk container shall be filled to its maximum permissible gross mass.</w:t>
      </w:r>
    </w:p>
    <w:p w:rsidR="00E3232B" w:rsidRPr="000A2EE1" w:rsidRDefault="00E3232B" w:rsidP="00E3232B">
      <w:pPr>
        <w:pStyle w:val="SingleTxtG"/>
        <w:rPr>
          <w:bCs/>
        </w:rPr>
      </w:pPr>
      <w:r w:rsidRPr="000A2EE1">
        <w:rPr>
          <w:bCs/>
        </w:rPr>
        <w:t>6.11.5.3.7.3</w:t>
      </w:r>
      <w:r w:rsidRPr="000A2EE1">
        <w:rPr>
          <w:bCs/>
        </w:rPr>
        <w:tab/>
      </w:r>
      <w:r w:rsidRPr="000A2EE1">
        <w:t>Method of testing</w:t>
      </w:r>
      <w:r w:rsidRPr="000A2EE1">
        <w:rPr>
          <w:bCs/>
        </w:rPr>
        <w:t xml:space="preserve"> </w:t>
      </w:r>
    </w:p>
    <w:p w:rsidR="00E3232B" w:rsidRPr="000A2EE1" w:rsidRDefault="00E3232B" w:rsidP="00E3232B">
      <w:pPr>
        <w:pStyle w:val="SingleTxtG"/>
        <w:rPr>
          <w:bCs/>
        </w:rPr>
      </w:pPr>
      <w:r w:rsidRPr="000A2EE1">
        <w:rPr>
          <w:bCs/>
        </w:rPr>
        <w:t>Flexible bulk container shall be toppled onto any part of its top by lifting the side furthest from the drop edge upon a target surface that is non-resilient and horizontal. The target surface shall be:</w:t>
      </w:r>
    </w:p>
    <w:p w:rsidR="00E3232B" w:rsidRPr="000A2EE1" w:rsidRDefault="00E3232B" w:rsidP="00E3232B">
      <w:pPr>
        <w:pStyle w:val="SingleTxtG"/>
        <w:rPr>
          <w:bCs/>
        </w:rPr>
      </w:pPr>
      <w:r w:rsidRPr="000A2EE1">
        <w:rPr>
          <w:bCs/>
        </w:rPr>
        <w:t>(a)</w:t>
      </w:r>
      <w:r w:rsidRPr="000A2EE1">
        <w:rPr>
          <w:bCs/>
        </w:rPr>
        <w:tab/>
        <w:t>Integral and massive enough to be immovable;</w:t>
      </w:r>
    </w:p>
    <w:p w:rsidR="00E3232B" w:rsidRPr="000A2EE1" w:rsidRDefault="00E3232B" w:rsidP="00E3232B">
      <w:pPr>
        <w:pStyle w:val="SingleTxtG"/>
        <w:rPr>
          <w:bCs/>
        </w:rPr>
      </w:pPr>
      <w:r w:rsidRPr="000A2EE1">
        <w:rPr>
          <w:bCs/>
        </w:rPr>
        <w:t>(b)</w:t>
      </w:r>
      <w:r w:rsidRPr="000A2EE1">
        <w:rPr>
          <w:bCs/>
        </w:rPr>
        <w:tab/>
        <w:t>Flat with a surface kept free from local defects capable of influencing the test results;</w:t>
      </w:r>
    </w:p>
    <w:p w:rsidR="00E3232B" w:rsidRPr="000A2EE1" w:rsidRDefault="00E3232B" w:rsidP="00E3232B">
      <w:pPr>
        <w:pStyle w:val="SingleTxtG"/>
        <w:rPr>
          <w:bCs/>
        </w:rPr>
      </w:pPr>
      <w:r w:rsidRPr="000A2EE1">
        <w:rPr>
          <w:bCs/>
        </w:rPr>
        <w:t>(c)</w:t>
      </w:r>
      <w:r w:rsidRPr="000A2EE1">
        <w:rPr>
          <w:bCs/>
        </w:rPr>
        <w:tab/>
        <w:t>Rigid enough to be non-deformable under test conditions and not liable to become damaged by the tests; and</w:t>
      </w:r>
    </w:p>
    <w:p w:rsidR="00E3232B" w:rsidRPr="000A2EE1" w:rsidRDefault="00E3232B" w:rsidP="00E3232B">
      <w:pPr>
        <w:pStyle w:val="SingleTxtG"/>
        <w:rPr>
          <w:bCs/>
        </w:rPr>
      </w:pPr>
      <w:r w:rsidRPr="000A2EE1">
        <w:rPr>
          <w:bCs/>
        </w:rPr>
        <w:t>(d)</w:t>
      </w:r>
      <w:r w:rsidRPr="000A2EE1">
        <w:rPr>
          <w:bCs/>
        </w:rPr>
        <w:tab/>
        <w:t>Sufficiently large to ensure that the tested flexible bulk container falls entirely upon the surface.</w:t>
      </w:r>
    </w:p>
    <w:p w:rsidR="00E3232B" w:rsidRPr="000A2EE1" w:rsidRDefault="00E3232B" w:rsidP="00E3232B">
      <w:pPr>
        <w:pStyle w:val="SingleTxtG"/>
        <w:rPr>
          <w:bCs/>
        </w:rPr>
      </w:pPr>
      <w:r w:rsidRPr="000A2EE1">
        <w:rPr>
          <w:bCs/>
        </w:rPr>
        <w:t>6.11.5.3.7.4</w:t>
      </w:r>
      <w:r w:rsidRPr="000A2EE1">
        <w:rPr>
          <w:bCs/>
        </w:rPr>
        <w:tab/>
        <w:t>For all flexible bulk containers, the topple height is specified as follows:</w:t>
      </w:r>
    </w:p>
    <w:p w:rsidR="00E3232B" w:rsidRPr="000A2EE1" w:rsidRDefault="00E3232B" w:rsidP="00E3232B">
      <w:pPr>
        <w:pStyle w:val="SingleTxtG"/>
        <w:rPr>
          <w:bCs/>
        </w:rPr>
      </w:pPr>
      <w:r w:rsidRPr="000A2EE1">
        <w:rPr>
          <w:bCs/>
        </w:rPr>
        <w:t>Packing group III: 0.8 m</w:t>
      </w:r>
    </w:p>
    <w:p w:rsidR="00E3232B" w:rsidRPr="000A2EE1" w:rsidRDefault="00E3232B" w:rsidP="00E3232B">
      <w:pPr>
        <w:pStyle w:val="SingleTxtG"/>
        <w:rPr>
          <w:bCs/>
        </w:rPr>
      </w:pPr>
      <w:r w:rsidRPr="000A2EE1">
        <w:rPr>
          <w:bCs/>
        </w:rPr>
        <w:t>6.11.5.3.7.5</w:t>
      </w:r>
      <w:r w:rsidRPr="000A2EE1">
        <w:rPr>
          <w:bCs/>
        </w:rPr>
        <w:tab/>
        <w:t>Criterion for passing the test</w:t>
      </w:r>
    </w:p>
    <w:p w:rsidR="00E3232B" w:rsidRPr="000A2EE1" w:rsidRDefault="00E3232B" w:rsidP="00E3232B">
      <w:pPr>
        <w:pStyle w:val="SingleTxtG"/>
        <w:rPr>
          <w:bCs/>
        </w:rPr>
      </w:pPr>
      <w:r w:rsidRPr="000A2EE1">
        <w:rPr>
          <w:bCs/>
        </w:rPr>
        <w:t>There shall be no loss of contents. A slight discharge, e.g. from closures or stitch holes, upon impact shall not be considered to be a failure of the flexible bulk container provided that no further leakage occurs.</w:t>
      </w:r>
    </w:p>
    <w:p w:rsidR="00E3232B" w:rsidRPr="000A2EE1" w:rsidRDefault="00E3232B" w:rsidP="00E3232B">
      <w:pPr>
        <w:pStyle w:val="SingleTxtG"/>
        <w:rPr>
          <w:bCs/>
        </w:rPr>
      </w:pPr>
      <w:r w:rsidRPr="000A2EE1">
        <w:rPr>
          <w:bCs/>
        </w:rPr>
        <w:t>6.11.5.3.8</w:t>
      </w:r>
      <w:r w:rsidRPr="000A2EE1">
        <w:rPr>
          <w:bCs/>
        </w:rPr>
        <w:tab/>
      </w:r>
      <w:r w:rsidRPr="000A2EE1">
        <w:rPr>
          <w:bCs/>
          <w:i/>
        </w:rPr>
        <w:t>Righting test</w:t>
      </w:r>
    </w:p>
    <w:p w:rsidR="00E3232B" w:rsidRPr="000A2EE1" w:rsidRDefault="00E3232B" w:rsidP="00E3232B">
      <w:pPr>
        <w:pStyle w:val="SingleTxtG"/>
        <w:rPr>
          <w:bCs/>
          <w:iCs/>
        </w:rPr>
      </w:pPr>
      <w:r w:rsidRPr="000A2EE1">
        <w:rPr>
          <w:bCs/>
          <w:iCs/>
        </w:rPr>
        <w:t>6.11.5.3.8.1</w:t>
      </w:r>
      <w:r w:rsidRPr="000A2EE1">
        <w:rPr>
          <w:bCs/>
          <w:iCs/>
        </w:rPr>
        <w:tab/>
        <w:t>Applicability</w:t>
      </w:r>
    </w:p>
    <w:p w:rsidR="00E3232B" w:rsidRPr="000A2EE1" w:rsidRDefault="00E3232B" w:rsidP="00E3232B">
      <w:pPr>
        <w:pStyle w:val="SingleTxtG"/>
        <w:rPr>
          <w:bCs/>
        </w:rPr>
      </w:pPr>
      <w:r w:rsidRPr="000A2EE1">
        <w:rPr>
          <w:bCs/>
        </w:rPr>
        <w:t>For all types of flexible bulk containers designed to be lifted by the top or side part, as a design type test.</w:t>
      </w:r>
    </w:p>
    <w:p w:rsidR="00E3232B" w:rsidRPr="000A2EE1" w:rsidRDefault="00E3232B" w:rsidP="00E3232B">
      <w:pPr>
        <w:pStyle w:val="SingleTxtG"/>
        <w:rPr>
          <w:bCs/>
        </w:rPr>
      </w:pPr>
      <w:r w:rsidRPr="000A2EE1">
        <w:rPr>
          <w:bCs/>
          <w:iCs/>
        </w:rPr>
        <w:t>6.11.5.3.8.2</w:t>
      </w:r>
      <w:r w:rsidRPr="000A2EE1">
        <w:rPr>
          <w:bCs/>
          <w:iCs/>
        </w:rPr>
        <w:tab/>
        <w:t xml:space="preserve">Preparation </w:t>
      </w:r>
      <w:r w:rsidRPr="000A2EE1">
        <w:rPr>
          <w:bCs/>
        </w:rPr>
        <w:t>for testing</w:t>
      </w:r>
    </w:p>
    <w:p w:rsidR="00E3232B" w:rsidRPr="000A2EE1" w:rsidRDefault="00E3232B" w:rsidP="00E3232B">
      <w:pPr>
        <w:pStyle w:val="SingleTxtG"/>
        <w:rPr>
          <w:bCs/>
        </w:rPr>
      </w:pPr>
      <w:r w:rsidRPr="000A2EE1">
        <w:rPr>
          <w:bCs/>
        </w:rPr>
        <w:t>The flexible bulk container shall be filled to not less than 95% of its capacity and to its maximum permissible gross mass.</w:t>
      </w:r>
    </w:p>
    <w:p w:rsidR="00E3232B" w:rsidRPr="000A2EE1" w:rsidRDefault="00E3232B" w:rsidP="00E3232B">
      <w:pPr>
        <w:pStyle w:val="SingleTxtG"/>
        <w:rPr>
          <w:bCs/>
        </w:rPr>
      </w:pPr>
      <w:r w:rsidRPr="000A2EE1">
        <w:rPr>
          <w:bCs/>
        </w:rPr>
        <w:t>6.11.5.3.8.3</w:t>
      </w:r>
      <w:r w:rsidRPr="000A2EE1">
        <w:rPr>
          <w:bCs/>
        </w:rPr>
        <w:tab/>
        <w:t>Method of testing</w:t>
      </w:r>
    </w:p>
    <w:p w:rsidR="00E3232B" w:rsidRPr="000A2EE1" w:rsidRDefault="00E3232B" w:rsidP="00E3232B">
      <w:pPr>
        <w:pStyle w:val="SingleTxtG"/>
        <w:rPr>
          <w:bCs/>
        </w:rPr>
      </w:pPr>
      <w:r w:rsidRPr="000A2EE1">
        <w:rPr>
          <w:bCs/>
        </w:rPr>
        <w:t xml:space="preserve">The flexible bulk container, lying on its side, shall be lifted at a speed of at least 0.1 m/s to an upright position, clear of the floor, by no more than half of the lifting devices. </w:t>
      </w:r>
    </w:p>
    <w:p w:rsidR="00E3232B" w:rsidRPr="000A2EE1" w:rsidRDefault="00E3232B" w:rsidP="00E3232B">
      <w:pPr>
        <w:pStyle w:val="SingleTxtG"/>
        <w:rPr>
          <w:bCs/>
        </w:rPr>
      </w:pPr>
      <w:r w:rsidRPr="000A2EE1">
        <w:rPr>
          <w:bCs/>
        </w:rPr>
        <w:t>6.11.5.3.8.4</w:t>
      </w:r>
      <w:r w:rsidRPr="000A2EE1">
        <w:rPr>
          <w:bCs/>
        </w:rPr>
        <w:tab/>
        <w:t xml:space="preserve">Criterion for passing the test </w:t>
      </w:r>
    </w:p>
    <w:p w:rsidR="00E3232B" w:rsidRPr="000A2EE1" w:rsidRDefault="00E3232B" w:rsidP="00E3232B">
      <w:pPr>
        <w:pStyle w:val="SingleTxtG"/>
        <w:rPr>
          <w:bCs/>
        </w:rPr>
      </w:pPr>
      <w:r w:rsidRPr="000A2EE1">
        <w:rPr>
          <w:bCs/>
        </w:rPr>
        <w:t>There shall be no damage to the flexible bulk container or its lifting devices which renders the flexible bulk container unsafe for carriage or handling.</w:t>
      </w:r>
    </w:p>
    <w:p w:rsidR="00E3232B" w:rsidRPr="000A2EE1" w:rsidRDefault="00E3232B" w:rsidP="00E3232B">
      <w:pPr>
        <w:pStyle w:val="SingleTxtG"/>
        <w:rPr>
          <w:bCs/>
        </w:rPr>
      </w:pPr>
      <w:r w:rsidRPr="000A2EE1">
        <w:rPr>
          <w:bCs/>
        </w:rPr>
        <w:t>6.11.5.3.9</w:t>
      </w:r>
      <w:r w:rsidRPr="000A2EE1">
        <w:rPr>
          <w:bCs/>
        </w:rPr>
        <w:tab/>
      </w:r>
      <w:r w:rsidRPr="000A2EE1">
        <w:rPr>
          <w:bCs/>
          <w:i/>
        </w:rPr>
        <w:t>Tear test</w:t>
      </w:r>
    </w:p>
    <w:p w:rsidR="00E3232B" w:rsidRPr="000A2EE1" w:rsidRDefault="00E3232B" w:rsidP="00E3232B">
      <w:pPr>
        <w:pStyle w:val="SingleTxtG"/>
        <w:rPr>
          <w:bCs/>
          <w:iCs/>
        </w:rPr>
      </w:pPr>
      <w:r w:rsidRPr="000A2EE1">
        <w:rPr>
          <w:bCs/>
          <w:iCs/>
        </w:rPr>
        <w:t>6.11.5.3.9.1</w:t>
      </w:r>
      <w:r w:rsidRPr="000A2EE1">
        <w:rPr>
          <w:bCs/>
          <w:iCs/>
        </w:rPr>
        <w:tab/>
        <w:t>Applicability</w:t>
      </w:r>
    </w:p>
    <w:p w:rsidR="00E3232B" w:rsidRPr="000A2EE1" w:rsidRDefault="00E3232B" w:rsidP="00E3232B">
      <w:pPr>
        <w:pStyle w:val="SingleTxtG"/>
        <w:rPr>
          <w:bCs/>
        </w:rPr>
      </w:pPr>
      <w:r w:rsidRPr="000A2EE1">
        <w:rPr>
          <w:bCs/>
        </w:rPr>
        <w:t>For all types of flexible bulk containers as a design type test.</w:t>
      </w:r>
    </w:p>
    <w:p w:rsidR="00E3232B" w:rsidRPr="000A2EE1" w:rsidRDefault="00E3232B" w:rsidP="00E3232B">
      <w:pPr>
        <w:pStyle w:val="SingleTxtG"/>
        <w:rPr>
          <w:bCs/>
        </w:rPr>
      </w:pPr>
      <w:r w:rsidRPr="000A2EE1">
        <w:rPr>
          <w:bCs/>
          <w:iCs/>
        </w:rPr>
        <w:t>6.11.5.3.9.2</w:t>
      </w:r>
      <w:r w:rsidRPr="000A2EE1">
        <w:rPr>
          <w:bCs/>
          <w:iCs/>
        </w:rPr>
        <w:tab/>
      </w:r>
      <w:r w:rsidRPr="000A2EE1">
        <w:rPr>
          <w:bCs/>
          <w:iCs/>
        </w:rPr>
        <w:tab/>
        <w:t xml:space="preserve">Preparation </w:t>
      </w:r>
      <w:r w:rsidRPr="000A2EE1">
        <w:rPr>
          <w:bCs/>
        </w:rPr>
        <w:t>for testing</w:t>
      </w:r>
    </w:p>
    <w:p w:rsidR="00E3232B" w:rsidRPr="000A2EE1" w:rsidRDefault="00E3232B" w:rsidP="00E3232B">
      <w:pPr>
        <w:pStyle w:val="SingleTxtG"/>
        <w:rPr>
          <w:bCs/>
        </w:rPr>
      </w:pPr>
      <w:r w:rsidRPr="000A2EE1">
        <w:rPr>
          <w:bCs/>
        </w:rPr>
        <w:t>The flexible bulk container shall be filled to its maximum permissible gross mass.</w:t>
      </w:r>
    </w:p>
    <w:p w:rsidR="00E3232B" w:rsidRPr="000A2EE1" w:rsidRDefault="00E3232B" w:rsidP="00E3232B">
      <w:pPr>
        <w:pStyle w:val="SingleTxtG"/>
        <w:rPr>
          <w:bCs/>
        </w:rPr>
      </w:pPr>
      <w:r w:rsidRPr="000A2EE1">
        <w:rPr>
          <w:bCs/>
        </w:rPr>
        <w:t>6.11.5.3.9.3</w:t>
      </w:r>
      <w:r w:rsidRPr="000A2EE1">
        <w:rPr>
          <w:bCs/>
        </w:rPr>
        <w:tab/>
        <w:t>Method of testing</w:t>
      </w:r>
    </w:p>
    <w:p w:rsidR="00E3232B" w:rsidRPr="000A2EE1" w:rsidRDefault="00E3232B" w:rsidP="00E3232B">
      <w:pPr>
        <w:pStyle w:val="SingleTxtG"/>
        <w:rPr>
          <w:bCs/>
        </w:rPr>
      </w:pPr>
      <w:r w:rsidRPr="000A2EE1">
        <w:rPr>
          <w:bCs/>
        </w:rPr>
        <w:t>With the flexible bulk container placed on the ground, a 300 mm cut shall be made, completely penetrating all layers of the flexible bulk container on a wall of a wide face. The cut shall be made at a 45º angle to the principal axis of the flexible bulk container, halfway between the bottom surface and the top level of the contents. The flexible bulk container shall then be subjected to a uniformly distributed superimposed load equivalent to twice the maximum gross mass. The load must be applied for at least fifteen minutes. A flexible bulk container which is designed to be lifted from the top or the side shall, after removal of the superimposed load, be lifted clear of the floor and maintained in that position for a period of fifteen minutes.</w:t>
      </w:r>
    </w:p>
    <w:p w:rsidR="00E3232B" w:rsidRPr="000A2EE1" w:rsidRDefault="00E3232B" w:rsidP="00E3232B">
      <w:pPr>
        <w:pStyle w:val="SingleTxtG"/>
        <w:rPr>
          <w:bCs/>
        </w:rPr>
      </w:pPr>
      <w:r w:rsidRPr="000A2EE1">
        <w:rPr>
          <w:bCs/>
        </w:rPr>
        <w:t>6.11.5.3.9.4</w:t>
      </w:r>
      <w:r w:rsidRPr="000A2EE1">
        <w:rPr>
          <w:bCs/>
        </w:rPr>
        <w:tab/>
        <w:t>Criterion for passing the test</w:t>
      </w:r>
    </w:p>
    <w:p w:rsidR="00E3232B" w:rsidRPr="000A2EE1" w:rsidRDefault="00E3232B" w:rsidP="00E3232B">
      <w:pPr>
        <w:pStyle w:val="SingleTxtG"/>
        <w:rPr>
          <w:bCs/>
        </w:rPr>
      </w:pPr>
      <w:r w:rsidRPr="000A2EE1">
        <w:rPr>
          <w:bCs/>
        </w:rPr>
        <w:t>The cut shall not propagate more than 25% of its original length.</w:t>
      </w:r>
    </w:p>
    <w:p w:rsidR="00E3232B" w:rsidRPr="000A2EE1" w:rsidRDefault="00E3232B" w:rsidP="00E3232B">
      <w:pPr>
        <w:pStyle w:val="SingleTxtG"/>
        <w:rPr>
          <w:bCs/>
        </w:rPr>
      </w:pPr>
      <w:r w:rsidRPr="000A2EE1">
        <w:rPr>
          <w:bCs/>
        </w:rPr>
        <w:t>6.11.5.3.10</w:t>
      </w:r>
      <w:r w:rsidRPr="000A2EE1">
        <w:rPr>
          <w:bCs/>
        </w:rPr>
        <w:tab/>
      </w:r>
      <w:r w:rsidRPr="000A2EE1">
        <w:rPr>
          <w:bCs/>
          <w:i/>
        </w:rPr>
        <w:t>Stacking test</w:t>
      </w:r>
    </w:p>
    <w:p w:rsidR="00E3232B" w:rsidRPr="000A2EE1" w:rsidRDefault="00E3232B" w:rsidP="00E3232B">
      <w:pPr>
        <w:pStyle w:val="SingleTxtG"/>
        <w:rPr>
          <w:bCs/>
          <w:iCs/>
        </w:rPr>
      </w:pPr>
      <w:r w:rsidRPr="000A2EE1">
        <w:rPr>
          <w:bCs/>
          <w:iCs/>
        </w:rPr>
        <w:t>6.11.5.3.10.1</w:t>
      </w:r>
      <w:r w:rsidRPr="000A2EE1">
        <w:rPr>
          <w:bCs/>
          <w:iCs/>
        </w:rPr>
        <w:tab/>
        <w:t>Applicability</w:t>
      </w:r>
    </w:p>
    <w:p w:rsidR="00E3232B" w:rsidRPr="000A2EE1" w:rsidRDefault="00E3232B" w:rsidP="00E3232B">
      <w:pPr>
        <w:pStyle w:val="SingleTxtG"/>
        <w:rPr>
          <w:bCs/>
        </w:rPr>
      </w:pPr>
      <w:r w:rsidRPr="000A2EE1">
        <w:rPr>
          <w:bCs/>
        </w:rPr>
        <w:t>For all types of flexible bulk containers as a design type test.</w:t>
      </w:r>
    </w:p>
    <w:p w:rsidR="00E3232B" w:rsidRPr="000A2EE1" w:rsidRDefault="00E3232B" w:rsidP="00E3232B">
      <w:pPr>
        <w:pStyle w:val="SingleTxtG"/>
        <w:rPr>
          <w:bCs/>
        </w:rPr>
      </w:pPr>
      <w:r w:rsidRPr="000A2EE1">
        <w:rPr>
          <w:bCs/>
          <w:iCs/>
        </w:rPr>
        <w:t>6.11.5.3.10.2</w:t>
      </w:r>
      <w:r w:rsidRPr="000A2EE1">
        <w:rPr>
          <w:bCs/>
          <w:iCs/>
        </w:rPr>
        <w:tab/>
        <w:t xml:space="preserve">Preparation </w:t>
      </w:r>
      <w:r w:rsidRPr="000A2EE1">
        <w:rPr>
          <w:bCs/>
        </w:rPr>
        <w:t>for testing</w:t>
      </w:r>
    </w:p>
    <w:p w:rsidR="00E3232B" w:rsidRPr="000A2EE1" w:rsidRDefault="00E3232B" w:rsidP="00E3232B">
      <w:pPr>
        <w:pStyle w:val="SingleTxtG"/>
        <w:rPr>
          <w:bCs/>
        </w:rPr>
      </w:pPr>
      <w:r w:rsidRPr="000A2EE1">
        <w:rPr>
          <w:bCs/>
        </w:rPr>
        <w:t>The flexible bulk container shall be filled to its maximum permissible gross mass.</w:t>
      </w:r>
    </w:p>
    <w:p w:rsidR="00E3232B" w:rsidRPr="000A2EE1" w:rsidRDefault="00E3232B" w:rsidP="00E3232B">
      <w:pPr>
        <w:pStyle w:val="SingleTxtG"/>
        <w:rPr>
          <w:bCs/>
        </w:rPr>
      </w:pPr>
      <w:r w:rsidRPr="000A2EE1">
        <w:rPr>
          <w:bCs/>
        </w:rPr>
        <w:t>6.11.5.3.10.3</w:t>
      </w:r>
      <w:r w:rsidRPr="000A2EE1">
        <w:rPr>
          <w:bCs/>
        </w:rPr>
        <w:tab/>
        <w:t>Method of testing</w:t>
      </w:r>
    </w:p>
    <w:p w:rsidR="00E3232B" w:rsidRPr="000A2EE1" w:rsidRDefault="00E3232B" w:rsidP="00E3232B">
      <w:pPr>
        <w:pStyle w:val="SingleTxtG"/>
        <w:rPr>
          <w:bCs/>
        </w:rPr>
      </w:pPr>
      <w:r w:rsidRPr="000A2EE1">
        <w:rPr>
          <w:bCs/>
        </w:rPr>
        <w:t>The flexible bulk container shall be subjected to a force applied to its top surface that is four times the design load-carrying capacity for 24 hours.</w:t>
      </w:r>
    </w:p>
    <w:p w:rsidR="00E3232B" w:rsidRPr="000A2EE1" w:rsidRDefault="00E3232B" w:rsidP="00E3232B">
      <w:pPr>
        <w:pStyle w:val="SingleTxtG"/>
        <w:rPr>
          <w:bCs/>
        </w:rPr>
      </w:pPr>
      <w:r w:rsidRPr="000A2EE1">
        <w:rPr>
          <w:bCs/>
        </w:rPr>
        <w:t>6.11.5.3.10.4</w:t>
      </w:r>
      <w:r w:rsidRPr="000A2EE1">
        <w:rPr>
          <w:bCs/>
        </w:rPr>
        <w:tab/>
        <w:t>Criterion for passing the test</w:t>
      </w:r>
    </w:p>
    <w:p w:rsidR="00E3232B" w:rsidRPr="000A2EE1" w:rsidRDefault="00E3232B" w:rsidP="00E3232B">
      <w:pPr>
        <w:pStyle w:val="SingleTxtG"/>
        <w:rPr>
          <w:bCs/>
        </w:rPr>
      </w:pPr>
      <w:r w:rsidRPr="000A2EE1">
        <w:rPr>
          <w:bCs/>
        </w:rPr>
        <w:t>There shall be no loss of contents during the test or after removal of the load.</w:t>
      </w:r>
    </w:p>
    <w:p w:rsidR="00E3232B" w:rsidRPr="000A2EE1" w:rsidRDefault="00E3232B" w:rsidP="00E3232B">
      <w:pPr>
        <w:pStyle w:val="SingleTxtG"/>
        <w:rPr>
          <w:b/>
          <w:bCs/>
        </w:rPr>
      </w:pPr>
      <w:r w:rsidRPr="000A2EE1">
        <w:rPr>
          <w:b/>
          <w:bCs/>
        </w:rPr>
        <w:t>6.11.5.4</w:t>
      </w:r>
      <w:r w:rsidRPr="000A2EE1">
        <w:rPr>
          <w:b/>
          <w:bCs/>
        </w:rPr>
        <w:tab/>
      </w:r>
      <w:r w:rsidRPr="000A2EE1">
        <w:rPr>
          <w:b/>
          <w:bCs/>
          <w:i/>
        </w:rPr>
        <w:t>Test report</w:t>
      </w:r>
    </w:p>
    <w:p w:rsidR="00E3232B" w:rsidRPr="000A2EE1" w:rsidRDefault="00E3232B" w:rsidP="00E3232B">
      <w:pPr>
        <w:pStyle w:val="SingleTxtG"/>
        <w:rPr>
          <w:bCs/>
        </w:rPr>
      </w:pPr>
      <w:r w:rsidRPr="000A2EE1">
        <w:rPr>
          <w:bCs/>
        </w:rPr>
        <w:t>6.11.5.4.1</w:t>
      </w:r>
      <w:r w:rsidRPr="000A2EE1">
        <w:rPr>
          <w:bCs/>
        </w:rPr>
        <w:tab/>
        <w:t>A test report containing at least the following particulars shall be drawn up and shall be available to the users of the flexible bulk container:</w:t>
      </w:r>
    </w:p>
    <w:p w:rsidR="00E3232B" w:rsidRPr="000A2EE1" w:rsidRDefault="00E3232B" w:rsidP="00E3232B">
      <w:pPr>
        <w:pStyle w:val="SingleTxtG"/>
        <w:ind w:left="2835" w:hanging="567"/>
        <w:rPr>
          <w:bCs/>
        </w:rPr>
      </w:pPr>
      <w:r w:rsidRPr="000A2EE1">
        <w:rPr>
          <w:bCs/>
        </w:rPr>
        <w:t>1.</w:t>
      </w:r>
      <w:r w:rsidRPr="000A2EE1">
        <w:rPr>
          <w:bCs/>
        </w:rPr>
        <w:tab/>
        <w:t>Name and address of the test facility;</w:t>
      </w:r>
    </w:p>
    <w:p w:rsidR="00E3232B" w:rsidRPr="000A2EE1" w:rsidRDefault="00E3232B" w:rsidP="00E3232B">
      <w:pPr>
        <w:pStyle w:val="SingleTxtG"/>
        <w:ind w:left="2835" w:hanging="567"/>
        <w:rPr>
          <w:bCs/>
        </w:rPr>
      </w:pPr>
      <w:r w:rsidRPr="000A2EE1">
        <w:rPr>
          <w:bCs/>
        </w:rPr>
        <w:t>2.</w:t>
      </w:r>
      <w:r w:rsidRPr="000A2EE1">
        <w:rPr>
          <w:bCs/>
        </w:rPr>
        <w:tab/>
        <w:t>Name and address of applicant (where appropriate);</w:t>
      </w:r>
    </w:p>
    <w:p w:rsidR="00E3232B" w:rsidRPr="000A2EE1" w:rsidRDefault="00E3232B" w:rsidP="00E3232B">
      <w:pPr>
        <w:pStyle w:val="SingleTxtG"/>
        <w:ind w:left="2835" w:hanging="567"/>
        <w:rPr>
          <w:bCs/>
        </w:rPr>
      </w:pPr>
      <w:r w:rsidRPr="000A2EE1">
        <w:rPr>
          <w:bCs/>
        </w:rPr>
        <w:t>3.</w:t>
      </w:r>
      <w:r w:rsidRPr="000A2EE1">
        <w:rPr>
          <w:bCs/>
        </w:rPr>
        <w:tab/>
        <w:t>Unique test report identification;</w:t>
      </w:r>
    </w:p>
    <w:p w:rsidR="00E3232B" w:rsidRPr="000A2EE1" w:rsidRDefault="00E3232B" w:rsidP="00E3232B">
      <w:pPr>
        <w:pStyle w:val="SingleTxtG"/>
        <w:ind w:left="2835" w:hanging="567"/>
        <w:rPr>
          <w:bCs/>
        </w:rPr>
      </w:pPr>
      <w:r w:rsidRPr="000A2EE1">
        <w:rPr>
          <w:bCs/>
        </w:rPr>
        <w:t>4.</w:t>
      </w:r>
      <w:r w:rsidRPr="000A2EE1">
        <w:rPr>
          <w:bCs/>
        </w:rPr>
        <w:tab/>
        <w:t>Date of the test report;</w:t>
      </w:r>
    </w:p>
    <w:p w:rsidR="00E3232B" w:rsidRPr="000A2EE1" w:rsidRDefault="00E3232B" w:rsidP="00E3232B">
      <w:pPr>
        <w:pStyle w:val="SingleTxtG"/>
        <w:ind w:left="2835" w:hanging="567"/>
        <w:rPr>
          <w:bCs/>
        </w:rPr>
      </w:pPr>
      <w:r w:rsidRPr="000A2EE1">
        <w:rPr>
          <w:bCs/>
        </w:rPr>
        <w:t>5.</w:t>
      </w:r>
      <w:r w:rsidRPr="000A2EE1">
        <w:rPr>
          <w:bCs/>
        </w:rPr>
        <w:tab/>
        <w:t>Manufacturer of the flexible bulk container;</w:t>
      </w:r>
    </w:p>
    <w:p w:rsidR="00E3232B" w:rsidRPr="000A2EE1" w:rsidRDefault="00E3232B" w:rsidP="00E3232B">
      <w:pPr>
        <w:pStyle w:val="SingleTxtG"/>
        <w:ind w:left="2835" w:hanging="567"/>
        <w:rPr>
          <w:bCs/>
        </w:rPr>
      </w:pPr>
      <w:r w:rsidRPr="000A2EE1">
        <w:rPr>
          <w:bCs/>
        </w:rPr>
        <w:t>6.</w:t>
      </w:r>
      <w:r w:rsidRPr="000A2EE1">
        <w:rPr>
          <w:bCs/>
        </w:rPr>
        <w:tab/>
        <w:t>Description of the flexible bulk container design type (e.g. dimensions, materials, closures, thickness, etc) and/or photograph(s);</w:t>
      </w:r>
    </w:p>
    <w:p w:rsidR="00E3232B" w:rsidRPr="000A2EE1" w:rsidRDefault="00E3232B" w:rsidP="00E3232B">
      <w:pPr>
        <w:pStyle w:val="SingleTxtG"/>
        <w:ind w:left="2835" w:hanging="567"/>
        <w:rPr>
          <w:bCs/>
        </w:rPr>
      </w:pPr>
      <w:r w:rsidRPr="000A2EE1">
        <w:rPr>
          <w:bCs/>
        </w:rPr>
        <w:t>7.</w:t>
      </w:r>
      <w:r w:rsidRPr="000A2EE1">
        <w:rPr>
          <w:bCs/>
        </w:rPr>
        <w:tab/>
        <w:t>Maximum capacity/maximum permissible gross mass;</w:t>
      </w:r>
    </w:p>
    <w:p w:rsidR="00E3232B" w:rsidRPr="000A2EE1" w:rsidRDefault="00E3232B" w:rsidP="00E3232B">
      <w:pPr>
        <w:pStyle w:val="SingleTxtG"/>
        <w:ind w:left="2835" w:hanging="567"/>
        <w:rPr>
          <w:bCs/>
        </w:rPr>
      </w:pPr>
      <w:r w:rsidRPr="000A2EE1">
        <w:rPr>
          <w:bCs/>
        </w:rPr>
        <w:t>8.</w:t>
      </w:r>
      <w:r w:rsidRPr="000A2EE1">
        <w:rPr>
          <w:bCs/>
        </w:rPr>
        <w:tab/>
        <w:t>Characteristics of test contents, e.g. particle size for solids;</w:t>
      </w:r>
    </w:p>
    <w:p w:rsidR="00E3232B" w:rsidRPr="000A2EE1" w:rsidRDefault="00E3232B" w:rsidP="00E3232B">
      <w:pPr>
        <w:pStyle w:val="SingleTxtG"/>
        <w:ind w:left="2835" w:hanging="567"/>
        <w:rPr>
          <w:bCs/>
        </w:rPr>
      </w:pPr>
      <w:r w:rsidRPr="000A2EE1">
        <w:rPr>
          <w:bCs/>
        </w:rPr>
        <w:t>9.</w:t>
      </w:r>
      <w:r w:rsidRPr="000A2EE1">
        <w:rPr>
          <w:bCs/>
        </w:rPr>
        <w:tab/>
        <w:t>Test descriptions and results;</w:t>
      </w:r>
    </w:p>
    <w:p w:rsidR="00E3232B" w:rsidRPr="000A2EE1" w:rsidRDefault="00E3232B" w:rsidP="00E3232B">
      <w:pPr>
        <w:pStyle w:val="SingleTxtG"/>
        <w:ind w:left="2835" w:hanging="567"/>
        <w:rPr>
          <w:bCs/>
        </w:rPr>
      </w:pPr>
      <w:r w:rsidRPr="000A2EE1">
        <w:rPr>
          <w:bCs/>
        </w:rPr>
        <w:t>10.</w:t>
      </w:r>
      <w:r w:rsidRPr="000A2EE1">
        <w:rPr>
          <w:bCs/>
        </w:rPr>
        <w:tab/>
        <w:t>The test report shall be signed with the name and status of the signatory.</w:t>
      </w:r>
    </w:p>
    <w:p w:rsidR="00E3232B" w:rsidRPr="000A2EE1" w:rsidRDefault="00E3232B" w:rsidP="00E3232B">
      <w:pPr>
        <w:pStyle w:val="SingleTxtG"/>
        <w:rPr>
          <w:bCs/>
        </w:rPr>
      </w:pPr>
      <w:r w:rsidRPr="000A2EE1">
        <w:rPr>
          <w:bCs/>
        </w:rPr>
        <w:t>6.11.5.4.2</w:t>
      </w:r>
      <w:r w:rsidRPr="000A2EE1">
        <w:rPr>
          <w:bCs/>
        </w:rPr>
        <w:tab/>
        <w:t>The test report shall contain statements that the flexible bulk container prepared as for carriage was tested in accordance with the appropriate provisions of this Chapter and that the use of other containment methods or components may render it invalid. A copy of the test report shall be available to the competent authority.</w:t>
      </w:r>
    </w:p>
    <w:p w:rsidR="00E3232B" w:rsidRPr="000A2EE1" w:rsidRDefault="00E3232B" w:rsidP="00E3232B">
      <w:pPr>
        <w:pStyle w:val="SingleTxtG"/>
        <w:rPr>
          <w:b/>
          <w:bCs/>
        </w:rPr>
      </w:pPr>
      <w:r w:rsidRPr="000A2EE1">
        <w:rPr>
          <w:b/>
          <w:bCs/>
        </w:rPr>
        <w:t>6.11.5.5</w:t>
      </w:r>
      <w:r w:rsidRPr="000A2EE1">
        <w:rPr>
          <w:b/>
          <w:bCs/>
        </w:rPr>
        <w:tab/>
      </w:r>
      <w:r w:rsidRPr="000A2EE1">
        <w:rPr>
          <w:b/>
          <w:bCs/>
          <w:i/>
        </w:rPr>
        <w:t>Marking</w:t>
      </w:r>
    </w:p>
    <w:p w:rsidR="00E3232B" w:rsidRPr="000A2EE1" w:rsidRDefault="00E3232B" w:rsidP="00E3232B">
      <w:pPr>
        <w:pStyle w:val="SingleTxtG"/>
        <w:rPr>
          <w:bCs/>
        </w:rPr>
      </w:pPr>
      <w:r w:rsidRPr="000A2EE1">
        <w:rPr>
          <w:bCs/>
        </w:rPr>
        <w:t>6.11.5.5.1</w:t>
      </w:r>
      <w:r w:rsidRPr="000A2EE1">
        <w:rPr>
          <w:bCs/>
        </w:rPr>
        <w:tab/>
        <w:t>Each flexible bulk container manufactured and intended for use according to</w:t>
      </w:r>
      <w:r w:rsidRPr="000A2EE1">
        <w:t xml:space="preserve"> the provisions</w:t>
      </w:r>
      <w:r w:rsidRPr="000A2EE1">
        <w:rPr>
          <w:bCs/>
        </w:rPr>
        <w:t xml:space="preserve"> of ADR shall bear marks that are durable, legible and placed in a location so as to be readily visible. Letters, numerals and symbols shall be at least 24 mm high and shall show:</w:t>
      </w:r>
    </w:p>
    <w:p w:rsidR="00E3232B" w:rsidRPr="000A2EE1" w:rsidRDefault="00E3232B" w:rsidP="00E3232B">
      <w:pPr>
        <w:pStyle w:val="SingleTxtG"/>
        <w:rPr>
          <w:b/>
          <w:i/>
        </w:rPr>
      </w:pPr>
      <w:r w:rsidRPr="000A2EE1">
        <w:tab/>
      </w:r>
      <w:r w:rsidRPr="000A2EE1">
        <w:tab/>
        <w:t>(a)</w:t>
      </w:r>
      <w:r w:rsidRPr="000A2EE1">
        <w:tab/>
        <w:t>The United Nations packaging symbol</w:t>
      </w:r>
      <w:r w:rsidRPr="000A2EE1">
        <w:tab/>
      </w:r>
      <w:r w:rsidR="00B95DFC">
        <w:rPr>
          <w:b/>
          <w:i/>
        </w:rPr>
        <w:pict>
          <v:shape id="_x0000_i1028" type="#_x0000_t75" style="width:25.35pt;height:25.35pt" fillcolor="window">
            <v:imagedata r:id="rId22" o:title=""/>
          </v:shape>
        </w:pict>
      </w:r>
      <w:r w:rsidR="0024710A" w:rsidRPr="000A2EE1">
        <w:rPr>
          <w:b/>
        </w:rPr>
        <w:t>;</w:t>
      </w:r>
    </w:p>
    <w:p w:rsidR="00E3232B" w:rsidRPr="000A2EE1" w:rsidRDefault="00E3232B" w:rsidP="00E3232B">
      <w:pPr>
        <w:pStyle w:val="SingleTxtG"/>
        <w:rPr>
          <w:bCs/>
        </w:rPr>
      </w:pPr>
      <w:r w:rsidRPr="000A2EE1">
        <w:rPr>
          <w:bCs/>
        </w:rPr>
        <w:tab/>
      </w:r>
      <w:r w:rsidRPr="000A2EE1">
        <w:rPr>
          <w:bCs/>
        </w:rPr>
        <w:tab/>
      </w:r>
      <w:r w:rsidRPr="000A2EE1">
        <w:rPr>
          <w:bCs/>
        </w:rPr>
        <w:tab/>
        <w:t xml:space="preserve">This symbol shall not be used for any purpose other than certifying that a packaging, a flexible bulk container, a portable tank or a MEGC complies with the relevant requirements in Chapters 6.1, </w:t>
      </w:r>
      <w:r w:rsidR="0024710A" w:rsidRPr="000A2EE1">
        <w:rPr>
          <w:bCs/>
        </w:rPr>
        <w:t>6.2, 6.3, 6.5, 6.6, 6.7 or 6.11</w:t>
      </w:r>
      <w:r w:rsidRPr="000A2EE1">
        <w:rPr>
          <w:bCs/>
        </w:rPr>
        <w:t>;</w:t>
      </w:r>
    </w:p>
    <w:p w:rsidR="00E3232B" w:rsidRPr="000A2EE1" w:rsidRDefault="00E3232B" w:rsidP="00E3232B">
      <w:pPr>
        <w:pStyle w:val="SingleTxtG"/>
        <w:rPr>
          <w:bCs/>
        </w:rPr>
      </w:pPr>
      <w:r w:rsidRPr="000A2EE1">
        <w:rPr>
          <w:bCs/>
        </w:rPr>
        <w:tab/>
      </w:r>
      <w:r w:rsidRPr="000A2EE1">
        <w:rPr>
          <w:bCs/>
        </w:rPr>
        <w:tab/>
        <w:t>(b)</w:t>
      </w:r>
      <w:r w:rsidRPr="000A2EE1">
        <w:rPr>
          <w:bCs/>
        </w:rPr>
        <w:tab/>
        <w:t>The code BK3;</w:t>
      </w:r>
    </w:p>
    <w:p w:rsidR="00E3232B" w:rsidRPr="000A2EE1" w:rsidRDefault="00E3232B" w:rsidP="00E3232B">
      <w:pPr>
        <w:pStyle w:val="SingleTxtG"/>
      </w:pPr>
      <w:r w:rsidRPr="000A2EE1">
        <w:tab/>
      </w:r>
      <w:r w:rsidRPr="000A2EE1">
        <w:tab/>
        <w:t>(c)</w:t>
      </w:r>
      <w:r w:rsidRPr="000A2EE1">
        <w:tab/>
        <w:t>A capital letter designating the packing group(s) for which the design type has been approved:</w:t>
      </w:r>
    </w:p>
    <w:p w:rsidR="00E3232B" w:rsidRPr="000A2EE1" w:rsidRDefault="00E3232B" w:rsidP="00E3232B">
      <w:pPr>
        <w:pStyle w:val="SingleTxtG"/>
      </w:pPr>
      <w:r w:rsidRPr="000A2EE1">
        <w:tab/>
      </w:r>
      <w:r w:rsidRPr="000A2EE1">
        <w:tab/>
      </w:r>
      <w:r w:rsidRPr="000A2EE1">
        <w:tab/>
        <w:t>Z for packing group III only;</w:t>
      </w:r>
    </w:p>
    <w:p w:rsidR="00E3232B" w:rsidRPr="000A2EE1" w:rsidRDefault="00E3232B" w:rsidP="00E3232B">
      <w:pPr>
        <w:pStyle w:val="SingleTxtG"/>
      </w:pPr>
      <w:r w:rsidRPr="000A2EE1">
        <w:tab/>
      </w:r>
      <w:r w:rsidRPr="000A2EE1">
        <w:tab/>
        <w:t>(d)</w:t>
      </w:r>
      <w:r w:rsidRPr="000A2EE1">
        <w:tab/>
        <w:t>The month and year (last two digits) of manufacture;</w:t>
      </w:r>
    </w:p>
    <w:p w:rsidR="00E3232B" w:rsidRPr="000A2EE1" w:rsidRDefault="00E3232B" w:rsidP="00E3232B">
      <w:pPr>
        <w:pStyle w:val="SingleTxtG"/>
      </w:pPr>
      <w:r w:rsidRPr="000A2EE1">
        <w:tab/>
      </w:r>
      <w:r w:rsidRPr="000A2EE1">
        <w:tab/>
        <w:t>(e)</w:t>
      </w:r>
      <w:r w:rsidRPr="000A2EE1">
        <w:tab/>
      </w:r>
      <w:r w:rsidRPr="000A2EE1">
        <w:rPr>
          <w:lang w:eastAsia="en-CA"/>
        </w:rPr>
        <w:t>The character(s) identifying the country</w:t>
      </w:r>
      <w:r w:rsidRPr="000A2EE1">
        <w:t xml:space="preserve"> authorizing the allocation of the mark; as indicated by the distinguishing sign for motor vehicles in international traffic</w:t>
      </w:r>
      <w:r w:rsidRPr="000A2EE1">
        <w:rPr>
          <w:rStyle w:val="Appelnotedebasdep"/>
        </w:rPr>
        <w:footnoteReference w:id="3"/>
      </w:r>
      <w:r w:rsidRPr="000A2EE1">
        <w:t>;</w:t>
      </w:r>
    </w:p>
    <w:p w:rsidR="00E3232B" w:rsidRPr="000A2EE1" w:rsidRDefault="00E3232B" w:rsidP="00E3232B">
      <w:pPr>
        <w:pStyle w:val="SingleTxtG"/>
      </w:pPr>
      <w:r w:rsidRPr="000A2EE1">
        <w:tab/>
      </w:r>
      <w:r w:rsidRPr="000A2EE1">
        <w:tab/>
        <w:t>(f)</w:t>
      </w:r>
      <w:r w:rsidRPr="000A2EE1">
        <w:tab/>
        <w:t>The name or symbol of the manufacturer and other identification of the flexible bulk container as specified by the competent authority;</w:t>
      </w:r>
    </w:p>
    <w:p w:rsidR="00E3232B" w:rsidRPr="000A2EE1" w:rsidRDefault="00E3232B" w:rsidP="00E3232B">
      <w:pPr>
        <w:pStyle w:val="SingleTxtG"/>
      </w:pPr>
      <w:r w:rsidRPr="000A2EE1">
        <w:tab/>
      </w:r>
      <w:r w:rsidRPr="000A2EE1">
        <w:tab/>
        <w:t>(g)</w:t>
      </w:r>
      <w:r w:rsidRPr="000A2EE1">
        <w:tab/>
        <w:t xml:space="preserve">The stacking test load in kg; </w:t>
      </w:r>
    </w:p>
    <w:p w:rsidR="00E3232B" w:rsidRPr="000A2EE1" w:rsidRDefault="00E3232B" w:rsidP="00E3232B">
      <w:pPr>
        <w:pStyle w:val="SingleTxtG"/>
      </w:pPr>
      <w:r w:rsidRPr="000A2EE1">
        <w:tab/>
      </w:r>
      <w:r w:rsidRPr="000A2EE1">
        <w:tab/>
        <w:t>(h)</w:t>
      </w:r>
      <w:r w:rsidRPr="000A2EE1">
        <w:tab/>
        <w:t>The maximum permissible gross mass in kg.</w:t>
      </w:r>
    </w:p>
    <w:p w:rsidR="00E3232B" w:rsidRPr="000A2EE1" w:rsidRDefault="00E3232B" w:rsidP="00E3232B">
      <w:pPr>
        <w:pStyle w:val="SingleTxtG"/>
      </w:pPr>
      <w:r w:rsidRPr="000A2EE1">
        <w:tab/>
      </w:r>
      <w:r w:rsidRPr="000A2EE1">
        <w:tab/>
        <w:t>Marks shall be applied in the sequence shown in (a) to (h); each mark, required in these subparagraphs, shall be clearly separated, e.g. by a slash or space and presented in a way that ensures that all of the parts of the mark are easily identified.</w:t>
      </w:r>
    </w:p>
    <w:p w:rsidR="00E3232B" w:rsidRPr="000A2EE1" w:rsidRDefault="00E3232B" w:rsidP="00E3232B">
      <w:pPr>
        <w:pStyle w:val="SingleTxtG"/>
        <w:rPr>
          <w:i/>
          <w:iCs/>
        </w:rPr>
      </w:pPr>
      <w:r w:rsidRPr="000A2EE1">
        <w:t>6.11.5.5.2</w:t>
      </w:r>
      <w:r w:rsidRPr="000A2EE1">
        <w:rPr>
          <w:i/>
          <w:iCs/>
        </w:rPr>
        <w:tab/>
        <w:t>Example of marking</w:t>
      </w:r>
    </w:p>
    <w:tbl>
      <w:tblPr>
        <w:tblW w:w="0" w:type="dxa"/>
        <w:tblInd w:w="2268" w:type="dxa"/>
        <w:tblCellMar>
          <w:left w:w="0" w:type="dxa"/>
          <w:right w:w="0" w:type="dxa"/>
        </w:tblCellMar>
        <w:tblLook w:val="01E0" w:firstRow="1" w:lastRow="1" w:firstColumn="1" w:lastColumn="1" w:noHBand="0" w:noVBand="0"/>
      </w:tblPr>
      <w:tblGrid>
        <w:gridCol w:w="795"/>
        <w:gridCol w:w="4500"/>
      </w:tblGrid>
      <w:tr w:rsidR="00E3232B" w:rsidRPr="000A2EE1" w:rsidTr="009B5E14">
        <w:tc>
          <w:tcPr>
            <w:tcW w:w="795" w:type="dxa"/>
            <w:shd w:val="clear" w:color="auto" w:fill="auto"/>
          </w:tcPr>
          <w:p w:rsidR="00E3232B" w:rsidRPr="000A2EE1" w:rsidRDefault="00B95DFC" w:rsidP="009B5E14">
            <w:pPr>
              <w:spacing w:after="120"/>
              <w:ind w:right="5"/>
              <w:jc w:val="both"/>
            </w:pPr>
            <w:r>
              <w:pict>
                <v:shape id="_x0000_i1029" type="#_x0000_t75" style="width:27.4pt;height:25.35pt" fillcolor="window">
                  <v:imagedata r:id="rId22" o:title=""/>
                </v:shape>
              </w:pict>
            </w:r>
          </w:p>
        </w:tc>
        <w:tc>
          <w:tcPr>
            <w:tcW w:w="4500" w:type="dxa"/>
            <w:shd w:val="clear" w:color="auto" w:fill="auto"/>
          </w:tcPr>
          <w:p w:rsidR="00E3232B" w:rsidRPr="000A2EE1" w:rsidRDefault="00E3232B" w:rsidP="009B5E14">
            <w:pPr>
              <w:ind w:firstLine="567"/>
              <w:jc w:val="both"/>
            </w:pPr>
            <w:r w:rsidRPr="000A2EE1">
              <w:t>BK3/Z/11 09</w:t>
            </w:r>
          </w:p>
          <w:p w:rsidR="00E3232B" w:rsidRPr="000A2EE1" w:rsidRDefault="00E3232B" w:rsidP="006E67B9">
            <w:pPr>
              <w:ind w:firstLine="567"/>
              <w:jc w:val="both"/>
            </w:pPr>
            <w:r w:rsidRPr="000A2EE1">
              <w:t>RUS/NTT/MK-14-10</w:t>
            </w:r>
            <w:r w:rsidRPr="000A2EE1">
              <w:br/>
            </w:r>
            <w:r w:rsidRPr="000A2EE1">
              <w:tab/>
              <w:t>56000/14000</w:t>
            </w:r>
            <w:r w:rsidR="006E67B9" w:rsidRPr="000A2EE1">
              <w:t>”</w:t>
            </w:r>
            <w:r w:rsidRPr="000A2EE1">
              <w:t>.</w:t>
            </w:r>
          </w:p>
        </w:tc>
      </w:tr>
    </w:tbl>
    <w:p w:rsidR="00E3232B" w:rsidRPr="000A2EE1" w:rsidRDefault="00E3232B" w:rsidP="00E3232B">
      <w:pPr>
        <w:pStyle w:val="H1G"/>
      </w:pPr>
      <w:r w:rsidRPr="000A2EE1">
        <w:tab/>
      </w:r>
      <w:r w:rsidRPr="000A2EE1">
        <w:tab/>
        <w:t>Chapter 6.12</w:t>
      </w:r>
    </w:p>
    <w:p w:rsidR="00E3232B" w:rsidRPr="000A2EE1" w:rsidRDefault="00E3232B" w:rsidP="00E3232B">
      <w:pPr>
        <w:spacing w:before="120" w:after="120"/>
        <w:ind w:left="1134" w:right="1134"/>
        <w:jc w:val="both"/>
      </w:pPr>
      <w:r w:rsidRPr="000A2EE1">
        <w:t>6.12.3.1.3</w:t>
      </w:r>
      <w:r w:rsidRPr="000A2EE1">
        <w:tab/>
        <w:t xml:space="preserve">In the Table, replace </w:t>
      </w:r>
      <w:r w:rsidR="006E67B9" w:rsidRPr="000A2EE1">
        <w:t>“</w:t>
      </w:r>
      <w:r w:rsidRPr="000A2EE1">
        <w:t>Stainless austenitic steels</w:t>
      </w:r>
      <w:r w:rsidR="006E67B9" w:rsidRPr="000A2EE1">
        <w:t>”</w:t>
      </w:r>
      <w:r w:rsidRPr="000A2EE1">
        <w:t xml:space="preserve"> by </w:t>
      </w:r>
      <w:r w:rsidR="006E67B9" w:rsidRPr="000A2EE1">
        <w:t>“</w:t>
      </w:r>
      <w:r w:rsidRPr="000A2EE1">
        <w:t>Austenitic stainless steels</w:t>
      </w:r>
      <w:r w:rsidR="006E67B9" w:rsidRPr="000A2EE1">
        <w:t>”</w:t>
      </w:r>
      <w:r w:rsidRPr="000A2EE1">
        <w:t>.</w:t>
      </w:r>
    </w:p>
    <w:p w:rsidR="00E3232B" w:rsidRPr="000A2EE1" w:rsidRDefault="00E3232B" w:rsidP="00E3232B">
      <w:pPr>
        <w:spacing w:before="120" w:after="120"/>
        <w:ind w:left="1134" w:right="1134"/>
        <w:jc w:val="both"/>
      </w:pPr>
      <w:r w:rsidRPr="000A2EE1">
        <w:t>6.12.3.2.3</w:t>
      </w:r>
      <w:r w:rsidRPr="000A2EE1">
        <w:tab/>
        <w:t xml:space="preserve">In the Table, replace </w:t>
      </w:r>
      <w:r w:rsidR="006E67B9" w:rsidRPr="000A2EE1">
        <w:t>“</w:t>
      </w:r>
      <w:r w:rsidRPr="000A2EE1">
        <w:t>Stainless austenitic steels</w:t>
      </w:r>
      <w:r w:rsidR="006E67B9" w:rsidRPr="000A2EE1">
        <w:t>”</w:t>
      </w:r>
      <w:r w:rsidRPr="000A2EE1">
        <w:t xml:space="preserve"> by </w:t>
      </w:r>
      <w:r w:rsidR="006E67B9" w:rsidRPr="000A2EE1">
        <w:t>“</w:t>
      </w:r>
      <w:r w:rsidRPr="000A2EE1">
        <w:t>Austenitic stainless steels</w:t>
      </w:r>
      <w:r w:rsidR="006E67B9" w:rsidRPr="000A2EE1">
        <w:t>”</w:t>
      </w:r>
      <w:r w:rsidRPr="000A2EE1">
        <w:t>.</w:t>
      </w:r>
    </w:p>
    <w:p w:rsidR="00E3232B" w:rsidRPr="000A2EE1" w:rsidRDefault="00E3232B" w:rsidP="00E3232B">
      <w:pPr>
        <w:pStyle w:val="H1G"/>
      </w:pPr>
      <w:r w:rsidRPr="000A2EE1">
        <w:tab/>
      </w:r>
      <w:r w:rsidRPr="000A2EE1">
        <w:tab/>
        <w:t>Chapter 7.2</w:t>
      </w:r>
    </w:p>
    <w:p w:rsidR="00E3232B" w:rsidRPr="000A2EE1" w:rsidRDefault="00E3232B" w:rsidP="00E3232B">
      <w:pPr>
        <w:pStyle w:val="SingleTxtG"/>
        <w:rPr>
          <w:iCs/>
          <w:snapToGrid w:val="0"/>
        </w:rPr>
      </w:pPr>
      <w:r w:rsidRPr="000A2EE1">
        <w:rPr>
          <w:iCs/>
          <w:snapToGrid w:val="0"/>
        </w:rPr>
        <w:t>7.2.4, V2 (1)</w:t>
      </w:r>
      <w:r w:rsidRPr="000A2EE1">
        <w:rPr>
          <w:iCs/>
          <w:snapToGrid w:val="0"/>
        </w:rPr>
        <w:tab/>
        <w:t>In the first paragraph, insert a new last sentence to read as follows:</w:t>
      </w:r>
      <w:r w:rsidR="00F655D6" w:rsidRPr="000A2EE1">
        <w:rPr>
          <w:iCs/>
          <w:snapToGrid w:val="0"/>
        </w:rPr>
        <w:t xml:space="preserve"> </w:t>
      </w:r>
      <w:r w:rsidR="006E67B9" w:rsidRPr="000A2EE1">
        <w:rPr>
          <w:iCs/>
          <w:snapToGrid w:val="0"/>
        </w:rPr>
        <w:t>“</w:t>
      </w:r>
      <w:r w:rsidRPr="000A2EE1">
        <w:rPr>
          <w:iCs/>
          <w:snapToGrid w:val="0"/>
        </w:rPr>
        <w:t>Where a transport unit consists of an EX/II vehicle and an EX/III vehicle, both carrying explosive substances or articles, the quantity limit of 7.5.5.2.1 applicable for an EX/II transport unit applies for the entire transport unit.</w:t>
      </w:r>
      <w:r w:rsidR="006E67B9" w:rsidRPr="000A2EE1">
        <w:rPr>
          <w:iCs/>
          <w:snapToGrid w:val="0"/>
        </w:rPr>
        <w:t>”</w:t>
      </w:r>
      <w:r w:rsidRPr="000A2EE1">
        <w:rPr>
          <w:iCs/>
          <w:snapToGrid w:val="0"/>
        </w:rPr>
        <w:t>.</w:t>
      </w:r>
    </w:p>
    <w:p w:rsidR="00E3232B" w:rsidRPr="000A2EE1" w:rsidRDefault="00B05D25" w:rsidP="00E3232B">
      <w:pPr>
        <w:pStyle w:val="SingleTxtG"/>
        <w:ind w:right="521"/>
      </w:pPr>
      <w:r w:rsidRPr="000A2EE1">
        <w:t xml:space="preserve">7.2.4, </w:t>
      </w:r>
      <w:r w:rsidR="00E3232B" w:rsidRPr="000A2EE1">
        <w:t>V8 (4)</w:t>
      </w:r>
      <w:r w:rsidRPr="000A2EE1">
        <w:tab/>
      </w:r>
      <w:r w:rsidR="00E3232B" w:rsidRPr="000A2EE1">
        <w:t xml:space="preserve">In the first paragraph (methods R4 and R5), replace “and </w:t>
      </w:r>
      <w:r w:rsidR="00E3232B" w:rsidRPr="000A2EE1">
        <w:rPr>
          <w:rFonts w:ascii="TimesNewRomanPSMT" w:hAnsi="TimesNewRomanPSMT" w:cs="TimesNewRomanPSMT"/>
          <w:lang w:eastAsia="en-GB"/>
        </w:rPr>
        <w:t>self-reactive substances</w:t>
      </w:r>
      <w:r w:rsidR="00E3232B" w:rsidRPr="000A2EE1">
        <w:t xml:space="preserve">” by “, </w:t>
      </w:r>
      <w:r w:rsidR="00E3232B" w:rsidRPr="000A2EE1">
        <w:rPr>
          <w:rFonts w:ascii="TimesNewRomanPSMT" w:hAnsi="TimesNewRomanPSMT" w:cs="TimesNewRomanPSMT"/>
          <w:lang w:eastAsia="en-GB"/>
        </w:rPr>
        <w:t xml:space="preserve">self-reactive substances </w:t>
      </w:r>
      <w:r w:rsidR="00E3232B" w:rsidRPr="000A2EE1">
        <w:t>and polymerizing substances”. In the second paragraph (method R3), after “Type B” insert “and polymerizing substances”. In the third paragraph (method R2), after “Types C, D, E and F” insert “and polymerizing substances”. In the fourth paragraph (method R1), after “Types C, D, E and F” insert “and polymerizing substances”.</w:t>
      </w:r>
    </w:p>
    <w:p w:rsidR="00E3232B" w:rsidRPr="000A2EE1" w:rsidRDefault="00E3232B" w:rsidP="00E3232B">
      <w:pPr>
        <w:pStyle w:val="H1G"/>
      </w:pPr>
      <w:r w:rsidRPr="000A2EE1">
        <w:tab/>
      </w:r>
      <w:r w:rsidRPr="000A2EE1">
        <w:tab/>
        <w:t>Chapter 7.3</w:t>
      </w:r>
    </w:p>
    <w:p w:rsidR="00E3232B" w:rsidRPr="000A2EE1" w:rsidRDefault="00E3232B" w:rsidP="00E3232B">
      <w:pPr>
        <w:pStyle w:val="SingleTxtG"/>
        <w:rPr>
          <w:rFonts w:eastAsia="MS Mincho"/>
        </w:rPr>
      </w:pPr>
      <w:r w:rsidRPr="000A2EE1">
        <w:t>7.3.1.1 (b)</w:t>
      </w:r>
      <w:r w:rsidRPr="000A2EE1">
        <w:tab/>
      </w:r>
      <w:r w:rsidRPr="000A2EE1">
        <w:rPr>
          <w:rFonts w:eastAsia="MS Mincho"/>
        </w:rPr>
        <w:t>Replace “with the code(s)” by “by the code”.</w:t>
      </w:r>
    </w:p>
    <w:p w:rsidR="00E3232B" w:rsidRPr="000A2EE1" w:rsidRDefault="00E3232B" w:rsidP="00E3232B">
      <w:pPr>
        <w:pStyle w:val="SingleTxtG"/>
      </w:pPr>
      <w:r w:rsidRPr="000A2EE1">
        <w:t>7.3.2.1</w:t>
      </w:r>
      <w:r w:rsidRPr="000A2EE1">
        <w:tab/>
      </w:r>
      <w:r w:rsidRPr="000A2EE1">
        <w:tab/>
        <w:t>In the second sentence, replace “codes BK1 and BK2” by “codes BK1, BK2 and BK3”. After the description of the meaning of BK1 and BK2, insert:</w:t>
      </w:r>
    </w:p>
    <w:p w:rsidR="00E3232B" w:rsidRPr="000A2EE1" w:rsidRDefault="006E67B9" w:rsidP="00E3232B">
      <w:pPr>
        <w:pStyle w:val="SingleTxtG"/>
      </w:pPr>
      <w:r w:rsidRPr="000A2EE1">
        <w:t>“</w:t>
      </w:r>
      <w:r w:rsidR="00E3232B" w:rsidRPr="000A2EE1">
        <w:t>BK3: Carriage in flexible bulk containers is permitted</w:t>
      </w:r>
      <w:r w:rsidRPr="000A2EE1">
        <w:t>”</w:t>
      </w:r>
      <w:r w:rsidR="00E3232B" w:rsidRPr="000A2EE1">
        <w:t>.</w:t>
      </w:r>
    </w:p>
    <w:p w:rsidR="00E3232B" w:rsidRPr="000A2EE1" w:rsidRDefault="00E3232B" w:rsidP="00E3232B">
      <w:pPr>
        <w:pStyle w:val="SingleTxtG"/>
      </w:pPr>
      <w:r w:rsidRPr="000A2EE1">
        <w:t>Insert the following new sub-section:</w:t>
      </w:r>
    </w:p>
    <w:p w:rsidR="00E3232B" w:rsidRPr="000A2EE1" w:rsidRDefault="00E3232B" w:rsidP="00E3232B">
      <w:pPr>
        <w:pStyle w:val="SingleTxtG"/>
        <w:rPr>
          <w:b/>
          <w:i/>
        </w:rPr>
      </w:pPr>
      <w:r w:rsidRPr="000A2EE1">
        <w:rPr>
          <w:b/>
        </w:rPr>
        <w:t>“7.3.2.10</w:t>
      </w:r>
      <w:r w:rsidRPr="000A2EE1">
        <w:rPr>
          <w:b/>
        </w:rPr>
        <w:tab/>
      </w:r>
      <w:r w:rsidRPr="000A2EE1">
        <w:rPr>
          <w:b/>
          <w:i/>
        </w:rPr>
        <w:t>Use of flexible bulk containers</w:t>
      </w:r>
    </w:p>
    <w:p w:rsidR="00E3232B" w:rsidRPr="000A2EE1" w:rsidRDefault="00E3232B" w:rsidP="00E3232B">
      <w:pPr>
        <w:pStyle w:val="SingleTxtG"/>
      </w:pPr>
      <w:r w:rsidRPr="000A2EE1">
        <w:t>7.3.2.10.1</w:t>
      </w:r>
      <w:r w:rsidRPr="000A2EE1">
        <w:tab/>
        <w:t>Before a flexible bulk container is filled it shall be visually examined to ensure it is structurally serviceable, its textile slings, load-bearing structure straps, body fabric, lock device parts including metal and textile parts are free from protrusions or damage and that inner liners are free from rips, tears or any damage.</w:t>
      </w:r>
    </w:p>
    <w:p w:rsidR="00E3232B" w:rsidRPr="000A2EE1" w:rsidRDefault="00E3232B" w:rsidP="00E3232B">
      <w:pPr>
        <w:pStyle w:val="SingleTxtG"/>
      </w:pPr>
      <w:r w:rsidRPr="000A2EE1">
        <w:t>7.3.2.10.2</w:t>
      </w:r>
      <w:r w:rsidRPr="000A2EE1">
        <w:tab/>
        <w:t>For flexible bulk containers, the period of use permitted for the carriage of dangerous goods shall be two years from the date of manufacture of the flexible bulk container.</w:t>
      </w:r>
    </w:p>
    <w:p w:rsidR="00E3232B" w:rsidRPr="000A2EE1" w:rsidRDefault="00E3232B" w:rsidP="00E3232B">
      <w:pPr>
        <w:pStyle w:val="SingleTxtG"/>
      </w:pPr>
      <w:r w:rsidRPr="000A2EE1">
        <w:t>7.3.2.10.3</w:t>
      </w:r>
      <w:r w:rsidRPr="000A2EE1">
        <w:tab/>
        <w:t>A venting device shall be fitted if a dangerous accumulation of gases may develop within the flexible bulk container. The vent shall be so designed that the penetration of foreign substances or ingress of water is prevented under normal conditions of carriage.</w:t>
      </w:r>
    </w:p>
    <w:p w:rsidR="00E3232B" w:rsidRPr="000A2EE1" w:rsidRDefault="00E3232B" w:rsidP="00E3232B">
      <w:pPr>
        <w:pStyle w:val="SingleTxtG"/>
      </w:pPr>
      <w:r w:rsidRPr="000A2EE1">
        <w:t>7.3.2.10.4</w:t>
      </w:r>
      <w:r w:rsidRPr="000A2EE1">
        <w:tab/>
        <w:t>Flexible bulk containers shall be filled in such a way that when loaded the ratio of height to width does not exceed 1</w:t>
      </w:r>
      <w:r w:rsidR="006E67B9" w:rsidRPr="000A2EE1">
        <w:t>.</w:t>
      </w:r>
      <w:r w:rsidRPr="000A2EE1">
        <w:t>1. The maximum gross mass of the flexible bulk containers shall not exceed 14 tonnes.”.</w:t>
      </w:r>
    </w:p>
    <w:p w:rsidR="00F655D6" w:rsidRPr="000A2EE1" w:rsidRDefault="00F655D6" w:rsidP="00F655D6">
      <w:pPr>
        <w:pStyle w:val="SingleTxtG"/>
      </w:pPr>
      <w:r w:rsidRPr="000A2EE1">
        <w:t>7.3.3.2.3, AP4</w:t>
      </w:r>
      <w:r w:rsidRPr="000A2EE1">
        <w:tab/>
        <w:t>Replace “loading and unloading” by “filling and discharging”.</w:t>
      </w:r>
    </w:p>
    <w:p w:rsidR="00E3232B" w:rsidRPr="000A2EE1" w:rsidRDefault="00E3232B" w:rsidP="00E3232B">
      <w:pPr>
        <w:pStyle w:val="H1G"/>
      </w:pPr>
      <w:r w:rsidRPr="000A2EE1">
        <w:tab/>
      </w:r>
      <w:r w:rsidRPr="000A2EE1">
        <w:tab/>
        <w:t>Chapter 7.4</w:t>
      </w:r>
    </w:p>
    <w:p w:rsidR="00E3232B" w:rsidRPr="000A2EE1" w:rsidRDefault="00E3232B" w:rsidP="00E3232B">
      <w:pPr>
        <w:pStyle w:val="SingleTxtG"/>
        <w:rPr>
          <w:rFonts w:cs="Arial"/>
          <w:szCs w:val="22"/>
        </w:rPr>
      </w:pPr>
      <w:r w:rsidRPr="000A2EE1">
        <w:rPr>
          <w:rFonts w:cs="Arial"/>
          <w:szCs w:val="22"/>
        </w:rPr>
        <w:t>7.4.1</w:t>
      </w:r>
      <w:r w:rsidRPr="000A2EE1">
        <w:rPr>
          <w:rFonts w:cs="Arial"/>
          <w:szCs w:val="22"/>
        </w:rPr>
        <w:tab/>
        <w:t xml:space="preserve">In the third sentence, replace </w:t>
      </w:r>
      <w:r w:rsidR="006E67B9" w:rsidRPr="000A2EE1">
        <w:rPr>
          <w:rFonts w:cs="Arial"/>
          <w:szCs w:val="22"/>
        </w:rPr>
        <w:t>“</w:t>
      </w:r>
      <w:r w:rsidRPr="000A2EE1">
        <w:rPr>
          <w:rFonts w:cs="Arial"/>
          <w:szCs w:val="22"/>
        </w:rPr>
        <w:t>section 9.7.2</w:t>
      </w:r>
      <w:r w:rsidR="006E67B9" w:rsidRPr="000A2EE1">
        <w:rPr>
          <w:rFonts w:cs="Arial"/>
          <w:szCs w:val="22"/>
        </w:rPr>
        <w:t>”</w:t>
      </w:r>
      <w:r w:rsidRPr="000A2EE1">
        <w:rPr>
          <w:rFonts w:cs="Arial"/>
          <w:szCs w:val="22"/>
        </w:rPr>
        <w:t xml:space="preserve"> by </w:t>
      </w:r>
      <w:r w:rsidR="006E67B9" w:rsidRPr="000A2EE1">
        <w:rPr>
          <w:rFonts w:cs="Arial"/>
          <w:szCs w:val="22"/>
        </w:rPr>
        <w:t>“</w:t>
      </w:r>
      <w:r w:rsidRPr="000A2EE1">
        <w:rPr>
          <w:rFonts w:cs="Arial"/>
          <w:szCs w:val="22"/>
        </w:rPr>
        <w:t>9.7</w:t>
      </w:r>
      <w:r w:rsidR="006E67B9" w:rsidRPr="000A2EE1">
        <w:rPr>
          <w:rFonts w:cs="Arial"/>
          <w:szCs w:val="22"/>
        </w:rPr>
        <w:t>”</w:t>
      </w:r>
      <w:r w:rsidRPr="000A2EE1">
        <w:rPr>
          <w:rFonts w:cs="Arial"/>
          <w:szCs w:val="22"/>
        </w:rPr>
        <w:t>.</w:t>
      </w:r>
    </w:p>
    <w:p w:rsidR="00E3232B" w:rsidRPr="000A2EE1" w:rsidRDefault="00E3232B" w:rsidP="00E3232B">
      <w:pPr>
        <w:pStyle w:val="SingleTxtG"/>
        <w:rPr>
          <w:rFonts w:cs="Arial"/>
          <w:szCs w:val="22"/>
        </w:rPr>
      </w:pPr>
      <w:r w:rsidRPr="000A2EE1">
        <w:rPr>
          <w:rFonts w:cs="Arial"/>
          <w:szCs w:val="22"/>
        </w:rPr>
        <w:t>7.4.2</w:t>
      </w:r>
      <w:r w:rsidRPr="000A2EE1">
        <w:rPr>
          <w:rFonts w:cs="Arial"/>
          <w:szCs w:val="22"/>
        </w:rPr>
        <w:tab/>
        <w:t xml:space="preserve">In the introductory text, delete </w:t>
      </w:r>
      <w:r w:rsidR="006E67B9" w:rsidRPr="000A2EE1">
        <w:rPr>
          <w:rFonts w:cs="Arial"/>
          <w:szCs w:val="22"/>
        </w:rPr>
        <w:t>“</w:t>
      </w:r>
      <w:r w:rsidRPr="000A2EE1">
        <w:rPr>
          <w:rFonts w:cs="Arial"/>
          <w:szCs w:val="22"/>
        </w:rPr>
        <w:t>, OX</w:t>
      </w:r>
      <w:r w:rsidR="006E67B9" w:rsidRPr="000A2EE1">
        <w:rPr>
          <w:rFonts w:cs="Arial"/>
          <w:szCs w:val="22"/>
        </w:rPr>
        <w:t>”</w:t>
      </w:r>
      <w:r w:rsidRPr="000A2EE1">
        <w:rPr>
          <w:rFonts w:cs="Arial"/>
          <w:szCs w:val="22"/>
        </w:rPr>
        <w:t>. Delete the third indent. Amend the fourth indent to read as follows:</w:t>
      </w:r>
    </w:p>
    <w:p w:rsidR="00E3232B" w:rsidRPr="000A2EE1" w:rsidRDefault="006E67B9" w:rsidP="00E3232B">
      <w:pPr>
        <w:pStyle w:val="SingleTxtG"/>
        <w:rPr>
          <w:rFonts w:cs="Arial"/>
          <w:szCs w:val="22"/>
        </w:rPr>
      </w:pPr>
      <w:r w:rsidRPr="000A2EE1">
        <w:rPr>
          <w:rFonts w:cs="Arial"/>
          <w:szCs w:val="22"/>
        </w:rPr>
        <w:t>“</w:t>
      </w:r>
      <w:r w:rsidR="00E3232B" w:rsidRPr="000A2EE1">
        <w:t>-</w:t>
      </w:r>
      <w:r w:rsidR="00E3232B" w:rsidRPr="000A2EE1">
        <w:tab/>
        <w:t>Where an AT vehicle is prescribed, AT and FL vehicles may be used.</w:t>
      </w:r>
      <w:r w:rsidRPr="000A2EE1">
        <w:rPr>
          <w:rFonts w:cs="Arial"/>
          <w:szCs w:val="22"/>
        </w:rPr>
        <w:t>”</w:t>
      </w:r>
      <w:r w:rsidR="00E3232B" w:rsidRPr="000A2EE1">
        <w:rPr>
          <w:rFonts w:cs="Arial"/>
          <w:szCs w:val="22"/>
        </w:rPr>
        <w:t>.</w:t>
      </w:r>
    </w:p>
    <w:p w:rsidR="00E3232B" w:rsidRPr="000A2EE1" w:rsidRDefault="00E3232B" w:rsidP="00E3232B">
      <w:pPr>
        <w:pStyle w:val="H1G"/>
      </w:pPr>
      <w:r w:rsidRPr="000A2EE1">
        <w:tab/>
      </w:r>
      <w:r w:rsidRPr="000A2EE1">
        <w:tab/>
        <w:t>Chapter 7.5</w:t>
      </w:r>
    </w:p>
    <w:p w:rsidR="00E3232B" w:rsidRPr="000A2EE1" w:rsidRDefault="00E3232B" w:rsidP="00E3232B">
      <w:pPr>
        <w:pStyle w:val="SingleTxtG"/>
      </w:pPr>
      <w:r w:rsidRPr="000A2EE1">
        <w:t>7.5.1</w:t>
      </w:r>
      <w:r w:rsidRPr="000A2EE1">
        <w:tab/>
        <w:t>Delete the Note after the heading.</w:t>
      </w:r>
    </w:p>
    <w:p w:rsidR="00E3232B" w:rsidRPr="000A2EE1" w:rsidRDefault="00E3232B" w:rsidP="00E3232B">
      <w:pPr>
        <w:pStyle w:val="SingleTxtG"/>
      </w:pPr>
      <w:r w:rsidRPr="000A2EE1">
        <w:t>7.5.1.1</w:t>
      </w:r>
      <w:r w:rsidRPr="000A2EE1">
        <w:tab/>
      </w:r>
      <w:r w:rsidRPr="000A2EE1">
        <w:tab/>
        <w:t xml:space="preserve">Replace </w:t>
      </w:r>
      <w:r w:rsidR="006E67B9" w:rsidRPr="000A2EE1">
        <w:t>“</w:t>
      </w:r>
      <w:r w:rsidRPr="000A2EE1">
        <w:t>large container(s)</w:t>
      </w:r>
      <w:r w:rsidR="006E67B9" w:rsidRPr="000A2EE1">
        <w:t>”</w:t>
      </w:r>
      <w:r w:rsidRPr="000A2EE1">
        <w:t xml:space="preserve"> by </w:t>
      </w:r>
      <w:r w:rsidR="006E67B9" w:rsidRPr="000A2EE1">
        <w:t>“</w:t>
      </w:r>
      <w:r w:rsidRPr="000A2EE1">
        <w:t>container(s)</w:t>
      </w:r>
      <w:r w:rsidR="006E67B9" w:rsidRPr="000A2EE1">
        <w:t>”</w:t>
      </w:r>
      <w:r w:rsidRPr="000A2EE1">
        <w:t xml:space="preserve">. Add </w:t>
      </w:r>
      <w:r w:rsidR="006E67B9" w:rsidRPr="000A2EE1">
        <w:t>“</w:t>
      </w:r>
      <w:r w:rsidRPr="000A2EE1">
        <w:t>MEGC(s),</w:t>
      </w:r>
      <w:r w:rsidR="006E67B9" w:rsidRPr="000A2EE1">
        <w:t>”</w:t>
      </w:r>
      <w:r w:rsidRPr="000A2EE1">
        <w:t xml:space="preserve"> after </w:t>
      </w:r>
      <w:r w:rsidR="006E67B9" w:rsidRPr="000A2EE1">
        <w:t>“</w:t>
      </w:r>
      <w:r w:rsidRPr="000A2EE1">
        <w:t>bulk container(s)</w:t>
      </w:r>
      <w:r w:rsidR="006E67B9" w:rsidRPr="000A2EE1">
        <w:t>”</w:t>
      </w:r>
      <w:r w:rsidRPr="000A2EE1">
        <w:t>.</w:t>
      </w:r>
    </w:p>
    <w:p w:rsidR="00E3232B" w:rsidRPr="000A2EE1" w:rsidRDefault="00E3232B" w:rsidP="00E3232B">
      <w:pPr>
        <w:pStyle w:val="SingleTxtG"/>
      </w:pPr>
      <w:r w:rsidRPr="000A2EE1">
        <w:t>7.5.1.2 (a) and (b) become indents.</w:t>
      </w:r>
    </w:p>
    <w:p w:rsidR="00E3232B" w:rsidRPr="000A2EE1" w:rsidRDefault="00E3232B" w:rsidP="00E3232B">
      <w:pPr>
        <w:pStyle w:val="SingleTxtG"/>
      </w:pPr>
      <w:r w:rsidRPr="000A2EE1">
        <w:t>7.5.1.2</w:t>
      </w:r>
      <w:r w:rsidRPr="000A2EE1">
        <w:tab/>
      </w:r>
      <w:r w:rsidRPr="000A2EE1">
        <w:tab/>
        <w:t xml:space="preserve">In the second indent, replace </w:t>
      </w:r>
      <w:r w:rsidR="006E67B9" w:rsidRPr="000A2EE1">
        <w:t>“</w:t>
      </w:r>
      <w:r w:rsidRPr="000A2EE1">
        <w:t>large container(s)</w:t>
      </w:r>
      <w:r w:rsidR="006E67B9" w:rsidRPr="000A2EE1">
        <w:t>”</w:t>
      </w:r>
      <w:r w:rsidRPr="000A2EE1">
        <w:t xml:space="preserve"> by </w:t>
      </w:r>
      <w:r w:rsidR="006E67B9" w:rsidRPr="000A2EE1">
        <w:t>“</w:t>
      </w:r>
      <w:r w:rsidRPr="000A2EE1">
        <w:t>container(s)</w:t>
      </w:r>
      <w:r w:rsidR="006E67B9" w:rsidRPr="000A2EE1">
        <w:t>”</w:t>
      </w:r>
      <w:r w:rsidRPr="000A2EE1">
        <w:t xml:space="preserve">. Add </w:t>
      </w:r>
      <w:r w:rsidR="006E67B9" w:rsidRPr="000A2EE1">
        <w:t>“</w:t>
      </w:r>
      <w:r w:rsidRPr="000A2EE1">
        <w:t>MEGC(s),</w:t>
      </w:r>
      <w:r w:rsidR="006E67B9" w:rsidRPr="000A2EE1">
        <w:t>”</w:t>
      </w:r>
      <w:r w:rsidRPr="000A2EE1">
        <w:t xml:space="preserve"> after </w:t>
      </w:r>
      <w:r w:rsidR="006E67B9" w:rsidRPr="000A2EE1">
        <w:t>“</w:t>
      </w:r>
      <w:r w:rsidRPr="000A2EE1">
        <w:t>bulk container(s)</w:t>
      </w:r>
      <w:r w:rsidR="006E67B9" w:rsidRPr="000A2EE1">
        <w:t>”</w:t>
      </w:r>
      <w:r w:rsidRPr="000A2EE1">
        <w:t xml:space="preserve">. In the last paragraph, replace </w:t>
      </w:r>
      <w:r w:rsidR="006E67B9" w:rsidRPr="000A2EE1">
        <w:t>“</w:t>
      </w:r>
      <w:r w:rsidRPr="000A2EE1">
        <w:t>large container</w:t>
      </w:r>
      <w:r w:rsidR="006E67B9" w:rsidRPr="000A2EE1">
        <w:t>”</w:t>
      </w:r>
      <w:r w:rsidRPr="000A2EE1">
        <w:t xml:space="preserve"> by </w:t>
      </w:r>
      <w:r w:rsidR="006E67B9" w:rsidRPr="000A2EE1">
        <w:t>“</w:t>
      </w:r>
      <w:r w:rsidRPr="000A2EE1">
        <w:t>container</w:t>
      </w:r>
      <w:r w:rsidR="006E67B9" w:rsidRPr="000A2EE1">
        <w:t>”</w:t>
      </w:r>
      <w:r w:rsidRPr="000A2EE1">
        <w:t xml:space="preserve"> and add </w:t>
      </w:r>
      <w:r w:rsidR="006E67B9" w:rsidRPr="000A2EE1">
        <w:t>“</w:t>
      </w:r>
      <w:r w:rsidRPr="000A2EE1">
        <w:t>a MEGC,</w:t>
      </w:r>
      <w:r w:rsidR="006E67B9" w:rsidRPr="000A2EE1">
        <w:t>”</w:t>
      </w:r>
      <w:r w:rsidRPr="000A2EE1">
        <w:t xml:space="preserve"> after </w:t>
      </w:r>
      <w:r w:rsidR="006E67B9" w:rsidRPr="000A2EE1">
        <w:t>“</w:t>
      </w:r>
      <w:r w:rsidRPr="000A2EE1">
        <w:t>bulk container</w:t>
      </w:r>
      <w:r w:rsidR="006E67B9" w:rsidRPr="000A2EE1">
        <w:t>”</w:t>
      </w:r>
      <w:r w:rsidRPr="000A2EE1">
        <w:t>.</w:t>
      </w:r>
    </w:p>
    <w:p w:rsidR="00E3232B" w:rsidRPr="000A2EE1" w:rsidRDefault="00E3232B" w:rsidP="00E3232B">
      <w:pPr>
        <w:pStyle w:val="SingleTxtG"/>
        <w:rPr>
          <w:rFonts w:eastAsia="Calibri"/>
        </w:rPr>
      </w:pPr>
      <w:r w:rsidRPr="000A2EE1">
        <w:rPr>
          <w:rFonts w:eastAsia="Calibri"/>
        </w:rPr>
        <w:t>7.5.1.5</w:t>
      </w:r>
      <w:r w:rsidRPr="000A2EE1">
        <w:rPr>
          <w:rFonts w:eastAsia="Calibri"/>
        </w:rPr>
        <w:tab/>
      </w:r>
      <w:r w:rsidRPr="000A2EE1">
        <w:rPr>
          <w:rFonts w:eastAsia="Calibri"/>
        </w:rPr>
        <w:tab/>
      </w:r>
      <w:r w:rsidRPr="000A2EE1">
        <w:t>Replace “</w:t>
      </w:r>
      <w:r w:rsidRPr="000A2EE1">
        <w:rPr>
          <w:rFonts w:eastAsia="Calibri"/>
        </w:rPr>
        <w:t>markings”</w:t>
      </w:r>
      <w:r w:rsidRPr="000A2EE1">
        <w:t xml:space="preserve"> by “</w:t>
      </w:r>
      <w:r w:rsidRPr="000A2EE1">
        <w:rPr>
          <w:rFonts w:eastAsia="Calibri"/>
        </w:rPr>
        <w:t>marks”.</w:t>
      </w:r>
    </w:p>
    <w:p w:rsidR="00E3232B" w:rsidRPr="000A2EE1" w:rsidRDefault="00E3232B" w:rsidP="00E3232B">
      <w:pPr>
        <w:tabs>
          <w:tab w:val="left" w:pos="1134"/>
          <w:tab w:val="left" w:pos="1418"/>
          <w:tab w:val="left" w:pos="1843"/>
        </w:tabs>
        <w:spacing w:before="120" w:after="120"/>
        <w:ind w:left="1134" w:right="1134"/>
        <w:jc w:val="both"/>
      </w:pPr>
      <w:r w:rsidRPr="000A2EE1">
        <w:t>7.5.2.1</w:t>
      </w:r>
      <w:r w:rsidRPr="000A2EE1">
        <w:tab/>
        <w:t>Current Note becomes Note 1. Add a new Note 2 to read as follows:</w:t>
      </w:r>
    </w:p>
    <w:p w:rsidR="00E3232B" w:rsidRPr="000A2EE1" w:rsidRDefault="006E67B9" w:rsidP="00E3232B">
      <w:pPr>
        <w:spacing w:before="120" w:after="120"/>
        <w:ind w:left="1134" w:right="1134"/>
        <w:jc w:val="both"/>
      </w:pPr>
      <w:r w:rsidRPr="000A2EE1">
        <w:rPr>
          <w:i/>
        </w:rPr>
        <w:t>“</w:t>
      </w:r>
      <w:r w:rsidR="00E3232B" w:rsidRPr="000A2EE1">
        <w:rPr>
          <w:b/>
          <w:i/>
        </w:rPr>
        <w:t>NOTE 2:</w:t>
      </w:r>
      <w:r w:rsidR="00E3232B" w:rsidRPr="000A2EE1">
        <w:rPr>
          <w:i/>
        </w:rPr>
        <w:tab/>
        <w:t>For packages containing substances or articles only of Class 1 and bearing a label conforming to models Nos. 1, 1.4, 1.5 or 1.6, irrespective of any other danger labels required for these packages, mixed loading shall be permitted in accordance with 7.5.2.2. The Table in 7.5.2.1 shall only apply when such packages are loaded together with packages containing substances or articles of other classes.</w:t>
      </w:r>
      <w:r w:rsidRPr="000A2EE1">
        <w:rPr>
          <w:i/>
        </w:rPr>
        <w:t>”</w:t>
      </w:r>
      <w:r w:rsidR="00E3232B" w:rsidRPr="000A2EE1">
        <w:rPr>
          <w:i/>
        </w:rPr>
        <w:t>.</w:t>
      </w:r>
    </w:p>
    <w:p w:rsidR="00F655D6" w:rsidRPr="000A2EE1" w:rsidRDefault="00F655D6" w:rsidP="00F655D6">
      <w:pPr>
        <w:pStyle w:val="SingleTxtG"/>
      </w:pPr>
      <w:r w:rsidRPr="000A2EE1">
        <w:t>7.5.2.1</w:t>
      </w:r>
      <w:r w:rsidRPr="000A2EE1">
        <w:tab/>
      </w:r>
      <w:r w:rsidRPr="000A2EE1">
        <w:tab/>
        <w:t>In table note d, insert the phrase“, ammonium nitrate emulsion or suspension or gel (UN No. 3375)” after “(UN Nos. 1942 and 2067)”.</w:t>
      </w:r>
    </w:p>
    <w:p w:rsidR="003819B3" w:rsidRPr="000A2EE1" w:rsidRDefault="003819B3" w:rsidP="00F655D6">
      <w:pPr>
        <w:pStyle w:val="SingleTxtG"/>
      </w:pPr>
      <w:r w:rsidRPr="000A2EE1">
        <w:t>7.5.5.3</w:t>
      </w:r>
      <w:r w:rsidRPr="000A2EE1">
        <w:tab/>
      </w:r>
      <w:r w:rsidRPr="000A2EE1">
        <w:tab/>
        <w:t>After “or F” insert “and of polymerizing substances of Class 4.1”.</w:t>
      </w:r>
    </w:p>
    <w:p w:rsidR="00E3232B" w:rsidRPr="000A2EE1" w:rsidRDefault="00E3232B" w:rsidP="00E3232B">
      <w:pPr>
        <w:pStyle w:val="SingleTxtG"/>
      </w:pPr>
      <w:r w:rsidRPr="000A2EE1">
        <w:t>7.5.7.4</w:t>
      </w:r>
      <w:r w:rsidRPr="000A2EE1">
        <w:tab/>
      </w:r>
      <w:r w:rsidRPr="000A2EE1">
        <w:tab/>
        <w:t xml:space="preserve">Replace </w:t>
      </w:r>
      <w:r w:rsidR="006E67B9" w:rsidRPr="000A2EE1">
        <w:t>“</w:t>
      </w:r>
      <w:r w:rsidRPr="000A2EE1">
        <w:t>unloading</w:t>
      </w:r>
      <w:r w:rsidR="006E67B9" w:rsidRPr="000A2EE1">
        <w:t>”</w:t>
      </w:r>
      <w:r w:rsidRPr="000A2EE1">
        <w:t xml:space="preserve"> by </w:t>
      </w:r>
      <w:r w:rsidR="006E67B9" w:rsidRPr="000A2EE1">
        <w:t>“</w:t>
      </w:r>
      <w:r w:rsidRPr="000A2EE1">
        <w:t>removal</w:t>
      </w:r>
      <w:r w:rsidR="006E67B9" w:rsidRPr="000A2EE1">
        <w:t>”</w:t>
      </w:r>
      <w:r w:rsidRPr="000A2EE1">
        <w:t>.</w:t>
      </w:r>
    </w:p>
    <w:p w:rsidR="00E3232B" w:rsidRPr="000A2EE1" w:rsidRDefault="00E3232B" w:rsidP="00E3232B">
      <w:pPr>
        <w:pStyle w:val="SingleTxtG"/>
      </w:pPr>
      <w:r w:rsidRPr="000A2EE1">
        <w:t xml:space="preserve">Insert a new </w:t>
      </w:r>
      <w:r w:rsidR="00F655D6" w:rsidRPr="000A2EE1">
        <w:t xml:space="preserve">sub-section </w:t>
      </w:r>
      <w:r w:rsidRPr="000A2EE1">
        <w:t>7.5.7.6 to read as follows:</w:t>
      </w:r>
    </w:p>
    <w:p w:rsidR="00E3232B" w:rsidRPr="000A2EE1" w:rsidRDefault="00E3232B" w:rsidP="00E3232B">
      <w:pPr>
        <w:pStyle w:val="SingleTxtG"/>
      </w:pPr>
      <w:r w:rsidRPr="000A2EE1">
        <w:t>“</w:t>
      </w:r>
      <w:r w:rsidRPr="000A2EE1">
        <w:rPr>
          <w:b/>
        </w:rPr>
        <w:t>7.5.7.6</w:t>
      </w:r>
      <w:r w:rsidRPr="000A2EE1">
        <w:rPr>
          <w:b/>
        </w:rPr>
        <w:tab/>
      </w:r>
      <w:r w:rsidRPr="000A2EE1">
        <w:rPr>
          <w:b/>
          <w:i/>
        </w:rPr>
        <w:t>Loading of flexible bulk containers</w:t>
      </w:r>
    </w:p>
    <w:p w:rsidR="00E3232B" w:rsidRPr="000A2EE1" w:rsidRDefault="00E3232B" w:rsidP="00E3232B">
      <w:pPr>
        <w:pStyle w:val="SingleTxtG"/>
      </w:pPr>
      <w:r w:rsidRPr="000A2EE1">
        <w:t>7.5.7.6.1</w:t>
      </w:r>
      <w:r w:rsidRPr="000A2EE1">
        <w:tab/>
        <w:t>Flexible bulk containers shall be carried within a vehicle or container with rigid sides and ends that extend at least two-thirds of the height of the flexible bulk container. The vehicles used for carriage shall be equipped with a vehicle stability function approved in accordance with ECE Regulation No. 13</w:t>
      </w:r>
      <w:r w:rsidRPr="000A2EE1">
        <w:rPr>
          <w:vertAlign w:val="superscript"/>
        </w:rPr>
        <w:t>1</w:t>
      </w:r>
      <w:r w:rsidRPr="000A2EE1">
        <w:t>.</w:t>
      </w:r>
    </w:p>
    <w:p w:rsidR="00E3232B" w:rsidRPr="000A2EE1" w:rsidRDefault="00E3232B" w:rsidP="00E3232B">
      <w:pPr>
        <w:pStyle w:val="SingleTxtG"/>
        <w:rPr>
          <w:i/>
        </w:rPr>
      </w:pPr>
      <w:r w:rsidRPr="000A2EE1">
        <w:rPr>
          <w:b/>
          <w:i/>
        </w:rPr>
        <w:t>NOTE:</w:t>
      </w:r>
      <w:r w:rsidRPr="000A2EE1">
        <w:rPr>
          <w:i/>
        </w:rPr>
        <w:tab/>
        <w:t xml:space="preserve">When loading flexible bulk containers in a vehicle or container particular attention shall be paid to the guidance </w:t>
      </w:r>
      <w:r w:rsidRPr="000A2EE1">
        <w:rPr>
          <w:i/>
          <w:iCs/>
        </w:rPr>
        <w:t>on the handling and stowage of dangerous goods referred to in 7.5.7.1 and to the IMO/ILO/UNECE Guidelines for Packing Cargo Transport Units (CTUs).</w:t>
      </w:r>
    </w:p>
    <w:p w:rsidR="00E3232B" w:rsidRPr="000A2EE1" w:rsidRDefault="00E3232B" w:rsidP="00E3232B">
      <w:pPr>
        <w:pStyle w:val="SingleTxtG"/>
        <w:rPr>
          <w:bCs/>
        </w:rPr>
      </w:pPr>
      <w:r w:rsidRPr="000A2EE1">
        <w:t>7.5.7.6.2</w:t>
      </w:r>
      <w:r w:rsidRPr="000A2EE1">
        <w:tab/>
        <w:t xml:space="preserve">Flexible bulk containers shall be secured by suitable means capable of restraining them in the vehicle or container in a manner that will prevent any movement during carriage which would change the position of the flexible bulk container or cause it to be damaged. Movement of the flexible bulk containers may also be prevented by filling any voids by the use of dunnage or by blocking and bracing. Where restraints such as banding or straps are used, these shall not be over-tightened </w:t>
      </w:r>
      <w:r w:rsidRPr="000A2EE1">
        <w:rPr>
          <w:bCs/>
        </w:rPr>
        <w:t>to cause damage or deformation to the flexible bulk containers.</w:t>
      </w:r>
    </w:p>
    <w:p w:rsidR="00E3232B" w:rsidRPr="000A2EE1" w:rsidRDefault="00E3232B" w:rsidP="00E3232B">
      <w:pPr>
        <w:pStyle w:val="SingleTxtG"/>
      </w:pPr>
      <w:r w:rsidRPr="000A2EE1">
        <w:t>7.5.7.6.3</w:t>
      </w:r>
      <w:r w:rsidRPr="000A2EE1">
        <w:tab/>
        <w:t>Flexible bulk containers shall not be stacked.</w:t>
      </w:r>
      <w:r w:rsidR="006E67B9" w:rsidRPr="000A2EE1">
        <w:t>”</w:t>
      </w:r>
      <w:r w:rsidRPr="000A2EE1">
        <w:t>.</w:t>
      </w:r>
    </w:p>
    <w:p w:rsidR="00E3232B" w:rsidRPr="000A2EE1" w:rsidRDefault="00F655D6" w:rsidP="00912ED1">
      <w:pPr>
        <w:pStyle w:val="SingleTxtG"/>
      </w:pPr>
      <w:r w:rsidRPr="000A2EE1">
        <w:t>Footnote 1 reads as follows: “</w:t>
      </w:r>
      <w:r w:rsidR="00E3232B" w:rsidRPr="000A2EE1">
        <w:rPr>
          <w:vertAlign w:val="superscript"/>
        </w:rPr>
        <w:t>1</w:t>
      </w:r>
      <w:r w:rsidR="00E3232B" w:rsidRPr="000A2EE1">
        <w:rPr>
          <w:vertAlign w:val="superscript"/>
        </w:rPr>
        <w:tab/>
      </w:r>
      <w:r w:rsidR="00E3232B" w:rsidRPr="000A2EE1">
        <w:rPr>
          <w:i/>
        </w:rPr>
        <w:t>ECE Regulation No. 13 (Uniform provisions concerning the approval of vehicles of categories M, N and O with regards to braking).</w:t>
      </w:r>
      <w:r w:rsidRPr="000A2EE1">
        <w:t>”.</w:t>
      </w:r>
    </w:p>
    <w:p w:rsidR="00F40604" w:rsidRPr="000A2EE1" w:rsidRDefault="00F655D6" w:rsidP="00B05D25">
      <w:pPr>
        <w:pStyle w:val="SingleTxtG"/>
        <w:tabs>
          <w:tab w:val="left" w:pos="2410"/>
        </w:tabs>
      </w:pPr>
      <w:r w:rsidRPr="000A2EE1">
        <w:t>7.5.11, CV22</w:t>
      </w:r>
      <w:r w:rsidRPr="000A2EE1">
        <w:tab/>
      </w:r>
      <w:r w:rsidR="00F40604" w:rsidRPr="000A2EE1">
        <w:t xml:space="preserve">After “of flammable solids” insert </w:t>
      </w:r>
      <w:r w:rsidR="00B05D25" w:rsidRPr="000A2EE1">
        <w:t>“, of polymerizing substances”.</w:t>
      </w:r>
    </w:p>
    <w:p w:rsidR="00E3232B" w:rsidRPr="000A2EE1" w:rsidRDefault="00E3232B" w:rsidP="00B05D25">
      <w:pPr>
        <w:pStyle w:val="SingleTxtG"/>
        <w:tabs>
          <w:tab w:val="left" w:pos="2410"/>
        </w:tabs>
      </w:pPr>
      <w:r w:rsidRPr="000A2EE1">
        <w:t>7.5.11, CV36</w:t>
      </w:r>
      <w:r w:rsidRPr="000A2EE1">
        <w:tab/>
        <w:t xml:space="preserve">At the end, add the following sentence: </w:t>
      </w:r>
      <w:r w:rsidR="006E67B9" w:rsidRPr="000A2EE1">
        <w:t>“</w:t>
      </w:r>
      <w:r w:rsidRPr="000A2EE1">
        <w:t>For UN Nos. 2211 and 3314 this mark is not required when the vehicle or container is already marked according to special provision 965 of the IMDG Code</w:t>
      </w:r>
      <w:r w:rsidRPr="000A2EE1">
        <w:rPr>
          <w:vertAlign w:val="superscript"/>
        </w:rPr>
        <w:t>2</w:t>
      </w:r>
      <w:r w:rsidRPr="000A2EE1">
        <w:t>.</w:t>
      </w:r>
      <w:r w:rsidR="006E67B9" w:rsidRPr="000A2EE1">
        <w:t>”</w:t>
      </w:r>
      <w:r w:rsidRPr="000A2EE1">
        <w:t>.</w:t>
      </w:r>
    </w:p>
    <w:p w:rsidR="00E3232B" w:rsidRPr="000A2EE1" w:rsidRDefault="00E3232B" w:rsidP="00E3232B">
      <w:pPr>
        <w:pStyle w:val="SingleTxtG"/>
        <w:tabs>
          <w:tab w:val="left" w:pos="2410"/>
        </w:tabs>
      </w:pPr>
      <w:r w:rsidRPr="000A2EE1">
        <w:t>Footnote 2 reads as follows: “</w:t>
      </w:r>
      <w:r w:rsidRPr="000A2EE1">
        <w:rPr>
          <w:vertAlign w:val="superscript"/>
        </w:rPr>
        <w:t>2</w:t>
      </w:r>
      <w:r w:rsidRPr="000A2EE1">
        <w:tab/>
      </w:r>
      <w:r w:rsidRPr="000A2EE1">
        <w:rPr>
          <w:i/>
        </w:rPr>
        <w:t xml:space="preserve">Warning mark including the words </w:t>
      </w:r>
      <w:r w:rsidR="006E67B9" w:rsidRPr="000A2EE1">
        <w:rPr>
          <w:i/>
        </w:rPr>
        <w:t>“</w:t>
      </w:r>
      <w:r w:rsidRPr="000A2EE1">
        <w:rPr>
          <w:i/>
        </w:rPr>
        <w:t>CAUTION – MAY CONTAIN FLAMMABLE VAPOUR</w:t>
      </w:r>
      <w:r w:rsidR="006E67B9" w:rsidRPr="000A2EE1">
        <w:rPr>
          <w:i/>
        </w:rPr>
        <w:t xml:space="preserve">” </w:t>
      </w:r>
      <w:r w:rsidRPr="000A2EE1">
        <w:rPr>
          <w:i/>
        </w:rPr>
        <w:t>with lettering not less than 25 mm high, affixed at each access point in a location where it will be easily seen by persons prior to opening or entering the vehicle or container.</w:t>
      </w:r>
      <w:r w:rsidRPr="000A2EE1">
        <w:t>”.</w:t>
      </w:r>
    </w:p>
    <w:p w:rsidR="00E3232B" w:rsidRPr="000A2EE1" w:rsidRDefault="00E3232B" w:rsidP="00B05D25">
      <w:pPr>
        <w:pStyle w:val="SingleTxtG"/>
        <w:tabs>
          <w:tab w:val="left" w:pos="2552"/>
        </w:tabs>
      </w:pPr>
      <w:r w:rsidRPr="000A2EE1">
        <w:t>7.5.11, CV37</w:t>
      </w:r>
      <w:r w:rsidR="00401A6C" w:rsidRPr="000A2EE1">
        <w:tab/>
      </w:r>
      <w:r w:rsidRPr="000A2EE1">
        <w:t>Replace the two first sentences by:</w:t>
      </w:r>
      <w:r w:rsidR="00401A6C" w:rsidRPr="000A2EE1">
        <w:t xml:space="preserve"> </w:t>
      </w:r>
      <w:r w:rsidRPr="000A2EE1">
        <w:t>“Before loading, these by-products shall be cooled to ambient temperature, unless they have been calcined to remove moisture. Vehicles and containers containing bulk loads shall be adequately ventilated and protected against ingress of water throughout the journey. ”.</w:t>
      </w:r>
    </w:p>
    <w:p w:rsidR="00E3232B" w:rsidRPr="000A2EE1" w:rsidRDefault="00E3232B" w:rsidP="00E3232B">
      <w:pPr>
        <w:pStyle w:val="H1G"/>
      </w:pPr>
      <w:r w:rsidRPr="000A2EE1">
        <w:tab/>
      </w:r>
      <w:r w:rsidRPr="000A2EE1">
        <w:tab/>
        <w:t>Chapter 8.1</w:t>
      </w:r>
    </w:p>
    <w:p w:rsidR="00E3232B" w:rsidRPr="000A2EE1" w:rsidRDefault="00E3232B" w:rsidP="00B05D25">
      <w:pPr>
        <w:pStyle w:val="SingleTxtG"/>
        <w:tabs>
          <w:tab w:val="left" w:pos="1985"/>
          <w:tab w:val="left" w:pos="2268"/>
        </w:tabs>
        <w:rPr>
          <w:rFonts w:eastAsia="Calibri"/>
        </w:rPr>
      </w:pPr>
      <w:r w:rsidRPr="000A2EE1">
        <w:rPr>
          <w:rFonts w:eastAsia="Calibri"/>
        </w:rPr>
        <w:t>8.1.4.4</w:t>
      </w:r>
      <w:r w:rsidRPr="000A2EE1">
        <w:rPr>
          <w:rFonts w:eastAsia="Calibri"/>
        </w:rPr>
        <w:tab/>
      </w:r>
      <w:r w:rsidRPr="000A2EE1">
        <w:t xml:space="preserve">Replace “and a </w:t>
      </w:r>
      <w:r w:rsidRPr="000A2EE1">
        <w:rPr>
          <w:rFonts w:eastAsia="Calibri"/>
        </w:rPr>
        <w:t>marking”</w:t>
      </w:r>
      <w:r w:rsidRPr="000A2EE1">
        <w:t xml:space="preserve"> by “and a </w:t>
      </w:r>
      <w:r w:rsidRPr="000A2EE1">
        <w:rPr>
          <w:rFonts w:eastAsia="Calibri"/>
        </w:rPr>
        <w:t>mark”.</w:t>
      </w:r>
    </w:p>
    <w:p w:rsidR="00E3232B" w:rsidRPr="000A2EE1" w:rsidRDefault="00E3232B" w:rsidP="00B05D25">
      <w:pPr>
        <w:pStyle w:val="SingleTxtG"/>
        <w:tabs>
          <w:tab w:val="left" w:pos="1985"/>
          <w:tab w:val="left" w:pos="2268"/>
        </w:tabs>
        <w:rPr>
          <w:rFonts w:cs="Arial"/>
          <w:szCs w:val="22"/>
        </w:rPr>
      </w:pPr>
      <w:r w:rsidRPr="000A2EE1">
        <w:rPr>
          <w:rFonts w:cs="Arial"/>
          <w:szCs w:val="22"/>
        </w:rPr>
        <w:t>8.1.5.3</w:t>
      </w:r>
      <w:r w:rsidRPr="000A2EE1">
        <w:rPr>
          <w:rFonts w:cs="Arial"/>
          <w:szCs w:val="22"/>
        </w:rPr>
        <w:tab/>
        <w:t xml:space="preserve">In the first indent, replace </w:t>
      </w:r>
      <w:r w:rsidR="006E67B9" w:rsidRPr="000A2EE1">
        <w:rPr>
          <w:rFonts w:cs="Arial"/>
          <w:szCs w:val="22"/>
        </w:rPr>
        <w:t>“</w:t>
      </w:r>
      <w:r w:rsidRPr="000A2EE1">
        <w:rPr>
          <w:rFonts w:cs="Arial"/>
          <w:szCs w:val="22"/>
        </w:rPr>
        <w:t>on board the vehicle</w:t>
      </w:r>
      <w:r w:rsidR="006E67B9" w:rsidRPr="000A2EE1">
        <w:rPr>
          <w:rFonts w:cs="Arial"/>
          <w:szCs w:val="22"/>
        </w:rPr>
        <w:t>”</w:t>
      </w:r>
      <w:r w:rsidRPr="000A2EE1">
        <w:rPr>
          <w:rFonts w:cs="Arial"/>
          <w:szCs w:val="22"/>
        </w:rPr>
        <w:t xml:space="preserve"> by </w:t>
      </w:r>
      <w:r w:rsidR="006E67B9" w:rsidRPr="000A2EE1">
        <w:rPr>
          <w:rFonts w:cs="Arial"/>
          <w:szCs w:val="22"/>
        </w:rPr>
        <w:t>“</w:t>
      </w:r>
      <w:r w:rsidRPr="000A2EE1">
        <w:rPr>
          <w:rFonts w:cs="Arial"/>
          <w:szCs w:val="22"/>
        </w:rPr>
        <w:t>on board the transport unit</w:t>
      </w:r>
      <w:r w:rsidR="006E67B9" w:rsidRPr="000A2EE1">
        <w:rPr>
          <w:rFonts w:cs="Arial"/>
          <w:szCs w:val="22"/>
        </w:rPr>
        <w:t>”</w:t>
      </w:r>
      <w:r w:rsidRPr="000A2EE1">
        <w:rPr>
          <w:rFonts w:cs="Arial"/>
          <w:szCs w:val="22"/>
        </w:rPr>
        <w:t>.</w:t>
      </w:r>
    </w:p>
    <w:p w:rsidR="00E3232B" w:rsidRPr="000A2EE1" w:rsidRDefault="00E3232B" w:rsidP="00E3232B">
      <w:pPr>
        <w:pStyle w:val="H1G"/>
      </w:pPr>
      <w:r w:rsidRPr="000A2EE1">
        <w:tab/>
      </w:r>
      <w:r w:rsidRPr="000A2EE1">
        <w:tab/>
        <w:t>Chapter 8.3</w:t>
      </w:r>
    </w:p>
    <w:p w:rsidR="00E3232B" w:rsidRPr="000A2EE1" w:rsidRDefault="00E3232B" w:rsidP="00E3232B">
      <w:pPr>
        <w:pStyle w:val="SingleTxtG"/>
        <w:rPr>
          <w:rFonts w:cs="Arial"/>
          <w:szCs w:val="22"/>
        </w:rPr>
      </w:pPr>
      <w:r w:rsidRPr="000A2EE1">
        <w:rPr>
          <w:rFonts w:cs="Arial"/>
          <w:szCs w:val="22"/>
        </w:rPr>
        <w:t>8.3.8</w:t>
      </w:r>
      <w:r w:rsidRPr="000A2EE1">
        <w:rPr>
          <w:rFonts w:cs="Arial"/>
          <w:szCs w:val="22"/>
        </w:rPr>
        <w:tab/>
        <w:t xml:space="preserve">Replace </w:t>
      </w:r>
      <w:r w:rsidR="006E67B9" w:rsidRPr="000A2EE1">
        <w:rPr>
          <w:rFonts w:cs="Arial"/>
          <w:szCs w:val="22"/>
        </w:rPr>
        <w:t>“</w:t>
      </w:r>
      <w:r w:rsidRPr="000A2EE1">
        <w:rPr>
          <w:rFonts w:cs="Arial"/>
          <w:szCs w:val="22"/>
        </w:rPr>
        <w:t>paragraph 9.2.2.6.3</w:t>
      </w:r>
      <w:r w:rsidR="006E67B9" w:rsidRPr="000A2EE1">
        <w:rPr>
          <w:rFonts w:cs="Arial"/>
          <w:szCs w:val="22"/>
        </w:rPr>
        <w:t>”</w:t>
      </w:r>
      <w:r w:rsidRPr="000A2EE1">
        <w:rPr>
          <w:rFonts w:cs="Arial"/>
          <w:szCs w:val="22"/>
        </w:rPr>
        <w:t xml:space="preserve"> by </w:t>
      </w:r>
      <w:r w:rsidR="006E67B9" w:rsidRPr="000A2EE1">
        <w:rPr>
          <w:rFonts w:cs="Arial"/>
          <w:szCs w:val="22"/>
        </w:rPr>
        <w:t>“</w:t>
      </w:r>
      <w:r w:rsidR="00AC6868" w:rsidRPr="000A2EE1">
        <w:rPr>
          <w:rFonts w:cs="Arial"/>
          <w:szCs w:val="22"/>
        </w:rPr>
        <w:t xml:space="preserve">sub-section </w:t>
      </w:r>
      <w:r w:rsidRPr="000A2EE1">
        <w:rPr>
          <w:rFonts w:cs="Arial"/>
          <w:szCs w:val="22"/>
        </w:rPr>
        <w:t>9.2.2.6</w:t>
      </w:r>
      <w:r w:rsidR="006E67B9" w:rsidRPr="000A2EE1">
        <w:rPr>
          <w:rFonts w:cs="Arial"/>
          <w:szCs w:val="22"/>
        </w:rPr>
        <w:t>”</w:t>
      </w:r>
      <w:r w:rsidRPr="000A2EE1">
        <w:rPr>
          <w:rFonts w:cs="Arial"/>
          <w:szCs w:val="22"/>
        </w:rPr>
        <w:t>.</w:t>
      </w:r>
    </w:p>
    <w:p w:rsidR="00E3232B" w:rsidRPr="000A2EE1" w:rsidRDefault="00E3232B" w:rsidP="00E3232B">
      <w:pPr>
        <w:pStyle w:val="H1G"/>
      </w:pPr>
      <w:r w:rsidRPr="000A2EE1">
        <w:tab/>
      </w:r>
      <w:r w:rsidRPr="000A2EE1">
        <w:tab/>
        <w:t>Chapter 8.6</w:t>
      </w:r>
    </w:p>
    <w:p w:rsidR="00E3232B" w:rsidRPr="000A2EE1" w:rsidRDefault="00E3232B" w:rsidP="00E3232B">
      <w:pPr>
        <w:pStyle w:val="SingleTxtG"/>
      </w:pPr>
      <w:r w:rsidRPr="000A2EE1">
        <w:t>8.6.3.3 and 8.6.4</w:t>
      </w:r>
      <w:r w:rsidRPr="000A2EE1">
        <w:tab/>
        <w:t>Delete footnote 1.</w:t>
      </w:r>
    </w:p>
    <w:p w:rsidR="00E3232B" w:rsidRPr="000A2EE1" w:rsidRDefault="00E3232B" w:rsidP="00E3232B">
      <w:pPr>
        <w:pStyle w:val="H1G"/>
        <w:tabs>
          <w:tab w:val="left" w:pos="216"/>
        </w:tabs>
      </w:pPr>
      <w:r w:rsidRPr="000A2EE1">
        <w:tab/>
      </w:r>
      <w:r w:rsidRPr="000A2EE1">
        <w:tab/>
      </w:r>
      <w:r w:rsidRPr="000A2EE1">
        <w:tab/>
        <w:t>Chapter 9.1</w:t>
      </w:r>
    </w:p>
    <w:p w:rsidR="00E3232B" w:rsidRPr="000A2EE1" w:rsidRDefault="00E3232B" w:rsidP="00B05D25">
      <w:pPr>
        <w:pStyle w:val="SingleTxtG"/>
        <w:tabs>
          <w:tab w:val="left" w:pos="1985"/>
          <w:tab w:val="left" w:pos="2268"/>
        </w:tabs>
        <w:rPr>
          <w:iCs/>
          <w:snapToGrid w:val="0"/>
        </w:rPr>
      </w:pPr>
      <w:r w:rsidRPr="000A2EE1">
        <w:rPr>
          <w:iCs/>
          <w:snapToGrid w:val="0"/>
        </w:rPr>
        <w:t>9.1.1.2</w:t>
      </w:r>
      <w:r w:rsidRPr="000A2EE1">
        <w:rPr>
          <w:iCs/>
          <w:snapToGrid w:val="0"/>
        </w:rPr>
        <w:tab/>
      </w:r>
      <w:r w:rsidRPr="000A2EE1">
        <w:t xml:space="preserve">In the definition of </w:t>
      </w:r>
      <w:r w:rsidR="00AC6868" w:rsidRPr="000A2EE1">
        <w:t>“</w:t>
      </w:r>
      <w:r w:rsidRPr="000A2EE1">
        <w:t>FL vehicle</w:t>
      </w:r>
      <w:r w:rsidR="00AC6868" w:rsidRPr="000A2EE1">
        <w:t>”</w:t>
      </w:r>
      <w:r w:rsidRPr="000A2EE1">
        <w:t xml:space="preserve">, </w:t>
      </w:r>
      <w:r w:rsidRPr="000A2EE1">
        <w:rPr>
          <w:iCs/>
          <w:snapToGrid w:val="0"/>
        </w:rPr>
        <w:t xml:space="preserve">replace </w:t>
      </w:r>
      <w:r w:rsidR="006E67B9" w:rsidRPr="000A2EE1">
        <w:rPr>
          <w:iCs/>
          <w:snapToGrid w:val="0"/>
        </w:rPr>
        <w:t>“</w:t>
      </w:r>
      <w:r w:rsidRPr="000A2EE1">
        <w:rPr>
          <w:lang w:eastAsia="de-DE"/>
        </w:rPr>
        <w:t>EN 590:2009 + A1:2010</w:t>
      </w:r>
      <w:r w:rsidR="006E67B9" w:rsidRPr="000A2EE1">
        <w:rPr>
          <w:iCs/>
          <w:snapToGrid w:val="0"/>
        </w:rPr>
        <w:t>”</w:t>
      </w:r>
      <w:r w:rsidRPr="000A2EE1">
        <w:rPr>
          <w:iCs/>
          <w:snapToGrid w:val="0"/>
        </w:rPr>
        <w:t xml:space="preserve"> by </w:t>
      </w:r>
      <w:r w:rsidR="006E67B9" w:rsidRPr="000A2EE1">
        <w:rPr>
          <w:iCs/>
          <w:snapToGrid w:val="0"/>
        </w:rPr>
        <w:t>“</w:t>
      </w:r>
      <w:r w:rsidRPr="000A2EE1">
        <w:rPr>
          <w:lang w:eastAsia="de-DE"/>
        </w:rPr>
        <w:t>EN 590:2013 + AC:2014</w:t>
      </w:r>
      <w:r w:rsidR="006E67B9" w:rsidRPr="000A2EE1">
        <w:rPr>
          <w:lang w:eastAsia="de-DE"/>
        </w:rPr>
        <w:t>”</w:t>
      </w:r>
      <w:r w:rsidRPr="000A2EE1">
        <w:rPr>
          <w:lang w:eastAsia="de-DE"/>
        </w:rPr>
        <w:t xml:space="preserve"> (twice).</w:t>
      </w:r>
    </w:p>
    <w:p w:rsidR="00E3232B" w:rsidRPr="000A2EE1" w:rsidRDefault="00E3232B" w:rsidP="00B05D25">
      <w:pPr>
        <w:pStyle w:val="SingleTxtG"/>
        <w:tabs>
          <w:tab w:val="left" w:pos="1985"/>
          <w:tab w:val="left" w:pos="2268"/>
        </w:tabs>
      </w:pPr>
      <w:r w:rsidRPr="000A2EE1">
        <w:t>9.1.1.2</w:t>
      </w:r>
      <w:r w:rsidRPr="000A2EE1">
        <w:tab/>
        <w:t xml:space="preserve">In the definition of </w:t>
      </w:r>
      <w:r w:rsidR="00AC6868" w:rsidRPr="000A2EE1">
        <w:t>“</w:t>
      </w:r>
      <w:r w:rsidRPr="000A2EE1">
        <w:t>FL vehicle</w:t>
      </w:r>
      <w:r w:rsidR="00AC6868" w:rsidRPr="000A2EE1">
        <w:t>”</w:t>
      </w:r>
      <w:r w:rsidRPr="000A2EE1">
        <w:t xml:space="preserve">, at the end of subparagraph (c), after </w:t>
      </w:r>
      <w:r w:rsidR="006E67B9" w:rsidRPr="000A2EE1">
        <w:t>“</w:t>
      </w:r>
      <w:r w:rsidRPr="000A2EE1">
        <w:t>;</w:t>
      </w:r>
      <w:r w:rsidR="006E67B9" w:rsidRPr="000A2EE1">
        <w:t>”</w:t>
      </w:r>
      <w:r w:rsidRPr="000A2EE1">
        <w:t xml:space="preserve"> insert </w:t>
      </w:r>
      <w:r w:rsidR="006E67B9" w:rsidRPr="000A2EE1">
        <w:t>“</w:t>
      </w:r>
      <w:r w:rsidRPr="000A2EE1">
        <w:t>or</w:t>
      </w:r>
      <w:r w:rsidR="006E67B9" w:rsidRPr="000A2EE1">
        <w:t>”</w:t>
      </w:r>
      <w:r w:rsidRPr="000A2EE1">
        <w:t>. Insert a new subparagraph (d) to read as follows:</w:t>
      </w:r>
    </w:p>
    <w:p w:rsidR="00E3232B" w:rsidRPr="000A2EE1" w:rsidRDefault="006E67B9" w:rsidP="00E3232B">
      <w:pPr>
        <w:pStyle w:val="SingleTxtG"/>
      </w:pPr>
      <w:r w:rsidRPr="000A2EE1">
        <w:t>“</w:t>
      </w:r>
      <w:r w:rsidR="00E3232B" w:rsidRPr="000A2EE1">
        <w:t>(d)</w:t>
      </w:r>
      <w:r w:rsidR="00E3232B" w:rsidRPr="000A2EE1">
        <w:tab/>
        <w:t>A vehicle intended for the carriage of hydrogen peroxide, stabilized or hydrogen peroxide, aqueous solution stabilized with more than 60% hydrogen peroxide (Class 5.1, UN No. 2015) in fixed tanks or demountable tanks with a capacity exceeding 1 m</w:t>
      </w:r>
      <w:r w:rsidR="00E3232B" w:rsidRPr="000A2EE1">
        <w:rPr>
          <w:vertAlign w:val="superscript"/>
        </w:rPr>
        <w:t>3</w:t>
      </w:r>
      <w:r w:rsidR="00E3232B" w:rsidRPr="000A2EE1">
        <w:t xml:space="preserve"> or in tank-containers or portable tanks with an individual capacity exceeding 3 m</w:t>
      </w:r>
      <w:r w:rsidR="00E3232B" w:rsidRPr="000A2EE1">
        <w:rPr>
          <w:vertAlign w:val="superscript"/>
        </w:rPr>
        <w:t>3</w:t>
      </w:r>
      <w:r w:rsidR="00E3232B" w:rsidRPr="000A2EE1">
        <w:t>;</w:t>
      </w:r>
      <w:r w:rsidRPr="000A2EE1">
        <w:t>”</w:t>
      </w:r>
      <w:r w:rsidR="00E3232B" w:rsidRPr="000A2EE1">
        <w:t>.</w:t>
      </w:r>
    </w:p>
    <w:p w:rsidR="00E3232B" w:rsidRPr="000A2EE1" w:rsidRDefault="00E3232B" w:rsidP="00B05D25">
      <w:pPr>
        <w:pStyle w:val="SingleTxtG"/>
        <w:tabs>
          <w:tab w:val="left" w:pos="1985"/>
        </w:tabs>
        <w:rPr>
          <w:i/>
        </w:rPr>
      </w:pPr>
      <w:r w:rsidRPr="000A2EE1">
        <w:t>9.1.1.2</w:t>
      </w:r>
      <w:r w:rsidRPr="000A2EE1">
        <w:tab/>
        <w:t xml:space="preserve">Delete the definition of </w:t>
      </w:r>
      <w:r w:rsidR="006E67B9" w:rsidRPr="000A2EE1">
        <w:t>“</w:t>
      </w:r>
      <w:r w:rsidRPr="000A2EE1">
        <w:t>OX vehicle</w:t>
      </w:r>
      <w:r w:rsidR="006E67B9" w:rsidRPr="000A2EE1">
        <w:t>”</w:t>
      </w:r>
      <w:r w:rsidRPr="000A2EE1">
        <w:rPr>
          <w:i/>
        </w:rPr>
        <w:t>.</w:t>
      </w:r>
    </w:p>
    <w:p w:rsidR="00E3232B" w:rsidRPr="000A2EE1" w:rsidRDefault="00E3232B" w:rsidP="00B05D25">
      <w:pPr>
        <w:pStyle w:val="SingleTxtG"/>
        <w:tabs>
          <w:tab w:val="left" w:pos="1985"/>
        </w:tabs>
        <w:rPr>
          <w:bCs/>
          <w:iCs/>
          <w:color w:val="000000"/>
        </w:rPr>
      </w:pPr>
      <w:r w:rsidRPr="000A2EE1">
        <w:t>9.1.1.2</w:t>
      </w:r>
      <w:r w:rsidRPr="000A2EE1">
        <w:tab/>
        <w:t xml:space="preserve">In the definition of </w:t>
      </w:r>
      <w:r w:rsidR="00AC6868" w:rsidRPr="000A2EE1">
        <w:t>“</w:t>
      </w:r>
      <w:r w:rsidRPr="000A2EE1">
        <w:rPr>
          <w:iCs/>
        </w:rPr>
        <w:t xml:space="preserve">AT </w:t>
      </w:r>
      <w:r w:rsidRPr="000A2EE1">
        <w:rPr>
          <w:bCs/>
          <w:iCs/>
          <w:color w:val="000000"/>
        </w:rPr>
        <w:t>vehicle</w:t>
      </w:r>
      <w:r w:rsidR="00AC6868" w:rsidRPr="000A2EE1">
        <w:rPr>
          <w:bCs/>
          <w:iCs/>
          <w:color w:val="000000"/>
        </w:rPr>
        <w:t>”</w:t>
      </w:r>
      <w:r w:rsidRPr="000A2EE1">
        <w:rPr>
          <w:bCs/>
          <w:i/>
          <w:iCs/>
          <w:color w:val="000000"/>
        </w:rPr>
        <w:t xml:space="preserve">, </w:t>
      </w:r>
      <w:r w:rsidRPr="000A2EE1">
        <w:rPr>
          <w:bCs/>
          <w:iCs/>
          <w:color w:val="000000"/>
        </w:rPr>
        <w:t xml:space="preserve">amend the beginning of (a) to read as follows: </w:t>
      </w:r>
      <w:r w:rsidR="006E67B9" w:rsidRPr="000A2EE1">
        <w:rPr>
          <w:bCs/>
          <w:iCs/>
          <w:color w:val="000000"/>
        </w:rPr>
        <w:t>“</w:t>
      </w:r>
      <w:r w:rsidRPr="000A2EE1">
        <w:t>A vehicle, other than EX/III or FL vehicle or than a MEMU, intended…</w:t>
      </w:r>
      <w:r w:rsidR="006E67B9" w:rsidRPr="000A2EE1">
        <w:t>”</w:t>
      </w:r>
      <w:r w:rsidRPr="000A2EE1">
        <w:rPr>
          <w:bCs/>
          <w:iCs/>
          <w:color w:val="000000"/>
        </w:rPr>
        <w:t>. Remainder unchanged.</w:t>
      </w:r>
    </w:p>
    <w:p w:rsidR="00E3232B" w:rsidRPr="000A2EE1" w:rsidRDefault="00E3232B" w:rsidP="00B05D25">
      <w:pPr>
        <w:pStyle w:val="SingleTxtG"/>
        <w:tabs>
          <w:tab w:val="left" w:pos="1985"/>
        </w:tabs>
        <w:rPr>
          <w:bCs/>
          <w:iCs/>
          <w:color w:val="000000"/>
        </w:rPr>
      </w:pPr>
      <w:r w:rsidRPr="000A2EE1">
        <w:rPr>
          <w:iCs/>
          <w:snapToGrid w:val="0"/>
        </w:rPr>
        <w:t>9.1.1.2</w:t>
      </w:r>
      <w:r w:rsidRPr="000A2EE1">
        <w:rPr>
          <w:iCs/>
          <w:snapToGrid w:val="0"/>
        </w:rPr>
        <w:tab/>
      </w:r>
      <w:r w:rsidRPr="000A2EE1">
        <w:t xml:space="preserve">In the definition of </w:t>
      </w:r>
      <w:r w:rsidR="00AC6868" w:rsidRPr="000A2EE1">
        <w:t>“</w:t>
      </w:r>
      <w:r w:rsidRPr="000A2EE1">
        <w:rPr>
          <w:bCs/>
          <w:iCs/>
          <w:color w:val="000000"/>
        </w:rPr>
        <w:t>ADR approval</w:t>
      </w:r>
      <w:r w:rsidR="00AC6868" w:rsidRPr="000A2EE1">
        <w:rPr>
          <w:bCs/>
          <w:iCs/>
          <w:color w:val="000000"/>
        </w:rPr>
        <w:t>”</w:t>
      </w:r>
      <w:r w:rsidRPr="000A2EE1">
        <w:rPr>
          <w:bCs/>
          <w:iCs/>
          <w:color w:val="000000"/>
        </w:rPr>
        <w:t xml:space="preserve">, delete </w:t>
      </w:r>
      <w:r w:rsidR="006E67B9" w:rsidRPr="000A2EE1">
        <w:rPr>
          <w:bCs/>
          <w:iCs/>
          <w:color w:val="000000"/>
        </w:rPr>
        <w:t>“</w:t>
      </w:r>
      <w:r w:rsidRPr="000A2EE1">
        <w:rPr>
          <w:bCs/>
          <w:iCs/>
          <w:color w:val="000000"/>
        </w:rPr>
        <w:t>OX,</w:t>
      </w:r>
      <w:r w:rsidR="006E67B9" w:rsidRPr="000A2EE1">
        <w:rPr>
          <w:bCs/>
          <w:iCs/>
          <w:color w:val="000000"/>
        </w:rPr>
        <w:t>”</w:t>
      </w:r>
      <w:r w:rsidRPr="000A2EE1">
        <w:rPr>
          <w:bCs/>
          <w:iCs/>
          <w:color w:val="000000"/>
        </w:rPr>
        <w:t>.</w:t>
      </w:r>
    </w:p>
    <w:p w:rsidR="00E3232B" w:rsidRPr="000A2EE1" w:rsidRDefault="00E3232B" w:rsidP="00E3232B">
      <w:pPr>
        <w:pStyle w:val="SingleTxtG"/>
      </w:pPr>
      <w:r w:rsidRPr="000A2EE1">
        <w:t>9.1.2</w:t>
      </w:r>
      <w:r w:rsidRPr="000A2EE1">
        <w:tab/>
        <w:t xml:space="preserve">In the heading and Note, replace </w:t>
      </w:r>
      <w:r w:rsidR="006E67B9" w:rsidRPr="000A2EE1">
        <w:t>“</w:t>
      </w:r>
      <w:r w:rsidRPr="000A2EE1">
        <w:t>EX/II, EX/III, FL, OX and AT vehicles and MEMUs</w:t>
      </w:r>
      <w:r w:rsidR="006E67B9" w:rsidRPr="000A2EE1">
        <w:t>”</w:t>
      </w:r>
      <w:r w:rsidRPr="000A2EE1">
        <w:t xml:space="preserve"> by </w:t>
      </w:r>
      <w:r w:rsidR="006E67B9" w:rsidRPr="000A2EE1">
        <w:t>“</w:t>
      </w:r>
      <w:r w:rsidRPr="000A2EE1">
        <w:t>EX/II, EX/III, FL and AT vehicles and MEMUs</w:t>
      </w:r>
      <w:r w:rsidR="006E67B9" w:rsidRPr="000A2EE1">
        <w:t>”</w:t>
      </w:r>
      <w:r w:rsidRPr="000A2EE1">
        <w:t>.</w:t>
      </w:r>
    </w:p>
    <w:p w:rsidR="00E3232B" w:rsidRPr="000A2EE1" w:rsidRDefault="00E3232B" w:rsidP="00E3232B">
      <w:pPr>
        <w:pStyle w:val="SingleTxtG"/>
      </w:pPr>
      <w:r w:rsidRPr="000A2EE1">
        <w:rPr>
          <w:iCs/>
          <w:snapToGrid w:val="0"/>
        </w:rPr>
        <w:t>9.1.2.1, 9.1.2.3 and 9.1.3.1</w:t>
      </w:r>
      <w:r w:rsidRPr="000A2EE1">
        <w:rPr>
          <w:iCs/>
          <w:snapToGrid w:val="0"/>
        </w:rPr>
        <w:tab/>
      </w:r>
      <w:r w:rsidRPr="000A2EE1">
        <w:rPr>
          <w:iCs/>
          <w:snapToGrid w:val="0"/>
        </w:rPr>
        <w:tab/>
      </w:r>
      <w:r w:rsidRPr="000A2EE1">
        <w:t xml:space="preserve">In the first sentence, replace </w:t>
      </w:r>
      <w:r w:rsidR="006E67B9" w:rsidRPr="000A2EE1">
        <w:t>“</w:t>
      </w:r>
      <w:r w:rsidRPr="000A2EE1">
        <w:t>EX/II, EX/III, FL, OX and AT vehicles and MEMUs</w:t>
      </w:r>
      <w:r w:rsidR="006E67B9" w:rsidRPr="000A2EE1">
        <w:t>”</w:t>
      </w:r>
      <w:r w:rsidRPr="000A2EE1">
        <w:t xml:space="preserve"> by </w:t>
      </w:r>
      <w:r w:rsidR="006E67B9" w:rsidRPr="000A2EE1">
        <w:t>“</w:t>
      </w:r>
      <w:r w:rsidRPr="000A2EE1">
        <w:t>EX/II, EX/III, FL and AT vehicles and MEMUs</w:t>
      </w:r>
      <w:r w:rsidR="006E67B9" w:rsidRPr="000A2EE1">
        <w:t>”</w:t>
      </w:r>
      <w:r w:rsidRPr="000A2EE1">
        <w:t>.</w:t>
      </w:r>
    </w:p>
    <w:p w:rsidR="00E3232B" w:rsidRPr="000A2EE1" w:rsidRDefault="00E3232B" w:rsidP="00B05D25">
      <w:pPr>
        <w:pStyle w:val="SingleTxtG"/>
        <w:tabs>
          <w:tab w:val="left" w:pos="1985"/>
        </w:tabs>
      </w:pPr>
      <w:r w:rsidRPr="000A2EE1">
        <w:t>9.1.2.2</w:t>
      </w:r>
      <w:r w:rsidRPr="000A2EE1">
        <w:tab/>
        <w:t>Not applicable to the English text.</w:t>
      </w:r>
    </w:p>
    <w:p w:rsidR="00E3232B" w:rsidRPr="000A2EE1" w:rsidRDefault="00E3232B" w:rsidP="00B05D25">
      <w:pPr>
        <w:pStyle w:val="SingleTxtG"/>
        <w:tabs>
          <w:tab w:val="left" w:pos="1985"/>
        </w:tabs>
        <w:rPr>
          <w:bCs/>
        </w:rPr>
      </w:pPr>
      <w:r w:rsidRPr="000A2EE1">
        <w:t>9.1.3.1</w:t>
      </w:r>
      <w:r w:rsidRPr="000A2EE1">
        <w:tab/>
        <w:t xml:space="preserve">After “(certificate of ADR approval)”, add </w:t>
      </w:r>
      <w:r w:rsidR="00171BA6" w:rsidRPr="000A2EE1">
        <w:t>a reference to</w:t>
      </w:r>
      <w:r w:rsidRPr="000A2EE1">
        <w:t xml:space="preserve"> footnote 4</w:t>
      </w:r>
      <w:r w:rsidR="00171BA6" w:rsidRPr="000A2EE1">
        <w:t xml:space="preserve">. Footnote 4 reads as follows: </w:t>
      </w:r>
      <w:r w:rsidRPr="000A2EE1">
        <w:t>“</w:t>
      </w:r>
      <w:r w:rsidRPr="000A2EE1">
        <w:rPr>
          <w:vertAlign w:val="superscript"/>
        </w:rPr>
        <w:t>4</w:t>
      </w:r>
      <w:r w:rsidRPr="000A2EE1">
        <w:tab/>
      </w:r>
      <w:r w:rsidRPr="000A2EE1">
        <w:rPr>
          <w:i/>
        </w:rPr>
        <w:t xml:space="preserve"> Guidelines for completing the certificate of approval </w:t>
      </w:r>
      <w:r w:rsidRPr="000A2EE1">
        <w:rPr>
          <w:bCs/>
          <w:i/>
        </w:rPr>
        <w:t>may be consulted on the website of the secretariat of the United Nations Economic Commission for Europe (</w:t>
      </w:r>
      <w:hyperlink r:id="rId23" w:history="1">
        <w:r w:rsidRPr="000A2EE1">
          <w:rPr>
            <w:rStyle w:val="Lienhypertexte"/>
            <w:bCs/>
            <w:i/>
          </w:rPr>
          <w:t>http://www.unece.org/trans/danger/danger.htm)</w:t>
        </w:r>
      </w:hyperlink>
      <w:r w:rsidRPr="000A2EE1">
        <w:rPr>
          <w:bCs/>
          <w:i/>
        </w:rPr>
        <w:t>.</w:t>
      </w:r>
      <w:r w:rsidRPr="000A2EE1">
        <w:rPr>
          <w:bCs/>
        </w:rPr>
        <w:t>”</w:t>
      </w:r>
      <w:r w:rsidR="00171BA6" w:rsidRPr="000A2EE1">
        <w:rPr>
          <w:bCs/>
        </w:rPr>
        <w:t>.</w:t>
      </w:r>
    </w:p>
    <w:p w:rsidR="00E3232B" w:rsidRPr="000A2EE1" w:rsidRDefault="00E3232B" w:rsidP="00B05D25">
      <w:pPr>
        <w:pStyle w:val="SingleTxtG"/>
        <w:tabs>
          <w:tab w:val="left" w:pos="1985"/>
        </w:tabs>
      </w:pPr>
      <w:r w:rsidRPr="000A2EE1">
        <w:rPr>
          <w:iCs/>
          <w:snapToGrid w:val="0"/>
        </w:rPr>
        <w:t>9.1.3.5</w:t>
      </w:r>
      <w:r w:rsidRPr="000A2EE1">
        <w:rPr>
          <w:iCs/>
          <w:snapToGrid w:val="0"/>
        </w:rPr>
        <w:tab/>
        <w:t xml:space="preserve">In </w:t>
      </w:r>
      <w:r w:rsidRPr="000A2EE1">
        <w:t xml:space="preserve">the model for the certificate of approval, under item 7, delete </w:t>
      </w:r>
      <w:r w:rsidR="006E67B9" w:rsidRPr="000A2EE1">
        <w:t>“</w:t>
      </w:r>
      <w:r w:rsidRPr="000A2EE1">
        <w:t>OX</w:t>
      </w:r>
      <w:r w:rsidR="006E67B9" w:rsidRPr="000A2EE1">
        <w:t>”</w:t>
      </w:r>
      <w:r w:rsidRPr="000A2EE1">
        <w:t>.</w:t>
      </w:r>
    </w:p>
    <w:p w:rsidR="00E3232B" w:rsidRPr="000A2EE1" w:rsidRDefault="00E3232B" w:rsidP="00E3232B">
      <w:pPr>
        <w:pStyle w:val="H1G"/>
      </w:pPr>
      <w:r w:rsidRPr="000A2EE1">
        <w:tab/>
      </w:r>
      <w:r w:rsidRPr="000A2EE1">
        <w:tab/>
        <w:t>Chapter 9.2</w:t>
      </w:r>
    </w:p>
    <w:p w:rsidR="00E3232B" w:rsidRPr="000A2EE1" w:rsidRDefault="00E3232B" w:rsidP="00B05D25">
      <w:pPr>
        <w:pStyle w:val="SingleTxtG"/>
        <w:tabs>
          <w:tab w:val="left" w:pos="1985"/>
        </w:tabs>
      </w:pPr>
      <w:r w:rsidRPr="000A2EE1">
        <w:t>9.2.1.1</w:t>
      </w:r>
      <w:r w:rsidRPr="000A2EE1">
        <w:tab/>
        <w:t xml:space="preserve">In the first and second paragraph, delete </w:t>
      </w:r>
      <w:r w:rsidR="006E67B9" w:rsidRPr="000A2EE1">
        <w:t>“</w:t>
      </w:r>
      <w:r w:rsidRPr="000A2EE1">
        <w:t>, OX</w:t>
      </w:r>
      <w:r w:rsidR="006E67B9" w:rsidRPr="000A2EE1">
        <w:t>”</w:t>
      </w:r>
      <w:r w:rsidRPr="000A2EE1">
        <w:t>.</w:t>
      </w:r>
    </w:p>
    <w:p w:rsidR="00E3232B" w:rsidRPr="000A2EE1" w:rsidRDefault="00E3232B" w:rsidP="00B05D25">
      <w:pPr>
        <w:pStyle w:val="SingleTxtG"/>
        <w:tabs>
          <w:tab w:val="left" w:pos="1985"/>
        </w:tabs>
        <w:rPr>
          <w:iCs/>
          <w:snapToGrid w:val="0"/>
        </w:rPr>
      </w:pPr>
      <w:r w:rsidRPr="000A2EE1">
        <w:rPr>
          <w:iCs/>
          <w:snapToGrid w:val="0"/>
        </w:rPr>
        <w:t>9.2.1.1</w:t>
      </w:r>
      <w:r w:rsidRPr="000A2EE1">
        <w:rPr>
          <w:iCs/>
          <w:snapToGrid w:val="0"/>
        </w:rPr>
        <w:tab/>
        <w:t>Replace the existing table by the following:</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7"/>
        <w:gridCol w:w="2141"/>
        <w:gridCol w:w="650"/>
        <w:gridCol w:w="709"/>
        <w:gridCol w:w="567"/>
        <w:gridCol w:w="708"/>
        <w:gridCol w:w="3658"/>
        <w:gridCol w:w="25"/>
      </w:tblGrid>
      <w:tr w:rsidR="00E3232B" w:rsidRPr="000A2EE1" w:rsidTr="009B5E14">
        <w:trPr>
          <w:gridAfter w:val="1"/>
          <w:wAfter w:w="25" w:type="dxa"/>
        </w:trPr>
        <w:tc>
          <w:tcPr>
            <w:tcW w:w="3148"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c>
          <w:tcPr>
            <w:tcW w:w="2634" w:type="dxa"/>
            <w:gridSpan w:val="4"/>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VEHICLES</w:t>
            </w:r>
          </w:p>
        </w:tc>
        <w:tc>
          <w:tcPr>
            <w:tcW w:w="365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COMMENTS</w:t>
            </w:r>
          </w:p>
        </w:tc>
      </w:tr>
      <w:tr w:rsidR="00E3232B" w:rsidRPr="000A2EE1" w:rsidTr="009B5E14">
        <w:tc>
          <w:tcPr>
            <w:tcW w:w="3148" w:type="dxa"/>
            <w:gridSpan w:val="2"/>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TECHNICAL SPECIFICATIONS</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EX/</w:t>
            </w:r>
          </w:p>
          <w:p w:rsidR="00E3232B" w:rsidRPr="000A2EE1" w:rsidRDefault="00E3232B" w:rsidP="009B5E14">
            <w:r w:rsidRPr="000A2EE1">
              <w:t>II</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EX/</w:t>
            </w:r>
          </w:p>
          <w:p w:rsidR="00E3232B" w:rsidRPr="000A2EE1" w:rsidRDefault="00E3232B" w:rsidP="009B5E14">
            <w:pPr>
              <w:jc w:val="center"/>
            </w:pPr>
            <w:r w:rsidRPr="000A2EE1">
              <w:t>III</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AT</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FL</w:t>
            </w: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b/>
              </w:rPr>
            </w:pPr>
            <w:r w:rsidRPr="000A2EE1">
              <w:rPr>
                <w:b/>
              </w:rPr>
              <w:t>9.2.2</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b/>
              </w:rPr>
            </w:pPr>
            <w:r w:rsidRPr="000A2EE1">
              <w:rPr>
                <w:b/>
              </w:rPr>
              <w:t>ELECTRICAL   EQUIPMENT</w:t>
            </w:r>
          </w:p>
        </w:tc>
        <w:tc>
          <w:tcPr>
            <w:tcW w:w="650"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9.2.2.1</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General provisions</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9.2.2.2.1</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Cables</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9.2.2.2.2</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Additional protection</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a</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b</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rPr>
                <w:sz w:val="18"/>
                <w:szCs w:val="18"/>
                <w:vertAlign w:val="superscript"/>
              </w:rPr>
              <w:t>a</w:t>
            </w:r>
            <w:r w:rsidRPr="000A2EE1">
              <w:rPr>
                <w:sz w:val="18"/>
                <w:szCs w:val="18"/>
              </w:rPr>
              <w:t xml:space="preserve"> Applicable to vehicles with a maximum mass exceeding 3.5 tonnes first registered (or which entered into service if registration is not mandatory) after 31 March 2018.</w:t>
            </w:r>
            <w:r w:rsidRPr="000A2EE1">
              <w:rPr>
                <w:sz w:val="18"/>
                <w:szCs w:val="18"/>
              </w:rPr>
              <w:br/>
            </w:r>
            <w:r w:rsidRPr="000A2EE1">
              <w:rPr>
                <w:sz w:val="18"/>
                <w:szCs w:val="18"/>
                <w:vertAlign w:val="superscript"/>
              </w:rPr>
              <w:t>b</w:t>
            </w:r>
            <w:r w:rsidRPr="000A2EE1">
              <w:rPr>
                <w:sz w:val="18"/>
                <w:szCs w:val="18"/>
              </w:rPr>
              <w:t xml:space="preserve"> Applicable for vehicles first registered  (or which entered into service if registration is not mandatory) after 31 March 2018..</w:t>
            </w:r>
          </w:p>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9.2.2.3</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Fuses and circuit breakers</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b</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rPr>
                <w:sz w:val="18"/>
                <w:szCs w:val="18"/>
                <w:vertAlign w:val="superscript"/>
              </w:rPr>
              <w:t>b</w:t>
            </w:r>
            <w:r w:rsidRPr="000A2EE1">
              <w:rPr>
                <w:sz w:val="18"/>
                <w:szCs w:val="18"/>
              </w:rPr>
              <w:t xml:space="preserve"> Applicable to vehicles first registered  (or which entered into service if registration is not mandatory) after 31 March 2018.</w:t>
            </w:r>
          </w:p>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9.2.2.4</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Batteries</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9.2.2.5</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Lighting</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9.2.2.6</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Electrical connections</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c</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b</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sz w:val="18"/>
                <w:szCs w:val="18"/>
              </w:rPr>
            </w:pPr>
            <w:r w:rsidRPr="000A2EE1">
              <w:rPr>
                <w:sz w:val="18"/>
                <w:szCs w:val="18"/>
                <w:vertAlign w:val="superscript"/>
              </w:rPr>
              <w:t>b</w:t>
            </w:r>
            <w:r w:rsidRPr="000A2EE1">
              <w:rPr>
                <w:sz w:val="18"/>
                <w:szCs w:val="18"/>
              </w:rPr>
              <w:t xml:space="preserve"> Applicable to vehicles first registered  (or which entered into service if registration is not mandatory) after 31 March 2018.</w:t>
            </w:r>
          </w:p>
          <w:p w:rsidR="00E3232B" w:rsidRPr="000A2EE1" w:rsidRDefault="00E3232B" w:rsidP="009B5E14">
            <w:r w:rsidRPr="000A2EE1">
              <w:rPr>
                <w:sz w:val="18"/>
                <w:szCs w:val="18"/>
                <w:vertAlign w:val="superscript"/>
              </w:rPr>
              <w:t>c</w:t>
            </w:r>
            <w:r w:rsidRPr="000A2EE1">
              <w:rPr>
                <w:sz w:val="18"/>
                <w:szCs w:val="18"/>
              </w:rPr>
              <w:t xml:space="preserve"> Applicable to motor vehicles intended to draw trailers with a maximum mass exceeding 3.5 tonnes and trailers with a maximum mass of exceeding 3.5 tonnes first registered  (or which entered into service if registration is not mandatory) after 31 March 2018.</w:t>
            </w:r>
          </w:p>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9.2.2.7</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Voltage</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9.2.2.8</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Battery master switch</w:t>
            </w:r>
          </w:p>
        </w:tc>
        <w:tc>
          <w:tcPr>
            <w:tcW w:w="650"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9.2.2.9</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Permanently energized circuits</w:t>
            </w:r>
          </w:p>
        </w:tc>
        <w:tc>
          <w:tcPr>
            <w:tcW w:w="650"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9.2.2.9.1</w:t>
            </w:r>
          </w:p>
        </w:tc>
        <w:tc>
          <w:tcPr>
            <w:tcW w:w="2141" w:type="dxa"/>
            <w:tcBorders>
              <w:top w:val="single" w:sz="4" w:space="0" w:color="auto"/>
              <w:left w:val="single" w:sz="4" w:space="0" w:color="auto"/>
              <w:bottom w:val="single" w:sz="4" w:space="0" w:color="auto"/>
              <w:right w:val="single" w:sz="4" w:space="0" w:color="auto"/>
            </w:tcBorders>
          </w:tcPr>
          <w:p w:rsidR="00E3232B" w:rsidRPr="000A2EE1" w:rsidRDefault="00E3232B" w:rsidP="009B5E14"/>
        </w:tc>
        <w:tc>
          <w:tcPr>
            <w:tcW w:w="650"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9.2.2.9.2</w:t>
            </w:r>
          </w:p>
        </w:tc>
        <w:tc>
          <w:tcPr>
            <w:tcW w:w="2141" w:type="dxa"/>
            <w:tcBorders>
              <w:top w:val="single" w:sz="4" w:space="0" w:color="auto"/>
              <w:left w:val="single" w:sz="4" w:space="0" w:color="auto"/>
              <w:bottom w:val="single" w:sz="4" w:space="0" w:color="auto"/>
              <w:right w:val="single" w:sz="4" w:space="0" w:color="auto"/>
            </w:tcBorders>
          </w:tcPr>
          <w:p w:rsidR="00E3232B" w:rsidRPr="000A2EE1" w:rsidRDefault="00E3232B" w:rsidP="009B5E14"/>
        </w:tc>
        <w:tc>
          <w:tcPr>
            <w:tcW w:w="650"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9.2.3</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b/>
              </w:rPr>
            </w:pPr>
            <w:r w:rsidRPr="000A2EE1">
              <w:rPr>
                <w:b/>
              </w:rPr>
              <w:t>BRAKING EQUIPMENT</w:t>
            </w:r>
          </w:p>
        </w:tc>
        <w:tc>
          <w:tcPr>
            <w:tcW w:w="650"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9.2.3.1</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General provisions</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rPr>
          <w:trHeight w:val="557"/>
        </w:trPr>
        <w:tc>
          <w:tcPr>
            <w:tcW w:w="1007" w:type="dxa"/>
            <w:tcBorders>
              <w:top w:val="single" w:sz="4" w:space="0" w:color="auto"/>
              <w:left w:val="single" w:sz="4" w:space="0" w:color="auto"/>
              <w:bottom w:val="single" w:sz="4" w:space="0" w:color="auto"/>
              <w:right w:val="single" w:sz="4" w:space="0" w:color="auto"/>
            </w:tcBorders>
          </w:tcPr>
          <w:p w:rsidR="00E3232B" w:rsidRPr="000A2EE1" w:rsidRDefault="00E3232B" w:rsidP="009B5E14"/>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Anti-lock braking system</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001906">
            <w:pPr>
              <w:jc w:val="center"/>
            </w:pPr>
            <w:r w:rsidRPr="000A2EE1">
              <w:t>X</w:t>
            </w:r>
            <w:r w:rsidR="00001906" w:rsidRPr="000A2EE1">
              <w:rPr>
                <w:vertAlign w:val="superscript"/>
              </w:rPr>
              <w:t>e</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d,e</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d,e</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d,e</w:t>
            </w:r>
          </w:p>
        </w:tc>
        <w:tc>
          <w:tcPr>
            <w:tcW w:w="3683" w:type="dxa"/>
            <w:gridSpan w:val="2"/>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tabs>
                <w:tab w:val="left" w:pos="313"/>
              </w:tabs>
              <w:spacing w:after="60"/>
              <w:ind w:right="57"/>
              <w:jc w:val="both"/>
              <w:rPr>
                <w:sz w:val="18"/>
                <w:szCs w:val="18"/>
              </w:rPr>
            </w:pPr>
            <w:r w:rsidRPr="000A2EE1">
              <w:rPr>
                <w:b/>
                <w:bCs/>
                <w:sz w:val="18"/>
                <w:szCs w:val="18"/>
                <w:vertAlign w:val="superscript"/>
              </w:rPr>
              <w:t>d</w:t>
            </w:r>
            <w:r w:rsidRPr="000A2EE1">
              <w:rPr>
                <w:sz w:val="18"/>
                <w:szCs w:val="18"/>
                <w:vertAlign w:val="superscript"/>
              </w:rPr>
              <w:t xml:space="preserve"> </w:t>
            </w:r>
            <w:r w:rsidRPr="000A2EE1">
              <w:rPr>
                <w:sz w:val="18"/>
                <w:szCs w:val="18"/>
              </w:rPr>
              <w:t>Applicable to motor vehicles (tractors and rigid vehicles) with a maximum mass exceeding 16 tonnes and motor vehicles authorized to tow trailers (i.e. full-trailers, semi-trailers and centre axle-trailers) with a maximum mass exceeding 10 tonnes. Motor vehicles shall be equipped with a category 1 anti-lock braking system.</w:t>
            </w:r>
          </w:p>
          <w:p w:rsidR="00E3232B" w:rsidRPr="000A2EE1" w:rsidRDefault="00E3232B" w:rsidP="009B5E14">
            <w:pPr>
              <w:tabs>
                <w:tab w:val="left" w:pos="313"/>
              </w:tabs>
              <w:spacing w:after="60"/>
              <w:ind w:right="57"/>
              <w:jc w:val="both"/>
              <w:rPr>
                <w:sz w:val="18"/>
                <w:szCs w:val="18"/>
              </w:rPr>
            </w:pPr>
            <w:r w:rsidRPr="000A2EE1">
              <w:rPr>
                <w:sz w:val="18"/>
                <w:szCs w:val="18"/>
              </w:rPr>
              <w:t xml:space="preserve">   Applicable to trailers (i.e. full-trailers, semi-trailers and centre axle-trailers) with a maximum mass exceeding 10 tonnes. Trailers shall be equipped with a category A anti-lock braking system.</w:t>
            </w:r>
          </w:p>
          <w:p w:rsidR="00E3232B" w:rsidRPr="000A2EE1" w:rsidRDefault="00E3232B" w:rsidP="009B5E14">
            <w:pPr>
              <w:tabs>
                <w:tab w:val="left" w:pos="313"/>
              </w:tabs>
              <w:spacing w:after="60"/>
              <w:ind w:right="57"/>
              <w:jc w:val="both"/>
            </w:pPr>
            <w:r w:rsidRPr="000A2EE1">
              <w:rPr>
                <w:sz w:val="18"/>
                <w:szCs w:val="18"/>
                <w:vertAlign w:val="superscript"/>
              </w:rPr>
              <w:t xml:space="preserve">e </w:t>
            </w:r>
            <w:r w:rsidRPr="000A2EE1">
              <w:rPr>
                <w:sz w:val="18"/>
                <w:szCs w:val="18"/>
              </w:rPr>
              <w:t>Applicable to all motor vehicles and applicable to trailers with a maximum mass exceeding 3.5 tonnes, first registered (or which entered into service if registration is not mandatory) after 31 March 2018.</w:t>
            </w:r>
          </w:p>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tcPr>
          <w:p w:rsidR="00E3232B" w:rsidRPr="000A2EE1" w:rsidRDefault="00E3232B" w:rsidP="009B5E14"/>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Endurance braking system</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f</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g</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g</w:t>
            </w:r>
            <w:r w:rsidRPr="000A2EE1">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g</w:t>
            </w:r>
            <w:r w:rsidRPr="000A2EE1">
              <w:t xml:space="preserve"> </w:t>
            </w:r>
          </w:p>
        </w:tc>
        <w:tc>
          <w:tcPr>
            <w:tcW w:w="3683" w:type="dxa"/>
            <w:gridSpan w:val="2"/>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b/>
                <w:bCs/>
                <w:sz w:val="18"/>
                <w:szCs w:val="18"/>
                <w:vertAlign w:val="superscript"/>
              </w:rPr>
            </w:pPr>
            <w:r w:rsidRPr="000A2EE1">
              <w:rPr>
                <w:sz w:val="18"/>
                <w:szCs w:val="18"/>
                <w:vertAlign w:val="superscript"/>
              </w:rPr>
              <w:t>f</w:t>
            </w:r>
            <w:r w:rsidRPr="000A2EE1">
              <w:rPr>
                <w:sz w:val="18"/>
                <w:szCs w:val="18"/>
              </w:rPr>
              <w:t xml:space="preserve"> Applicable to motor vehicles with a maximum mass exceeding 16 tonnes or authorized to tow a trailer with a maximum mass exceeding 10 tonnes first registered after 31 March 2018. The endurance braking system shall be of type IIA.</w:t>
            </w:r>
          </w:p>
          <w:p w:rsidR="00E3232B" w:rsidRPr="000A2EE1" w:rsidRDefault="00E3232B" w:rsidP="009B5E14">
            <w:pPr>
              <w:rPr>
                <w:sz w:val="18"/>
                <w:szCs w:val="18"/>
              </w:rPr>
            </w:pPr>
            <w:r w:rsidRPr="000A2EE1">
              <w:rPr>
                <w:bCs/>
                <w:sz w:val="18"/>
                <w:szCs w:val="18"/>
                <w:vertAlign w:val="superscript"/>
              </w:rPr>
              <w:t>g</w:t>
            </w:r>
            <w:r w:rsidRPr="000A2EE1">
              <w:rPr>
                <w:sz w:val="18"/>
                <w:szCs w:val="18"/>
                <w:vertAlign w:val="superscript"/>
              </w:rPr>
              <w:t xml:space="preserve"> </w:t>
            </w:r>
            <w:r w:rsidRPr="000A2EE1">
              <w:rPr>
                <w:sz w:val="18"/>
                <w:szCs w:val="18"/>
              </w:rPr>
              <w:t>Applicable to motor vehicles with a maximum mass exceeding 16 tonnes or authorized to tow a trailer with a maximum mass exceeding 10 tonnes. The endurance braking system shall be of type IIA.</w:t>
            </w:r>
          </w:p>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b/>
              </w:rPr>
            </w:pPr>
            <w:r w:rsidRPr="000A2EE1">
              <w:rPr>
                <w:b/>
              </w:rPr>
              <w:t>9.2.4</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b/>
              </w:rPr>
            </w:pPr>
            <w:r w:rsidRPr="000A2EE1">
              <w:rPr>
                <w:b/>
              </w:rPr>
              <w:t>PREVENTION OF FIRE RISKS</w:t>
            </w:r>
          </w:p>
        </w:tc>
        <w:tc>
          <w:tcPr>
            <w:tcW w:w="650"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9.2.4.3</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Fuel tanks</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9.2.4.4</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Engine</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9.2.4.5</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Exhaust system</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9.2.4.6</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Vehicle endurance braking</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f</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3683" w:type="dxa"/>
            <w:gridSpan w:val="2"/>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rPr>
                <w:sz w:val="18"/>
                <w:szCs w:val="18"/>
                <w:vertAlign w:val="superscript"/>
              </w:rPr>
              <w:t>f</w:t>
            </w:r>
            <w:r w:rsidRPr="000A2EE1">
              <w:rPr>
                <w:sz w:val="18"/>
                <w:szCs w:val="18"/>
              </w:rPr>
              <w:t xml:space="preserve"> Applicable to motor vehicles with a maximum mass exceeding 16 tonnes or authorized to tow a trailer with a maximum mass exceeding 10 tonnes first registered after 31 March 2018. The endurance braking system shall be of type IIA.</w:t>
            </w:r>
          </w:p>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9.2.4.7</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Combustion heaters</w:t>
            </w:r>
          </w:p>
        </w:tc>
        <w:tc>
          <w:tcPr>
            <w:tcW w:w="650"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9.2.4.7.1</w:t>
            </w:r>
          </w:p>
          <w:p w:rsidR="00E3232B" w:rsidRPr="000A2EE1" w:rsidRDefault="00E3232B" w:rsidP="009B5E14">
            <w:r w:rsidRPr="000A2EE1">
              <w:t>9.2.4.7.2</w:t>
            </w:r>
          </w:p>
          <w:p w:rsidR="00E3232B" w:rsidRPr="000A2EE1" w:rsidRDefault="00E3232B" w:rsidP="009B5E14">
            <w:r w:rsidRPr="000A2EE1">
              <w:t>9.2.4.7.5</w:t>
            </w:r>
          </w:p>
        </w:tc>
        <w:tc>
          <w:tcPr>
            <w:tcW w:w="2141" w:type="dxa"/>
            <w:tcBorders>
              <w:top w:val="single" w:sz="4" w:space="0" w:color="auto"/>
              <w:left w:val="single" w:sz="4" w:space="0" w:color="auto"/>
              <w:bottom w:val="single" w:sz="4" w:space="0" w:color="auto"/>
              <w:right w:val="single" w:sz="4" w:space="0" w:color="auto"/>
            </w:tcBorders>
          </w:tcPr>
          <w:p w:rsidR="00E3232B" w:rsidRPr="000A2EE1" w:rsidRDefault="00E3232B" w:rsidP="009B5E14"/>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h</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h</w:t>
            </w:r>
            <w:r w:rsidRPr="000A2EE1">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h</w:t>
            </w:r>
            <w:r w:rsidRPr="000A2EE1">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h</w:t>
            </w:r>
          </w:p>
        </w:tc>
        <w:tc>
          <w:tcPr>
            <w:tcW w:w="3683" w:type="dxa"/>
            <w:gridSpan w:val="2"/>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sz w:val="18"/>
                <w:szCs w:val="18"/>
              </w:rPr>
            </w:pPr>
            <w:r w:rsidRPr="000A2EE1">
              <w:rPr>
                <w:b/>
                <w:sz w:val="18"/>
                <w:szCs w:val="18"/>
                <w:vertAlign w:val="superscript"/>
              </w:rPr>
              <w:t>h</w:t>
            </w:r>
            <w:r w:rsidRPr="000A2EE1">
              <w:rPr>
                <w:sz w:val="18"/>
                <w:szCs w:val="18"/>
              </w:rPr>
              <w:t xml:space="preserve"> Applicable to motor vehicles equipped after 30 June 1999. Mandatory compliance by 1 January 2010 for vehicles equipped before 1 July 1999. If the date of equipping is not available the date of first registration of the vehicle shall be used instead.</w:t>
            </w:r>
          </w:p>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9.2.4.7.3</w:t>
            </w:r>
          </w:p>
          <w:p w:rsidR="00E3232B" w:rsidRPr="000A2EE1" w:rsidRDefault="00E3232B" w:rsidP="009B5E14">
            <w:r w:rsidRPr="000A2EE1">
              <w:t>9.2.4.7.4</w:t>
            </w:r>
          </w:p>
        </w:tc>
        <w:tc>
          <w:tcPr>
            <w:tcW w:w="2141" w:type="dxa"/>
            <w:tcBorders>
              <w:top w:val="single" w:sz="4" w:space="0" w:color="auto"/>
              <w:left w:val="single" w:sz="4" w:space="0" w:color="auto"/>
              <w:bottom w:val="single" w:sz="4" w:space="0" w:color="auto"/>
              <w:right w:val="single" w:sz="4" w:space="0" w:color="auto"/>
            </w:tcBorders>
          </w:tcPr>
          <w:p w:rsidR="00E3232B" w:rsidRPr="000A2EE1" w:rsidRDefault="00E3232B" w:rsidP="009B5E14"/>
        </w:tc>
        <w:tc>
          <w:tcPr>
            <w:tcW w:w="650"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9"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h</w:t>
            </w:r>
          </w:p>
        </w:tc>
        <w:tc>
          <w:tcPr>
            <w:tcW w:w="3683" w:type="dxa"/>
            <w:gridSpan w:val="2"/>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sz w:val="18"/>
                <w:szCs w:val="18"/>
              </w:rPr>
            </w:pPr>
            <w:r w:rsidRPr="000A2EE1">
              <w:rPr>
                <w:b/>
                <w:sz w:val="18"/>
                <w:szCs w:val="18"/>
                <w:vertAlign w:val="superscript"/>
              </w:rPr>
              <w:t>h</w:t>
            </w:r>
            <w:r w:rsidRPr="000A2EE1">
              <w:rPr>
                <w:sz w:val="18"/>
                <w:szCs w:val="18"/>
              </w:rPr>
              <w:t xml:space="preserve"> Applicable to motor vehicles equipped after 30 June 1999. Mandatory compliance by 1 January 2010 for vehicles equipped before 1 July 1999. If the date of equipping is not available the date of first registration of the vehicle shall be used instead.</w:t>
            </w:r>
          </w:p>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r w:rsidRPr="000A2EE1">
              <w:t>9.2.4.7.6</w:t>
            </w:r>
          </w:p>
        </w:tc>
        <w:tc>
          <w:tcPr>
            <w:tcW w:w="2141" w:type="dxa"/>
            <w:tcBorders>
              <w:top w:val="single" w:sz="4" w:space="0" w:color="auto"/>
              <w:left w:val="single" w:sz="4" w:space="0" w:color="auto"/>
              <w:bottom w:val="single" w:sz="4" w:space="0" w:color="auto"/>
              <w:right w:val="single" w:sz="4" w:space="0" w:color="auto"/>
            </w:tcBorders>
          </w:tcPr>
          <w:p w:rsidR="00E3232B" w:rsidRPr="000A2EE1" w:rsidRDefault="00E3232B" w:rsidP="009B5E14"/>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708" w:type="dxa"/>
            <w:tcBorders>
              <w:top w:val="single" w:sz="4" w:space="0" w:color="auto"/>
              <w:left w:val="single" w:sz="4" w:space="0" w:color="auto"/>
              <w:bottom w:val="single" w:sz="4" w:space="0" w:color="auto"/>
              <w:right w:val="single" w:sz="4" w:space="0" w:color="auto"/>
            </w:tcBorders>
          </w:tcPr>
          <w:p w:rsidR="00E3232B" w:rsidRPr="000A2EE1" w:rsidRDefault="00E3232B" w:rsidP="009B5E14">
            <w:pPr>
              <w:jc w:val="center"/>
            </w:pPr>
          </w:p>
        </w:tc>
        <w:tc>
          <w:tcPr>
            <w:tcW w:w="3683" w:type="dxa"/>
            <w:gridSpan w:val="2"/>
            <w:tcBorders>
              <w:top w:val="single" w:sz="4" w:space="0" w:color="auto"/>
              <w:left w:val="single" w:sz="4" w:space="0" w:color="auto"/>
              <w:bottom w:val="single" w:sz="4" w:space="0" w:color="auto"/>
              <w:right w:val="single" w:sz="4" w:space="0" w:color="auto"/>
            </w:tcBorders>
          </w:tcPr>
          <w:p w:rsidR="00E3232B" w:rsidRPr="000A2EE1" w:rsidRDefault="00E3232B" w:rsidP="009B5E14"/>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b/>
              </w:rPr>
            </w:pPr>
            <w:r w:rsidRPr="000A2EE1">
              <w:rPr>
                <w:b/>
              </w:rPr>
              <w:t>9.2.5</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b/>
              </w:rPr>
            </w:pPr>
            <w:r w:rsidRPr="000A2EE1">
              <w:rPr>
                <w:b/>
              </w:rPr>
              <w:t>SPEED LIMITING DEVICES</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i</w:t>
            </w:r>
            <w:r w:rsidRPr="000A2EE1">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rPr>
                <w:vertAlign w:val="superscript"/>
              </w:rPr>
            </w:pPr>
            <w:r w:rsidRPr="000A2EE1">
              <w:t>X</w:t>
            </w:r>
            <w:r w:rsidRPr="000A2EE1">
              <w:rPr>
                <w:vertAlign w:val="superscript"/>
              </w:rPr>
              <w:t>i</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i</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r w:rsidRPr="000A2EE1">
              <w:rPr>
                <w:vertAlign w:val="superscript"/>
              </w:rPr>
              <w:t>i</w:t>
            </w:r>
          </w:p>
        </w:tc>
        <w:tc>
          <w:tcPr>
            <w:tcW w:w="3683" w:type="dxa"/>
            <w:gridSpan w:val="2"/>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sz w:val="18"/>
                <w:szCs w:val="18"/>
              </w:rPr>
            </w:pPr>
            <w:r w:rsidRPr="000A2EE1">
              <w:rPr>
                <w:b/>
                <w:sz w:val="18"/>
                <w:szCs w:val="18"/>
                <w:vertAlign w:val="superscript"/>
              </w:rPr>
              <w:t>i</w:t>
            </w:r>
            <w:r w:rsidRPr="000A2EE1">
              <w:rPr>
                <w:sz w:val="18"/>
                <w:szCs w:val="18"/>
              </w:rPr>
              <w:t xml:space="preserve"> Applicable to motor vehicles with a maximum mass exceeding 12 tonnes first registered after 31 December 1987, and all motor vehicles with a maximum mass exceeding 3.5 tonnes but not more than 12 tonnes registered after 31 December 2007.</w:t>
            </w:r>
          </w:p>
        </w:tc>
      </w:tr>
      <w:tr w:rsidR="00E3232B" w:rsidRPr="000A2EE1" w:rsidTr="009B5E14">
        <w:tc>
          <w:tcPr>
            <w:tcW w:w="100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b/>
              </w:rPr>
            </w:pPr>
            <w:r w:rsidRPr="000A2EE1">
              <w:rPr>
                <w:b/>
              </w:rPr>
              <w:t>9.2.6</w:t>
            </w:r>
          </w:p>
        </w:tc>
        <w:tc>
          <w:tcPr>
            <w:tcW w:w="2141"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b/>
              </w:rPr>
            </w:pPr>
            <w:r w:rsidRPr="000A2EE1">
              <w:rPr>
                <w:lang w:eastAsia="en-GB"/>
              </w:rPr>
              <w:t>COUPLING DEVICES OF MOTOR VEHICLES AND TRAILERS</w:t>
            </w:r>
          </w:p>
        </w:tc>
        <w:tc>
          <w:tcPr>
            <w:tcW w:w="650"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709"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t>X</w:t>
            </w:r>
          </w:p>
        </w:tc>
        <w:tc>
          <w:tcPr>
            <w:tcW w:w="567"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rPr>
                <w:lang w:eastAsia="en-GB"/>
              </w:rPr>
              <w:t>X</w:t>
            </w:r>
            <w:r w:rsidRPr="000A2EE1">
              <w:rPr>
                <w:vertAlign w:val="superscript"/>
                <w:lang w:eastAsia="en-GB"/>
              </w:rPr>
              <w:t>j</w:t>
            </w:r>
          </w:p>
        </w:tc>
        <w:tc>
          <w:tcPr>
            <w:tcW w:w="708" w:type="dxa"/>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jc w:val="center"/>
            </w:pPr>
            <w:r w:rsidRPr="000A2EE1">
              <w:rPr>
                <w:lang w:eastAsia="en-GB"/>
              </w:rPr>
              <w:t>X</w:t>
            </w:r>
            <w:r w:rsidRPr="000A2EE1">
              <w:rPr>
                <w:vertAlign w:val="superscript"/>
                <w:lang w:eastAsia="en-GB"/>
              </w:rPr>
              <w:t>j</w:t>
            </w:r>
          </w:p>
        </w:tc>
        <w:tc>
          <w:tcPr>
            <w:tcW w:w="3683" w:type="dxa"/>
            <w:gridSpan w:val="2"/>
            <w:tcBorders>
              <w:top w:val="single" w:sz="4" w:space="0" w:color="auto"/>
              <w:left w:val="single" w:sz="4" w:space="0" w:color="auto"/>
              <w:bottom w:val="single" w:sz="4" w:space="0" w:color="auto"/>
              <w:right w:val="single" w:sz="4" w:space="0" w:color="auto"/>
            </w:tcBorders>
            <w:hideMark/>
          </w:tcPr>
          <w:p w:rsidR="00E3232B" w:rsidRPr="000A2EE1" w:rsidRDefault="00E3232B" w:rsidP="009B5E14">
            <w:pPr>
              <w:rPr>
                <w:sz w:val="18"/>
                <w:szCs w:val="18"/>
              </w:rPr>
            </w:pPr>
            <w:r w:rsidRPr="000A2EE1">
              <w:rPr>
                <w:sz w:val="18"/>
                <w:szCs w:val="18"/>
                <w:vertAlign w:val="superscript"/>
                <w:lang w:eastAsia="en-GB"/>
              </w:rPr>
              <w:t>j</w:t>
            </w:r>
            <w:r w:rsidRPr="000A2EE1">
              <w:rPr>
                <w:sz w:val="18"/>
                <w:szCs w:val="18"/>
                <w:lang w:eastAsia="en-GB"/>
              </w:rPr>
              <w:t xml:space="preserve"> Applicable to coupling devices of motor vehicles and trailers and motor vehicles first registered (or which entered into service if registration is not mandatory) </w:t>
            </w:r>
            <w:r w:rsidRPr="000A2EE1">
              <w:rPr>
                <w:sz w:val="18"/>
                <w:szCs w:val="18"/>
              </w:rPr>
              <w:t>after 31 March 2018.</w:t>
            </w:r>
          </w:p>
        </w:tc>
      </w:tr>
    </w:tbl>
    <w:p w:rsidR="00E3232B" w:rsidRPr="000A2EE1" w:rsidRDefault="00E3232B" w:rsidP="00E3232B">
      <w:pPr>
        <w:pStyle w:val="SingleTxtG"/>
      </w:pPr>
      <w:r w:rsidRPr="000A2EE1">
        <w:t>Amend 9.2.2 to read:</w:t>
      </w:r>
    </w:p>
    <w:p w:rsidR="00E3232B" w:rsidRPr="000A2EE1" w:rsidRDefault="006E67B9" w:rsidP="00B05D25">
      <w:pPr>
        <w:pStyle w:val="SingleTxtG"/>
        <w:tabs>
          <w:tab w:val="left" w:pos="2268"/>
        </w:tabs>
        <w:rPr>
          <w:rFonts w:eastAsia="SimSun"/>
        </w:rPr>
      </w:pPr>
      <w:r w:rsidRPr="000A2EE1">
        <w:t>“</w:t>
      </w:r>
      <w:r w:rsidR="00E3232B" w:rsidRPr="000A2EE1">
        <w:rPr>
          <w:b/>
        </w:rPr>
        <w:t>9.2.2</w:t>
      </w:r>
      <w:r w:rsidR="00E3232B" w:rsidRPr="000A2EE1">
        <w:rPr>
          <w:b/>
        </w:rPr>
        <w:tab/>
      </w:r>
      <w:r w:rsidR="00E3232B" w:rsidRPr="000A2EE1">
        <w:rPr>
          <w:b/>
        </w:rPr>
        <w:tab/>
        <w:t>Electrical equipment</w:t>
      </w:r>
    </w:p>
    <w:p w:rsidR="00E3232B" w:rsidRPr="000A2EE1" w:rsidRDefault="00E3232B" w:rsidP="00B05D25">
      <w:pPr>
        <w:pStyle w:val="SingleTxtG"/>
        <w:tabs>
          <w:tab w:val="left" w:pos="2268"/>
        </w:tabs>
        <w:rPr>
          <w:b/>
        </w:rPr>
      </w:pPr>
      <w:r w:rsidRPr="000A2EE1">
        <w:rPr>
          <w:b/>
        </w:rPr>
        <w:t>9.2.2.1</w:t>
      </w:r>
      <w:r w:rsidRPr="000A2EE1">
        <w:rPr>
          <w:b/>
        </w:rPr>
        <w:tab/>
      </w:r>
      <w:r w:rsidRPr="000A2EE1">
        <w:rPr>
          <w:b/>
        </w:rPr>
        <w:tab/>
      </w:r>
      <w:r w:rsidRPr="000A2EE1">
        <w:rPr>
          <w:b/>
          <w:i/>
          <w:iCs/>
        </w:rPr>
        <w:t>General provisions</w:t>
      </w:r>
    </w:p>
    <w:p w:rsidR="00E3232B" w:rsidRPr="000A2EE1" w:rsidRDefault="00E3232B" w:rsidP="00B05D25">
      <w:pPr>
        <w:pStyle w:val="SingleTxtG"/>
        <w:tabs>
          <w:tab w:val="left" w:pos="2268"/>
        </w:tabs>
      </w:pPr>
      <w:r w:rsidRPr="000A2EE1">
        <w:t>The installation shall be so designed, constructed and protected that it cannot provoke any unintended ignition or short</w:t>
      </w:r>
      <w:r w:rsidRPr="000A2EE1">
        <w:noBreakHyphen/>
        <w:t xml:space="preserve">circuit under normal conditions of use of vehicles. </w:t>
      </w:r>
    </w:p>
    <w:p w:rsidR="00E3232B" w:rsidRPr="000A2EE1" w:rsidRDefault="00E3232B" w:rsidP="00B05D25">
      <w:pPr>
        <w:pStyle w:val="SingleTxtG"/>
        <w:tabs>
          <w:tab w:val="left" w:pos="2268"/>
        </w:tabs>
      </w:pPr>
      <w:r w:rsidRPr="000A2EE1">
        <w:t>The electrical installation as a whole shall meet the provisions of 9.2.2.2 to 9.2.2.9 in accordance with the table of 9.2.1.</w:t>
      </w:r>
    </w:p>
    <w:p w:rsidR="00E3232B" w:rsidRPr="000A2EE1" w:rsidRDefault="00E3232B" w:rsidP="00B05D25">
      <w:pPr>
        <w:pStyle w:val="SingleTxtG"/>
        <w:tabs>
          <w:tab w:val="left" w:pos="2268"/>
        </w:tabs>
        <w:rPr>
          <w:b/>
          <w:iCs/>
        </w:rPr>
      </w:pPr>
      <w:r w:rsidRPr="000A2EE1">
        <w:rPr>
          <w:b/>
        </w:rPr>
        <w:t>9.2.2.2</w:t>
      </w:r>
      <w:r w:rsidRPr="000A2EE1">
        <w:rPr>
          <w:b/>
        </w:rPr>
        <w:tab/>
      </w:r>
      <w:r w:rsidRPr="000A2EE1">
        <w:rPr>
          <w:b/>
        </w:rPr>
        <w:tab/>
      </w:r>
      <w:r w:rsidRPr="000A2EE1">
        <w:rPr>
          <w:b/>
          <w:i/>
          <w:iCs/>
        </w:rPr>
        <w:t>Wiring</w:t>
      </w:r>
    </w:p>
    <w:p w:rsidR="00E3232B" w:rsidRPr="000A2EE1" w:rsidRDefault="00E3232B" w:rsidP="00B05D25">
      <w:pPr>
        <w:pStyle w:val="SingleTxtG"/>
        <w:tabs>
          <w:tab w:val="left" w:pos="2268"/>
        </w:tabs>
      </w:pPr>
      <w:r w:rsidRPr="000A2EE1">
        <w:t>9.2.2.2.1</w:t>
      </w:r>
      <w:r w:rsidRPr="000A2EE1">
        <w:tab/>
      </w:r>
      <w:r w:rsidRPr="000A2EE1">
        <w:rPr>
          <w:i/>
        </w:rPr>
        <w:t>Cables</w:t>
      </w:r>
    </w:p>
    <w:p w:rsidR="00E3232B" w:rsidRPr="000A2EE1" w:rsidRDefault="00E3232B" w:rsidP="00B05D25">
      <w:pPr>
        <w:pStyle w:val="SingleTxtG"/>
        <w:tabs>
          <w:tab w:val="left" w:pos="2268"/>
        </w:tabs>
      </w:pPr>
      <w:r w:rsidRPr="000A2EE1">
        <w:t xml:space="preserve">No cable in an electrical circuit shall carry a current in excess of that for which the cable is designed. Conductors shall be adequately insulated. </w:t>
      </w:r>
    </w:p>
    <w:p w:rsidR="00E3232B" w:rsidRPr="000A2EE1" w:rsidRDefault="00E3232B" w:rsidP="00B05D25">
      <w:pPr>
        <w:pStyle w:val="SingleTxtG"/>
        <w:tabs>
          <w:tab w:val="left" w:pos="2268"/>
        </w:tabs>
        <w:rPr>
          <w:rFonts w:eastAsia="SimSun"/>
        </w:rPr>
      </w:pPr>
      <w:r w:rsidRPr="000A2EE1">
        <w:t>The cables shall be suitable for the conditions in the area of the vehicle, such as temperature range and fluid compatibility conditions as given in ISO 16750-4:2010 and ISO 16750-5:2010, they are intended to be used.</w:t>
      </w:r>
    </w:p>
    <w:p w:rsidR="00E3232B" w:rsidRPr="000A2EE1" w:rsidRDefault="00E3232B" w:rsidP="00B05D25">
      <w:pPr>
        <w:pStyle w:val="SingleTxtG"/>
        <w:tabs>
          <w:tab w:val="left" w:pos="2268"/>
        </w:tabs>
        <w:rPr>
          <w:rFonts w:eastAsia="SimSun"/>
        </w:rPr>
      </w:pPr>
      <w:r w:rsidRPr="000A2EE1">
        <w:rPr>
          <w:rFonts w:eastAsia="SimSun"/>
        </w:rPr>
        <w:t>The cables shall be in conformity with standard ISO 6722-1:2011 + Cor 01:2012 or ISO 6722-2:2013.</w:t>
      </w:r>
    </w:p>
    <w:p w:rsidR="00E3232B" w:rsidRPr="000A2EE1" w:rsidRDefault="00E3232B" w:rsidP="00B05D25">
      <w:pPr>
        <w:pStyle w:val="SingleTxtG"/>
        <w:tabs>
          <w:tab w:val="left" w:pos="2268"/>
        </w:tabs>
        <w:rPr>
          <w:rFonts w:ascii="Calibri" w:eastAsia="SimSun" w:hAnsi="Calibri"/>
          <w:highlight w:val="green"/>
        </w:rPr>
      </w:pPr>
      <w:r w:rsidRPr="000A2EE1">
        <w:t>Cables shall be securely fastened and positioned to be protected against mechanical and thermal stresses.</w:t>
      </w:r>
      <w:r w:rsidRPr="000A2EE1">
        <w:rPr>
          <w:rFonts w:eastAsia="SimSun"/>
          <w:highlight w:val="green"/>
        </w:rPr>
        <w:t xml:space="preserve"> </w:t>
      </w:r>
    </w:p>
    <w:p w:rsidR="00E3232B" w:rsidRPr="000A2EE1" w:rsidRDefault="00E3232B" w:rsidP="00B05D25">
      <w:pPr>
        <w:pStyle w:val="SingleTxtG"/>
        <w:tabs>
          <w:tab w:val="left" w:pos="2268"/>
        </w:tabs>
      </w:pPr>
      <w:r w:rsidRPr="000A2EE1">
        <w:t>9.2.2.2.2</w:t>
      </w:r>
      <w:r w:rsidRPr="000A2EE1">
        <w:tab/>
      </w:r>
      <w:r w:rsidRPr="000A2EE1">
        <w:rPr>
          <w:i/>
        </w:rPr>
        <w:t>Additional protection</w:t>
      </w:r>
    </w:p>
    <w:p w:rsidR="00E3232B" w:rsidRPr="000A2EE1" w:rsidRDefault="00E3232B" w:rsidP="00B05D25">
      <w:pPr>
        <w:pStyle w:val="SingleTxtG"/>
        <w:tabs>
          <w:tab w:val="left" w:pos="2268"/>
        </w:tabs>
      </w:pPr>
      <w:r w:rsidRPr="000A2EE1">
        <w:t>Cables located to the rear of the driver's cab and on trailers shall be additionally protected to minimize any unintended ignition or short-circuit in the event of an impact or deformation.</w:t>
      </w:r>
    </w:p>
    <w:p w:rsidR="00E3232B" w:rsidRPr="000A2EE1" w:rsidRDefault="00E3232B" w:rsidP="00B05D25">
      <w:pPr>
        <w:pStyle w:val="SingleTxtG"/>
        <w:tabs>
          <w:tab w:val="left" w:pos="2268"/>
        </w:tabs>
      </w:pPr>
      <w:r w:rsidRPr="000A2EE1">
        <w:t>The additional protection shall be suitable for the conditions during normal use of the vehicle.</w:t>
      </w:r>
    </w:p>
    <w:p w:rsidR="00E3232B" w:rsidRPr="000A2EE1" w:rsidRDefault="00E3232B" w:rsidP="00B05D25">
      <w:pPr>
        <w:pStyle w:val="SingleTxtG"/>
        <w:tabs>
          <w:tab w:val="left" w:pos="2268"/>
        </w:tabs>
      </w:pPr>
      <w:r w:rsidRPr="000A2EE1">
        <w:t>The additional protection is complied with if multicore cables in conformity with ISO 14572:2011 are used or one of the examples in figures 9.2.2.2.2.1 to 9.2.2.2.2.4 below or another configuration that offers equally effective protection.</w:t>
      </w:r>
    </w:p>
    <w:p w:rsidR="00E3232B" w:rsidRPr="000A2EE1" w:rsidRDefault="00E3232B" w:rsidP="00B05D25">
      <w:pPr>
        <w:pStyle w:val="SingleTxtG"/>
        <w:tabs>
          <w:tab w:val="left" w:pos="2268"/>
        </w:tabs>
        <w:rPr>
          <w:i/>
          <w:iCs/>
        </w:rPr>
      </w:pPr>
      <w:r w:rsidRPr="000A2EE1">
        <w:rPr>
          <w:i/>
          <w:iCs/>
        </w:rPr>
        <w:t>[Insert at this location existing Figures in 9.2.2.6 renumbered respectively 9.2.2.2.2.1 to 9.2.2.2.2.4.]</w:t>
      </w:r>
    </w:p>
    <w:p w:rsidR="00E3232B" w:rsidRPr="000A2EE1" w:rsidRDefault="00E3232B" w:rsidP="00B05D25">
      <w:pPr>
        <w:pStyle w:val="SingleTxtG"/>
        <w:tabs>
          <w:tab w:val="left" w:pos="2268"/>
        </w:tabs>
        <w:spacing w:before="120"/>
      </w:pPr>
      <w:r w:rsidRPr="000A2EE1">
        <w:t>Cables of wheel speed sensors do not need additional protection.</w:t>
      </w:r>
    </w:p>
    <w:p w:rsidR="00E3232B" w:rsidRPr="000A2EE1" w:rsidRDefault="00E3232B" w:rsidP="00B05D25">
      <w:pPr>
        <w:pStyle w:val="SingleTxtG"/>
        <w:tabs>
          <w:tab w:val="left" w:pos="2268"/>
        </w:tabs>
        <w:rPr>
          <w:rFonts w:eastAsia="SimSun"/>
        </w:rPr>
      </w:pPr>
      <w:r w:rsidRPr="000A2EE1">
        <w:rPr>
          <w:rFonts w:eastAsia="SimSun"/>
        </w:rPr>
        <w:t>EX/II vehicles being one stage built panel vans where the wiring behind the driver’s cab is protected by the body are deemed to comply with this requirement.</w:t>
      </w:r>
    </w:p>
    <w:p w:rsidR="00E3232B" w:rsidRPr="000A2EE1" w:rsidRDefault="00E3232B" w:rsidP="00B05D25">
      <w:pPr>
        <w:pStyle w:val="SingleTxtG"/>
        <w:tabs>
          <w:tab w:val="left" w:pos="2268"/>
        </w:tabs>
        <w:rPr>
          <w:b/>
          <w:i/>
        </w:rPr>
      </w:pPr>
      <w:r w:rsidRPr="000A2EE1">
        <w:rPr>
          <w:b/>
        </w:rPr>
        <w:t>9.2.2.3</w:t>
      </w:r>
      <w:r w:rsidRPr="000A2EE1">
        <w:rPr>
          <w:b/>
        </w:rPr>
        <w:tab/>
      </w:r>
      <w:r w:rsidRPr="000A2EE1">
        <w:rPr>
          <w:b/>
        </w:rPr>
        <w:tab/>
      </w:r>
      <w:r w:rsidRPr="000A2EE1">
        <w:rPr>
          <w:b/>
          <w:i/>
        </w:rPr>
        <w:t>Fuses and circuit breakers</w:t>
      </w:r>
    </w:p>
    <w:p w:rsidR="00E3232B" w:rsidRPr="000A2EE1" w:rsidRDefault="00E3232B" w:rsidP="00B05D25">
      <w:pPr>
        <w:pStyle w:val="SingleTxtG"/>
        <w:tabs>
          <w:tab w:val="left" w:pos="2268"/>
        </w:tabs>
      </w:pPr>
      <w:r w:rsidRPr="000A2EE1">
        <w:t>All circuits shall be protected by fuses or automatic circuit breakers, except for the following:</w:t>
      </w:r>
    </w:p>
    <w:p w:rsidR="00E3232B" w:rsidRPr="000A2EE1" w:rsidRDefault="00E3232B" w:rsidP="00E3232B">
      <w:pPr>
        <w:pStyle w:val="SingleTxtG"/>
      </w:pPr>
      <w:r w:rsidRPr="000A2EE1">
        <w:t>-</w:t>
      </w:r>
      <w:r w:rsidRPr="000A2EE1">
        <w:tab/>
        <w:t>from the starter battery to the cold start system;</w:t>
      </w:r>
    </w:p>
    <w:p w:rsidR="00E3232B" w:rsidRPr="000A2EE1" w:rsidRDefault="00E3232B" w:rsidP="00E3232B">
      <w:pPr>
        <w:pStyle w:val="SingleTxtG"/>
      </w:pPr>
      <w:r w:rsidRPr="000A2EE1">
        <w:t>-</w:t>
      </w:r>
      <w:r w:rsidRPr="000A2EE1">
        <w:tab/>
        <w:t>from the starter battery to the alternator;</w:t>
      </w:r>
    </w:p>
    <w:p w:rsidR="00E3232B" w:rsidRPr="000A2EE1" w:rsidRDefault="00E3232B" w:rsidP="00E3232B">
      <w:pPr>
        <w:pStyle w:val="SingleTxtG"/>
      </w:pPr>
      <w:r w:rsidRPr="000A2EE1">
        <w:t>-</w:t>
      </w:r>
      <w:r w:rsidRPr="000A2EE1">
        <w:tab/>
        <w:t>from the alternator to the fuse or circuit breaker box;</w:t>
      </w:r>
    </w:p>
    <w:p w:rsidR="00E3232B" w:rsidRPr="000A2EE1" w:rsidRDefault="00E3232B" w:rsidP="00E3232B">
      <w:pPr>
        <w:pStyle w:val="SingleTxtG"/>
      </w:pPr>
      <w:r w:rsidRPr="000A2EE1">
        <w:t>-</w:t>
      </w:r>
      <w:r w:rsidRPr="000A2EE1">
        <w:tab/>
        <w:t>from the starter battery to the starter motor;</w:t>
      </w:r>
    </w:p>
    <w:p w:rsidR="00E3232B" w:rsidRPr="000A2EE1" w:rsidRDefault="00E3232B" w:rsidP="00E3232B">
      <w:pPr>
        <w:pStyle w:val="SingleTxtG"/>
        <w:ind w:left="1701" w:hanging="567"/>
      </w:pPr>
      <w:r w:rsidRPr="000A2EE1">
        <w:t>-</w:t>
      </w:r>
      <w:r w:rsidRPr="000A2EE1">
        <w:tab/>
        <w:t>from the starter battery to the power control housing of the endurance braking system (see 9.2.3.1.2), if this system is electrical or electromagnetic;</w:t>
      </w:r>
    </w:p>
    <w:p w:rsidR="00E3232B" w:rsidRPr="000A2EE1" w:rsidRDefault="00E3232B" w:rsidP="00E3232B">
      <w:pPr>
        <w:pStyle w:val="SingleTxtG"/>
      </w:pPr>
      <w:r w:rsidRPr="000A2EE1">
        <w:t>-</w:t>
      </w:r>
      <w:r w:rsidRPr="000A2EE1">
        <w:tab/>
        <w:t>from the starter battery to the electrical lifting mechanism for lifting the bogie axle.</w:t>
      </w:r>
    </w:p>
    <w:p w:rsidR="00E3232B" w:rsidRPr="000A2EE1" w:rsidRDefault="00E3232B" w:rsidP="00E3232B">
      <w:pPr>
        <w:pStyle w:val="SingleTxtG"/>
      </w:pPr>
      <w:r w:rsidRPr="000A2EE1">
        <w:t>The above unprotected circuits shall be as short as possible.</w:t>
      </w:r>
    </w:p>
    <w:p w:rsidR="00E3232B" w:rsidRPr="000A2EE1" w:rsidRDefault="00E3232B" w:rsidP="00B05D25">
      <w:pPr>
        <w:pStyle w:val="SingleTxtG"/>
        <w:tabs>
          <w:tab w:val="left" w:pos="2268"/>
        </w:tabs>
        <w:rPr>
          <w:b/>
        </w:rPr>
      </w:pPr>
      <w:r w:rsidRPr="000A2EE1">
        <w:rPr>
          <w:b/>
        </w:rPr>
        <w:t>9.2.2.4</w:t>
      </w:r>
      <w:r w:rsidRPr="000A2EE1">
        <w:rPr>
          <w:b/>
        </w:rPr>
        <w:tab/>
      </w:r>
      <w:r w:rsidRPr="000A2EE1">
        <w:rPr>
          <w:b/>
        </w:rPr>
        <w:tab/>
      </w:r>
      <w:r w:rsidRPr="000A2EE1">
        <w:rPr>
          <w:b/>
          <w:i/>
        </w:rPr>
        <w:t>Batteries</w:t>
      </w:r>
    </w:p>
    <w:p w:rsidR="00E3232B" w:rsidRPr="000A2EE1" w:rsidRDefault="00E3232B" w:rsidP="00B05D25">
      <w:pPr>
        <w:pStyle w:val="SingleTxtG"/>
        <w:tabs>
          <w:tab w:val="left" w:pos="2268"/>
        </w:tabs>
      </w:pPr>
      <w:r w:rsidRPr="000A2EE1">
        <w:t xml:space="preserve">Battery terminals shall be electrically insulated or the battery shall be covered by an insulating cover. </w:t>
      </w:r>
    </w:p>
    <w:p w:rsidR="00E3232B" w:rsidRPr="000A2EE1" w:rsidRDefault="00E3232B" w:rsidP="00B05D25">
      <w:pPr>
        <w:pStyle w:val="SingleTxtG"/>
        <w:tabs>
          <w:tab w:val="left" w:pos="2268"/>
        </w:tabs>
      </w:pPr>
      <w:r w:rsidRPr="000A2EE1">
        <w:t>Batteries which may develop ignitable gas and are not located under the engine bonnet, shall be fitted in a vented box.</w:t>
      </w:r>
    </w:p>
    <w:p w:rsidR="00E3232B" w:rsidRPr="000A2EE1" w:rsidRDefault="00E3232B" w:rsidP="00B05D25">
      <w:pPr>
        <w:pStyle w:val="SingleTxtG"/>
        <w:tabs>
          <w:tab w:val="left" w:pos="2268"/>
        </w:tabs>
        <w:rPr>
          <w:b/>
        </w:rPr>
      </w:pPr>
      <w:r w:rsidRPr="000A2EE1">
        <w:rPr>
          <w:b/>
        </w:rPr>
        <w:t>9.2.2.5</w:t>
      </w:r>
      <w:r w:rsidRPr="000A2EE1">
        <w:rPr>
          <w:b/>
        </w:rPr>
        <w:tab/>
      </w:r>
      <w:r w:rsidRPr="000A2EE1">
        <w:rPr>
          <w:b/>
        </w:rPr>
        <w:tab/>
      </w:r>
      <w:r w:rsidRPr="000A2EE1">
        <w:rPr>
          <w:b/>
          <w:i/>
        </w:rPr>
        <w:t>Lighting</w:t>
      </w:r>
    </w:p>
    <w:p w:rsidR="00E3232B" w:rsidRPr="000A2EE1" w:rsidRDefault="00E3232B" w:rsidP="00B05D25">
      <w:pPr>
        <w:pStyle w:val="SingleTxtG"/>
        <w:tabs>
          <w:tab w:val="left" w:pos="2268"/>
        </w:tabs>
        <w:rPr>
          <w:rFonts w:ascii="Calibri" w:eastAsia="SimSun" w:hAnsi="Calibri"/>
        </w:rPr>
      </w:pPr>
      <w:r w:rsidRPr="000A2EE1">
        <w:t>Light sources with a screw cap shall not be used.</w:t>
      </w:r>
    </w:p>
    <w:p w:rsidR="00E3232B" w:rsidRPr="000A2EE1" w:rsidRDefault="00E3232B" w:rsidP="00B05D25">
      <w:pPr>
        <w:pStyle w:val="SingleTxtG"/>
        <w:tabs>
          <w:tab w:val="left" w:pos="2268"/>
        </w:tabs>
      </w:pPr>
      <w:r w:rsidRPr="000A2EE1">
        <w:rPr>
          <w:b/>
        </w:rPr>
        <w:t>9.2.2.6</w:t>
      </w:r>
      <w:r w:rsidRPr="000A2EE1">
        <w:rPr>
          <w:b/>
        </w:rPr>
        <w:tab/>
      </w:r>
      <w:r w:rsidRPr="000A2EE1">
        <w:rPr>
          <w:b/>
        </w:rPr>
        <w:tab/>
      </w:r>
      <w:r w:rsidRPr="000A2EE1">
        <w:rPr>
          <w:b/>
          <w:i/>
          <w:iCs/>
        </w:rPr>
        <w:t>Electrical connections between motor vehicles and trailers</w:t>
      </w:r>
    </w:p>
    <w:p w:rsidR="00E3232B" w:rsidRPr="000A2EE1" w:rsidRDefault="00E3232B" w:rsidP="00B05D25">
      <w:pPr>
        <w:pStyle w:val="SingleTxtG"/>
        <w:tabs>
          <w:tab w:val="left" w:pos="2268"/>
        </w:tabs>
      </w:pPr>
      <w:r w:rsidRPr="000A2EE1">
        <w:t>9.2.2.6.1</w:t>
      </w:r>
      <w:r w:rsidRPr="000A2EE1">
        <w:tab/>
        <w:t>Electrical connections shall be designed to prevent:</w:t>
      </w:r>
    </w:p>
    <w:p w:rsidR="00E3232B" w:rsidRPr="000A2EE1" w:rsidRDefault="00E3232B" w:rsidP="00E3232B">
      <w:pPr>
        <w:pStyle w:val="SingleTxtG"/>
      </w:pPr>
      <w:r w:rsidRPr="000A2EE1">
        <w:t>-</w:t>
      </w:r>
      <w:r w:rsidRPr="000A2EE1">
        <w:tab/>
        <w:t>ingress of moisture and dirt; the connected parts shall have a protection degree of at least IP 54 in accordance with IEC 60529,</w:t>
      </w:r>
    </w:p>
    <w:p w:rsidR="00E3232B" w:rsidRPr="000A2EE1" w:rsidRDefault="00E3232B" w:rsidP="00E3232B">
      <w:pPr>
        <w:pStyle w:val="SingleTxtG"/>
      </w:pPr>
      <w:r w:rsidRPr="000A2EE1">
        <w:t>-</w:t>
      </w:r>
      <w:r w:rsidRPr="000A2EE1">
        <w:tab/>
        <w:t>accidental disconnection; connectors shall fulfil the requirements given in clause 5.6 of ISO 4091:2003.</w:t>
      </w:r>
    </w:p>
    <w:p w:rsidR="00E3232B" w:rsidRPr="000A2EE1" w:rsidRDefault="00E3232B" w:rsidP="00E3232B">
      <w:pPr>
        <w:pStyle w:val="SingleTxtG"/>
      </w:pPr>
      <w:r w:rsidRPr="000A2EE1">
        <w:t>9.2.2.6.2</w:t>
      </w:r>
      <w:r w:rsidRPr="000A2EE1">
        <w:tab/>
        <w:t>Requirements of 9.2.2.6.1 are deemed to be met:</w:t>
      </w:r>
    </w:p>
    <w:p w:rsidR="00E3232B" w:rsidRPr="000A2EE1" w:rsidRDefault="00E3232B" w:rsidP="00E3232B">
      <w:pPr>
        <w:pStyle w:val="SingleTxtG"/>
      </w:pPr>
      <w:r w:rsidRPr="000A2EE1">
        <w:t>-</w:t>
      </w:r>
      <w:r w:rsidRPr="000A2EE1">
        <w:tab/>
        <w:t>for connectors standardized for specific purposes according to ISO 12098:2004</w:t>
      </w:r>
      <w:r w:rsidRPr="000A2EE1">
        <w:rPr>
          <w:rStyle w:val="Appelnotedebasdep"/>
        </w:rPr>
        <w:footnoteReference w:id="4"/>
      </w:r>
      <w:r w:rsidRPr="000A2EE1">
        <w:t>, ISO 7638:2003</w:t>
      </w:r>
      <w:r w:rsidRPr="000A2EE1">
        <w:rPr>
          <w:vertAlign w:val="superscript"/>
        </w:rPr>
        <w:t>1</w:t>
      </w:r>
      <w:r w:rsidRPr="000A2EE1">
        <w:t>, EN 15207:2014</w:t>
      </w:r>
      <w:r w:rsidRPr="000A2EE1">
        <w:rPr>
          <w:vertAlign w:val="superscript"/>
        </w:rPr>
        <w:t>1</w:t>
      </w:r>
      <w:r w:rsidRPr="000A2EE1">
        <w:t xml:space="preserve"> or ISO 25981:2008</w:t>
      </w:r>
      <w:r w:rsidRPr="000A2EE1">
        <w:rPr>
          <w:vertAlign w:val="superscript"/>
        </w:rPr>
        <w:t>1</w:t>
      </w:r>
      <w:r w:rsidRPr="000A2EE1">
        <w:t xml:space="preserve"> </w:t>
      </w:r>
    </w:p>
    <w:p w:rsidR="00E3232B" w:rsidRPr="000A2EE1" w:rsidRDefault="00E3232B" w:rsidP="00E3232B">
      <w:pPr>
        <w:pStyle w:val="SingleTxtG"/>
      </w:pPr>
      <w:r w:rsidRPr="000A2EE1">
        <w:t>-</w:t>
      </w:r>
      <w:r w:rsidRPr="000A2EE1">
        <w:tab/>
        <w:t>where the electrical connections are part of an automatic coupling system (see ECE Regulation No.55</w:t>
      </w:r>
      <w:r w:rsidRPr="000A2EE1">
        <w:rPr>
          <w:rStyle w:val="Appelnotedebasdep"/>
        </w:rPr>
        <w:footnoteReference w:id="5"/>
      </w:r>
      <w:r w:rsidRPr="000A2EE1">
        <w:t>).</w:t>
      </w:r>
    </w:p>
    <w:p w:rsidR="00E3232B" w:rsidRPr="000A2EE1" w:rsidRDefault="00E3232B" w:rsidP="00E3232B">
      <w:pPr>
        <w:pStyle w:val="SingleTxtG"/>
      </w:pPr>
      <w:r w:rsidRPr="000A2EE1">
        <w:t>9.2.2.6.3</w:t>
      </w:r>
      <w:r w:rsidRPr="000A2EE1">
        <w:tab/>
        <w:t>Electrical connections for other purposes concerning the proper functioning of the vehicles or their equipment may be used provided they comply with the requirements of 9.2.2.6.1.</w:t>
      </w:r>
    </w:p>
    <w:p w:rsidR="00E3232B" w:rsidRPr="000A2EE1" w:rsidRDefault="00E3232B" w:rsidP="00E3232B">
      <w:pPr>
        <w:pStyle w:val="SingleTxtG"/>
        <w:rPr>
          <w:b/>
        </w:rPr>
      </w:pPr>
      <w:r w:rsidRPr="000A2EE1">
        <w:rPr>
          <w:b/>
        </w:rPr>
        <w:t>9.2.2.7</w:t>
      </w:r>
      <w:r w:rsidRPr="000A2EE1">
        <w:rPr>
          <w:b/>
        </w:rPr>
        <w:tab/>
      </w:r>
      <w:r w:rsidRPr="000A2EE1">
        <w:rPr>
          <w:b/>
        </w:rPr>
        <w:tab/>
      </w:r>
      <w:r w:rsidRPr="000A2EE1">
        <w:rPr>
          <w:b/>
          <w:i/>
        </w:rPr>
        <w:t>Voltage</w:t>
      </w:r>
    </w:p>
    <w:p w:rsidR="00E3232B" w:rsidRPr="000A2EE1" w:rsidRDefault="00E3232B" w:rsidP="00E3232B">
      <w:pPr>
        <w:pStyle w:val="SingleTxtG"/>
      </w:pPr>
      <w:r w:rsidRPr="000A2EE1">
        <w:t>The nominal voltage of the electrical system shall not exceed 25V A.C. or 60V D.C.</w:t>
      </w:r>
    </w:p>
    <w:p w:rsidR="00E3232B" w:rsidRPr="000A2EE1" w:rsidRDefault="00E3232B" w:rsidP="00E3232B">
      <w:pPr>
        <w:pStyle w:val="SingleTxtG"/>
      </w:pPr>
      <w:r w:rsidRPr="000A2EE1">
        <w:t xml:space="preserve">Higher voltages are allowed in galvanically isolated parts of the electrical system provided those parts are not located within a perimeter of at least 0.5 metres from the outside of the load compartment or tank. </w:t>
      </w:r>
    </w:p>
    <w:p w:rsidR="00E3232B" w:rsidRPr="000A2EE1" w:rsidRDefault="00E3232B" w:rsidP="00E3232B">
      <w:pPr>
        <w:pStyle w:val="SingleTxtG"/>
      </w:pPr>
      <w:r w:rsidRPr="000A2EE1">
        <w:t>Additionally systems working on a voltage higher than 1000V A.C. or 1500V D.C. shall be integrated in an enclosed housing.</w:t>
      </w:r>
    </w:p>
    <w:p w:rsidR="00E3232B" w:rsidRPr="000A2EE1" w:rsidRDefault="00E3232B" w:rsidP="00E3232B">
      <w:pPr>
        <w:pStyle w:val="SingleTxtG"/>
      </w:pPr>
      <w:r w:rsidRPr="000A2EE1">
        <w:t>If Xenon lights are used only those having integrated starters are allowed.</w:t>
      </w:r>
    </w:p>
    <w:p w:rsidR="00E3232B" w:rsidRPr="000A2EE1" w:rsidRDefault="00E3232B" w:rsidP="00E3232B">
      <w:pPr>
        <w:pStyle w:val="SingleTxtG"/>
        <w:rPr>
          <w:b/>
          <w:bCs/>
          <w:i/>
          <w:iCs/>
        </w:rPr>
      </w:pPr>
      <w:r w:rsidRPr="000A2EE1">
        <w:rPr>
          <w:b/>
        </w:rPr>
        <w:t>9.2.2.8</w:t>
      </w:r>
      <w:r w:rsidRPr="000A2EE1">
        <w:rPr>
          <w:b/>
        </w:rPr>
        <w:tab/>
      </w:r>
      <w:r w:rsidRPr="000A2EE1">
        <w:rPr>
          <w:b/>
        </w:rPr>
        <w:tab/>
      </w:r>
      <w:r w:rsidRPr="000A2EE1">
        <w:rPr>
          <w:b/>
          <w:i/>
        </w:rPr>
        <w:t>Battery master switch</w:t>
      </w:r>
    </w:p>
    <w:p w:rsidR="00E3232B" w:rsidRPr="000A2EE1" w:rsidRDefault="00E3232B" w:rsidP="00171BA6">
      <w:pPr>
        <w:pStyle w:val="SingleTxtG"/>
      </w:pPr>
      <w:r w:rsidRPr="000A2EE1">
        <w:t>9.2.2.8.1</w:t>
      </w:r>
      <w:r w:rsidRPr="000A2EE1">
        <w:tab/>
        <w:t>A switch for breaking the electrical circuits shall be placed as close to the battery as practicable. If a single pole switch is used it shall be placed in the supply lead and not in the earth lead.</w:t>
      </w:r>
    </w:p>
    <w:p w:rsidR="00E3232B" w:rsidRPr="000A2EE1" w:rsidRDefault="00E3232B" w:rsidP="00171BA6">
      <w:pPr>
        <w:pStyle w:val="SingleTxtG"/>
      </w:pPr>
      <w:r w:rsidRPr="000A2EE1">
        <w:t>9.2.2.8.2</w:t>
      </w:r>
      <w:r w:rsidRPr="000A2EE1">
        <w:tab/>
        <w:t>A control device to facilitate the disconnecting and reconnecting functions of the switch shall be installed in the driver's cab. It shall be readily accessible to the driver and be distinctively marked. It shall be protected against inadvertent operation by either adding a protective cover, by using a dual movement control device or by other suitable means. Additional control devices may be installed provided they are distinctively marked and protected against inadvertent operation. If the control device(s) are electrically operated, the circuits of the control device(s) are subject to the requirements of 9.2.2.9.</w:t>
      </w:r>
    </w:p>
    <w:p w:rsidR="00E3232B" w:rsidRPr="000A2EE1" w:rsidRDefault="00E3232B" w:rsidP="00171BA6">
      <w:pPr>
        <w:pStyle w:val="SingleTxtG"/>
      </w:pPr>
      <w:r w:rsidRPr="000A2EE1">
        <w:t>9.2.2.8.3</w:t>
      </w:r>
      <w:r w:rsidRPr="000A2EE1">
        <w:tab/>
        <w:t>The switch shall break the circuits within 10 seconds after activation of the control device.</w:t>
      </w:r>
    </w:p>
    <w:p w:rsidR="00E3232B" w:rsidRPr="000A2EE1" w:rsidRDefault="00E3232B" w:rsidP="00171BA6">
      <w:pPr>
        <w:pStyle w:val="SingleTxtG"/>
      </w:pPr>
      <w:r w:rsidRPr="000A2EE1">
        <w:t>9.2.2.8.4</w:t>
      </w:r>
      <w:r w:rsidRPr="000A2EE1">
        <w:tab/>
        <w:t>The switch shall have a casing with protection degree IP 65 in accordance with IEC Standard 60529.</w:t>
      </w:r>
    </w:p>
    <w:p w:rsidR="00E3232B" w:rsidRPr="000A2EE1" w:rsidRDefault="00E3232B" w:rsidP="00171BA6">
      <w:pPr>
        <w:pStyle w:val="SingleTxtG"/>
      </w:pPr>
      <w:r w:rsidRPr="000A2EE1">
        <w:t>9.2.2.8.5</w:t>
      </w:r>
      <w:r w:rsidRPr="000A2EE1">
        <w:tab/>
        <w:t>The cable connections on the switch shall have protection degree IP 54 in accordance with IEC 60529. However, this does not apply if these connections are contained in a housing which may be the battery box. In this case it is sufficient to insulate the connections against short circuits, for example with a rubber cap.</w:t>
      </w:r>
    </w:p>
    <w:p w:rsidR="00E3232B" w:rsidRPr="000A2EE1" w:rsidRDefault="00E3232B" w:rsidP="00E3232B">
      <w:pPr>
        <w:pStyle w:val="SingleTxtG"/>
        <w:rPr>
          <w:b/>
        </w:rPr>
      </w:pPr>
      <w:r w:rsidRPr="000A2EE1">
        <w:rPr>
          <w:b/>
        </w:rPr>
        <w:t>9.2.2.9</w:t>
      </w:r>
      <w:r w:rsidRPr="000A2EE1">
        <w:rPr>
          <w:b/>
        </w:rPr>
        <w:tab/>
      </w:r>
      <w:r w:rsidRPr="000A2EE1">
        <w:rPr>
          <w:b/>
        </w:rPr>
        <w:tab/>
      </w:r>
      <w:r w:rsidRPr="000A2EE1">
        <w:rPr>
          <w:b/>
          <w:i/>
          <w:iCs/>
        </w:rPr>
        <w:t>Permanently energized circuits</w:t>
      </w:r>
    </w:p>
    <w:p w:rsidR="00E3232B" w:rsidRPr="000A2EE1" w:rsidRDefault="00E3232B" w:rsidP="00E3232B">
      <w:pPr>
        <w:pStyle w:val="SingleTxtG"/>
        <w:ind w:left="2268" w:hanging="1134"/>
      </w:pPr>
      <w:r w:rsidRPr="000A2EE1">
        <w:t>9.2.2.9.1</w:t>
      </w:r>
      <w:r w:rsidRPr="000A2EE1">
        <w:tab/>
        <w:t>(a)</w:t>
      </w:r>
      <w:r w:rsidRPr="000A2EE1">
        <w:tab/>
        <w:t>Those parts of the electrical installation including the leads which shall remain energized when the battery master switch is open, shall be suitable for use in hazardous areas. Such equipment shall meet the general requirements of IEC 60079, parts 0 and 14</w:t>
      </w:r>
      <w:r w:rsidRPr="000A2EE1">
        <w:rPr>
          <w:b/>
          <w:vertAlign w:val="superscript"/>
        </w:rPr>
        <w:footnoteReference w:id="6"/>
      </w:r>
      <w:r w:rsidRPr="000A2EE1">
        <w:t xml:space="preserve"> and the additional requirements applicable from IEC 60079, parts 1, 2, 5, 6, 7, 11, 15 or 18;</w:t>
      </w:r>
    </w:p>
    <w:p w:rsidR="00E3232B" w:rsidRPr="000A2EE1" w:rsidRDefault="00E3232B" w:rsidP="00E3232B">
      <w:pPr>
        <w:pStyle w:val="SingleTxtG"/>
        <w:ind w:left="2268" w:hanging="1134"/>
      </w:pPr>
      <w:r w:rsidRPr="000A2EE1">
        <w:tab/>
        <w:t>(b)</w:t>
      </w:r>
      <w:r w:rsidRPr="000A2EE1">
        <w:tab/>
        <w:t>For the application of IEC 60079 part 14</w:t>
      </w:r>
      <w:r w:rsidRPr="000A2EE1">
        <w:rPr>
          <w:b/>
          <w:vertAlign w:val="superscript"/>
        </w:rPr>
        <w:t>1</w:t>
      </w:r>
      <w:r w:rsidRPr="000A2EE1">
        <w:t>, the following classification shall be used:</w:t>
      </w:r>
    </w:p>
    <w:p w:rsidR="00E3232B" w:rsidRPr="000A2EE1" w:rsidRDefault="00E3232B" w:rsidP="00E3232B">
      <w:pPr>
        <w:pStyle w:val="SingleTxtG"/>
        <w:ind w:left="2268"/>
      </w:pPr>
      <w:r w:rsidRPr="000A2EE1">
        <w:t>Permanently energized electrical equipment including the leads which is not subject to 9.2.2.4 and 9.2.2.8 shall meet the requirements for Zone 1 for electrical equipment in general or meet the requirements for Zone 2 for electrical equipment situated in the driver's cab. The requirements for explosion group IIC, temperature class T6 shall be met.</w:t>
      </w:r>
    </w:p>
    <w:p w:rsidR="00E3232B" w:rsidRPr="000A2EE1" w:rsidRDefault="00E3232B" w:rsidP="00E3232B">
      <w:pPr>
        <w:pStyle w:val="SingleTxtG"/>
        <w:ind w:left="2268"/>
      </w:pPr>
      <w:r w:rsidRPr="000A2EE1">
        <w:t>However, for permanently energized electrical equipment installed in an environment where the temperature caused by non-electrical equipment situated in that environment exceeds the T6 temperature limit, the temperature classification of the permanently energized electrical equipment shall be at least that of the T4 temperature class.</w:t>
      </w:r>
    </w:p>
    <w:p w:rsidR="00E3232B" w:rsidRPr="000A2EE1" w:rsidRDefault="00E3232B" w:rsidP="00E3232B">
      <w:pPr>
        <w:pStyle w:val="SingleTxtG"/>
        <w:ind w:left="2268" w:hanging="1134"/>
      </w:pPr>
      <w:r w:rsidRPr="000A2EE1">
        <w:tab/>
        <w:t>(c)</w:t>
      </w:r>
      <w:r w:rsidRPr="000A2EE1">
        <w:tab/>
        <w:t>The supply leads for permanently energised equipment shall either comply with the provisions of IEC 60079, part 7 (</w:t>
      </w:r>
      <w:r w:rsidR="006E67B9" w:rsidRPr="000A2EE1">
        <w:t>“</w:t>
      </w:r>
      <w:r w:rsidRPr="000A2EE1">
        <w:t>Increased safety</w:t>
      </w:r>
      <w:r w:rsidR="006E67B9" w:rsidRPr="000A2EE1">
        <w:t>”</w:t>
      </w:r>
      <w:r w:rsidRPr="000A2EE1">
        <w:t xml:space="preserve">) and be protected by a fuse or automatic circuit breaker placed as close to the source of power as practicable or, in the case of </w:t>
      </w:r>
      <w:r w:rsidR="006E67B9" w:rsidRPr="000A2EE1">
        <w:t>“</w:t>
      </w:r>
      <w:r w:rsidRPr="000A2EE1">
        <w:t>intrinsically safe equipment</w:t>
      </w:r>
      <w:r w:rsidR="006E67B9" w:rsidRPr="000A2EE1">
        <w:t>”</w:t>
      </w:r>
      <w:r w:rsidRPr="000A2EE1">
        <w:t>, they shall be protected by a safety barrier placed as close to the source of power as practicable.</w:t>
      </w:r>
    </w:p>
    <w:p w:rsidR="00E3232B" w:rsidRPr="000A2EE1" w:rsidRDefault="00E3232B" w:rsidP="00E3232B">
      <w:pPr>
        <w:pStyle w:val="SingleTxtG"/>
      </w:pPr>
      <w:r w:rsidRPr="000A2EE1">
        <w:t>9.2.2.9.2</w:t>
      </w:r>
      <w:r w:rsidRPr="000A2EE1">
        <w:tab/>
        <w:t>Bypass connections to the battery master switch for electrical equipment which must remain energized when the battery master switch is open shall be protected against overheating by suitable means, such as a fuse, a circuit breaker or a safety barrier (current limiter).</w:t>
      </w:r>
      <w:r w:rsidR="006E67B9" w:rsidRPr="000A2EE1">
        <w:t>”</w:t>
      </w:r>
      <w:r w:rsidRPr="000A2EE1">
        <w:t>.</w:t>
      </w:r>
    </w:p>
    <w:p w:rsidR="00E3232B" w:rsidRPr="000A2EE1" w:rsidRDefault="00E3232B" w:rsidP="00E3232B">
      <w:pPr>
        <w:pStyle w:val="SingleTxtG"/>
      </w:pPr>
      <w:r w:rsidRPr="000A2EE1">
        <w:t>9.2.3.1.1 and 9.2.3.1.2</w:t>
      </w:r>
      <w:r w:rsidRPr="000A2EE1">
        <w:tab/>
        <w:t>Renumber footnote 3 as 4.</w:t>
      </w:r>
    </w:p>
    <w:p w:rsidR="00EE0F4B" w:rsidRPr="000A2EE1" w:rsidRDefault="00EE0F4B" w:rsidP="00EE0F4B">
      <w:pPr>
        <w:pStyle w:val="SingleTxtG"/>
        <w:rPr>
          <w:rFonts w:cs="Arial"/>
          <w:szCs w:val="22"/>
        </w:rPr>
      </w:pPr>
      <w:r w:rsidRPr="000A2EE1">
        <w:rPr>
          <w:rFonts w:ascii="TimesNewRomanPSMT" w:hAnsi="TimesNewRomanPSMT" w:cs="TimesNewRomanPSMT"/>
          <w:lang w:eastAsia="fr-FR"/>
        </w:rPr>
        <w:t>9.2.3.1.2</w:t>
      </w:r>
      <w:r w:rsidRPr="000A2EE1">
        <w:rPr>
          <w:rFonts w:ascii="TimesNewRomanPSMT" w:hAnsi="TimesNewRomanPSMT" w:cs="TimesNewRomanPSMT"/>
          <w:lang w:eastAsia="fr-FR"/>
        </w:rPr>
        <w:tab/>
        <w:t>Insert “EX/II,” before “EX/III”. Delete “, OX”.</w:t>
      </w:r>
    </w:p>
    <w:p w:rsidR="00E3232B" w:rsidRPr="000A2EE1" w:rsidRDefault="00E3232B" w:rsidP="00E3232B">
      <w:pPr>
        <w:pStyle w:val="SingleTxtG"/>
        <w:rPr>
          <w:rFonts w:cs="Arial"/>
          <w:i/>
          <w:szCs w:val="22"/>
        </w:rPr>
      </w:pPr>
      <w:r w:rsidRPr="000A2EE1">
        <w:rPr>
          <w:rFonts w:cs="Arial"/>
          <w:szCs w:val="22"/>
        </w:rPr>
        <w:t>9.2.4.2</w:t>
      </w:r>
      <w:r w:rsidRPr="000A2EE1">
        <w:rPr>
          <w:rFonts w:cs="Arial"/>
          <w:szCs w:val="22"/>
        </w:rPr>
        <w:tab/>
      </w:r>
      <w:r w:rsidRPr="000A2EE1">
        <w:rPr>
          <w:rFonts w:cs="Arial"/>
          <w:szCs w:val="22"/>
        </w:rPr>
        <w:tab/>
        <w:t xml:space="preserve">Delete and insert </w:t>
      </w:r>
      <w:r w:rsidR="006E67B9" w:rsidRPr="000A2EE1">
        <w:rPr>
          <w:rFonts w:cs="Arial"/>
          <w:szCs w:val="22"/>
        </w:rPr>
        <w:t>“</w:t>
      </w:r>
      <w:r w:rsidRPr="000A2EE1">
        <w:rPr>
          <w:rFonts w:cs="Arial"/>
          <w:i/>
          <w:szCs w:val="22"/>
        </w:rPr>
        <w:t>(Deleted)</w:t>
      </w:r>
      <w:r w:rsidR="006E67B9" w:rsidRPr="000A2EE1">
        <w:rPr>
          <w:rFonts w:cs="Arial"/>
          <w:i/>
          <w:szCs w:val="22"/>
        </w:rPr>
        <w:t>”</w:t>
      </w:r>
      <w:r w:rsidRPr="000A2EE1">
        <w:rPr>
          <w:rFonts w:cs="Arial"/>
          <w:i/>
          <w:szCs w:val="22"/>
        </w:rPr>
        <w:t>.</w:t>
      </w:r>
    </w:p>
    <w:p w:rsidR="00E3232B" w:rsidRPr="000A2EE1" w:rsidRDefault="00E3232B" w:rsidP="00E3232B">
      <w:pPr>
        <w:pStyle w:val="SingleTxtG"/>
      </w:pPr>
      <w:r w:rsidRPr="000A2EE1">
        <w:t xml:space="preserve">9.2.4.3 </w:t>
      </w:r>
      <w:r w:rsidRPr="000A2EE1">
        <w:tab/>
        <w:t>Amend to read as follows:</w:t>
      </w:r>
    </w:p>
    <w:p w:rsidR="00E3232B" w:rsidRPr="000A2EE1" w:rsidRDefault="006E67B9" w:rsidP="00E3232B">
      <w:pPr>
        <w:pStyle w:val="SingleTxtG"/>
      </w:pPr>
      <w:r w:rsidRPr="000A2EE1">
        <w:t>“</w:t>
      </w:r>
      <w:r w:rsidR="00E3232B" w:rsidRPr="000A2EE1">
        <w:rPr>
          <w:b/>
          <w:bCs/>
        </w:rPr>
        <w:t xml:space="preserve">9.2.4.3 </w:t>
      </w:r>
      <w:r w:rsidR="00E3232B" w:rsidRPr="000A2EE1">
        <w:rPr>
          <w:b/>
          <w:bCs/>
        </w:rPr>
        <w:tab/>
      </w:r>
      <w:r w:rsidR="00E3232B" w:rsidRPr="000A2EE1">
        <w:rPr>
          <w:b/>
          <w:bCs/>
          <w:i/>
          <w:iCs/>
        </w:rPr>
        <w:t>Fuel tanks and cylinders</w:t>
      </w:r>
      <w:r w:rsidR="00E3232B" w:rsidRPr="000A2EE1">
        <w:rPr>
          <w:i/>
          <w:iCs/>
        </w:rPr>
        <w:t xml:space="preserve"> </w:t>
      </w:r>
    </w:p>
    <w:p w:rsidR="00E3232B" w:rsidRPr="000A2EE1" w:rsidRDefault="00E3232B" w:rsidP="00E3232B">
      <w:pPr>
        <w:pStyle w:val="SingleTxtG"/>
      </w:pPr>
      <w:r w:rsidRPr="000A2EE1">
        <w:t>The fuel tanks and cylinders supplying the engine of the vehicle shall meet the following requirements:</w:t>
      </w:r>
    </w:p>
    <w:p w:rsidR="00E3232B" w:rsidRPr="000A2EE1" w:rsidRDefault="00E3232B" w:rsidP="00E3232B">
      <w:pPr>
        <w:pStyle w:val="SingleTxtG"/>
        <w:ind w:firstLine="567"/>
      </w:pPr>
      <w:r w:rsidRPr="000A2EE1">
        <w:t>(a)</w:t>
      </w:r>
      <w:r w:rsidRPr="000A2EE1">
        <w:tab/>
        <w:t>In the event of any leakage under normal conditions of carriage, the liquid fuel or the liquid phase of a gaseous fuel shall drain to the ground and not come into contact with the load or hot parts of the vehicle;</w:t>
      </w:r>
    </w:p>
    <w:p w:rsidR="00E3232B" w:rsidRPr="000A2EE1" w:rsidRDefault="00E3232B" w:rsidP="00E3232B">
      <w:pPr>
        <w:pStyle w:val="SingleTxtG"/>
        <w:ind w:firstLine="567"/>
        <w:rPr>
          <w:iCs/>
        </w:rPr>
      </w:pPr>
      <w:r w:rsidRPr="000A2EE1">
        <w:t>(b)</w:t>
      </w:r>
      <w:r w:rsidRPr="000A2EE1">
        <w:tab/>
        <w:t>Fuel tanks for liquid fuels shall meet the requirements of ECE Regulation No. 34</w:t>
      </w:r>
      <w:r w:rsidRPr="000A2EE1">
        <w:rPr>
          <w:vertAlign w:val="superscript"/>
        </w:rPr>
        <w:t>5</w:t>
      </w:r>
      <w:r w:rsidRPr="000A2EE1">
        <w:t>; fuel tanks containing petrol shall be equipped with an effective flame trap at the filler opening or with a closure enabling the opening to be kept hermetically sealed.</w:t>
      </w:r>
      <w:r w:rsidRPr="000A2EE1">
        <w:rPr>
          <w:i/>
        </w:rPr>
        <w:t xml:space="preserve"> </w:t>
      </w:r>
      <w:r w:rsidRPr="000A2EE1">
        <w:rPr>
          <w:iCs/>
        </w:rPr>
        <w:t>Fuel tanks and cylinders for LNG and for CNG respectively shall meet the relevant requirements of ECE Regulation No. 110</w:t>
      </w:r>
      <w:r w:rsidRPr="000A2EE1">
        <w:rPr>
          <w:iCs/>
          <w:vertAlign w:val="superscript"/>
        </w:rPr>
        <w:t>6</w:t>
      </w:r>
      <w:r w:rsidRPr="000A2EE1">
        <w:rPr>
          <w:iCs/>
        </w:rPr>
        <w:t>. Fuel tanks for LPG shall meet the relevant requirements of ECE Regulation No. 67</w:t>
      </w:r>
      <w:r w:rsidRPr="000A2EE1">
        <w:rPr>
          <w:iCs/>
          <w:vertAlign w:val="superscript"/>
        </w:rPr>
        <w:t>7</w:t>
      </w:r>
      <w:r w:rsidRPr="000A2EE1">
        <w:rPr>
          <w:iCs/>
        </w:rPr>
        <w:t>.</w:t>
      </w:r>
    </w:p>
    <w:p w:rsidR="00E3232B" w:rsidRPr="000A2EE1" w:rsidRDefault="00E3232B" w:rsidP="00E3232B">
      <w:pPr>
        <w:pStyle w:val="SingleTxtG"/>
        <w:ind w:firstLine="567"/>
        <w:rPr>
          <w:i/>
        </w:rPr>
      </w:pPr>
      <w:r w:rsidRPr="000A2EE1">
        <w:rPr>
          <w:iCs/>
        </w:rPr>
        <w:t>(c)</w:t>
      </w:r>
      <w:r w:rsidRPr="000A2EE1">
        <w:rPr>
          <w:i/>
        </w:rPr>
        <w:tab/>
      </w:r>
      <w:r w:rsidRPr="000A2EE1">
        <w:t>The discharge opening(s) of pressure relief devices and/or pressure relief valves of fuel tanks containing gaseous fuels shall be directed away from air intakes, fuel tanks, the load or hot parts of the vehicle and shall not impinge on enclosed areas, other vehicles, exterior-mounted systems with air intake (i.e. air-conditioning systems), engine intakes, or engine exhaust. Pipes of the fuel system shall not be fixed on the shell containing the load.</w:t>
      </w:r>
      <w:r w:rsidR="006E67B9" w:rsidRPr="000A2EE1">
        <w:t>”</w:t>
      </w:r>
      <w:r w:rsidRPr="000A2EE1">
        <w:rPr>
          <w:i/>
        </w:rPr>
        <w:t>.</w:t>
      </w:r>
    </w:p>
    <w:p w:rsidR="00E3232B" w:rsidRPr="000A2EE1" w:rsidRDefault="00E3232B" w:rsidP="00E3232B">
      <w:pPr>
        <w:pStyle w:val="SingleTxtG"/>
        <w:ind w:left="2268" w:hanging="1134"/>
        <w:rPr>
          <w:snapToGrid w:val="0"/>
        </w:rPr>
      </w:pPr>
      <w:r w:rsidRPr="000A2EE1">
        <w:t>9.2.4.4</w:t>
      </w:r>
      <w:r w:rsidRPr="000A2EE1">
        <w:tab/>
        <w:t>Amend to read as follows:</w:t>
      </w:r>
    </w:p>
    <w:p w:rsidR="00E3232B" w:rsidRPr="000A2EE1" w:rsidRDefault="006E67B9" w:rsidP="00E3232B">
      <w:pPr>
        <w:pStyle w:val="SingleTxtG"/>
      </w:pPr>
      <w:r w:rsidRPr="000A2EE1">
        <w:t>“</w:t>
      </w:r>
      <w:r w:rsidR="00E3232B" w:rsidRPr="000A2EE1">
        <w:t>9.2.4.4</w:t>
      </w:r>
      <w:r w:rsidR="00E3232B" w:rsidRPr="000A2EE1">
        <w:tab/>
        <w:t>The engine propelling the vehicle shall be so equipped and situated to avoid any danger to the load through heating or ignition. The use of CNG or LNG as fuel shall be permitted only if the specific components for CNG and LNG are approved according to ECE Regulation No. 110</w:t>
      </w:r>
      <w:r w:rsidR="00E3232B" w:rsidRPr="000A2EE1">
        <w:rPr>
          <w:vertAlign w:val="superscript"/>
        </w:rPr>
        <w:t>6</w:t>
      </w:r>
      <w:r w:rsidR="00E3232B" w:rsidRPr="000A2EE1">
        <w:t xml:space="preserve"> and meet the provisions of 9.2.2. The installation on the vehicle shall meet the technical requirements of 9.2.2 and ECE Regulation No. 110</w:t>
      </w:r>
      <w:r w:rsidR="00E3232B" w:rsidRPr="000A2EE1">
        <w:rPr>
          <w:vertAlign w:val="superscript"/>
        </w:rPr>
        <w:t>6</w:t>
      </w:r>
      <w:r w:rsidR="00E3232B" w:rsidRPr="000A2EE1">
        <w:t>. The use of LPG as fuel shall be permitted only if the specific components for LPG are approved according to ECE Regulation No. 67</w:t>
      </w:r>
      <w:r w:rsidR="00E3232B" w:rsidRPr="000A2EE1">
        <w:rPr>
          <w:vertAlign w:val="superscript"/>
        </w:rPr>
        <w:t>7</w:t>
      </w:r>
      <w:r w:rsidR="00E3232B" w:rsidRPr="000A2EE1">
        <w:t xml:space="preserve"> and meet the provisions of 9.2.2. The installation on the vehicle shall meet the technical requirements of 9.2.2 and ECE Regulation No. 67</w:t>
      </w:r>
      <w:r w:rsidR="00E3232B" w:rsidRPr="000A2EE1">
        <w:rPr>
          <w:vertAlign w:val="superscript"/>
        </w:rPr>
        <w:t>7</w:t>
      </w:r>
      <w:r w:rsidR="00E3232B" w:rsidRPr="000A2EE1">
        <w:t>. In the case of EX/II and EX/III vehicles the engine shall be of compression-ignition construction using only liquid fuels with a flashpoint above 55 °C. Gases shall not be used.</w:t>
      </w:r>
      <w:r w:rsidRPr="000A2EE1">
        <w:t>”</w:t>
      </w:r>
      <w:r w:rsidR="00E3232B" w:rsidRPr="000A2EE1">
        <w:t>.</w:t>
      </w:r>
    </w:p>
    <w:p w:rsidR="00E3232B" w:rsidRPr="000A2EE1" w:rsidRDefault="00E3232B" w:rsidP="00E3232B">
      <w:pPr>
        <w:pStyle w:val="SingleTxtG"/>
      </w:pPr>
      <w:r w:rsidRPr="000A2EE1">
        <w:t>Footnotes 5, 6 and 7 should read as follows:</w:t>
      </w:r>
    </w:p>
    <w:p w:rsidR="00E3232B" w:rsidRPr="000A2EE1" w:rsidRDefault="00171BA6" w:rsidP="00057B40">
      <w:pPr>
        <w:pStyle w:val="SingleTxtG"/>
        <w:rPr>
          <w:i/>
        </w:rPr>
      </w:pPr>
      <w:r w:rsidRPr="000A2EE1">
        <w:rPr>
          <w:rStyle w:val="Accentuation"/>
          <w:i w:val="0"/>
        </w:rPr>
        <w:t>“</w:t>
      </w:r>
      <w:r w:rsidR="00E3232B" w:rsidRPr="000A2EE1">
        <w:rPr>
          <w:rStyle w:val="Accentuation"/>
          <w:i w:val="0"/>
          <w:vertAlign w:val="superscript"/>
        </w:rPr>
        <w:t>5</w:t>
      </w:r>
      <w:r w:rsidR="00E3232B" w:rsidRPr="000A2EE1">
        <w:rPr>
          <w:rStyle w:val="Accentuation"/>
          <w:vertAlign w:val="superscript"/>
        </w:rPr>
        <w:tab/>
      </w:r>
      <w:r w:rsidR="00E3232B" w:rsidRPr="000A2EE1">
        <w:rPr>
          <w:rStyle w:val="Accentuation"/>
        </w:rPr>
        <w:t>ECE Regulation No. 34 (Uniform provisions</w:t>
      </w:r>
      <w:r w:rsidR="00E3232B" w:rsidRPr="000A2EE1">
        <w:t xml:space="preserve"> </w:t>
      </w:r>
      <w:r w:rsidR="00E3232B" w:rsidRPr="000A2EE1">
        <w:rPr>
          <w:rStyle w:val="Accentuation"/>
        </w:rPr>
        <w:t>concerning the approval of vehicles with regard to the prevention of fire risks)</w:t>
      </w:r>
    </w:p>
    <w:p w:rsidR="00E3232B" w:rsidRPr="000A2EE1" w:rsidRDefault="00E3232B" w:rsidP="00057B40">
      <w:pPr>
        <w:pStyle w:val="SingleTxtG"/>
        <w:rPr>
          <w:rStyle w:val="Accentuation"/>
        </w:rPr>
      </w:pPr>
      <w:r w:rsidRPr="000A2EE1">
        <w:rPr>
          <w:rStyle w:val="Accentuation"/>
          <w:i w:val="0"/>
          <w:vertAlign w:val="superscript"/>
        </w:rPr>
        <w:t>6</w:t>
      </w:r>
      <w:r w:rsidRPr="000A2EE1">
        <w:rPr>
          <w:rStyle w:val="Accentuation"/>
        </w:rPr>
        <w:tab/>
        <w:t>ECE Regulation No. 110 (Uniform provisions concerning the approval of:</w:t>
      </w:r>
    </w:p>
    <w:p w:rsidR="00E3232B" w:rsidRPr="000A2EE1" w:rsidRDefault="00E3232B" w:rsidP="00057B40">
      <w:pPr>
        <w:pStyle w:val="SingleTxtG"/>
        <w:ind w:left="1701"/>
        <w:rPr>
          <w:rStyle w:val="Accentuation"/>
        </w:rPr>
      </w:pPr>
      <w:r w:rsidRPr="000A2EE1">
        <w:rPr>
          <w:rStyle w:val="Accentuation"/>
        </w:rPr>
        <w:t>I.</w:t>
      </w:r>
      <w:r w:rsidRPr="000A2EE1">
        <w:rPr>
          <w:rStyle w:val="Accentuation"/>
        </w:rPr>
        <w:tab/>
        <w:t>Specific components of motor vehicles using compressed natural gas (CNG) and/or liquefied natural gas (LNG) in their propulsion systems;</w:t>
      </w:r>
    </w:p>
    <w:p w:rsidR="00E3232B" w:rsidRPr="000A2EE1" w:rsidRDefault="00E3232B" w:rsidP="00057B40">
      <w:pPr>
        <w:pStyle w:val="SingleTxtG"/>
        <w:ind w:left="1701"/>
        <w:rPr>
          <w:rStyle w:val="Accentuation"/>
        </w:rPr>
      </w:pPr>
      <w:r w:rsidRPr="000A2EE1">
        <w:rPr>
          <w:rStyle w:val="Accentuation"/>
        </w:rPr>
        <w:t>II.</w:t>
      </w:r>
      <w:r w:rsidRPr="000A2EE1">
        <w:rPr>
          <w:rStyle w:val="Accentuation"/>
        </w:rPr>
        <w:tab/>
        <w:t>Vehicles with regard to the installation of specific components of an approved type for the use of compressed natural gas (CNG) and/or liquefied natural gas (LNG) in their propulsion system).</w:t>
      </w:r>
    </w:p>
    <w:p w:rsidR="00E3232B" w:rsidRPr="000A2EE1" w:rsidRDefault="00E3232B" w:rsidP="00057B40">
      <w:pPr>
        <w:pStyle w:val="SingleTxtG"/>
        <w:rPr>
          <w:rStyle w:val="Accentuation"/>
        </w:rPr>
      </w:pPr>
      <w:r w:rsidRPr="000A2EE1">
        <w:rPr>
          <w:rStyle w:val="Accentuation"/>
          <w:i w:val="0"/>
          <w:vertAlign w:val="superscript"/>
        </w:rPr>
        <w:t>7</w:t>
      </w:r>
      <w:r w:rsidRPr="000A2EE1">
        <w:rPr>
          <w:rStyle w:val="Accentuation"/>
        </w:rPr>
        <w:tab/>
        <w:t>ECE Regulation No. 67</w:t>
      </w:r>
      <w:r w:rsidRPr="000A2EE1">
        <w:rPr>
          <w:i/>
        </w:rPr>
        <w:t xml:space="preserve"> (</w:t>
      </w:r>
      <w:r w:rsidRPr="000A2EE1">
        <w:rPr>
          <w:rStyle w:val="Accentuation"/>
        </w:rPr>
        <w:t>Uniform provisions concerning the approval of:</w:t>
      </w:r>
    </w:p>
    <w:p w:rsidR="00E3232B" w:rsidRPr="000A2EE1" w:rsidRDefault="00E3232B" w:rsidP="00057B40">
      <w:pPr>
        <w:pStyle w:val="SingleTxtG"/>
        <w:ind w:left="1701"/>
        <w:rPr>
          <w:rStyle w:val="Accentuation"/>
        </w:rPr>
      </w:pPr>
      <w:r w:rsidRPr="000A2EE1">
        <w:rPr>
          <w:rStyle w:val="Accentuation"/>
        </w:rPr>
        <w:t>I.</w:t>
      </w:r>
      <w:r w:rsidRPr="000A2EE1">
        <w:rPr>
          <w:rStyle w:val="Accentuation"/>
        </w:rPr>
        <w:tab/>
        <w:t>Approval of specific equipment of vehicles of category M and N using liquefied petroleum gases in their propulsion system</w:t>
      </w:r>
    </w:p>
    <w:p w:rsidR="00E3232B" w:rsidRPr="000A2EE1" w:rsidRDefault="00E3232B" w:rsidP="00057B40">
      <w:pPr>
        <w:pStyle w:val="SingleTxtG"/>
        <w:ind w:left="1701"/>
      </w:pPr>
      <w:r w:rsidRPr="000A2EE1">
        <w:rPr>
          <w:rStyle w:val="Accentuation"/>
        </w:rPr>
        <w:t>II.</w:t>
      </w:r>
      <w:r w:rsidRPr="000A2EE1">
        <w:rPr>
          <w:rStyle w:val="Accentuation"/>
        </w:rPr>
        <w:tab/>
        <w:t xml:space="preserve">Approval of vehicles of category M and N fitted with specific equipment for the use of liquefied petroleum gases in their propulsion system with regard to </w:t>
      </w:r>
      <w:r w:rsidRPr="000A2EE1">
        <w:rPr>
          <w:i/>
          <w:iCs/>
        </w:rPr>
        <w:t>the installation of such equipment)</w:t>
      </w:r>
      <w:r w:rsidR="00057B40" w:rsidRPr="000A2EE1">
        <w:rPr>
          <w:iCs/>
        </w:rPr>
        <w:t>”.</w:t>
      </w:r>
    </w:p>
    <w:p w:rsidR="00E3232B" w:rsidRPr="000A2EE1" w:rsidRDefault="00E3232B" w:rsidP="00E3232B">
      <w:pPr>
        <w:pStyle w:val="SingleTxtG"/>
      </w:pPr>
      <w:r w:rsidRPr="000A2EE1">
        <w:t>9.2.4.7.1</w:t>
      </w:r>
      <w:r w:rsidRPr="000A2EE1">
        <w:tab/>
        <w:t>Renumber footnote 4 as 8.</w:t>
      </w:r>
    </w:p>
    <w:p w:rsidR="00E3232B" w:rsidRPr="000A2EE1" w:rsidRDefault="00E3232B" w:rsidP="00E3232B">
      <w:pPr>
        <w:pStyle w:val="SingleTxtG"/>
      </w:pPr>
      <w:r w:rsidRPr="000A2EE1">
        <w:t>9.2.5</w:t>
      </w:r>
      <w:r w:rsidRPr="000A2EE1">
        <w:tab/>
        <w:t>Renumber footnote 5 as 9.</w:t>
      </w:r>
    </w:p>
    <w:p w:rsidR="00E3232B" w:rsidRPr="000A2EE1" w:rsidRDefault="00E3232B" w:rsidP="00E3232B">
      <w:pPr>
        <w:tabs>
          <w:tab w:val="left" w:pos="2410"/>
        </w:tabs>
        <w:spacing w:after="120"/>
        <w:ind w:left="1134" w:right="1134"/>
        <w:jc w:val="both"/>
        <w:rPr>
          <w:iCs/>
          <w:snapToGrid w:val="0"/>
        </w:rPr>
      </w:pPr>
      <w:r w:rsidRPr="000A2EE1">
        <w:rPr>
          <w:iCs/>
          <w:snapToGrid w:val="0"/>
        </w:rPr>
        <w:t>9.2.6</w:t>
      </w:r>
      <w:r w:rsidRPr="000A2EE1">
        <w:rPr>
          <w:iCs/>
          <w:snapToGrid w:val="0"/>
        </w:rPr>
        <w:tab/>
        <w:t>Amend to read as follows:</w:t>
      </w:r>
    </w:p>
    <w:p w:rsidR="00E3232B" w:rsidRPr="000A2EE1" w:rsidRDefault="006E67B9" w:rsidP="00E3232B">
      <w:pPr>
        <w:tabs>
          <w:tab w:val="left" w:pos="2410"/>
        </w:tabs>
        <w:spacing w:after="120"/>
        <w:ind w:left="1134" w:right="1134"/>
        <w:jc w:val="both"/>
        <w:rPr>
          <w:rFonts w:eastAsia="SimSun"/>
          <w:b/>
        </w:rPr>
      </w:pPr>
      <w:r w:rsidRPr="000A2EE1">
        <w:rPr>
          <w:iCs/>
          <w:snapToGrid w:val="0"/>
        </w:rPr>
        <w:t>“</w:t>
      </w:r>
      <w:r w:rsidR="00E3232B" w:rsidRPr="000A2EE1">
        <w:rPr>
          <w:rFonts w:eastAsia="SimSun"/>
          <w:b/>
        </w:rPr>
        <w:t>9.2.6</w:t>
      </w:r>
      <w:r w:rsidR="00E3232B" w:rsidRPr="000A2EE1">
        <w:rPr>
          <w:rFonts w:eastAsia="SimSun"/>
        </w:rPr>
        <w:tab/>
      </w:r>
      <w:r w:rsidR="00E3232B" w:rsidRPr="000A2EE1">
        <w:rPr>
          <w:rFonts w:eastAsia="SimSun"/>
          <w:b/>
        </w:rPr>
        <w:t>Coupling devices of motor vehicles and trailers</w:t>
      </w:r>
    </w:p>
    <w:p w:rsidR="00E3232B" w:rsidRPr="000A2EE1" w:rsidRDefault="00E3232B" w:rsidP="00E3232B">
      <w:pPr>
        <w:tabs>
          <w:tab w:val="left" w:pos="2410"/>
        </w:tabs>
        <w:spacing w:after="120"/>
        <w:ind w:left="1134" w:right="1134"/>
        <w:jc w:val="both"/>
        <w:rPr>
          <w:rFonts w:eastAsia="SimSun"/>
        </w:rPr>
      </w:pPr>
      <w:r w:rsidRPr="000A2EE1">
        <w:rPr>
          <w:rFonts w:eastAsia="SimSun"/>
        </w:rPr>
        <w:tab/>
        <w:t>Coupling devices of motor vehicles and trailers shall comply with the technical requirements of ECE Regulation No. 55</w:t>
      </w:r>
      <w:r w:rsidRPr="000A2EE1">
        <w:rPr>
          <w:rFonts w:eastAsia="SimSun"/>
          <w:vertAlign w:val="superscript"/>
        </w:rPr>
        <w:t>2</w:t>
      </w:r>
      <w:r w:rsidRPr="000A2EE1">
        <w:rPr>
          <w:rFonts w:eastAsia="SimSun"/>
        </w:rPr>
        <w:t xml:space="preserve"> as amended, in accordance with the dates of application specified therein.</w:t>
      </w:r>
      <w:r w:rsidR="006E67B9" w:rsidRPr="000A2EE1">
        <w:rPr>
          <w:rFonts w:eastAsia="SimSun"/>
        </w:rPr>
        <w:t>”</w:t>
      </w:r>
      <w:r w:rsidRPr="000A2EE1">
        <w:rPr>
          <w:rFonts w:eastAsia="SimSun"/>
        </w:rPr>
        <w:t>.</w:t>
      </w:r>
    </w:p>
    <w:p w:rsidR="00E3232B" w:rsidRPr="000A2EE1" w:rsidRDefault="00E3232B" w:rsidP="00E3232B">
      <w:pPr>
        <w:tabs>
          <w:tab w:val="left" w:pos="1701"/>
        </w:tabs>
        <w:spacing w:after="120"/>
        <w:ind w:left="1134" w:right="1134"/>
        <w:jc w:val="both"/>
      </w:pPr>
      <w:r w:rsidRPr="000A2EE1">
        <w:t>Insert the following new section 9.2.7:</w:t>
      </w:r>
    </w:p>
    <w:p w:rsidR="00E3232B" w:rsidRPr="000A2EE1" w:rsidRDefault="006E67B9" w:rsidP="00E3232B">
      <w:pPr>
        <w:pStyle w:val="SingleTxtG"/>
        <w:ind w:left="2268" w:hanging="1134"/>
        <w:rPr>
          <w:b/>
          <w:snapToGrid w:val="0"/>
        </w:rPr>
      </w:pPr>
      <w:r w:rsidRPr="000A2EE1">
        <w:t>“</w:t>
      </w:r>
      <w:r w:rsidR="00E3232B" w:rsidRPr="000A2EE1">
        <w:rPr>
          <w:b/>
        </w:rPr>
        <w:t>9.2.7</w:t>
      </w:r>
      <w:r w:rsidR="00E3232B" w:rsidRPr="000A2EE1">
        <w:tab/>
      </w:r>
      <w:r w:rsidR="00E3232B" w:rsidRPr="000A2EE1">
        <w:rPr>
          <w:b/>
        </w:rPr>
        <w:t>Prevention of other risks caused by fuels</w:t>
      </w:r>
    </w:p>
    <w:p w:rsidR="00E3232B" w:rsidRPr="000A2EE1" w:rsidRDefault="00E3232B" w:rsidP="0079404D">
      <w:pPr>
        <w:tabs>
          <w:tab w:val="left" w:pos="2410"/>
        </w:tabs>
        <w:spacing w:after="120"/>
        <w:ind w:left="1134" w:right="1134"/>
        <w:jc w:val="both"/>
        <w:rPr>
          <w:snapToGrid w:val="0"/>
        </w:rPr>
      </w:pPr>
      <w:r w:rsidRPr="000A2EE1">
        <w:t>9.2.7.1</w:t>
      </w:r>
      <w:r w:rsidRPr="000A2EE1">
        <w:tab/>
        <w:t>Fuel systems for engines fuelled by LNG shall be so equipped and situated to avoid any danger to the load due to the gas being refrigerated.</w:t>
      </w:r>
      <w:r w:rsidR="006E67B9" w:rsidRPr="000A2EE1">
        <w:t>”</w:t>
      </w:r>
      <w:r w:rsidRPr="000A2EE1">
        <w:t>.</w:t>
      </w:r>
    </w:p>
    <w:p w:rsidR="00E3232B" w:rsidRPr="000A2EE1" w:rsidRDefault="00E3232B" w:rsidP="00E3232B">
      <w:pPr>
        <w:pStyle w:val="H1G"/>
      </w:pPr>
      <w:r w:rsidRPr="000A2EE1">
        <w:tab/>
      </w:r>
      <w:r w:rsidRPr="000A2EE1">
        <w:tab/>
        <w:t>Chapter 9.3</w:t>
      </w:r>
    </w:p>
    <w:p w:rsidR="00E3232B" w:rsidRPr="000A2EE1" w:rsidRDefault="00E3232B" w:rsidP="0079404D">
      <w:pPr>
        <w:pStyle w:val="SingleTxtG"/>
        <w:tabs>
          <w:tab w:val="left" w:pos="2268"/>
        </w:tabs>
      </w:pPr>
      <w:r w:rsidRPr="000A2EE1">
        <w:t>9.3.7</w:t>
      </w:r>
      <w:r w:rsidRPr="000A2EE1">
        <w:tab/>
        <w:t>Amend to read as follows:</w:t>
      </w:r>
    </w:p>
    <w:p w:rsidR="00E3232B" w:rsidRPr="000A2EE1" w:rsidRDefault="006E67B9" w:rsidP="0079404D">
      <w:pPr>
        <w:pStyle w:val="SingleTxtG"/>
        <w:tabs>
          <w:tab w:val="left" w:pos="2268"/>
        </w:tabs>
      </w:pPr>
      <w:r w:rsidRPr="000A2EE1">
        <w:t>“</w:t>
      </w:r>
      <w:r w:rsidR="00E3232B" w:rsidRPr="000A2EE1">
        <w:rPr>
          <w:b/>
        </w:rPr>
        <w:t>9.3.7</w:t>
      </w:r>
      <w:r w:rsidR="00E3232B" w:rsidRPr="000A2EE1">
        <w:rPr>
          <w:b/>
        </w:rPr>
        <w:tab/>
      </w:r>
      <w:r w:rsidR="00E3232B" w:rsidRPr="000A2EE1">
        <w:rPr>
          <w:b/>
        </w:rPr>
        <w:tab/>
        <w:t>Electrical equipment</w:t>
      </w:r>
    </w:p>
    <w:p w:rsidR="00E3232B" w:rsidRPr="000A2EE1" w:rsidRDefault="0079404D" w:rsidP="0079404D">
      <w:pPr>
        <w:tabs>
          <w:tab w:val="left" w:pos="2268"/>
          <w:tab w:val="left" w:pos="2410"/>
        </w:tabs>
        <w:spacing w:after="120"/>
        <w:ind w:left="1134" w:right="1134"/>
        <w:jc w:val="both"/>
      </w:pPr>
      <w:r w:rsidRPr="000A2EE1">
        <w:t>9.3.7.1</w:t>
      </w:r>
      <w:r w:rsidRPr="000A2EE1">
        <w:tab/>
      </w:r>
      <w:r w:rsidR="00E3232B" w:rsidRPr="000A2EE1">
        <w:t>The electrical installation shall meet the relevant requirements of 9.2.2.1, 9.2.2.2 9.2.2.3, 9.2.2.4, 9.2.2.5, 9.2.2.6, 9.2.2.7, 9.2.2.8 and 9.2.2.9.2.</w:t>
      </w:r>
    </w:p>
    <w:p w:rsidR="00E3232B" w:rsidRPr="000A2EE1" w:rsidRDefault="00E3232B" w:rsidP="0079404D">
      <w:pPr>
        <w:tabs>
          <w:tab w:val="left" w:pos="2268"/>
          <w:tab w:val="left" w:pos="2410"/>
        </w:tabs>
        <w:spacing w:after="120"/>
        <w:ind w:left="1134" w:right="1134"/>
        <w:jc w:val="both"/>
      </w:pPr>
      <w:r w:rsidRPr="000A2EE1">
        <w:t>9.3.7.2</w:t>
      </w:r>
      <w:r w:rsidRPr="000A2EE1">
        <w:tab/>
      </w:r>
      <w:r w:rsidRPr="000A2EE1">
        <w:rPr>
          <w:rFonts w:eastAsia="SimSun"/>
        </w:rPr>
        <w:t>The</w:t>
      </w:r>
      <w:r w:rsidRPr="000A2EE1">
        <w:t xml:space="preserve"> electrical installation in the load compartment shall be dust-protected at least IP 54 according to IEC 60529 or equivalent. In the case of carriage of items and articles of compatibility group J, protection to at least IP 65 according to IEC 60529 or equivalent shall be provided.</w:t>
      </w:r>
    </w:p>
    <w:p w:rsidR="00E3232B" w:rsidRPr="000A2EE1" w:rsidRDefault="0079404D" w:rsidP="0079404D">
      <w:pPr>
        <w:tabs>
          <w:tab w:val="left" w:pos="2268"/>
          <w:tab w:val="left" w:pos="2410"/>
        </w:tabs>
        <w:spacing w:after="120"/>
        <w:ind w:left="1134" w:right="1134"/>
        <w:jc w:val="both"/>
      </w:pPr>
      <w:r w:rsidRPr="000A2EE1">
        <w:t>9.3.7.3</w:t>
      </w:r>
      <w:r w:rsidRPr="000A2EE1">
        <w:tab/>
      </w:r>
      <w:r w:rsidR="00E3232B" w:rsidRPr="000A2EE1">
        <w:t>No wiring shall be positioned inside the load compartment. Electrical equipment accessible from the inside of the load compartment shall be sufficiently protected from mechanical impact from the inside.</w:t>
      </w:r>
      <w:r w:rsidR="006E67B9" w:rsidRPr="000A2EE1">
        <w:t>”</w:t>
      </w:r>
      <w:r w:rsidR="00E3232B" w:rsidRPr="000A2EE1">
        <w:t>.</w:t>
      </w:r>
    </w:p>
    <w:p w:rsidR="00E3232B" w:rsidRPr="000A2EE1" w:rsidRDefault="00E3232B" w:rsidP="00E3232B">
      <w:pPr>
        <w:pStyle w:val="H1G"/>
      </w:pPr>
      <w:r w:rsidRPr="000A2EE1">
        <w:tab/>
      </w:r>
      <w:r w:rsidRPr="000A2EE1">
        <w:tab/>
        <w:t>Chapter 9.7</w:t>
      </w:r>
    </w:p>
    <w:p w:rsidR="00E3232B" w:rsidRPr="000A2EE1" w:rsidRDefault="00E3232B" w:rsidP="00E3232B">
      <w:pPr>
        <w:pStyle w:val="SingleTxtG"/>
        <w:tabs>
          <w:tab w:val="left" w:pos="1843"/>
        </w:tabs>
        <w:ind w:left="2268" w:hanging="1134"/>
      </w:pPr>
      <w:r w:rsidRPr="000A2EE1">
        <w:t>9.7</w:t>
      </w:r>
      <w:r w:rsidRPr="000A2EE1">
        <w:tab/>
        <w:t xml:space="preserve">In the title of the chapter, delete </w:t>
      </w:r>
      <w:r w:rsidR="006E67B9" w:rsidRPr="000A2EE1">
        <w:t>“</w:t>
      </w:r>
      <w:r w:rsidRPr="000A2EE1">
        <w:t>, OX</w:t>
      </w:r>
      <w:r w:rsidR="006E67B9" w:rsidRPr="000A2EE1">
        <w:t>”</w:t>
      </w:r>
      <w:r w:rsidRPr="000A2EE1">
        <w:t>.</w:t>
      </w:r>
    </w:p>
    <w:p w:rsidR="00E3232B" w:rsidRPr="000A2EE1" w:rsidRDefault="00E3232B" w:rsidP="00E3232B">
      <w:pPr>
        <w:pStyle w:val="SingleTxtG"/>
      </w:pPr>
      <w:r w:rsidRPr="000A2EE1">
        <w:t>9.7.3</w:t>
      </w:r>
      <w:r w:rsidRPr="000A2EE1">
        <w:tab/>
        <w:t>Before “6.8.2.1.15” insert “6.8.2.1.13,”.</w:t>
      </w:r>
    </w:p>
    <w:p w:rsidR="00E3232B" w:rsidRPr="000A2EE1" w:rsidRDefault="00E3232B" w:rsidP="00E3232B">
      <w:pPr>
        <w:pStyle w:val="SingleTxtG"/>
        <w:tabs>
          <w:tab w:val="left" w:pos="1985"/>
        </w:tabs>
      </w:pPr>
      <w:r w:rsidRPr="000A2EE1">
        <w:t>9.7.8.1</w:t>
      </w:r>
      <w:r w:rsidRPr="000A2EE1">
        <w:tab/>
        <w:t xml:space="preserve">Amend the first sentence to read as follows: </w:t>
      </w:r>
      <w:r w:rsidR="006E67B9" w:rsidRPr="000A2EE1">
        <w:t>“</w:t>
      </w:r>
      <w:r w:rsidRPr="000A2EE1">
        <w:t>The electrical installation on FL vehicles shall meet the relevant requirements of 9.2.2.1, 9.2.2.2, 9.2.2.4, 9.2.2.5, 9.2.2.6, 9.2.2.8 and 9.2.2.9.1.</w:t>
      </w:r>
      <w:r w:rsidR="006E67B9" w:rsidRPr="000A2EE1">
        <w:t>”</w:t>
      </w:r>
      <w:r w:rsidRPr="000A2EE1">
        <w:t>.</w:t>
      </w:r>
    </w:p>
    <w:p w:rsidR="00E3232B" w:rsidRPr="000A2EE1" w:rsidRDefault="00E3232B" w:rsidP="00E3232B">
      <w:pPr>
        <w:pStyle w:val="SingleTxtG"/>
        <w:spacing w:before="240" w:after="0"/>
        <w:jc w:val="center"/>
        <w:rPr>
          <w:u w:val="single"/>
        </w:rPr>
      </w:pPr>
      <w:r w:rsidRPr="000A2EE1">
        <w:rPr>
          <w:u w:val="single"/>
        </w:rPr>
        <w:tab/>
      </w:r>
      <w:r w:rsidRPr="000A2EE1">
        <w:rPr>
          <w:u w:val="single"/>
        </w:rPr>
        <w:tab/>
      </w:r>
      <w:r w:rsidRPr="000A2EE1">
        <w:rPr>
          <w:u w:val="single"/>
        </w:rPr>
        <w:tab/>
      </w:r>
    </w:p>
    <w:sectPr w:rsidR="00E3232B" w:rsidRPr="000A2EE1" w:rsidSect="000A2896">
      <w:headerReference w:type="even" r:id="rId24"/>
      <w:headerReference w:type="default" r:id="rId25"/>
      <w:footerReference w:type="even" r:id="rId26"/>
      <w:footerReference w:type="default" r:id="rId2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B0" w:rsidRDefault="004111B0"/>
  </w:endnote>
  <w:endnote w:type="continuationSeparator" w:id="0">
    <w:p w:rsidR="004111B0" w:rsidRDefault="004111B0"/>
  </w:endnote>
  <w:endnote w:type="continuationNotice" w:id="1">
    <w:p w:rsidR="004111B0" w:rsidRDefault="00411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4111B0" w:rsidP="000A2896">
    <w:pPr>
      <w:pStyle w:val="Pieddepage"/>
      <w:tabs>
        <w:tab w:val="right" w:pos="9638"/>
      </w:tabs>
      <w:rPr>
        <w:sz w:val="18"/>
      </w:rPr>
    </w:pPr>
    <w:r w:rsidRPr="000A2896">
      <w:rPr>
        <w:b/>
        <w:sz w:val="18"/>
      </w:rPr>
      <w:fldChar w:fldCharType="begin"/>
    </w:r>
    <w:r w:rsidRPr="000A2896">
      <w:rPr>
        <w:b/>
        <w:sz w:val="18"/>
      </w:rPr>
      <w:instrText xml:space="preserve"> PAGE  \* MERGEFORMAT </w:instrText>
    </w:r>
    <w:r w:rsidRPr="000A2896">
      <w:rPr>
        <w:b/>
        <w:sz w:val="18"/>
      </w:rPr>
      <w:fldChar w:fldCharType="separate"/>
    </w:r>
    <w:r w:rsidR="00B95DFC">
      <w:rPr>
        <w:b/>
        <w:noProof/>
        <w:sz w:val="18"/>
      </w:rPr>
      <w:t>14</w:t>
    </w:r>
    <w:r w:rsidRPr="000A289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4111B0" w:rsidP="000A2896">
    <w:pPr>
      <w:pStyle w:val="Pieddepage"/>
      <w:tabs>
        <w:tab w:val="right" w:pos="9638"/>
      </w:tabs>
      <w:rPr>
        <w:b/>
        <w:sz w:val="18"/>
      </w:rPr>
    </w:pPr>
    <w:r>
      <w:tab/>
    </w:r>
    <w:r w:rsidRPr="000A2896">
      <w:rPr>
        <w:b/>
        <w:sz w:val="18"/>
      </w:rPr>
      <w:fldChar w:fldCharType="begin"/>
    </w:r>
    <w:r w:rsidRPr="000A2896">
      <w:rPr>
        <w:b/>
        <w:sz w:val="18"/>
      </w:rPr>
      <w:instrText xml:space="preserve"> PAGE  \* MERGEFORMAT </w:instrText>
    </w:r>
    <w:r w:rsidRPr="000A2896">
      <w:rPr>
        <w:b/>
        <w:sz w:val="18"/>
      </w:rPr>
      <w:fldChar w:fldCharType="separate"/>
    </w:r>
    <w:r w:rsidR="00B95DFC">
      <w:rPr>
        <w:b/>
        <w:noProof/>
        <w:sz w:val="18"/>
      </w:rPr>
      <w:t>15</w:t>
    </w:r>
    <w:r w:rsidRPr="000A28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4111B0" w:rsidP="000A289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4111B0" w:rsidP="000A2896">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4111B0" w:rsidP="000A2896">
    <w:pPr>
      <w:pStyle w:val="Pieddepage"/>
      <w:tabs>
        <w:tab w:val="right" w:pos="9638"/>
      </w:tabs>
    </w:pPr>
    <w:r w:rsidRPr="000A2896">
      <w:rPr>
        <w:b/>
        <w:sz w:val="18"/>
      </w:rPr>
      <w:fldChar w:fldCharType="begin"/>
    </w:r>
    <w:r w:rsidRPr="000A2896">
      <w:rPr>
        <w:b/>
        <w:sz w:val="18"/>
      </w:rPr>
      <w:instrText xml:space="preserve"> PAGE  \* MERGEFORMAT </w:instrText>
    </w:r>
    <w:r w:rsidRPr="000A2896">
      <w:rPr>
        <w:b/>
        <w:sz w:val="18"/>
      </w:rPr>
      <w:fldChar w:fldCharType="separate"/>
    </w:r>
    <w:r w:rsidR="00B95DFC">
      <w:rPr>
        <w:b/>
        <w:noProof/>
        <w:sz w:val="18"/>
      </w:rPr>
      <w:t>72</w:t>
    </w:r>
    <w:r w:rsidRPr="000A2896">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4111B0" w:rsidP="000A2896">
    <w:pPr>
      <w:pStyle w:val="Pieddepage"/>
      <w:tabs>
        <w:tab w:val="right" w:pos="9638"/>
      </w:tabs>
      <w:rPr>
        <w:b/>
        <w:sz w:val="18"/>
      </w:rPr>
    </w:pPr>
    <w:r>
      <w:tab/>
    </w:r>
    <w:r w:rsidRPr="000A2896">
      <w:rPr>
        <w:b/>
        <w:sz w:val="18"/>
      </w:rPr>
      <w:fldChar w:fldCharType="begin"/>
    </w:r>
    <w:r w:rsidRPr="000A2896">
      <w:rPr>
        <w:b/>
        <w:sz w:val="18"/>
      </w:rPr>
      <w:instrText xml:space="preserve"> PAGE  \* MERGEFORMAT </w:instrText>
    </w:r>
    <w:r w:rsidRPr="000A2896">
      <w:rPr>
        <w:b/>
        <w:sz w:val="18"/>
      </w:rPr>
      <w:fldChar w:fldCharType="separate"/>
    </w:r>
    <w:r w:rsidR="00B95DFC">
      <w:rPr>
        <w:b/>
        <w:noProof/>
        <w:sz w:val="18"/>
      </w:rPr>
      <w:t>71</w:t>
    </w:r>
    <w:r w:rsidRPr="000A289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B0" w:rsidRPr="000B175B" w:rsidRDefault="004111B0" w:rsidP="000B175B">
      <w:pPr>
        <w:tabs>
          <w:tab w:val="right" w:pos="2155"/>
        </w:tabs>
        <w:spacing w:after="80"/>
        <w:ind w:left="680"/>
        <w:rPr>
          <w:u w:val="single"/>
        </w:rPr>
      </w:pPr>
      <w:r>
        <w:rPr>
          <w:u w:val="single"/>
        </w:rPr>
        <w:tab/>
      </w:r>
    </w:p>
  </w:footnote>
  <w:footnote w:type="continuationSeparator" w:id="0">
    <w:p w:rsidR="004111B0" w:rsidRPr="00FC68B7" w:rsidRDefault="004111B0" w:rsidP="00FC68B7">
      <w:pPr>
        <w:tabs>
          <w:tab w:val="left" w:pos="2155"/>
        </w:tabs>
        <w:spacing w:after="80"/>
        <w:ind w:left="680"/>
        <w:rPr>
          <w:u w:val="single"/>
        </w:rPr>
      </w:pPr>
      <w:r>
        <w:rPr>
          <w:u w:val="single"/>
        </w:rPr>
        <w:tab/>
      </w:r>
    </w:p>
  </w:footnote>
  <w:footnote w:type="continuationNotice" w:id="1">
    <w:p w:rsidR="004111B0" w:rsidRDefault="004111B0"/>
  </w:footnote>
  <w:footnote w:id="2">
    <w:p w:rsidR="004111B0" w:rsidRPr="00000551" w:rsidRDefault="004111B0" w:rsidP="00E3232B">
      <w:pPr>
        <w:pStyle w:val="Notedebasdepage"/>
        <w:rPr>
          <w:lang w:val="en-US"/>
        </w:rPr>
      </w:pPr>
      <w:r>
        <w:tab/>
      </w:r>
      <w:r>
        <w:rPr>
          <w:rStyle w:val="Appelnotedebasdep"/>
        </w:rPr>
        <w:t>2</w:t>
      </w:r>
      <w:r>
        <w:rPr>
          <w:rStyle w:val="Appelnotedebasdep"/>
        </w:rPr>
        <w:tab/>
      </w:r>
      <w:r w:rsidRPr="00D65282">
        <w:rPr>
          <w:sz w:val="20"/>
        </w:rPr>
        <w:t>For example, compliance with the relevant provisions of Directive 2006/42/EC of the European Parliament and of the Council of 17 May 2006 on machinery, and amending Directive 95/16/EC (Official Journal of the European Union No. L 157 of 9 June 2006, pp. 0024-0086).</w:t>
      </w:r>
    </w:p>
  </w:footnote>
  <w:footnote w:id="3">
    <w:p w:rsidR="004111B0" w:rsidRPr="00922989" w:rsidRDefault="004111B0" w:rsidP="00E3232B">
      <w:pPr>
        <w:pStyle w:val="Notedebasdepage"/>
        <w:rPr>
          <w:i/>
          <w:sz w:val="20"/>
        </w:rPr>
      </w:pPr>
      <w:r>
        <w:tab/>
      </w:r>
      <w:r>
        <w:rPr>
          <w:vertAlign w:val="superscript"/>
        </w:rPr>
        <w:t>1</w:t>
      </w:r>
      <w:r w:rsidRPr="00922989">
        <w:rPr>
          <w:i/>
          <w:sz w:val="20"/>
        </w:rPr>
        <w:tab/>
        <w:t>Distinguishing sign for motor vehicles in international traffic prescribed in the Vienna Convention on Road Traffic (1968).</w:t>
      </w:r>
    </w:p>
  </w:footnote>
  <w:footnote w:id="4">
    <w:p w:rsidR="004111B0" w:rsidRPr="00FD7CDE" w:rsidRDefault="004111B0" w:rsidP="00E3232B">
      <w:pPr>
        <w:pStyle w:val="Notedebasdepage"/>
        <w:tabs>
          <w:tab w:val="left" w:pos="708"/>
        </w:tabs>
        <w:ind w:hanging="425"/>
        <w:rPr>
          <w:i/>
          <w:sz w:val="20"/>
          <w:lang w:val="en-US"/>
        </w:rPr>
      </w:pPr>
      <w:r w:rsidRPr="00FD7CDE">
        <w:rPr>
          <w:rStyle w:val="Appelnotedebasdep"/>
          <w:sz w:val="20"/>
        </w:rPr>
        <w:footnoteRef/>
      </w:r>
      <w:r w:rsidRPr="0066252F">
        <w:rPr>
          <w:sz w:val="20"/>
        </w:rPr>
        <w:tab/>
      </w:r>
      <w:r w:rsidRPr="0066252F">
        <w:rPr>
          <w:sz w:val="20"/>
        </w:rPr>
        <w:tab/>
      </w:r>
      <w:r w:rsidRPr="00FD7CDE">
        <w:rPr>
          <w:i/>
          <w:sz w:val="20"/>
          <w:lang w:val="en-US"/>
        </w:rPr>
        <w:t>ISO 4009, referred to in this standard, need not be applied.</w:t>
      </w:r>
    </w:p>
  </w:footnote>
  <w:footnote w:id="5">
    <w:p w:rsidR="004111B0" w:rsidRPr="00FD7CDE" w:rsidRDefault="004111B0" w:rsidP="00E3232B">
      <w:pPr>
        <w:pStyle w:val="Notedebasdepage"/>
        <w:tabs>
          <w:tab w:val="left" w:pos="708"/>
        </w:tabs>
        <w:ind w:hanging="425"/>
        <w:rPr>
          <w:i/>
          <w:lang w:val="en-US"/>
        </w:rPr>
      </w:pPr>
      <w:r w:rsidRPr="00FD7CDE">
        <w:rPr>
          <w:rStyle w:val="Appelnotedebasdep"/>
          <w:sz w:val="20"/>
        </w:rPr>
        <w:footnoteRef/>
      </w:r>
      <w:r w:rsidRPr="00FD7CDE">
        <w:rPr>
          <w:sz w:val="20"/>
          <w:lang w:val="en-US"/>
        </w:rPr>
        <w:tab/>
      </w:r>
      <w:r>
        <w:rPr>
          <w:sz w:val="20"/>
          <w:lang w:val="en-US"/>
        </w:rPr>
        <w:tab/>
      </w:r>
      <w:r w:rsidRPr="00FD7CDE">
        <w:rPr>
          <w:i/>
          <w:sz w:val="20"/>
        </w:rPr>
        <w:t>ECE Regulation No. 55 (Uniform provisions concerning the approval of mechanical coupling components of combinations of vehicles).</w:t>
      </w:r>
    </w:p>
  </w:footnote>
  <w:footnote w:id="6">
    <w:p w:rsidR="004111B0" w:rsidRDefault="004111B0" w:rsidP="00E3232B">
      <w:pPr>
        <w:spacing w:after="60"/>
        <w:ind w:left="709" w:right="-102"/>
        <w:rPr>
          <w:lang w:val="en-US"/>
        </w:rPr>
      </w:pPr>
      <w:r>
        <w:rPr>
          <w:rStyle w:val="Appelnotedebasdep"/>
          <w:iCs/>
          <w:snapToGrid w:val="0"/>
        </w:rPr>
        <w:footnoteRef/>
      </w:r>
      <w:r>
        <w:rPr>
          <w:i/>
          <w:vertAlign w:val="superscript"/>
          <w:lang w:val="en-US"/>
        </w:rPr>
        <w:tab/>
      </w:r>
      <w:r>
        <w:rPr>
          <w:i/>
          <w:lang w:val="en-US"/>
        </w:rPr>
        <w:t>The requirements of IEC 60079 part 14 do not take precedence over the requirement of this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4111B0">
    <w:pPr>
      <w:pStyle w:val="En-tte"/>
    </w:pPr>
    <w:r>
      <w:t>ECE/TRANS/WP.15/231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4111B0" w:rsidP="000A2896">
    <w:pPr>
      <w:pStyle w:val="En-tte"/>
      <w:jc w:val="right"/>
    </w:pPr>
    <w:r>
      <w:t>ECE/TRANS/WP.15/231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B95DFC" w:rsidP="000A2896">
    <w:r>
      <w:rPr>
        <w:noProof/>
        <w:lang w:val="fr-FR" w:eastAsia="fr-FR"/>
      </w:rPr>
      <w:pict>
        <v:shapetype id="_x0000_t202" coordsize="21600,21600" o:spt="202" path="m,l,21600r21600,l21600,xe">
          <v:stroke joinstyle="miter"/>
          <v:path gradientshapeok="t" o:connecttype="rect"/>
        </v:shapetype>
        <v:shape id="_x0000_s2053" type="#_x0000_t202" style="position:absolute;margin-left:-34pt;margin-top:0;width:17.55pt;height:481.9pt;z-index:251659264;mso-position-horizontal-relative:margin;mso-position-vertical-relative:margin" stroked="f">
          <v:textbox style="layout-flow:vertical;mso-next-textbox:#_x0000_s2053" inset="0,0,0,0">
            <w:txbxContent>
              <w:p w:rsidR="004111B0" w:rsidRPr="000A2896" w:rsidRDefault="004111B0" w:rsidP="000A2896">
                <w:pPr>
                  <w:pStyle w:val="Pieddepage"/>
                  <w:tabs>
                    <w:tab w:val="right" w:pos="9638"/>
                  </w:tabs>
                  <w:rPr>
                    <w:sz w:val="18"/>
                  </w:rPr>
                </w:pPr>
                <w:r w:rsidRPr="000A2896">
                  <w:rPr>
                    <w:b/>
                    <w:sz w:val="18"/>
                  </w:rPr>
                  <w:fldChar w:fldCharType="begin"/>
                </w:r>
                <w:r w:rsidRPr="000A2896">
                  <w:rPr>
                    <w:b/>
                    <w:sz w:val="18"/>
                  </w:rPr>
                  <w:instrText xml:space="preserve"> PAGE  \* MERGEFORMAT </w:instrText>
                </w:r>
                <w:r w:rsidRPr="000A2896">
                  <w:rPr>
                    <w:b/>
                    <w:sz w:val="18"/>
                  </w:rPr>
                  <w:fldChar w:fldCharType="separate"/>
                </w:r>
                <w:r w:rsidR="00B95DFC">
                  <w:rPr>
                    <w:b/>
                    <w:noProof/>
                    <w:sz w:val="18"/>
                  </w:rPr>
                  <w:t>18</w:t>
                </w:r>
                <w:r w:rsidRPr="000A2896">
                  <w:rPr>
                    <w:b/>
                    <w:sz w:val="18"/>
                  </w:rPr>
                  <w:fldChar w:fldCharType="end"/>
                </w:r>
                <w:r>
                  <w:rPr>
                    <w:sz w:val="18"/>
                  </w:rPr>
                  <w:tab/>
                </w:r>
              </w:p>
              <w:p w:rsidR="004111B0" w:rsidRDefault="004111B0"/>
            </w:txbxContent>
          </v:textbox>
          <w10:wrap anchorx="margin" anchory="margin"/>
        </v:shape>
      </w:pict>
    </w:r>
    <w:r>
      <w:rPr>
        <w:noProof/>
        <w:lang w:val="fr-FR" w:eastAsia="fr-FR"/>
      </w:rPr>
      <w:pict>
        <v:shape id="_x0000_s2052" type="#_x0000_t202" style="position:absolute;margin-left:771pt;margin-top:0;width:17pt;height:481.9pt;z-index:251658240;mso-position-horizontal-relative:page;mso-position-vertical-relative:margin" stroked="f">
          <v:textbox style="layout-flow:vertical;mso-next-textbox:#_x0000_s2052" inset="0,0,0,0">
            <w:txbxContent>
              <w:p w:rsidR="004111B0" w:rsidRPr="000A2896" w:rsidRDefault="004111B0" w:rsidP="000A2896">
                <w:pPr>
                  <w:pStyle w:val="En-tte"/>
                </w:pPr>
                <w:r>
                  <w:t>ECE/TRANS/WP.15/231</w:t>
                </w:r>
              </w:p>
              <w:p w:rsidR="004111B0" w:rsidRDefault="004111B0"/>
            </w:txbxContent>
          </v:textbox>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B95DFC" w:rsidP="000A2896">
    <w:r>
      <w:rPr>
        <w:noProof/>
        <w:lang w:val="fr-FR" w:eastAsia="fr-FR"/>
      </w:rPr>
      <w:pict>
        <v:shapetype id="_x0000_t202" coordsize="21600,21600" o:spt="202" path="m,l,21600r21600,l21600,xe">
          <v:stroke joinstyle="miter"/>
          <v:path gradientshapeok="t" o:connecttype="rect"/>
        </v:shapetype>
        <v:shape id="_x0000_s2051" type="#_x0000_t202" style="position:absolute;margin-left:-34pt;margin-top:0;width:17.55pt;height:481.9pt;z-index:251657216;mso-position-horizontal-relative:margin;mso-position-vertical-relative:margin" stroked="f">
          <v:textbox style="layout-flow:vertical;mso-next-textbox:#_x0000_s2051" inset="0,0,0,0">
            <w:txbxContent>
              <w:p w:rsidR="004111B0" w:rsidRPr="000A2896" w:rsidRDefault="004111B0" w:rsidP="000A2896">
                <w:pPr>
                  <w:pStyle w:val="Pieddepage"/>
                  <w:tabs>
                    <w:tab w:val="right" w:pos="9638"/>
                  </w:tabs>
                  <w:rPr>
                    <w:b/>
                    <w:sz w:val="18"/>
                  </w:rPr>
                </w:pPr>
                <w:r>
                  <w:tab/>
                </w:r>
                <w:r w:rsidRPr="000A2896">
                  <w:rPr>
                    <w:b/>
                    <w:sz w:val="18"/>
                  </w:rPr>
                  <w:fldChar w:fldCharType="begin"/>
                </w:r>
                <w:r w:rsidRPr="000A2896">
                  <w:rPr>
                    <w:b/>
                    <w:sz w:val="18"/>
                  </w:rPr>
                  <w:instrText xml:space="preserve"> PAGE  \* MERGEFORMAT </w:instrText>
                </w:r>
                <w:r w:rsidRPr="000A2896">
                  <w:rPr>
                    <w:b/>
                    <w:sz w:val="18"/>
                  </w:rPr>
                  <w:fldChar w:fldCharType="separate"/>
                </w:r>
                <w:r w:rsidR="00B95DFC">
                  <w:rPr>
                    <w:b/>
                    <w:noProof/>
                    <w:sz w:val="18"/>
                  </w:rPr>
                  <w:t>19</w:t>
                </w:r>
                <w:r w:rsidRPr="000A2896">
                  <w:rPr>
                    <w:b/>
                    <w:sz w:val="18"/>
                  </w:rPr>
                  <w:fldChar w:fldCharType="end"/>
                </w:r>
              </w:p>
              <w:p w:rsidR="004111B0" w:rsidRDefault="004111B0"/>
            </w:txbxContent>
          </v:textbox>
          <w10:wrap anchorx="margin" anchory="margin"/>
        </v:shape>
      </w:pict>
    </w:r>
    <w:r>
      <w:rPr>
        <w:noProof/>
        <w:lang w:val="fr-FR" w:eastAsia="fr-FR"/>
      </w:rPr>
      <w:pict>
        <v:shape id="_x0000_s2050" type="#_x0000_t202" style="position:absolute;margin-left:771pt;margin-top:0;width:17pt;height:481.9pt;z-index:251656192;mso-position-horizontal-relative:page;mso-position-vertical-relative:margin" stroked="f">
          <v:textbox style="layout-flow:vertical;mso-next-textbox:#_x0000_s2050" inset="0,0,0,0">
            <w:txbxContent>
              <w:p w:rsidR="004111B0" w:rsidRPr="000A2896" w:rsidRDefault="004111B0" w:rsidP="000A2896">
                <w:pPr>
                  <w:pStyle w:val="En-tte"/>
                  <w:jc w:val="right"/>
                </w:pPr>
                <w:r>
                  <w:t>ECE/TRANS/WP.15/231</w:t>
                </w:r>
              </w:p>
              <w:p w:rsidR="004111B0" w:rsidRDefault="004111B0"/>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Default="004111B0">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4111B0" w:rsidP="000A2896">
    <w:pPr>
      <w:pStyle w:val="En-tte"/>
    </w:pPr>
    <w:r>
      <w:t>ECE/TRANS/WP.15/231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0" w:rsidRPr="000A2896" w:rsidRDefault="004111B0" w:rsidP="000A2896">
    <w:pPr>
      <w:pStyle w:val="En-tte"/>
      <w:jc w:val="right"/>
    </w:pPr>
    <w:r>
      <w:t>ECE/TRANS/WP.15/231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DC21C4"/>
    <w:multiLevelType w:val="hybridMultilevel"/>
    <w:tmpl w:val="31D4E00A"/>
    <w:lvl w:ilvl="0" w:tplc="3D0A30B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32C1697"/>
    <w:multiLevelType w:val="hybridMultilevel"/>
    <w:tmpl w:val="BA7A8CC4"/>
    <w:lvl w:ilvl="0" w:tplc="828CD21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7F14BA9"/>
    <w:multiLevelType w:val="hybridMultilevel"/>
    <w:tmpl w:val="A4340C8C"/>
    <w:lvl w:ilvl="0" w:tplc="0874C346">
      <w:start w:val="1"/>
      <w:numFmt w:val="lowerRoman"/>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0">
    <w:nsid w:val="410A6905"/>
    <w:multiLevelType w:val="hybridMultilevel"/>
    <w:tmpl w:val="02027A00"/>
    <w:lvl w:ilvl="0" w:tplc="B23651C2">
      <w:start w:val="1"/>
      <w:numFmt w:val="lowerLetter"/>
      <w:lvlText w:val="(%1)"/>
      <w:lvlJc w:val="left"/>
      <w:pPr>
        <w:ind w:left="1217" w:hanging="360"/>
      </w:pPr>
      <w:rPr>
        <w:rFonts w:hint="default"/>
      </w:rPr>
    </w:lvl>
    <w:lvl w:ilvl="1" w:tplc="04100019" w:tentative="1">
      <w:start w:val="1"/>
      <w:numFmt w:val="lowerLetter"/>
      <w:lvlText w:val="%2."/>
      <w:lvlJc w:val="left"/>
      <w:pPr>
        <w:ind w:left="1937" w:hanging="360"/>
      </w:pPr>
    </w:lvl>
    <w:lvl w:ilvl="2" w:tplc="0410001B" w:tentative="1">
      <w:start w:val="1"/>
      <w:numFmt w:val="lowerRoman"/>
      <w:lvlText w:val="%3."/>
      <w:lvlJc w:val="right"/>
      <w:pPr>
        <w:ind w:left="2657" w:hanging="180"/>
      </w:pPr>
    </w:lvl>
    <w:lvl w:ilvl="3" w:tplc="0410000F" w:tentative="1">
      <w:start w:val="1"/>
      <w:numFmt w:val="decimal"/>
      <w:lvlText w:val="%4."/>
      <w:lvlJc w:val="left"/>
      <w:pPr>
        <w:ind w:left="3377" w:hanging="360"/>
      </w:pPr>
    </w:lvl>
    <w:lvl w:ilvl="4" w:tplc="04100019" w:tentative="1">
      <w:start w:val="1"/>
      <w:numFmt w:val="lowerLetter"/>
      <w:lvlText w:val="%5."/>
      <w:lvlJc w:val="left"/>
      <w:pPr>
        <w:ind w:left="4097" w:hanging="360"/>
      </w:pPr>
    </w:lvl>
    <w:lvl w:ilvl="5" w:tplc="0410001B" w:tentative="1">
      <w:start w:val="1"/>
      <w:numFmt w:val="lowerRoman"/>
      <w:lvlText w:val="%6."/>
      <w:lvlJc w:val="right"/>
      <w:pPr>
        <w:ind w:left="4817" w:hanging="180"/>
      </w:pPr>
    </w:lvl>
    <w:lvl w:ilvl="6" w:tplc="0410000F" w:tentative="1">
      <w:start w:val="1"/>
      <w:numFmt w:val="decimal"/>
      <w:lvlText w:val="%7."/>
      <w:lvlJc w:val="left"/>
      <w:pPr>
        <w:ind w:left="5537" w:hanging="360"/>
      </w:pPr>
    </w:lvl>
    <w:lvl w:ilvl="7" w:tplc="04100019" w:tentative="1">
      <w:start w:val="1"/>
      <w:numFmt w:val="lowerLetter"/>
      <w:lvlText w:val="%8."/>
      <w:lvlJc w:val="left"/>
      <w:pPr>
        <w:ind w:left="6257" w:hanging="360"/>
      </w:pPr>
    </w:lvl>
    <w:lvl w:ilvl="8" w:tplc="0410001B" w:tentative="1">
      <w:start w:val="1"/>
      <w:numFmt w:val="lowerRoman"/>
      <w:lvlText w:val="%9."/>
      <w:lvlJc w:val="right"/>
      <w:pPr>
        <w:ind w:left="6977"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5"/>
  </w:num>
  <w:num w:numId="13">
    <w:abstractNumId w:val="12"/>
  </w:num>
  <w:num w:numId="14">
    <w:abstractNumId w:val="22"/>
  </w:num>
  <w:num w:numId="15">
    <w:abstractNumId w:val="25"/>
  </w:num>
  <w:num w:numId="16">
    <w:abstractNumId w:val="16"/>
  </w:num>
  <w:num w:numId="17">
    <w:abstractNumId w:val="11"/>
  </w:num>
  <w:num w:numId="18">
    <w:abstractNumId w:val="23"/>
  </w:num>
  <w:num w:numId="19">
    <w:abstractNumId w:val="18"/>
  </w:num>
  <w:num w:numId="20">
    <w:abstractNumId w:val="24"/>
  </w:num>
  <w:num w:numId="21">
    <w:abstractNumId w:val="20"/>
  </w:num>
  <w:num w:numId="22">
    <w:abstractNumId w:val="17"/>
  </w:num>
  <w:num w:numId="23">
    <w:abstractNumId w:val="13"/>
  </w:num>
  <w:num w:numId="24">
    <w:abstractNumId w:val="19"/>
  </w:num>
  <w:num w:numId="25">
    <w:abstractNumId w:val="14"/>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8A4"/>
    <w:rsid w:val="00000551"/>
    <w:rsid w:val="00001906"/>
    <w:rsid w:val="00010704"/>
    <w:rsid w:val="00026BD5"/>
    <w:rsid w:val="00043DC1"/>
    <w:rsid w:val="00046B1F"/>
    <w:rsid w:val="00050F6B"/>
    <w:rsid w:val="00057B40"/>
    <w:rsid w:val="00057E97"/>
    <w:rsid w:val="000646F4"/>
    <w:rsid w:val="00072C8C"/>
    <w:rsid w:val="000733B5"/>
    <w:rsid w:val="00081184"/>
    <w:rsid w:val="00081815"/>
    <w:rsid w:val="000928A4"/>
    <w:rsid w:val="000931C0"/>
    <w:rsid w:val="000A1698"/>
    <w:rsid w:val="000A2896"/>
    <w:rsid w:val="000A2EE1"/>
    <w:rsid w:val="000B0595"/>
    <w:rsid w:val="000B175B"/>
    <w:rsid w:val="000B3A0F"/>
    <w:rsid w:val="000B4EF7"/>
    <w:rsid w:val="000B5ED8"/>
    <w:rsid w:val="000B7D76"/>
    <w:rsid w:val="000C2C03"/>
    <w:rsid w:val="000C2D2E"/>
    <w:rsid w:val="000D6229"/>
    <w:rsid w:val="000E0415"/>
    <w:rsid w:val="001103AA"/>
    <w:rsid w:val="0011666B"/>
    <w:rsid w:val="0012254C"/>
    <w:rsid w:val="00126342"/>
    <w:rsid w:val="00126A6E"/>
    <w:rsid w:val="00142ED7"/>
    <w:rsid w:val="00164B83"/>
    <w:rsid w:val="00165F3A"/>
    <w:rsid w:val="00171BA6"/>
    <w:rsid w:val="00187A0C"/>
    <w:rsid w:val="001965E8"/>
    <w:rsid w:val="001B08F0"/>
    <w:rsid w:val="001B4B04"/>
    <w:rsid w:val="001C27E6"/>
    <w:rsid w:val="001C6663"/>
    <w:rsid w:val="001C7895"/>
    <w:rsid w:val="001D0C8C"/>
    <w:rsid w:val="001D1419"/>
    <w:rsid w:val="001D26DF"/>
    <w:rsid w:val="001D3A03"/>
    <w:rsid w:val="001E07F4"/>
    <w:rsid w:val="001E5DB5"/>
    <w:rsid w:val="001E7B67"/>
    <w:rsid w:val="00202DA8"/>
    <w:rsid w:val="00203C0A"/>
    <w:rsid w:val="00203E3E"/>
    <w:rsid w:val="00211E0B"/>
    <w:rsid w:val="00222690"/>
    <w:rsid w:val="00237E67"/>
    <w:rsid w:val="0024710A"/>
    <w:rsid w:val="0024772E"/>
    <w:rsid w:val="002537DE"/>
    <w:rsid w:val="002610E0"/>
    <w:rsid w:val="00267F5F"/>
    <w:rsid w:val="00286B4D"/>
    <w:rsid w:val="00291D25"/>
    <w:rsid w:val="002D4643"/>
    <w:rsid w:val="002E348B"/>
    <w:rsid w:val="002F175C"/>
    <w:rsid w:val="00302E18"/>
    <w:rsid w:val="00311F62"/>
    <w:rsid w:val="003229D8"/>
    <w:rsid w:val="0035192C"/>
    <w:rsid w:val="00352709"/>
    <w:rsid w:val="003619B5"/>
    <w:rsid w:val="00365763"/>
    <w:rsid w:val="00371178"/>
    <w:rsid w:val="003819B3"/>
    <w:rsid w:val="00387F29"/>
    <w:rsid w:val="00392E47"/>
    <w:rsid w:val="003A6810"/>
    <w:rsid w:val="003B6D9B"/>
    <w:rsid w:val="003C2CC4"/>
    <w:rsid w:val="003D1847"/>
    <w:rsid w:val="003D4B23"/>
    <w:rsid w:val="003E130E"/>
    <w:rsid w:val="003F3DF5"/>
    <w:rsid w:val="00401A6C"/>
    <w:rsid w:val="00410C89"/>
    <w:rsid w:val="004111B0"/>
    <w:rsid w:val="00412262"/>
    <w:rsid w:val="00422E03"/>
    <w:rsid w:val="00426B9B"/>
    <w:rsid w:val="004325CB"/>
    <w:rsid w:val="00434CC5"/>
    <w:rsid w:val="00442A83"/>
    <w:rsid w:val="00451CF5"/>
    <w:rsid w:val="0045495B"/>
    <w:rsid w:val="00455E6D"/>
    <w:rsid w:val="004561E5"/>
    <w:rsid w:val="00472D3B"/>
    <w:rsid w:val="0048397A"/>
    <w:rsid w:val="00485CBB"/>
    <w:rsid w:val="004866B7"/>
    <w:rsid w:val="00495821"/>
    <w:rsid w:val="004A3FC5"/>
    <w:rsid w:val="004C2461"/>
    <w:rsid w:val="004C5EE0"/>
    <w:rsid w:val="004C7462"/>
    <w:rsid w:val="004E3FB8"/>
    <w:rsid w:val="004E77B2"/>
    <w:rsid w:val="004F3582"/>
    <w:rsid w:val="00504B2D"/>
    <w:rsid w:val="00517162"/>
    <w:rsid w:val="0052136D"/>
    <w:rsid w:val="0052775E"/>
    <w:rsid w:val="005420F2"/>
    <w:rsid w:val="00554802"/>
    <w:rsid w:val="0056126A"/>
    <w:rsid w:val="005628B6"/>
    <w:rsid w:val="00567154"/>
    <w:rsid w:val="005724D1"/>
    <w:rsid w:val="005941EC"/>
    <w:rsid w:val="0059724D"/>
    <w:rsid w:val="005A255B"/>
    <w:rsid w:val="005B246C"/>
    <w:rsid w:val="005B3DB3"/>
    <w:rsid w:val="005B3EB2"/>
    <w:rsid w:val="005B4E13"/>
    <w:rsid w:val="005C05E5"/>
    <w:rsid w:val="005C342F"/>
    <w:rsid w:val="005D2E2E"/>
    <w:rsid w:val="005F7B75"/>
    <w:rsid w:val="006001EE"/>
    <w:rsid w:val="00605042"/>
    <w:rsid w:val="00605E2A"/>
    <w:rsid w:val="00611FC4"/>
    <w:rsid w:val="006176FB"/>
    <w:rsid w:val="0062161A"/>
    <w:rsid w:val="00622334"/>
    <w:rsid w:val="006253FC"/>
    <w:rsid w:val="00640B26"/>
    <w:rsid w:val="00652D0A"/>
    <w:rsid w:val="00662BB6"/>
    <w:rsid w:val="00676606"/>
    <w:rsid w:val="00684C21"/>
    <w:rsid w:val="0069073E"/>
    <w:rsid w:val="00695792"/>
    <w:rsid w:val="00697083"/>
    <w:rsid w:val="006A2530"/>
    <w:rsid w:val="006B5229"/>
    <w:rsid w:val="006C00AE"/>
    <w:rsid w:val="006C3589"/>
    <w:rsid w:val="006D37AF"/>
    <w:rsid w:val="006D51D0"/>
    <w:rsid w:val="006D5FB9"/>
    <w:rsid w:val="006E564B"/>
    <w:rsid w:val="006E67B9"/>
    <w:rsid w:val="006E7191"/>
    <w:rsid w:val="00702B6E"/>
    <w:rsid w:val="00703577"/>
    <w:rsid w:val="007040A5"/>
    <w:rsid w:val="00705894"/>
    <w:rsid w:val="0072632A"/>
    <w:rsid w:val="007327D5"/>
    <w:rsid w:val="007629C8"/>
    <w:rsid w:val="00763390"/>
    <w:rsid w:val="0077047D"/>
    <w:rsid w:val="007751D2"/>
    <w:rsid w:val="00787141"/>
    <w:rsid w:val="00791E53"/>
    <w:rsid w:val="0079404D"/>
    <w:rsid w:val="007B0216"/>
    <w:rsid w:val="007B605A"/>
    <w:rsid w:val="007B6BA5"/>
    <w:rsid w:val="007C3390"/>
    <w:rsid w:val="007C4F4B"/>
    <w:rsid w:val="007D773A"/>
    <w:rsid w:val="007E01E9"/>
    <w:rsid w:val="007E63F3"/>
    <w:rsid w:val="007F6611"/>
    <w:rsid w:val="008023C1"/>
    <w:rsid w:val="00811920"/>
    <w:rsid w:val="00815AD0"/>
    <w:rsid w:val="00823914"/>
    <w:rsid w:val="008242D7"/>
    <w:rsid w:val="008257B1"/>
    <w:rsid w:val="00832334"/>
    <w:rsid w:val="00833E5F"/>
    <w:rsid w:val="008427EC"/>
    <w:rsid w:val="00843767"/>
    <w:rsid w:val="008679D9"/>
    <w:rsid w:val="008878DE"/>
    <w:rsid w:val="008979B1"/>
    <w:rsid w:val="008A4160"/>
    <w:rsid w:val="008A6B25"/>
    <w:rsid w:val="008A6C4F"/>
    <w:rsid w:val="008B2335"/>
    <w:rsid w:val="008B2D5A"/>
    <w:rsid w:val="008E0678"/>
    <w:rsid w:val="008F31D2"/>
    <w:rsid w:val="009060E5"/>
    <w:rsid w:val="0090712D"/>
    <w:rsid w:val="00912ED1"/>
    <w:rsid w:val="00917BA4"/>
    <w:rsid w:val="00917FDE"/>
    <w:rsid w:val="00920FF5"/>
    <w:rsid w:val="009223CA"/>
    <w:rsid w:val="00940F93"/>
    <w:rsid w:val="00945793"/>
    <w:rsid w:val="00963243"/>
    <w:rsid w:val="009760F3"/>
    <w:rsid w:val="00976CFB"/>
    <w:rsid w:val="00983AD3"/>
    <w:rsid w:val="009A0830"/>
    <w:rsid w:val="009A0E8D"/>
    <w:rsid w:val="009B26E7"/>
    <w:rsid w:val="009B5E14"/>
    <w:rsid w:val="009D19DD"/>
    <w:rsid w:val="009F5651"/>
    <w:rsid w:val="009F7903"/>
    <w:rsid w:val="00A00697"/>
    <w:rsid w:val="00A00A3F"/>
    <w:rsid w:val="00A01489"/>
    <w:rsid w:val="00A3026E"/>
    <w:rsid w:val="00A338F1"/>
    <w:rsid w:val="00A35BE0"/>
    <w:rsid w:val="00A56A54"/>
    <w:rsid w:val="00A6129C"/>
    <w:rsid w:val="00A72F22"/>
    <w:rsid w:val="00A7360F"/>
    <w:rsid w:val="00A73EC9"/>
    <w:rsid w:val="00A748A6"/>
    <w:rsid w:val="00A769F4"/>
    <w:rsid w:val="00A776B4"/>
    <w:rsid w:val="00A919FA"/>
    <w:rsid w:val="00A94361"/>
    <w:rsid w:val="00AA293C"/>
    <w:rsid w:val="00AB0D6F"/>
    <w:rsid w:val="00AB1525"/>
    <w:rsid w:val="00AB25C6"/>
    <w:rsid w:val="00AC6868"/>
    <w:rsid w:val="00AD0BE8"/>
    <w:rsid w:val="00AD2526"/>
    <w:rsid w:val="00B05D25"/>
    <w:rsid w:val="00B30179"/>
    <w:rsid w:val="00B421C1"/>
    <w:rsid w:val="00B55C71"/>
    <w:rsid w:val="00B566F3"/>
    <w:rsid w:val="00B56E4A"/>
    <w:rsid w:val="00B56E9C"/>
    <w:rsid w:val="00B64B1F"/>
    <w:rsid w:val="00B6553F"/>
    <w:rsid w:val="00B75110"/>
    <w:rsid w:val="00B77D05"/>
    <w:rsid w:val="00B81206"/>
    <w:rsid w:val="00B81E12"/>
    <w:rsid w:val="00B91BFF"/>
    <w:rsid w:val="00B95DFC"/>
    <w:rsid w:val="00B963CF"/>
    <w:rsid w:val="00BA5DFB"/>
    <w:rsid w:val="00BC2225"/>
    <w:rsid w:val="00BC3FA0"/>
    <w:rsid w:val="00BC74E9"/>
    <w:rsid w:val="00BD1C8E"/>
    <w:rsid w:val="00BE2AF7"/>
    <w:rsid w:val="00BF0874"/>
    <w:rsid w:val="00BF68A8"/>
    <w:rsid w:val="00C04828"/>
    <w:rsid w:val="00C11A03"/>
    <w:rsid w:val="00C22C0C"/>
    <w:rsid w:val="00C26D61"/>
    <w:rsid w:val="00C44946"/>
    <w:rsid w:val="00C4527F"/>
    <w:rsid w:val="00C463DD"/>
    <w:rsid w:val="00C4724C"/>
    <w:rsid w:val="00C629A0"/>
    <w:rsid w:val="00C64629"/>
    <w:rsid w:val="00C70319"/>
    <w:rsid w:val="00C745C3"/>
    <w:rsid w:val="00C93AF8"/>
    <w:rsid w:val="00C96DF2"/>
    <w:rsid w:val="00CA29BB"/>
    <w:rsid w:val="00CA71EB"/>
    <w:rsid w:val="00CB3E03"/>
    <w:rsid w:val="00CD4AA6"/>
    <w:rsid w:val="00CD6003"/>
    <w:rsid w:val="00CE4A8F"/>
    <w:rsid w:val="00CE7714"/>
    <w:rsid w:val="00D1382B"/>
    <w:rsid w:val="00D2031B"/>
    <w:rsid w:val="00D248B6"/>
    <w:rsid w:val="00D25FE2"/>
    <w:rsid w:val="00D373EC"/>
    <w:rsid w:val="00D42EAB"/>
    <w:rsid w:val="00D43252"/>
    <w:rsid w:val="00D47EEA"/>
    <w:rsid w:val="00D70838"/>
    <w:rsid w:val="00D773DF"/>
    <w:rsid w:val="00D95303"/>
    <w:rsid w:val="00D962B3"/>
    <w:rsid w:val="00D96838"/>
    <w:rsid w:val="00D978C6"/>
    <w:rsid w:val="00DA0961"/>
    <w:rsid w:val="00DA37A7"/>
    <w:rsid w:val="00DA3C1C"/>
    <w:rsid w:val="00E046DF"/>
    <w:rsid w:val="00E0572A"/>
    <w:rsid w:val="00E07E91"/>
    <w:rsid w:val="00E27346"/>
    <w:rsid w:val="00E3232B"/>
    <w:rsid w:val="00E34BDC"/>
    <w:rsid w:val="00E37305"/>
    <w:rsid w:val="00E521FF"/>
    <w:rsid w:val="00E64412"/>
    <w:rsid w:val="00E71BC8"/>
    <w:rsid w:val="00E7260F"/>
    <w:rsid w:val="00E73F5D"/>
    <w:rsid w:val="00E75322"/>
    <w:rsid w:val="00E77E4E"/>
    <w:rsid w:val="00E91A3F"/>
    <w:rsid w:val="00E96630"/>
    <w:rsid w:val="00EC49C3"/>
    <w:rsid w:val="00ED7A2A"/>
    <w:rsid w:val="00EE0F4B"/>
    <w:rsid w:val="00EE1601"/>
    <w:rsid w:val="00EF1D7F"/>
    <w:rsid w:val="00EF3E9C"/>
    <w:rsid w:val="00F04136"/>
    <w:rsid w:val="00F05045"/>
    <w:rsid w:val="00F1043B"/>
    <w:rsid w:val="00F111DD"/>
    <w:rsid w:val="00F31E5F"/>
    <w:rsid w:val="00F40604"/>
    <w:rsid w:val="00F4409B"/>
    <w:rsid w:val="00F47B1A"/>
    <w:rsid w:val="00F6100A"/>
    <w:rsid w:val="00F6279B"/>
    <w:rsid w:val="00F63D69"/>
    <w:rsid w:val="00F655D6"/>
    <w:rsid w:val="00F769A2"/>
    <w:rsid w:val="00F93781"/>
    <w:rsid w:val="00FA45E3"/>
    <w:rsid w:val="00FA6418"/>
    <w:rsid w:val="00FA7D6D"/>
    <w:rsid w:val="00FB613B"/>
    <w:rsid w:val="00FC199E"/>
    <w:rsid w:val="00FC68B7"/>
    <w:rsid w:val="00FD3F98"/>
    <w:rsid w:val="00FD67D2"/>
    <w:rsid w:val="00FE106A"/>
    <w:rsid w:val="00FE393B"/>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link w:val="Titre2Car"/>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link w:val="Titre4Car"/>
    <w:qFormat/>
    <w:rsid w:val="000646F4"/>
    <w:pPr>
      <w:spacing w:line="240" w:lineRule="auto"/>
      <w:outlineLvl w:val="3"/>
    </w:pPr>
  </w:style>
  <w:style w:type="paragraph" w:styleId="Titre5">
    <w:name w:val="heading 5"/>
    <w:basedOn w:val="Normal"/>
    <w:next w:val="Normal"/>
    <w:link w:val="Titre5Car"/>
    <w:qFormat/>
    <w:rsid w:val="000646F4"/>
    <w:pPr>
      <w:spacing w:line="240" w:lineRule="auto"/>
      <w:outlineLvl w:val="4"/>
    </w:pPr>
  </w:style>
  <w:style w:type="paragraph" w:styleId="Titre6">
    <w:name w:val="heading 6"/>
    <w:basedOn w:val="Normal"/>
    <w:next w:val="Normal"/>
    <w:link w:val="Titre6Car"/>
    <w:qFormat/>
    <w:rsid w:val="000646F4"/>
    <w:pPr>
      <w:spacing w:line="240" w:lineRule="auto"/>
      <w:outlineLvl w:val="5"/>
    </w:pPr>
  </w:style>
  <w:style w:type="paragraph" w:styleId="Titre7">
    <w:name w:val="heading 7"/>
    <w:basedOn w:val="Normal"/>
    <w:next w:val="Normal"/>
    <w:link w:val="Titre7Car"/>
    <w:qFormat/>
    <w:rsid w:val="000646F4"/>
    <w:pPr>
      <w:spacing w:line="240" w:lineRule="auto"/>
      <w:outlineLvl w:val="6"/>
    </w:pPr>
  </w:style>
  <w:style w:type="paragraph" w:styleId="Titre8">
    <w:name w:val="heading 8"/>
    <w:basedOn w:val="Normal"/>
    <w:next w:val="Normal"/>
    <w:link w:val="Titre8Car"/>
    <w:qFormat/>
    <w:rsid w:val="000646F4"/>
    <w:pPr>
      <w:spacing w:line="240" w:lineRule="auto"/>
      <w:outlineLvl w:val="7"/>
    </w:pPr>
  </w:style>
  <w:style w:type="paragraph" w:styleId="Titre9">
    <w:name w:val="heading 9"/>
    <w:basedOn w:val="Normal"/>
    <w:next w:val="Normal"/>
    <w:link w:val="Titre9Car"/>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link w:val="TextebrutCar"/>
    <w:rPr>
      <w:rFonts w:cs="Courier New"/>
    </w:rPr>
  </w:style>
  <w:style w:type="paragraph" w:styleId="Corpsdetexte">
    <w:name w:val="Body Text"/>
    <w:basedOn w:val="Normal"/>
    <w:next w:val="Normal"/>
    <w:link w:val="CorpsdetexteCar"/>
  </w:style>
  <w:style w:type="paragraph" w:styleId="Retraitcorpsdetexte">
    <w:name w:val="Body Text Indent"/>
    <w:basedOn w:val="Normal"/>
    <w:link w:val="RetraitcorpsdetexteCar"/>
    <w:pPr>
      <w:spacing w:after="120"/>
      <w:ind w:left="283"/>
    </w:pPr>
  </w:style>
  <w:style w:type="paragraph" w:styleId="Normalcentr">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4_GR"/>
    <w:rsid w:val="000646F4"/>
    <w:rPr>
      <w:rFonts w:ascii="Times New Roman" w:hAnsi="Times New Roman"/>
      <w:sz w:val="18"/>
      <w:vertAlign w:val="superscript"/>
    </w:rPr>
  </w:style>
  <w:style w:type="paragraph" w:styleId="Notedebasdepage">
    <w:name w:val="footnote text"/>
    <w:aliases w:val="5_G,5_GR"/>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rsid w:val="000646F4"/>
  </w:style>
  <w:style w:type="character" w:styleId="Marquedecommentaire">
    <w:name w:val="annotation reference"/>
    <w:rPr>
      <w:sz w:val="6"/>
    </w:rPr>
  </w:style>
  <w:style w:type="paragraph" w:styleId="Commentaire">
    <w:name w:val="annotation text"/>
    <w:basedOn w:val="Normal"/>
    <w:link w:val="CommentaireCar1"/>
  </w:style>
  <w:style w:type="character" w:styleId="Numrodeligne">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rsid w:val="008A6C4F"/>
    <w:pPr>
      <w:numPr>
        <w:numId w:val="11"/>
      </w:numPr>
    </w:pPr>
  </w:style>
  <w:style w:type="numbering" w:styleId="1ai">
    <w:name w:val="Outline List 1"/>
    <w:basedOn w:val="Aucuneliste"/>
    <w:rsid w:val="008A6C4F"/>
    <w:pPr>
      <w:numPr>
        <w:numId w:val="12"/>
      </w:numPr>
    </w:pPr>
  </w:style>
  <w:style w:type="numbering" w:styleId="ArticleSection">
    <w:name w:val="Outline List 3"/>
    <w:basedOn w:val="Aucuneliste"/>
    <w:rsid w:val="008A6C4F"/>
    <w:pPr>
      <w:numPr>
        <w:numId w:val="13"/>
      </w:numPr>
    </w:pPr>
  </w:style>
  <w:style w:type="paragraph" w:styleId="Corpsdetexte2">
    <w:name w:val="Body Text 2"/>
    <w:basedOn w:val="Normal"/>
    <w:link w:val="Corpsdetexte2Car"/>
    <w:rsid w:val="008A6C4F"/>
    <w:pPr>
      <w:spacing w:after="120" w:line="480" w:lineRule="auto"/>
    </w:pPr>
  </w:style>
  <w:style w:type="paragraph" w:styleId="Corpsdetexte3">
    <w:name w:val="Body Text 3"/>
    <w:basedOn w:val="Normal"/>
    <w:link w:val="Corpsdetexte3Car"/>
    <w:rsid w:val="008A6C4F"/>
    <w:pPr>
      <w:spacing w:after="120"/>
    </w:pPr>
    <w:rPr>
      <w:sz w:val="16"/>
      <w:szCs w:val="16"/>
    </w:rPr>
  </w:style>
  <w:style w:type="paragraph" w:styleId="Retrait1religne">
    <w:name w:val="Body Text First Indent"/>
    <w:basedOn w:val="Corpsdetexte"/>
    <w:link w:val="Retrait1religneCar"/>
    <w:rsid w:val="008A6C4F"/>
    <w:pPr>
      <w:spacing w:after="120"/>
      <w:ind w:firstLine="210"/>
    </w:pPr>
  </w:style>
  <w:style w:type="paragraph" w:styleId="Retraitcorpset1relig">
    <w:name w:val="Body Text First Indent 2"/>
    <w:basedOn w:val="Retraitcorpsdetexte"/>
    <w:link w:val="Retraitcorpset1religCar"/>
    <w:rsid w:val="008A6C4F"/>
    <w:pPr>
      <w:ind w:firstLine="210"/>
    </w:pPr>
  </w:style>
  <w:style w:type="paragraph" w:styleId="Retraitcorpsdetexte2">
    <w:name w:val="Body Text Indent 2"/>
    <w:basedOn w:val="Normal"/>
    <w:link w:val="Retraitcorpsdetexte2Car"/>
    <w:rsid w:val="008A6C4F"/>
    <w:pPr>
      <w:spacing w:after="120" w:line="480" w:lineRule="auto"/>
      <w:ind w:left="283"/>
    </w:pPr>
  </w:style>
  <w:style w:type="paragraph" w:styleId="Retraitcorpsdetexte3">
    <w:name w:val="Body Text Indent 3"/>
    <w:basedOn w:val="Normal"/>
    <w:link w:val="Retraitcorpsdetexte3Car"/>
    <w:rsid w:val="008A6C4F"/>
    <w:pPr>
      <w:spacing w:after="120"/>
      <w:ind w:left="283"/>
    </w:pPr>
    <w:rPr>
      <w:sz w:val="16"/>
      <w:szCs w:val="16"/>
    </w:rPr>
  </w:style>
  <w:style w:type="paragraph" w:styleId="Formuledepolitesse">
    <w:name w:val="Closing"/>
    <w:basedOn w:val="Normal"/>
    <w:link w:val="FormuledepolitesseCar"/>
    <w:rsid w:val="008A6C4F"/>
    <w:pPr>
      <w:ind w:left="4252"/>
    </w:pPr>
  </w:style>
  <w:style w:type="paragraph" w:styleId="Date">
    <w:name w:val="Date"/>
    <w:basedOn w:val="Normal"/>
    <w:next w:val="Normal"/>
    <w:link w:val="DateCar"/>
    <w:rsid w:val="008A6C4F"/>
  </w:style>
  <w:style w:type="paragraph" w:styleId="Signaturelectronique">
    <w:name w:val="E-mail Signature"/>
    <w:basedOn w:val="Normal"/>
    <w:link w:val="SignaturelectroniqueCar"/>
    <w:rsid w:val="008A6C4F"/>
  </w:style>
  <w:style w:type="character" w:styleId="Accentuation">
    <w:name w:val="Emphasis"/>
    <w:qFormat/>
    <w:rsid w:val="008A6C4F"/>
    <w:rPr>
      <w:i/>
      <w:iCs/>
    </w:rPr>
  </w:style>
  <w:style w:type="paragraph" w:styleId="Adresseexpditeur">
    <w:name w:val="envelope return"/>
    <w:basedOn w:val="Normal"/>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rsid w:val="008A6C4F"/>
  </w:style>
  <w:style w:type="paragraph" w:styleId="AdresseHTML">
    <w:name w:val="HTML Address"/>
    <w:basedOn w:val="Normal"/>
    <w:link w:val="AdresseHTMLCar"/>
    <w:rsid w:val="008A6C4F"/>
    <w:rPr>
      <w:i/>
      <w:iCs/>
    </w:rPr>
  </w:style>
  <w:style w:type="character" w:styleId="CitationHTML">
    <w:name w:val="HTML Cite"/>
    <w:rsid w:val="008A6C4F"/>
    <w:rPr>
      <w:i/>
      <w:iCs/>
    </w:rPr>
  </w:style>
  <w:style w:type="character" w:styleId="CodeHTML">
    <w:name w:val="HTML Code"/>
    <w:rsid w:val="008A6C4F"/>
    <w:rPr>
      <w:rFonts w:ascii="Courier New" w:hAnsi="Courier New" w:cs="Courier New"/>
      <w:sz w:val="20"/>
      <w:szCs w:val="20"/>
    </w:rPr>
  </w:style>
  <w:style w:type="character" w:styleId="DfinitionHTML">
    <w:name w:val="HTML Definition"/>
    <w:rsid w:val="008A6C4F"/>
    <w:rPr>
      <w:i/>
      <w:iCs/>
    </w:rPr>
  </w:style>
  <w:style w:type="character" w:styleId="ClavierHTML">
    <w:name w:val="HTML Keyboard"/>
    <w:rsid w:val="008A6C4F"/>
    <w:rPr>
      <w:rFonts w:ascii="Courier New" w:hAnsi="Courier New" w:cs="Courier New"/>
      <w:sz w:val="20"/>
      <w:szCs w:val="20"/>
    </w:rPr>
  </w:style>
  <w:style w:type="paragraph" w:styleId="PrformatHTML">
    <w:name w:val="HTML Preformatted"/>
    <w:basedOn w:val="Normal"/>
    <w:link w:val="PrformatHTMLCar"/>
    <w:rsid w:val="008A6C4F"/>
    <w:rPr>
      <w:rFonts w:ascii="Courier New" w:hAnsi="Courier New" w:cs="Courier New"/>
    </w:rPr>
  </w:style>
  <w:style w:type="character" w:styleId="ExempleHTML">
    <w:name w:val="HTML Sample"/>
    <w:rsid w:val="008A6C4F"/>
    <w:rPr>
      <w:rFonts w:ascii="Courier New" w:hAnsi="Courier New" w:cs="Courier New"/>
    </w:rPr>
  </w:style>
  <w:style w:type="character" w:styleId="MachinecrireHTML">
    <w:name w:val="HTML Typewriter"/>
    <w:rsid w:val="008A6C4F"/>
    <w:rPr>
      <w:rFonts w:ascii="Courier New" w:hAnsi="Courier New" w:cs="Courier New"/>
      <w:sz w:val="20"/>
      <w:szCs w:val="20"/>
    </w:rPr>
  </w:style>
  <w:style w:type="character" w:styleId="VariableHTML">
    <w:name w:val="HTML Variable"/>
    <w:rsid w:val="008A6C4F"/>
    <w:rPr>
      <w:i/>
      <w:iCs/>
    </w:rPr>
  </w:style>
  <w:style w:type="character" w:styleId="Lienhypertexte">
    <w:name w:val="Hyperlink"/>
    <w:semiHidden/>
    <w:rsid w:val="000646F4"/>
    <w:rPr>
      <w:color w:val="auto"/>
      <w:u w:val="none"/>
    </w:rPr>
  </w:style>
  <w:style w:type="paragraph" w:styleId="Liste">
    <w:name w:val="List"/>
    <w:basedOn w:val="Normal"/>
    <w:rsid w:val="008A6C4F"/>
    <w:pPr>
      <w:ind w:left="283" w:hanging="283"/>
    </w:pPr>
  </w:style>
  <w:style w:type="paragraph" w:styleId="Liste2">
    <w:name w:val="List 2"/>
    <w:basedOn w:val="Normal"/>
    <w:rsid w:val="008A6C4F"/>
    <w:pPr>
      <w:ind w:left="566" w:hanging="283"/>
    </w:pPr>
  </w:style>
  <w:style w:type="paragraph" w:styleId="Liste3">
    <w:name w:val="List 3"/>
    <w:basedOn w:val="Normal"/>
    <w:rsid w:val="008A6C4F"/>
    <w:pPr>
      <w:ind w:left="849" w:hanging="283"/>
    </w:pPr>
  </w:style>
  <w:style w:type="paragraph" w:styleId="Liste4">
    <w:name w:val="List 4"/>
    <w:basedOn w:val="Normal"/>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rsid w:val="008A6C4F"/>
    <w:pPr>
      <w:numPr>
        <w:numId w:val="6"/>
      </w:numPr>
    </w:pPr>
  </w:style>
  <w:style w:type="paragraph" w:styleId="Listepuces2">
    <w:name w:val="List Bullet 2"/>
    <w:basedOn w:val="Normal"/>
    <w:rsid w:val="008A6C4F"/>
    <w:pPr>
      <w:numPr>
        <w:numId w:val="7"/>
      </w:numPr>
    </w:pPr>
  </w:style>
  <w:style w:type="paragraph" w:styleId="Listepuces3">
    <w:name w:val="List Bullet 3"/>
    <w:basedOn w:val="Normal"/>
    <w:rsid w:val="008A6C4F"/>
    <w:pPr>
      <w:numPr>
        <w:numId w:val="8"/>
      </w:numPr>
    </w:pPr>
  </w:style>
  <w:style w:type="paragraph" w:styleId="Listepuces4">
    <w:name w:val="List Bullet 4"/>
    <w:basedOn w:val="Normal"/>
    <w:rsid w:val="008A6C4F"/>
    <w:pPr>
      <w:numPr>
        <w:numId w:val="9"/>
      </w:numPr>
    </w:pPr>
  </w:style>
  <w:style w:type="paragraph" w:styleId="Listepuces5">
    <w:name w:val="List Bullet 5"/>
    <w:basedOn w:val="Normal"/>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rsid w:val="008A6C4F"/>
    <w:pPr>
      <w:spacing w:after="120"/>
      <w:ind w:left="566"/>
    </w:pPr>
  </w:style>
  <w:style w:type="paragraph" w:styleId="Listecontinue3">
    <w:name w:val="List Continue 3"/>
    <w:basedOn w:val="Normal"/>
    <w:rsid w:val="008A6C4F"/>
    <w:pPr>
      <w:spacing w:after="120"/>
      <w:ind w:left="849"/>
    </w:pPr>
  </w:style>
  <w:style w:type="paragraph" w:styleId="Listecontinue4">
    <w:name w:val="List Continue 4"/>
    <w:basedOn w:val="Normal"/>
    <w:rsid w:val="008A6C4F"/>
    <w:pPr>
      <w:spacing w:after="120"/>
      <w:ind w:left="1132"/>
    </w:pPr>
  </w:style>
  <w:style w:type="paragraph" w:styleId="Listecontinue5">
    <w:name w:val="List Continue 5"/>
    <w:basedOn w:val="Normal"/>
    <w:rsid w:val="008A6C4F"/>
    <w:pPr>
      <w:spacing w:after="120"/>
      <w:ind w:left="1415"/>
    </w:pPr>
  </w:style>
  <w:style w:type="paragraph" w:styleId="Listenumros">
    <w:name w:val="List Number"/>
    <w:basedOn w:val="Normal"/>
    <w:rsid w:val="008A6C4F"/>
    <w:pPr>
      <w:numPr>
        <w:numId w:val="5"/>
      </w:numPr>
    </w:pPr>
  </w:style>
  <w:style w:type="paragraph" w:styleId="Listenumros2">
    <w:name w:val="List Number 2"/>
    <w:basedOn w:val="Normal"/>
    <w:rsid w:val="008A6C4F"/>
    <w:pPr>
      <w:numPr>
        <w:numId w:val="4"/>
      </w:numPr>
    </w:pPr>
  </w:style>
  <w:style w:type="paragraph" w:styleId="Listenumros3">
    <w:name w:val="List Number 3"/>
    <w:basedOn w:val="Normal"/>
    <w:rsid w:val="008A6C4F"/>
    <w:pPr>
      <w:numPr>
        <w:numId w:val="3"/>
      </w:numPr>
    </w:pPr>
  </w:style>
  <w:style w:type="paragraph" w:styleId="Listenumros4">
    <w:name w:val="List Number 4"/>
    <w:basedOn w:val="Normal"/>
    <w:rsid w:val="008A6C4F"/>
    <w:pPr>
      <w:numPr>
        <w:numId w:val="1"/>
      </w:numPr>
    </w:pPr>
  </w:style>
  <w:style w:type="paragraph" w:styleId="Listenumros5">
    <w:name w:val="List Number 5"/>
    <w:basedOn w:val="Normal"/>
    <w:rsid w:val="008A6C4F"/>
    <w:pPr>
      <w:numPr>
        <w:numId w:val="2"/>
      </w:numPr>
    </w:pPr>
  </w:style>
  <w:style w:type="paragraph" w:styleId="En-ttedemessage">
    <w:name w:val="Message Header"/>
    <w:basedOn w:val="Normal"/>
    <w:link w:val="En-ttedemessageC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Retraitnormal">
    <w:name w:val="Normal Indent"/>
    <w:basedOn w:val="Normal"/>
    <w:rsid w:val="008A6C4F"/>
    <w:pPr>
      <w:ind w:left="567"/>
    </w:pPr>
  </w:style>
  <w:style w:type="paragraph" w:styleId="Titredenote">
    <w:name w:val="Note Heading"/>
    <w:basedOn w:val="Normal"/>
    <w:next w:val="Normal"/>
    <w:link w:val="TitredenoteCar"/>
    <w:rsid w:val="008A6C4F"/>
  </w:style>
  <w:style w:type="paragraph" w:styleId="Salutations">
    <w:name w:val="Salutation"/>
    <w:basedOn w:val="Normal"/>
    <w:next w:val="Normal"/>
    <w:link w:val="SalutationsCar"/>
    <w:rsid w:val="008A6C4F"/>
  </w:style>
  <w:style w:type="paragraph" w:styleId="Signature">
    <w:name w:val="Signature"/>
    <w:basedOn w:val="Normal"/>
    <w:link w:val="SignatureCar"/>
    <w:rsid w:val="008A6C4F"/>
    <w:pPr>
      <w:ind w:left="4252"/>
    </w:pPr>
  </w:style>
  <w:style w:type="character" w:styleId="lev">
    <w:name w:val="Strong"/>
    <w:qFormat/>
    <w:rsid w:val="008A6C4F"/>
    <w:rPr>
      <w:b/>
      <w:bCs/>
    </w:rPr>
  </w:style>
  <w:style w:type="paragraph" w:styleId="Sous-titre">
    <w:name w:val="Subtitle"/>
    <w:basedOn w:val="Normal"/>
    <w:link w:val="Sous-titreCar"/>
    <w:qFormat/>
    <w:rsid w:val="008A6C4F"/>
    <w:pPr>
      <w:spacing w:after="60"/>
      <w:jc w:val="center"/>
      <w:outlineLvl w:val="1"/>
    </w:pPr>
    <w:rPr>
      <w:rFonts w:ascii="Arial" w:hAnsi="Arial" w:cs="Arial"/>
      <w:sz w:val="24"/>
      <w:szCs w:val="24"/>
    </w:rPr>
  </w:style>
  <w:style w:type="table" w:styleId="Effetsdetableau3D1">
    <w:name w:val="Table 3D effects 1"/>
    <w:basedOn w:val="Tableau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character" w:customStyle="1" w:styleId="SingleTxtGChar">
    <w:name w:val="_ Single Txt_G Char"/>
    <w:link w:val="SingleTxtG"/>
    <w:rsid w:val="000A2896"/>
    <w:rPr>
      <w:lang w:val="en-GB" w:eastAsia="en-US"/>
    </w:rPr>
  </w:style>
  <w:style w:type="character" w:customStyle="1" w:styleId="H1GChar">
    <w:name w:val="_ H_1_G Char"/>
    <w:link w:val="H1G"/>
    <w:rsid w:val="000A2896"/>
    <w:rPr>
      <w:b/>
      <w:sz w:val="24"/>
      <w:lang w:val="en-GB" w:eastAsia="en-US"/>
    </w:rPr>
  </w:style>
  <w:style w:type="character" w:customStyle="1" w:styleId="SingleTxtGCar">
    <w:name w:val="_ Single Txt_G Car"/>
    <w:locked/>
    <w:rsid w:val="000A2896"/>
    <w:rPr>
      <w:lang w:val="fr-CH" w:eastAsia="en-US"/>
    </w:rPr>
  </w:style>
  <w:style w:type="character" w:customStyle="1" w:styleId="NotedebasdepageCar">
    <w:name w:val="Note de bas de page Car"/>
    <w:aliases w:val="5_G Car,5_GR Car"/>
    <w:link w:val="Notedebasdepage"/>
    <w:rsid w:val="00E3232B"/>
    <w:rPr>
      <w:sz w:val="18"/>
      <w:lang w:val="en-GB" w:eastAsia="en-US"/>
    </w:rPr>
  </w:style>
  <w:style w:type="paragraph" w:customStyle="1" w:styleId="TabellenformatKlasse2">
    <w:name w:val="Tabellenformat Klasse 2"/>
    <w:basedOn w:val="Normal"/>
    <w:rsid w:val="00E3232B"/>
    <w:pPr>
      <w:tabs>
        <w:tab w:val="left" w:pos="567"/>
      </w:tabs>
      <w:suppressAutoHyphens w:val="0"/>
      <w:spacing w:line="240" w:lineRule="auto"/>
      <w:ind w:left="567" w:hanging="567"/>
    </w:pPr>
    <w:rPr>
      <w:rFonts w:ascii="Arial" w:hAnsi="Arial"/>
      <w:color w:val="000000"/>
      <w:sz w:val="18"/>
      <w:lang w:val="de-DE" w:eastAsia="de-DE"/>
    </w:rPr>
  </w:style>
  <w:style w:type="paragraph" w:styleId="Textedebulles">
    <w:name w:val="Balloon Text"/>
    <w:basedOn w:val="Normal"/>
    <w:link w:val="TextedebullesCar"/>
    <w:rsid w:val="00E3232B"/>
    <w:pPr>
      <w:spacing w:line="240" w:lineRule="auto"/>
    </w:pPr>
    <w:rPr>
      <w:rFonts w:ascii="Tahoma" w:hAnsi="Tahoma" w:cs="Tahoma"/>
      <w:sz w:val="16"/>
      <w:szCs w:val="16"/>
    </w:rPr>
  </w:style>
  <w:style w:type="character" w:customStyle="1" w:styleId="TextedebullesCar">
    <w:name w:val="Texte de bulles Car"/>
    <w:link w:val="Textedebulles"/>
    <w:rsid w:val="00E3232B"/>
    <w:rPr>
      <w:rFonts w:ascii="Tahoma" w:hAnsi="Tahoma" w:cs="Tahoma"/>
      <w:sz w:val="16"/>
      <w:szCs w:val="16"/>
      <w:lang w:val="en-GB" w:eastAsia="en-US"/>
    </w:rPr>
  </w:style>
  <w:style w:type="character" w:customStyle="1" w:styleId="H23GChar">
    <w:name w:val="_ H_2/3_G Char"/>
    <w:link w:val="H23G"/>
    <w:rsid w:val="00E3232B"/>
    <w:rPr>
      <w:b/>
      <w:lang w:val="en-GB" w:eastAsia="en-US"/>
    </w:rPr>
  </w:style>
  <w:style w:type="character" w:customStyle="1" w:styleId="CommentaireCar">
    <w:name w:val="Commentaire Car"/>
    <w:rsid w:val="00E3232B"/>
    <w:rPr>
      <w:lang w:eastAsia="en-US"/>
    </w:rPr>
  </w:style>
  <w:style w:type="paragraph" w:customStyle="1" w:styleId="Style1">
    <w:name w:val="Style1"/>
    <w:basedOn w:val="Normal"/>
    <w:rsid w:val="00E3232B"/>
    <w:pPr>
      <w:suppressAutoHyphens w:val="0"/>
      <w:spacing w:line="240" w:lineRule="auto"/>
    </w:pPr>
    <w:rPr>
      <w:sz w:val="22"/>
      <w:szCs w:val="24"/>
    </w:rPr>
  </w:style>
  <w:style w:type="character" w:customStyle="1" w:styleId="HChGChar">
    <w:name w:val="_ H _Ch_G Char"/>
    <w:link w:val="HChG"/>
    <w:rsid w:val="00E3232B"/>
    <w:rPr>
      <w:b/>
      <w:sz w:val="28"/>
      <w:lang w:val="en-GB" w:eastAsia="en-US"/>
    </w:rPr>
  </w:style>
  <w:style w:type="numbering" w:customStyle="1" w:styleId="1111111">
    <w:name w:val="1 / 1.1 / 1.1.11"/>
    <w:basedOn w:val="Aucuneliste"/>
    <w:next w:val="111111"/>
    <w:semiHidden/>
    <w:rsid w:val="00E3232B"/>
  </w:style>
  <w:style w:type="paragraph" w:styleId="Paragraphedeliste">
    <w:name w:val="List Paragraph"/>
    <w:basedOn w:val="Normal"/>
    <w:qFormat/>
    <w:rsid w:val="00E3232B"/>
    <w:pPr>
      <w:suppressAutoHyphens w:val="0"/>
      <w:spacing w:line="240" w:lineRule="auto"/>
      <w:ind w:left="720"/>
      <w:jc w:val="both"/>
    </w:pPr>
    <w:rPr>
      <w:sz w:val="24"/>
      <w:szCs w:val="24"/>
      <w:lang w:val="en-US"/>
    </w:rPr>
  </w:style>
  <w:style w:type="character" w:customStyle="1" w:styleId="TextebrutCar">
    <w:name w:val="Texte brut Car"/>
    <w:link w:val="Textebrut"/>
    <w:rsid w:val="00E3232B"/>
    <w:rPr>
      <w:rFonts w:cs="Courier New"/>
      <w:lang w:val="en-GB" w:eastAsia="en-US"/>
    </w:rPr>
  </w:style>
  <w:style w:type="character" w:customStyle="1" w:styleId="CorpsdetexteCar">
    <w:name w:val="Corps de texte Car"/>
    <w:link w:val="Corpsdetexte"/>
    <w:rsid w:val="00E3232B"/>
    <w:rPr>
      <w:lang w:val="en-GB" w:eastAsia="en-US"/>
    </w:rPr>
  </w:style>
  <w:style w:type="character" w:customStyle="1" w:styleId="RetraitcorpsdetexteCar">
    <w:name w:val="Retrait corps de texte Car"/>
    <w:link w:val="Retraitcorpsdetexte"/>
    <w:rsid w:val="00E3232B"/>
    <w:rPr>
      <w:lang w:val="en-GB" w:eastAsia="en-US"/>
    </w:rPr>
  </w:style>
  <w:style w:type="character" w:customStyle="1" w:styleId="Corpsdetexte2Car">
    <w:name w:val="Corps de texte 2 Car"/>
    <w:link w:val="Corpsdetexte2"/>
    <w:rsid w:val="00E3232B"/>
    <w:rPr>
      <w:lang w:val="en-GB" w:eastAsia="en-US"/>
    </w:rPr>
  </w:style>
  <w:style w:type="character" w:customStyle="1" w:styleId="Corpsdetexte3Car">
    <w:name w:val="Corps de texte 3 Car"/>
    <w:link w:val="Corpsdetexte3"/>
    <w:rsid w:val="00E3232B"/>
    <w:rPr>
      <w:sz w:val="16"/>
      <w:szCs w:val="16"/>
      <w:lang w:val="en-GB" w:eastAsia="en-US"/>
    </w:rPr>
  </w:style>
  <w:style w:type="character" w:customStyle="1" w:styleId="Retrait1religneCar">
    <w:name w:val="Retrait 1re ligne Car"/>
    <w:link w:val="Retrait1religne"/>
    <w:rsid w:val="00E3232B"/>
    <w:rPr>
      <w:lang w:val="en-GB" w:eastAsia="en-US"/>
    </w:rPr>
  </w:style>
  <w:style w:type="character" w:customStyle="1" w:styleId="Retraitcorpset1religCar">
    <w:name w:val="Retrait corps et 1re lig. Car"/>
    <w:link w:val="Retraitcorpset1relig"/>
    <w:rsid w:val="00E3232B"/>
    <w:rPr>
      <w:lang w:val="en-GB" w:eastAsia="en-US"/>
    </w:rPr>
  </w:style>
  <w:style w:type="character" w:customStyle="1" w:styleId="Retraitcorpsdetexte2Car">
    <w:name w:val="Retrait corps de texte 2 Car"/>
    <w:link w:val="Retraitcorpsdetexte2"/>
    <w:rsid w:val="00E3232B"/>
    <w:rPr>
      <w:lang w:val="en-GB" w:eastAsia="en-US"/>
    </w:rPr>
  </w:style>
  <w:style w:type="character" w:customStyle="1" w:styleId="Retraitcorpsdetexte3Car">
    <w:name w:val="Retrait corps de texte 3 Car"/>
    <w:link w:val="Retraitcorpsdetexte3"/>
    <w:rsid w:val="00E3232B"/>
    <w:rPr>
      <w:sz w:val="16"/>
      <w:szCs w:val="16"/>
      <w:lang w:val="en-GB" w:eastAsia="en-US"/>
    </w:rPr>
  </w:style>
  <w:style w:type="character" w:customStyle="1" w:styleId="FormuledepolitesseCar">
    <w:name w:val="Formule de politesse Car"/>
    <w:link w:val="Formuledepolitesse"/>
    <w:rsid w:val="00E3232B"/>
    <w:rPr>
      <w:lang w:val="en-GB" w:eastAsia="en-US"/>
    </w:rPr>
  </w:style>
  <w:style w:type="character" w:customStyle="1" w:styleId="DateCar">
    <w:name w:val="Date Car"/>
    <w:link w:val="Date"/>
    <w:rsid w:val="00E3232B"/>
    <w:rPr>
      <w:lang w:val="en-GB" w:eastAsia="en-US"/>
    </w:rPr>
  </w:style>
  <w:style w:type="character" w:customStyle="1" w:styleId="SignaturelectroniqueCar">
    <w:name w:val="Signature électronique Car"/>
    <w:link w:val="Signaturelectronique"/>
    <w:rsid w:val="00E3232B"/>
    <w:rPr>
      <w:lang w:val="en-GB" w:eastAsia="en-US"/>
    </w:rPr>
  </w:style>
  <w:style w:type="character" w:customStyle="1" w:styleId="AdresseHTMLCar">
    <w:name w:val="Adresse HTML Car"/>
    <w:link w:val="AdresseHTML"/>
    <w:rsid w:val="00E3232B"/>
    <w:rPr>
      <w:i/>
      <w:iCs/>
      <w:lang w:val="en-GB" w:eastAsia="en-US"/>
    </w:rPr>
  </w:style>
  <w:style w:type="character" w:customStyle="1" w:styleId="PrformatHTMLCar">
    <w:name w:val="Préformaté HTML Car"/>
    <w:link w:val="PrformatHTML"/>
    <w:rsid w:val="00E3232B"/>
    <w:rPr>
      <w:rFonts w:ascii="Courier New" w:hAnsi="Courier New" w:cs="Courier New"/>
      <w:lang w:val="en-GB" w:eastAsia="en-US"/>
    </w:rPr>
  </w:style>
  <w:style w:type="character" w:customStyle="1" w:styleId="En-ttedemessageCar">
    <w:name w:val="En-tête de message Car"/>
    <w:link w:val="En-ttedemessage"/>
    <w:rsid w:val="00E3232B"/>
    <w:rPr>
      <w:rFonts w:ascii="Arial" w:hAnsi="Arial" w:cs="Arial"/>
      <w:sz w:val="24"/>
      <w:szCs w:val="24"/>
      <w:shd w:val="pct20" w:color="auto" w:fill="auto"/>
      <w:lang w:val="en-GB" w:eastAsia="en-US"/>
    </w:rPr>
  </w:style>
  <w:style w:type="character" w:customStyle="1" w:styleId="TitredenoteCar">
    <w:name w:val="Titre de note Car"/>
    <w:link w:val="Titredenote"/>
    <w:rsid w:val="00E3232B"/>
    <w:rPr>
      <w:lang w:val="en-GB" w:eastAsia="en-US"/>
    </w:rPr>
  </w:style>
  <w:style w:type="character" w:customStyle="1" w:styleId="SalutationsCar">
    <w:name w:val="Salutations Car"/>
    <w:link w:val="Salutations"/>
    <w:rsid w:val="00E3232B"/>
    <w:rPr>
      <w:lang w:val="en-GB" w:eastAsia="en-US"/>
    </w:rPr>
  </w:style>
  <w:style w:type="character" w:customStyle="1" w:styleId="SignatureCar">
    <w:name w:val="Signature Car"/>
    <w:link w:val="Signature"/>
    <w:rsid w:val="00E3232B"/>
    <w:rPr>
      <w:lang w:val="en-GB" w:eastAsia="en-US"/>
    </w:rPr>
  </w:style>
  <w:style w:type="character" w:customStyle="1" w:styleId="Sous-titreCar">
    <w:name w:val="Sous-titre Car"/>
    <w:link w:val="Sous-titre"/>
    <w:rsid w:val="00E3232B"/>
    <w:rPr>
      <w:rFonts w:ascii="Arial" w:hAnsi="Arial" w:cs="Arial"/>
      <w:sz w:val="24"/>
      <w:szCs w:val="24"/>
      <w:lang w:val="en-GB" w:eastAsia="en-US"/>
    </w:rPr>
  </w:style>
  <w:style w:type="character" w:customStyle="1" w:styleId="TitreCar">
    <w:name w:val="Titre Car"/>
    <w:link w:val="Titre"/>
    <w:rsid w:val="00E3232B"/>
    <w:rPr>
      <w:rFonts w:ascii="Arial" w:hAnsi="Arial" w:cs="Arial"/>
      <w:b/>
      <w:bCs/>
      <w:kern w:val="28"/>
      <w:sz w:val="32"/>
      <w:szCs w:val="32"/>
      <w:lang w:val="en-GB" w:eastAsia="en-US"/>
    </w:rPr>
  </w:style>
  <w:style w:type="paragraph" w:customStyle="1" w:styleId="Nummerierung1">
    <w:name w:val="Nummerierung 1"/>
    <w:basedOn w:val="Normal"/>
    <w:rsid w:val="00E3232B"/>
    <w:pPr>
      <w:numPr>
        <w:numId w:val="19"/>
      </w:numPr>
      <w:suppressAutoHyphens w:val="0"/>
      <w:spacing w:line="240" w:lineRule="auto"/>
      <w:jc w:val="both"/>
    </w:pPr>
    <w:rPr>
      <w:sz w:val="24"/>
      <w:szCs w:val="24"/>
      <w:lang w:val="en-US"/>
    </w:rPr>
  </w:style>
  <w:style w:type="paragraph" w:customStyle="1" w:styleId="Default">
    <w:name w:val="Default"/>
    <w:rsid w:val="00E3232B"/>
    <w:pPr>
      <w:widowControl w:val="0"/>
      <w:autoSpaceDE w:val="0"/>
      <w:autoSpaceDN w:val="0"/>
      <w:adjustRightInd w:val="0"/>
    </w:pPr>
    <w:rPr>
      <w:color w:val="000000"/>
      <w:sz w:val="24"/>
      <w:szCs w:val="24"/>
      <w:lang w:val="en-US" w:eastAsia="en-US"/>
    </w:rPr>
  </w:style>
  <w:style w:type="character" w:customStyle="1" w:styleId="En-tteCar">
    <w:name w:val="En-tête Car"/>
    <w:aliases w:val="6_G Car"/>
    <w:link w:val="En-tte"/>
    <w:locked/>
    <w:rsid w:val="00E3232B"/>
    <w:rPr>
      <w:b/>
      <w:sz w:val="18"/>
      <w:lang w:val="en-GB" w:eastAsia="en-US"/>
    </w:rPr>
  </w:style>
  <w:style w:type="paragraph" w:customStyle="1" w:styleId="Normalcentr1">
    <w:name w:val="Normal centré1"/>
    <w:basedOn w:val="Normal"/>
    <w:rsid w:val="00E3232B"/>
    <w:pPr>
      <w:spacing w:line="240" w:lineRule="auto"/>
      <w:ind w:left="-567" w:right="282"/>
      <w:jc w:val="both"/>
    </w:pPr>
    <w:rPr>
      <w:bCs/>
      <w:sz w:val="24"/>
      <w:lang w:eastAsia="ar-SA"/>
    </w:rPr>
  </w:style>
  <w:style w:type="character" w:customStyle="1" w:styleId="zzmpTrailerItem">
    <w:name w:val="zzmpTrailerItem"/>
    <w:rsid w:val="00E3232B"/>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styleId="Objetducommentaire">
    <w:name w:val="annotation subject"/>
    <w:basedOn w:val="Commentaire"/>
    <w:next w:val="Commentaire"/>
    <w:link w:val="ObjetducommentaireCar"/>
    <w:rsid w:val="00E3232B"/>
    <w:rPr>
      <w:b/>
      <w:bCs/>
    </w:rPr>
  </w:style>
  <w:style w:type="character" w:customStyle="1" w:styleId="CommentaireCar1">
    <w:name w:val="Commentaire Car1"/>
    <w:link w:val="Commentaire"/>
    <w:rsid w:val="00E3232B"/>
    <w:rPr>
      <w:lang w:val="en-GB" w:eastAsia="en-US"/>
    </w:rPr>
  </w:style>
  <w:style w:type="character" w:customStyle="1" w:styleId="ObjetducommentaireCar">
    <w:name w:val="Objet du commentaire Car"/>
    <w:link w:val="Objetducommentaire"/>
    <w:rsid w:val="00E3232B"/>
    <w:rPr>
      <w:b/>
      <w:bCs/>
      <w:lang w:val="en-GB" w:eastAsia="en-US"/>
    </w:rPr>
  </w:style>
  <w:style w:type="character" w:customStyle="1" w:styleId="CommentSubjectChar">
    <w:name w:val="Comment Subject Char"/>
    <w:rsid w:val="00E3232B"/>
    <w:rPr>
      <w:lang w:val="en-GB" w:eastAsia="en-US"/>
    </w:rPr>
  </w:style>
  <w:style w:type="paragraph" w:customStyle="1" w:styleId="2Para">
    <w:name w:val="2Para"/>
    <w:basedOn w:val="Normal"/>
    <w:rsid w:val="00E3232B"/>
    <w:pPr>
      <w:numPr>
        <w:ilvl w:val="1"/>
        <w:numId w:val="20"/>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E3232B"/>
    <w:pPr>
      <w:numPr>
        <w:ilvl w:val="2"/>
        <w:numId w:val="20"/>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E3232B"/>
    <w:pPr>
      <w:numPr>
        <w:ilvl w:val="3"/>
        <w:numId w:val="20"/>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E3232B"/>
    <w:pPr>
      <w:numPr>
        <w:ilvl w:val="4"/>
        <w:numId w:val="20"/>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E3232B"/>
    <w:pPr>
      <w:numPr>
        <w:ilvl w:val="5"/>
        <w:numId w:val="20"/>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E3232B"/>
    <w:pPr>
      <w:numPr>
        <w:ilvl w:val="6"/>
        <w:numId w:val="20"/>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E3232B"/>
    <w:pPr>
      <w:numPr>
        <w:ilvl w:val="7"/>
        <w:numId w:val="20"/>
      </w:numPr>
      <w:tabs>
        <w:tab w:val="left" w:pos="1440"/>
      </w:tabs>
      <w:suppressAutoHyphens w:val="0"/>
      <w:spacing w:before="260" w:after="260" w:line="240" w:lineRule="auto"/>
      <w:jc w:val="both"/>
    </w:pPr>
    <w:rPr>
      <w:sz w:val="22"/>
      <w:szCs w:val="24"/>
    </w:rPr>
  </w:style>
  <w:style w:type="paragraph" w:customStyle="1" w:styleId="1Heading">
    <w:name w:val="1Heading"/>
    <w:basedOn w:val="TM1"/>
    <w:next w:val="2Para"/>
    <w:rsid w:val="00E3232B"/>
    <w:pPr>
      <w:keepNext/>
      <w:numPr>
        <w:numId w:val="20"/>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M1">
    <w:name w:val="toc 1"/>
    <w:basedOn w:val="Normal"/>
    <w:next w:val="Normal"/>
    <w:autoRedefine/>
    <w:rsid w:val="00E3232B"/>
  </w:style>
  <w:style w:type="character" w:customStyle="1" w:styleId="Titre1Car">
    <w:name w:val="Titre 1 Car"/>
    <w:aliases w:val="Table_G Car"/>
    <w:link w:val="Titre1"/>
    <w:rsid w:val="00E3232B"/>
    <w:rPr>
      <w:lang w:val="en-GB" w:eastAsia="en-US"/>
    </w:rPr>
  </w:style>
  <w:style w:type="character" w:customStyle="1" w:styleId="Titre2Car">
    <w:name w:val="Titre 2 Car"/>
    <w:link w:val="Titre2"/>
    <w:rsid w:val="00E3232B"/>
    <w:rPr>
      <w:lang w:val="en-GB" w:eastAsia="en-US"/>
    </w:rPr>
  </w:style>
  <w:style w:type="character" w:customStyle="1" w:styleId="Titre3Car">
    <w:name w:val="Titre 3 Car"/>
    <w:link w:val="Titre3"/>
    <w:rsid w:val="00E3232B"/>
    <w:rPr>
      <w:lang w:val="en-GB" w:eastAsia="en-US"/>
    </w:rPr>
  </w:style>
  <w:style w:type="character" w:customStyle="1" w:styleId="Titre4Car">
    <w:name w:val="Titre 4 Car"/>
    <w:link w:val="Titre4"/>
    <w:rsid w:val="00E3232B"/>
    <w:rPr>
      <w:lang w:val="en-GB" w:eastAsia="en-US"/>
    </w:rPr>
  </w:style>
  <w:style w:type="character" w:customStyle="1" w:styleId="Titre5Car">
    <w:name w:val="Titre 5 Car"/>
    <w:link w:val="Titre5"/>
    <w:rsid w:val="00E3232B"/>
    <w:rPr>
      <w:lang w:val="en-GB" w:eastAsia="en-US"/>
    </w:rPr>
  </w:style>
  <w:style w:type="character" w:customStyle="1" w:styleId="Titre6Car">
    <w:name w:val="Titre 6 Car"/>
    <w:link w:val="Titre6"/>
    <w:rsid w:val="00E3232B"/>
    <w:rPr>
      <w:lang w:val="en-GB" w:eastAsia="en-US"/>
    </w:rPr>
  </w:style>
  <w:style w:type="character" w:customStyle="1" w:styleId="Titre7Car">
    <w:name w:val="Titre 7 Car"/>
    <w:link w:val="Titre7"/>
    <w:rsid w:val="00E3232B"/>
    <w:rPr>
      <w:lang w:val="en-GB" w:eastAsia="en-US"/>
    </w:rPr>
  </w:style>
  <w:style w:type="character" w:customStyle="1" w:styleId="Titre8Car">
    <w:name w:val="Titre 8 Car"/>
    <w:link w:val="Titre8"/>
    <w:rsid w:val="00E3232B"/>
    <w:rPr>
      <w:lang w:val="en-GB" w:eastAsia="en-US"/>
    </w:rPr>
  </w:style>
  <w:style w:type="character" w:customStyle="1" w:styleId="Titre9Car">
    <w:name w:val="Titre 9 Car"/>
    <w:link w:val="Titre9"/>
    <w:rsid w:val="00E3232B"/>
    <w:rPr>
      <w:lang w:val="en-GB" w:eastAsia="en-US"/>
    </w:rPr>
  </w:style>
  <w:style w:type="character" w:customStyle="1" w:styleId="NotedefinCar">
    <w:name w:val="Note de fin Car"/>
    <w:aliases w:val="2_G Car"/>
    <w:link w:val="Notedefin"/>
    <w:rsid w:val="00E3232B"/>
    <w:rPr>
      <w:sz w:val="18"/>
      <w:lang w:val="en-GB" w:eastAsia="en-US"/>
    </w:rPr>
  </w:style>
  <w:style w:type="character" w:customStyle="1" w:styleId="PieddepageCar">
    <w:name w:val="Pied de page Car"/>
    <w:aliases w:val="3_G Car"/>
    <w:link w:val="Pieddepage"/>
    <w:uiPriority w:val="99"/>
    <w:rsid w:val="00E3232B"/>
    <w:rPr>
      <w:sz w:val="16"/>
      <w:lang w:val="en-GB" w:eastAsia="en-US"/>
    </w:rPr>
  </w:style>
  <w:style w:type="paragraph" w:customStyle="1" w:styleId="Docs">
    <w:name w:val="Docs"/>
    <w:basedOn w:val="Normal"/>
    <w:rsid w:val="00E3232B"/>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E3232B"/>
    <w:rPr>
      <w:rFonts w:cs="Times Ten"/>
      <w:color w:val="000000"/>
      <w:sz w:val="20"/>
      <w:szCs w:val="20"/>
    </w:rPr>
  </w:style>
  <w:style w:type="paragraph" w:customStyle="1" w:styleId="ParaNoG">
    <w:name w:val="_ParaNo._G"/>
    <w:basedOn w:val="SingleTxtG"/>
    <w:rsid w:val="00E3232B"/>
  </w:style>
  <w:style w:type="numbering" w:customStyle="1" w:styleId="1ai1">
    <w:name w:val="1 / a / i1"/>
    <w:basedOn w:val="Aucuneliste"/>
    <w:next w:val="1ai"/>
    <w:semiHidden/>
    <w:rsid w:val="00E3232B"/>
  </w:style>
  <w:style w:type="numbering" w:customStyle="1" w:styleId="ArticleSection1">
    <w:name w:val="Article / Section1"/>
    <w:basedOn w:val="Aucuneliste"/>
    <w:next w:val="ArticleSection"/>
    <w:semiHidden/>
    <w:rsid w:val="00E3232B"/>
    <w:pPr>
      <w:numPr>
        <w:numId w:val="19"/>
      </w:numPr>
    </w:pPr>
  </w:style>
  <w:style w:type="table" w:customStyle="1" w:styleId="TableGrid1">
    <w:name w:val="Table Grid1"/>
    <w:basedOn w:val="TableauNormal"/>
    <w:next w:val="Grilledutableau"/>
    <w:rsid w:val="00E323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E3232B"/>
    <w:rPr>
      <w:lang w:val="en-GB" w:eastAsia="en-US" w:bidi="ar-SA"/>
    </w:rPr>
  </w:style>
  <w:style w:type="paragraph" w:styleId="Index1">
    <w:name w:val="index 1"/>
    <w:basedOn w:val="Normal"/>
    <w:next w:val="Normal"/>
    <w:autoRedefine/>
    <w:rsid w:val="00E3232B"/>
    <w:pPr>
      <w:suppressAutoHyphens w:val="0"/>
      <w:spacing w:line="240" w:lineRule="auto"/>
      <w:ind w:left="220" w:hanging="220"/>
    </w:pPr>
    <w:rPr>
      <w:sz w:val="22"/>
    </w:rPr>
  </w:style>
  <w:style w:type="paragraph" w:customStyle="1" w:styleId="Betrifft">
    <w:name w:val="Betrifft"/>
    <w:basedOn w:val="Normal"/>
    <w:rsid w:val="00E3232B"/>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E3232B"/>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E3232B"/>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vision">
    <w:name w:val="Revision"/>
    <w:hidden/>
    <w:uiPriority w:val="99"/>
    <w:semiHidden/>
    <w:rsid w:val="00E3232B"/>
    <w:rPr>
      <w:lang w:val="en-GB" w:eastAsia="en-US"/>
    </w:rPr>
  </w:style>
  <w:style w:type="paragraph" w:customStyle="1" w:styleId="ParNoG">
    <w:name w:val="_ParNo_G"/>
    <w:basedOn w:val="SingleTxtG"/>
    <w:rsid w:val="00E3232B"/>
    <w:pPr>
      <w:numPr>
        <w:numId w:val="25"/>
      </w:numPr>
    </w:pPr>
    <w:rPr>
      <w:lang w:val="fr-CH"/>
    </w:rPr>
  </w:style>
  <w:style w:type="paragraph" w:customStyle="1" w:styleId="Randnummer">
    <w:name w:val="Randnummer"/>
    <w:basedOn w:val="Normal"/>
    <w:rsid w:val="00E3232B"/>
    <w:pPr>
      <w:tabs>
        <w:tab w:val="left" w:pos="425"/>
        <w:tab w:val="left" w:pos="580"/>
        <w:tab w:val="left" w:pos="851"/>
        <w:tab w:val="left" w:pos="1100"/>
        <w:tab w:val="left" w:pos="1276"/>
      </w:tabs>
      <w:suppressAutoHyphens w:val="0"/>
      <w:spacing w:before="180" w:line="240" w:lineRule="auto"/>
      <w:ind w:left="1080" w:hanging="1080"/>
      <w:jc w:val="both"/>
    </w:pPr>
    <w:rPr>
      <w:rFonts w:ascii="Arial" w:hAnsi="Arial"/>
      <w:color w:val="000000"/>
      <w:sz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
    <w:name w:val="ArticleSection1"/>
    <w:pPr>
      <w:numPr>
        <w:numId w:val="19"/>
      </w:numPr>
    </w:pPr>
  </w:style>
  <w:style w:type="numbering" w:customStyle="1" w:styleId="Numrodepage">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unece.org/trans/danger/danger.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iga.e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7B40-45F5-48D5-AF1B-CC908F77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Template>
  <TotalTime>203</TotalTime>
  <Pages>72</Pages>
  <Words>27563</Words>
  <Characters>151599</Characters>
  <Application>Microsoft Office Word</Application>
  <DocSecurity>0</DocSecurity>
  <Lines>1263</Lines>
  <Paragraphs>357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178805</CharactersWithSpaces>
  <SharedDoc>false</SharedDoc>
  <HLinks>
    <vt:vector size="12" baseType="variant">
      <vt:variant>
        <vt:i4>65628</vt:i4>
      </vt:variant>
      <vt:variant>
        <vt:i4>6</vt:i4>
      </vt:variant>
      <vt:variant>
        <vt:i4>0</vt:i4>
      </vt:variant>
      <vt:variant>
        <vt:i4>5</vt:i4>
      </vt:variant>
      <vt:variant>
        <vt:lpwstr>http://www.unece.org/trans/danger/danger.htm)</vt:lpwstr>
      </vt:variant>
      <vt:variant>
        <vt:lpwstr/>
      </vt:variant>
      <vt:variant>
        <vt:i4>7471165</vt:i4>
      </vt:variant>
      <vt:variant>
        <vt:i4>3</vt:i4>
      </vt:variant>
      <vt:variant>
        <vt:i4>0</vt:i4>
      </vt:variant>
      <vt:variant>
        <vt:i4>5</vt:i4>
      </vt:variant>
      <vt:variant>
        <vt:lpwstr>http://www.eiga.eu/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dc:creator>
  <cp:lastModifiedBy>ECE/TRANS/242/Corr.1</cp:lastModifiedBy>
  <cp:revision>44</cp:revision>
  <cp:lastPrinted>2009-10-26T10:59:00Z</cp:lastPrinted>
  <dcterms:created xsi:type="dcterms:W3CDTF">2016-02-16T10:16:00Z</dcterms:created>
  <dcterms:modified xsi:type="dcterms:W3CDTF">2016-03-03T10:16:00Z</dcterms:modified>
</cp:coreProperties>
</file>