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7423F7"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7423F7" w:rsidRDefault="003D1DF3" w:rsidP="00F01516">
            <w:pPr>
              <w:spacing w:after="80" w:line="300" w:lineRule="exact"/>
              <w:rPr>
                <w:sz w:val="28"/>
                <w:lang w:val="fr-FR"/>
              </w:rPr>
            </w:pPr>
            <w:r w:rsidRPr="007423F7">
              <w:rPr>
                <w:sz w:val="28"/>
                <w:lang w:val="fr-FR"/>
              </w:rPr>
              <w:t>Nations Unies</w:t>
            </w:r>
          </w:p>
        </w:tc>
        <w:tc>
          <w:tcPr>
            <w:tcW w:w="6094" w:type="dxa"/>
            <w:gridSpan w:val="2"/>
            <w:tcBorders>
              <w:bottom w:val="single" w:sz="4" w:space="0" w:color="auto"/>
            </w:tcBorders>
            <w:vAlign w:val="bottom"/>
          </w:tcPr>
          <w:p w:rsidR="003D1DF3" w:rsidRPr="007423F7" w:rsidRDefault="004741E6" w:rsidP="004741E6">
            <w:pPr>
              <w:jc w:val="right"/>
              <w:rPr>
                <w:lang w:val="fr-FR"/>
              </w:rPr>
            </w:pPr>
            <w:r w:rsidRPr="007423F7">
              <w:rPr>
                <w:sz w:val="40"/>
                <w:lang w:val="fr-FR"/>
              </w:rPr>
              <w:t>ECE</w:t>
            </w:r>
            <w:r w:rsidRPr="007423F7">
              <w:rPr>
                <w:lang w:val="fr-FR"/>
              </w:rPr>
              <w:t>/TRANS/WP.15/231/Add.1</w:t>
            </w:r>
          </w:p>
        </w:tc>
      </w:tr>
      <w:tr w:rsidR="003D1DF3" w:rsidRPr="007423F7" w:rsidTr="00F01516">
        <w:trPr>
          <w:trHeight w:hRule="exact" w:val="2835"/>
        </w:trPr>
        <w:tc>
          <w:tcPr>
            <w:tcW w:w="1276" w:type="dxa"/>
            <w:tcBorders>
              <w:top w:val="single" w:sz="4" w:space="0" w:color="auto"/>
              <w:bottom w:val="single" w:sz="12" w:space="0" w:color="auto"/>
            </w:tcBorders>
          </w:tcPr>
          <w:p w:rsidR="003D1DF3" w:rsidRPr="007423F7" w:rsidRDefault="00367E6A" w:rsidP="00F01516">
            <w:pPr>
              <w:spacing w:before="120"/>
              <w:jc w:val="center"/>
              <w:rPr>
                <w:lang w:val="fr-FR"/>
              </w:rPr>
            </w:pPr>
            <w:r w:rsidRPr="007423F7">
              <w:rPr>
                <w:noProof/>
                <w:lang w:val="fr-FR" w:eastAsia="fr-FR"/>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23F7" w:rsidRDefault="003D1DF3" w:rsidP="00F01516">
            <w:pPr>
              <w:spacing w:before="120" w:line="420" w:lineRule="exact"/>
              <w:rPr>
                <w:b/>
                <w:sz w:val="40"/>
                <w:szCs w:val="40"/>
                <w:lang w:val="fr-FR"/>
              </w:rPr>
            </w:pPr>
            <w:r w:rsidRPr="007423F7">
              <w:rPr>
                <w:b/>
                <w:sz w:val="40"/>
                <w:szCs w:val="40"/>
                <w:lang w:val="fr-FR"/>
              </w:rPr>
              <w:t>Conseil économique et social</w:t>
            </w:r>
          </w:p>
        </w:tc>
        <w:tc>
          <w:tcPr>
            <w:tcW w:w="2835" w:type="dxa"/>
            <w:tcBorders>
              <w:top w:val="single" w:sz="4" w:space="0" w:color="auto"/>
              <w:bottom w:val="single" w:sz="12" w:space="0" w:color="auto"/>
            </w:tcBorders>
          </w:tcPr>
          <w:p w:rsidR="003D1DF3" w:rsidRPr="007423F7" w:rsidRDefault="004741E6" w:rsidP="004741E6">
            <w:pPr>
              <w:spacing w:before="240" w:line="240" w:lineRule="exact"/>
              <w:rPr>
                <w:lang w:val="fr-FR"/>
              </w:rPr>
            </w:pPr>
            <w:r w:rsidRPr="007423F7">
              <w:rPr>
                <w:lang w:val="fr-FR"/>
              </w:rPr>
              <w:t>Distr. générale</w:t>
            </w:r>
          </w:p>
          <w:p w:rsidR="004741E6" w:rsidRPr="007423F7" w:rsidRDefault="001B5A49" w:rsidP="004741E6">
            <w:pPr>
              <w:spacing w:line="240" w:lineRule="exact"/>
              <w:rPr>
                <w:lang w:val="fr-FR"/>
              </w:rPr>
            </w:pPr>
            <w:r>
              <w:rPr>
                <w:lang w:val="fr-FR"/>
              </w:rPr>
              <w:t>31</w:t>
            </w:r>
            <w:bookmarkStart w:id="0" w:name="_GoBack"/>
            <w:bookmarkEnd w:id="0"/>
            <w:r w:rsidR="00896BEE" w:rsidRPr="007423F7">
              <w:rPr>
                <w:lang w:val="fr-FR"/>
              </w:rPr>
              <w:t xml:space="preserve"> </w:t>
            </w:r>
            <w:r w:rsidR="004741E6" w:rsidRPr="007423F7">
              <w:rPr>
                <w:lang w:val="fr-FR"/>
              </w:rPr>
              <w:t>mai 2016</w:t>
            </w:r>
          </w:p>
          <w:p w:rsidR="004741E6" w:rsidRPr="007423F7" w:rsidRDefault="00BD2AA6" w:rsidP="004741E6">
            <w:pPr>
              <w:spacing w:line="240" w:lineRule="exact"/>
              <w:rPr>
                <w:lang w:val="fr-FR"/>
              </w:rPr>
            </w:pPr>
            <w:r w:rsidRPr="007423F7">
              <w:rPr>
                <w:lang w:val="fr-FR"/>
              </w:rPr>
              <w:t>Français</w:t>
            </w:r>
          </w:p>
          <w:p w:rsidR="004741E6" w:rsidRPr="007423F7" w:rsidRDefault="004741E6" w:rsidP="004741E6">
            <w:pPr>
              <w:spacing w:line="240" w:lineRule="exact"/>
              <w:rPr>
                <w:lang w:val="fr-FR"/>
              </w:rPr>
            </w:pPr>
            <w:r w:rsidRPr="007423F7">
              <w:rPr>
                <w:lang w:val="fr-FR"/>
              </w:rPr>
              <w:t xml:space="preserve">Original: français </w:t>
            </w:r>
            <w:r w:rsidR="00BD2AA6" w:rsidRPr="007423F7">
              <w:rPr>
                <w:lang w:val="fr-FR"/>
              </w:rPr>
              <w:t>et anglais</w:t>
            </w:r>
          </w:p>
        </w:tc>
      </w:tr>
    </w:tbl>
    <w:p w:rsidR="00FF1DBD" w:rsidRPr="007423F7" w:rsidRDefault="000312C0" w:rsidP="000312C0">
      <w:pPr>
        <w:spacing w:before="120"/>
        <w:rPr>
          <w:b/>
          <w:sz w:val="28"/>
          <w:szCs w:val="28"/>
          <w:lang w:val="fr-FR"/>
        </w:rPr>
      </w:pPr>
      <w:r w:rsidRPr="007423F7">
        <w:rPr>
          <w:b/>
          <w:sz w:val="28"/>
          <w:szCs w:val="28"/>
          <w:lang w:val="fr-FR"/>
        </w:rPr>
        <w:t>Commission économique pour l’Europe</w:t>
      </w:r>
    </w:p>
    <w:p w:rsidR="00B93E72" w:rsidRPr="007423F7" w:rsidRDefault="00B93E72" w:rsidP="00B93E72">
      <w:pPr>
        <w:spacing w:before="120"/>
        <w:rPr>
          <w:sz w:val="28"/>
          <w:szCs w:val="28"/>
          <w:lang w:val="fr-FR"/>
        </w:rPr>
      </w:pPr>
      <w:r w:rsidRPr="007423F7">
        <w:rPr>
          <w:sz w:val="28"/>
          <w:szCs w:val="28"/>
          <w:lang w:val="fr-FR"/>
        </w:rPr>
        <w:t>Comité des transports intérieurs</w:t>
      </w:r>
    </w:p>
    <w:p w:rsidR="00B93E72" w:rsidRPr="007423F7" w:rsidRDefault="00B93E72" w:rsidP="00B93E72">
      <w:pPr>
        <w:spacing w:before="120"/>
        <w:rPr>
          <w:b/>
          <w:sz w:val="24"/>
          <w:szCs w:val="24"/>
          <w:lang w:val="fr-FR"/>
        </w:rPr>
      </w:pPr>
      <w:r w:rsidRPr="007423F7">
        <w:rPr>
          <w:b/>
          <w:sz w:val="24"/>
          <w:szCs w:val="24"/>
          <w:lang w:val="fr-FR"/>
        </w:rPr>
        <w:t>Groupe de travail des transports</w:t>
      </w:r>
      <w:r w:rsidR="00FA6422" w:rsidRPr="007423F7">
        <w:rPr>
          <w:b/>
          <w:sz w:val="24"/>
          <w:szCs w:val="24"/>
          <w:lang w:val="fr-FR"/>
        </w:rPr>
        <w:t xml:space="preserve"> </w:t>
      </w:r>
      <w:r w:rsidRPr="007423F7">
        <w:rPr>
          <w:b/>
          <w:sz w:val="24"/>
          <w:szCs w:val="24"/>
          <w:lang w:val="fr-FR"/>
        </w:rPr>
        <w:t>de marchandises dangereuses</w:t>
      </w:r>
    </w:p>
    <w:p w:rsidR="005C4275" w:rsidRPr="007423F7" w:rsidRDefault="005C4275" w:rsidP="005C4275">
      <w:pPr>
        <w:pStyle w:val="HChG"/>
        <w:rPr>
          <w:lang w:val="fr-FR"/>
        </w:rPr>
      </w:pPr>
      <w:r w:rsidRPr="007423F7">
        <w:rPr>
          <w:bCs/>
        </w:rPr>
        <w:tab/>
      </w:r>
      <w:r w:rsidRPr="007423F7">
        <w:rPr>
          <w:bCs/>
        </w:rPr>
        <w:tab/>
      </w:r>
      <w:r w:rsidRPr="007423F7">
        <w:rPr>
          <w:lang w:val="fr-FR"/>
        </w:rPr>
        <w:t>Accord européen relatif au transport international des marchandises dangereuses par route (ADR)</w:t>
      </w:r>
    </w:p>
    <w:p w:rsidR="005C4275" w:rsidRPr="007423F7" w:rsidRDefault="005C4275" w:rsidP="005C4275">
      <w:pPr>
        <w:pStyle w:val="H1G"/>
        <w:outlineLvl w:val="0"/>
        <w:rPr>
          <w:lang w:val="fr-FR"/>
        </w:rPr>
      </w:pPr>
      <w:r w:rsidRPr="007423F7">
        <w:tab/>
      </w:r>
      <w:r w:rsidRPr="007423F7">
        <w:tab/>
      </w:r>
      <w:r w:rsidRPr="007423F7">
        <w:rPr>
          <w:lang w:val="fr-FR"/>
        </w:rPr>
        <w:t>Projet d'amendements aux annexes A et B de l'ADR</w:t>
      </w:r>
    </w:p>
    <w:p w:rsidR="005C4275" w:rsidRPr="007423F7" w:rsidRDefault="005C4275" w:rsidP="005C4275">
      <w:pPr>
        <w:pStyle w:val="H23G"/>
        <w:rPr>
          <w:lang w:val="fr-FR"/>
        </w:rPr>
      </w:pPr>
      <w:r w:rsidRPr="007423F7">
        <w:rPr>
          <w:lang w:val="fr-FR"/>
        </w:rPr>
        <w:tab/>
      </w:r>
      <w:r w:rsidRPr="007423F7">
        <w:rPr>
          <w:lang w:val="fr-FR"/>
        </w:rPr>
        <w:tab/>
        <w:t>Additif</w:t>
      </w:r>
    </w:p>
    <w:p w:rsidR="005C4275" w:rsidRPr="007423F7" w:rsidRDefault="005C4275" w:rsidP="005C4275">
      <w:pPr>
        <w:pStyle w:val="SingleTxtG"/>
        <w:rPr>
          <w:lang w:val="fr-FR"/>
        </w:rPr>
      </w:pPr>
      <w:r w:rsidRPr="007423F7">
        <w:rPr>
          <w:lang w:val="fr-FR"/>
        </w:rPr>
        <w:tab/>
        <w:t>À sa 100</w:t>
      </w:r>
      <w:r w:rsidRPr="007423F7">
        <w:rPr>
          <w:vertAlign w:val="superscript"/>
          <w:lang w:val="fr-FR"/>
        </w:rPr>
        <w:t>e</w:t>
      </w:r>
      <w:r w:rsidRPr="007423F7">
        <w:rPr>
          <w:lang w:val="fr-FR"/>
        </w:rPr>
        <w:t xml:space="preserve"> session, le Groupe de travail des transports de marchandises dangereuses a prié le secrétariat</w:t>
      </w:r>
      <w:r w:rsidRPr="007423F7">
        <w:t xml:space="preserve"> de diffuser </w:t>
      </w:r>
      <w:r w:rsidRPr="007423F7">
        <w:rPr>
          <w:lang w:val="fr-FR"/>
        </w:rPr>
        <w:t xml:space="preserve">une liste supplémentaire d'amendements </w:t>
      </w:r>
      <w:r w:rsidRPr="007423F7">
        <w:t xml:space="preserve">dont l’entrée en vigueur est prévue le 1er janvier 2017 sous la forme d’un additif au document </w:t>
      </w:r>
      <w:r w:rsidRPr="007423F7">
        <w:rPr>
          <w:lang w:val="fr-FR"/>
        </w:rPr>
        <w:t>ECE/TRANS/WP.15/231, que</w:t>
      </w:r>
      <w:r w:rsidRPr="007423F7">
        <w:t xml:space="preserve"> le Président transmettra aux Parties contractantes par le biais de son gouvernement pour acceptation conformément à la procédure de l’article 14 de l’ADR</w:t>
      </w:r>
      <w:r w:rsidRPr="007423F7">
        <w:rPr>
          <w:lang w:val="fr-FR"/>
        </w:rPr>
        <w:t xml:space="preserve"> (voir ECE/TRANS/WP.15/233, paragraphe 49).</w:t>
      </w:r>
    </w:p>
    <w:p w:rsidR="005C4275" w:rsidRPr="007423F7" w:rsidRDefault="005C4275" w:rsidP="009E440C">
      <w:pPr>
        <w:pStyle w:val="SingleTxtG"/>
      </w:pPr>
      <w:r w:rsidRPr="007423F7">
        <w:rPr>
          <w:lang w:val="fr-FR"/>
        </w:rPr>
        <w:tab/>
      </w:r>
      <w:r w:rsidRPr="007423F7">
        <w:rPr>
          <w:bCs/>
          <w:lang w:val="fr-FR"/>
        </w:rPr>
        <w:t>Le présent document contient la liste supplémentaire requise des amendements adoptés par le Groupe de travail à sa 100</w:t>
      </w:r>
      <w:r w:rsidRPr="007423F7">
        <w:rPr>
          <w:bCs/>
          <w:vertAlign w:val="superscript"/>
          <w:lang w:val="fr-FR"/>
        </w:rPr>
        <w:t>e</w:t>
      </w:r>
      <w:r w:rsidRPr="007423F7">
        <w:rPr>
          <w:bCs/>
          <w:lang w:val="fr-FR"/>
        </w:rPr>
        <w:t xml:space="preserve"> session.</w:t>
      </w:r>
    </w:p>
    <w:p w:rsidR="005C4275" w:rsidRPr="007423F7" w:rsidRDefault="005C4275" w:rsidP="005C4275"/>
    <w:p w:rsidR="005C4275" w:rsidRPr="007423F7" w:rsidRDefault="005C4275" w:rsidP="005C4275">
      <w:pPr>
        <w:suppressAutoHyphens w:val="0"/>
        <w:spacing w:line="240" w:lineRule="auto"/>
        <w:rPr>
          <w:b/>
          <w:bCs/>
        </w:rPr>
      </w:pPr>
      <w:r w:rsidRPr="007423F7">
        <w:rPr>
          <w:b/>
          <w:bCs/>
        </w:rPr>
        <w:br w:type="page"/>
      </w:r>
    </w:p>
    <w:p w:rsidR="005C4275" w:rsidRPr="007423F7" w:rsidRDefault="00AA331F" w:rsidP="00AA331F">
      <w:pPr>
        <w:pStyle w:val="H1G"/>
      </w:pPr>
      <w:r w:rsidRPr="007423F7">
        <w:lastRenderedPageBreak/>
        <w:tab/>
      </w:r>
      <w:r w:rsidRPr="007423F7">
        <w:tab/>
      </w:r>
      <w:r w:rsidR="005C4275" w:rsidRPr="007423F7">
        <w:t>Chapitre 1.1</w:t>
      </w:r>
    </w:p>
    <w:p w:rsidR="005C4275" w:rsidRPr="007423F7" w:rsidRDefault="005C4275" w:rsidP="00631B95">
      <w:pPr>
        <w:pStyle w:val="SingleTxtG"/>
        <w:rPr>
          <w:lang w:val="fr-FR"/>
        </w:rPr>
      </w:pPr>
      <w:r w:rsidRPr="007423F7">
        <w:rPr>
          <w:lang w:val="fr-FR"/>
        </w:rPr>
        <w:t>1.1.3.2 a)</w:t>
      </w:r>
      <w:r w:rsidRPr="007423F7">
        <w:rPr>
          <w:lang w:val="fr-FR"/>
        </w:rPr>
        <w:tab/>
        <w:t>À la fin, ajouter le nota suivant:</w:t>
      </w:r>
    </w:p>
    <w:p w:rsidR="005C4275" w:rsidRPr="007423F7" w:rsidRDefault="005C4275" w:rsidP="00631B95">
      <w:pPr>
        <w:pStyle w:val="SingleTxtG"/>
        <w:rPr>
          <w:i/>
          <w:lang w:val="fr-FR"/>
        </w:rPr>
      </w:pPr>
      <w:r w:rsidRPr="007423F7">
        <w:rPr>
          <w:i/>
          <w:lang w:val="fr-FR"/>
        </w:rPr>
        <w:t>«</w:t>
      </w:r>
      <w:r w:rsidR="0008260F" w:rsidRPr="007423F7">
        <w:rPr>
          <w:b/>
          <w:i/>
          <w:lang w:val="fr-FR"/>
        </w:rPr>
        <w:t xml:space="preserve">NOTA </w:t>
      </w:r>
      <w:r w:rsidRPr="007423F7">
        <w:rPr>
          <w:b/>
          <w:i/>
          <w:lang w:val="fr-FR"/>
        </w:rPr>
        <w:t>2:</w:t>
      </w:r>
      <w:r w:rsidRPr="007423F7">
        <w:rPr>
          <w:i/>
          <w:lang w:val="fr-FR"/>
        </w:rPr>
        <w:tab/>
        <w:t>Tout conteneur doté d’un équipement destiné à fonctionner pendant le transport et arrimé sur un véhicule est considéré comme faisant partie intégrante du véhicule et bénéficie des mêmes exemptions en ce qui concerne le combustible nécessaire au fonctionnement de l’équipement.».</w:t>
      </w:r>
    </w:p>
    <w:p w:rsidR="008832EF" w:rsidRPr="007423F7" w:rsidRDefault="00F004CA" w:rsidP="00F004CA">
      <w:pPr>
        <w:pStyle w:val="SingleTxtG"/>
        <w:rPr>
          <w:lang w:val="fr-FR"/>
        </w:rPr>
      </w:pPr>
      <w:r w:rsidRPr="007423F7">
        <w:rPr>
          <w:lang w:val="fr-FR"/>
        </w:rPr>
        <w:t>N</w:t>
      </w:r>
      <w:r w:rsidR="008832EF" w:rsidRPr="007423F7">
        <w:rPr>
          <w:lang w:val="fr-FR"/>
        </w:rPr>
        <w:t xml:space="preserve">uméroter le Nota existant </w:t>
      </w:r>
      <w:r w:rsidR="00842F17">
        <w:t xml:space="preserve">(voir ECE/TRANS/WP.15/231/Corr.1) </w:t>
      </w:r>
      <w:r w:rsidR="008832EF" w:rsidRPr="007423F7">
        <w:rPr>
          <w:lang w:val="fr-FR"/>
        </w:rPr>
        <w:t>en tant que NOTA 1.</w:t>
      </w:r>
    </w:p>
    <w:p w:rsidR="005C4275" w:rsidRPr="007423F7" w:rsidRDefault="005C4275" w:rsidP="00631B95">
      <w:pPr>
        <w:pStyle w:val="SingleTxtG"/>
        <w:rPr>
          <w:lang w:val="fr-FR"/>
        </w:rPr>
      </w:pPr>
      <w:r w:rsidRPr="007423F7">
        <w:rPr>
          <w:lang w:val="fr-FR"/>
        </w:rPr>
        <w:t>1.1.3.3 a) À la fin, ajouter le</w:t>
      </w:r>
      <w:r w:rsidR="008A638C" w:rsidRPr="007423F7">
        <w:rPr>
          <w:lang w:val="fr-FR"/>
        </w:rPr>
        <w:t>s</w:t>
      </w:r>
      <w:r w:rsidRPr="007423F7">
        <w:rPr>
          <w:lang w:val="fr-FR"/>
        </w:rPr>
        <w:t xml:space="preserve"> </w:t>
      </w:r>
      <w:r w:rsidR="008A638C" w:rsidRPr="007423F7">
        <w:rPr>
          <w:lang w:val="fr-FR"/>
        </w:rPr>
        <w:t xml:space="preserve">Notas </w:t>
      </w:r>
      <w:r w:rsidRPr="007423F7">
        <w:rPr>
          <w:lang w:val="fr-FR"/>
        </w:rPr>
        <w:t>suivant</w:t>
      </w:r>
      <w:r w:rsidR="008A638C" w:rsidRPr="007423F7">
        <w:rPr>
          <w:lang w:val="fr-FR"/>
        </w:rPr>
        <w:t>s</w:t>
      </w:r>
      <w:r w:rsidRPr="007423F7">
        <w:rPr>
          <w:lang w:val="fr-FR"/>
        </w:rPr>
        <w:t>:</w:t>
      </w:r>
    </w:p>
    <w:p w:rsidR="005C4275" w:rsidRPr="007423F7" w:rsidRDefault="005C4275" w:rsidP="00631B95">
      <w:pPr>
        <w:pStyle w:val="SingleTxtG"/>
        <w:rPr>
          <w:i/>
          <w:lang w:val="fr-FR"/>
        </w:rPr>
      </w:pPr>
      <w:r w:rsidRPr="007423F7">
        <w:rPr>
          <w:i/>
          <w:lang w:val="fr-FR"/>
        </w:rPr>
        <w:t>«</w:t>
      </w:r>
      <w:r w:rsidRPr="007423F7">
        <w:rPr>
          <w:b/>
          <w:i/>
          <w:lang w:val="fr-FR"/>
        </w:rPr>
        <w:t>NOTA 1:</w:t>
      </w:r>
      <w:r w:rsidRPr="007423F7">
        <w:rPr>
          <w:i/>
          <w:lang w:val="fr-FR"/>
        </w:rPr>
        <w:tab/>
        <w:t>Tout conteneur doté d’un équipement destiné à fonctionner pendant le transport et arrimé sur un véhicule est considéré comme faisant partie intégrante du véhicule et bénéficie des mêmes exemptions en ce qui concerne le combustible nécessaire au fonctionnement de l’équipement.</w:t>
      </w:r>
    </w:p>
    <w:p w:rsidR="005C4275" w:rsidRPr="007423F7" w:rsidRDefault="008A638C" w:rsidP="00631B95">
      <w:pPr>
        <w:pStyle w:val="SingleTxtG"/>
        <w:rPr>
          <w:i/>
        </w:rPr>
      </w:pPr>
      <w:r w:rsidRPr="007423F7">
        <w:rPr>
          <w:b/>
          <w:i/>
        </w:rPr>
        <w:tab/>
      </w:r>
      <w:r w:rsidR="005C4275" w:rsidRPr="007423F7">
        <w:rPr>
          <w:b/>
          <w:i/>
        </w:rPr>
        <w:t>2:</w:t>
      </w:r>
      <w:r w:rsidR="005C4275" w:rsidRPr="007423F7">
        <w:rPr>
          <w:i/>
        </w:rPr>
        <w:t xml:space="preserve"> </w:t>
      </w:r>
      <w:r w:rsidRPr="007423F7">
        <w:rPr>
          <w:i/>
        </w:rPr>
        <w:tab/>
      </w:r>
      <w:r w:rsidR="005C4275" w:rsidRPr="007423F7">
        <w:rPr>
          <w:i/>
        </w:rPr>
        <w:t>La capacité totale des réservoirs ou bouteilles, y compris ceux contenant des combustibles gazeux, ne doit pas dépasser une valeur d’énergie équivalente à 54 000 MJ (voir le NOTA</w:t>
      </w:r>
      <w:r w:rsidR="00E75818" w:rsidRPr="007423F7">
        <w:rPr>
          <w:i/>
        </w:rPr>
        <w:t xml:space="preserve"> 1</w:t>
      </w:r>
      <w:r w:rsidR="005C4275" w:rsidRPr="007423F7">
        <w:rPr>
          <w:i/>
        </w:rPr>
        <w:t xml:space="preserve"> au 1.1.3.2 a)).».</w:t>
      </w:r>
    </w:p>
    <w:p w:rsidR="005C4275" w:rsidRPr="007423F7" w:rsidRDefault="005C4275" w:rsidP="005C4275">
      <w:pPr>
        <w:pStyle w:val="SingleTxtG"/>
        <w:rPr>
          <w:lang w:val="fr-FR"/>
        </w:rPr>
      </w:pPr>
      <w:r w:rsidRPr="007423F7">
        <w:rPr>
          <w:lang w:val="fr-FR"/>
        </w:rPr>
        <w:t>1.1.3.10 (b)</w:t>
      </w:r>
      <w:r w:rsidRPr="007423F7">
        <w:rPr>
          <w:lang w:val="fr-FR"/>
        </w:rPr>
        <w:tab/>
        <w:t>Dans le Nota sous l’alinéa i), remplacer «</w:t>
      </w:r>
      <w:r w:rsidRPr="007423F7">
        <w:rPr>
          <w:snapToGrid w:val="0"/>
          <w:szCs w:val="24"/>
          <w:lang w:val="fr-FR"/>
        </w:rPr>
        <w:t xml:space="preserve">ISO 9001:2008» par </w:t>
      </w:r>
      <w:r w:rsidRPr="007423F7">
        <w:rPr>
          <w:lang w:val="fr-FR"/>
        </w:rPr>
        <w:t>«</w:t>
      </w:r>
      <w:r w:rsidRPr="007423F7">
        <w:rPr>
          <w:snapToGrid w:val="0"/>
          <w:szCs w:val="24"/>
          <w:lang w:val="fr-FR"/>
        </w:rPr>
        <w:t>ISO 9001».</w:t>
      </w:r>
    </w:p>
    <w:p w:rsidR="005C4275" w:rsidRPr="007423F7" w:rsidRDefault="008A638C" w:rsidP="008A638C">
      <w:pPr>
        <w:pStyle w:val="H1G"/>
      </w:pPr>
      <w:r w:rsidRPr="007423F7">
        <w:tab/>
      </w:r>
      <w:r w:rsidRPr="007423F7">
        <w:tab/>
      </w:r>
      <w:r w:rsidR="005C4275" w:rsidRPr="007423F7">
        <w:t>Chapitre 1.2</w:t>
      </w:r>
    </w:p>
    <w:p w:rsidR="000E4066" w:rsidRPr="007423F7" w:rsidRDefault="000E4066" w:rsidP="005C4275">
      <w:pPr>
        <w:pStyle w:val="SingleTxtG"/>
        <w:rPr>
          <w:lang w:val="fr-FR"/>
        </w:rPr>
      </w:pPr>
      <w:r w:rsidRPr="007423F7">
        <w:rPr>
          <w:lang w:val="fr-FR"/>
        </w:rPr>
        <w:t>1.2.1</w:t>
      </w:r>
      <w:r w:rsidRPr="007423F7">
        <w:rPr>
          <w:lang w:val="fr-FR"/>
        </w:rPr>
        <w:tab/>
        <w:t>Dans la définition de «Aérosol ou générateur d’aérosol» telle que modifiée dans le document ECE/TRANS/WP.15/231, remplacer «6.2.4» par «6.2.6».</w:t>
      </w:r>
    </w:p>
    <w:p w:rsidR="005C4275" w:rsidRPr="007423F7" w:rsidRDefault="005C4275" w:rsidP="005C4275">
      <w:pPr>
        <w:pStyle w:val="SingleTxtG"/>
        <w:rPr>
          <w:lang w:val="fr-FR"/>
        </w:rPr>
      </w:pPr>
      <w:r w:rsidRPr="007423F7">
        <w:rPr>
          <w:lang w:val="fr-FR"/>
        </w:rPr>
        <w:t>1.2.1</w:t>
      </w:r>
      <w:r w:rsidRPr="007423F7">
        <w:rPr>
          <w:lang w:val="fr-FR"/>
        </w:rPr>
        <w:tab/>
        <w:t>Dans la définition de «Matières plastiques recyclée</w:t>
      </w:r>
      <w:r w:rsidR="00087E95">
        <w:rPr>
          <w:lang w:val="fr-FR"/>
        </w:rPr>
        <w:t>s</w:t>
      </w:r>
      <w:r w:rsidRPr="007423F7">
        <w:rPr>
          <w:lang w:val="fr-FR"/>
        </w:rPr>
        <w:t>», remplacer «des matières récupérées sur des emballages industriels usagés qui ont été nettoyés et traités pour être soumis au recyclage» par «des matières récupérées à partir d'emballages industriels usagés qui ont été nettoyés et préparés pour être transformés en emballages neufs».</w:t>
      </w:r>
    </w:p>
    <w:p w:rsidR="005C4275" w:rsidRPr="007423F7" w:rsidRDefault="005C4275" w:rsidP="005C4275">
      <w:pPr>
        <w:tabs>
          <w:tab w:val="left" w:pos="1418"/>
          <w:tab w:val="left" w:pos="1843"/>
        </w:tabs>
        <w:spacing w:before="120" w:after="120"/>
        <w:ind w:left="1134" w:right="1134"/>
        <w:jc w:val="both"/>
        <w:rPr>
          <w:lang w:val="fr-FR"/>
        </w:rPr>
      </w:pPr>
      <w:r w:rsidRPr="007423F7">
        <w:rPr>
          <w:lang w:val="fr-FR"/>
        </w:rPr>
        <w:t>1.2.1</w:t>
      </w:r>
      <w:r w:rsidRPr="007423F7">
        <w:rPr>
          <w:lang w:val="fr-FR"/>
        </w:rPr>
        <w:tab/>
        <w:t>Modifier la définition de «Pression maximale de service» comme suit :</w:t>
      </w:r>
    </w:p>
    <w:p w:rsidR="005C4275" w:rsidRPr="007423F7" w:rsidRDefault="005C4275" w:rsidP="007423F7">
      <w:pPr>
        <w:tabs>
          <w:tab w:val="left" w:pos="1418"/>
          <w:tab w:val="left" w:pos="1843"/>
        </w:tabs>
        <w:spacing w:before="120" w:after="120"/>
        <w:ind w:left="1843" w:right="1134"/>
        <w:jc w:val="both"/>
        <w:rPr>
          <w:lang w:val="fr-FR"/>
        </w:rPr>
      </w:pPr>
      <w:r w:rsidRPr="007423F7">
        <w:rPr>
          <w:lang w:val="fr-FR"/>
        </w:rPr>
        <w:t>Remplacer la première phrase par la suivante: «</w:t>
      </w:r>
      <w:r w:rsidR="0008260F" w:rsidRPr="007423F7">
        <w:rPr>
          <w:i/>
          <w:lang w:val="fr-FR"/>
        </w:rPr>
        <w:t>"</w:t>
      </w:r>
      <w:r w:rsidRPr="007423F7">
        <w:rPr>
          <w:i/>
          <w:lang w:val="fr-FR"/>
        </w:rPr>
        <w:t>Pression maximale de service</w:t>
      </w:r>
      <w:r w:rsidR="0008260F" w:rsidRPr="007423F7">
        <w:rPr>
          <w:i/>
          <w:lang w:val="fr-FR"/>
        </w:rPr>
        <w:t>"</w:t>
      </w:r>
      <w:r w:rsidRPr="007423F7">
        <w:rPr>
          <w:lang w:val="fr-FR"/>
        </w:rPr>
        <w:t xml:space="preserve"> (pression manométrique), la plus haute des trois valeurs suivantes, susceptible d’être atteinte au sommet de la citerne dans sa position d’exploitation:».</w:t>
      </w:r>
    </w:p>
    <w:p w:rsidR="005C4275" w:rsidRPr="007423F7" w:rsidRDefault="005C4275" w:rsidP="007423F7">
      <w:pPr>
        <w:tabs>
          <w:tab w:val="left" w:pos="1418"/>
          <w:tab w:val="left" w:pos="1843"/>
        </w:tabs>
        <w:spacing w:before="120" w:after="120"/>
        <w:ind w:left="1843" w:right="1134"/>
        <w:jc w:val="both"/>
        <w:rPr>
          <w:lang w:val="fr-FR"/>
        </w:rPr>
      </w:pPr>
      <w:r w:rsidRPr="007423F7">
        <w:rPr>
          <w:lang w:val="fr-FR"/>
        </w:rPr>
        <w:t>Rempl</w:t>
      </w:r>
      <w:r w:rsidR="007423F7">
        <w:rPr>
          <w:lang w:val="fr-FR"/>
        </w:rPr>
        <w:t>acer l’alinéa c) par le suivant</w:t>
      </w:r>
      <w:r w:rsidRPr="007423F7">
        <w:rPr>
          <w:lang w:val="fr-FR"/>
        </w:rPr>
        <w:t>:</w:t>
      </w:r>
    </w:p>
    <w:p w:rsidR="005C4275" w:rsidRPr="007423F7" w:rsidRDefault="005C4275" w:rsidP="007423F7">
      <w:pPr>
        <w:tabs>
          <w:tab w:val="left" w:pos="1418"/>
          <w:tab w:val="left" w:pos="1843"/>
        </w:tabs>
        <w:spacing w:before="120" w:after="120"/>
        <w:ind w:left="1843" w:right="1134"/>
        <w:jc w:val="both"/>
        <w:rPr>
          <w:lang w:val="fr-FR"/>
        </w:rPr>
      </w:pPr>
      <w:r w:rsidRPr="007423F7">
        <w:rPr>
          <w:lang w:val="fr-FR"/>
        </w:rPr>
        <w:t>«c)</w:t>
      </w:r>
      <w:r w:rsidRPr="007423F7">
        <w:rPr>
          <w:lang w:val="fr-FR"/>
        </w:rPr>
        <w:tab/>
        <w:t>pression manométrique effective à laquelle la citerne est soumise par son contenu (y compris les gaz étrangers qu'elle peut renfermer) à la température maximale de service.».</w:t>
      </w:r>
    </w:p>
    <w:p w:rsidR="005C4275" w:rsidRPr="007423F7" w:rsidRDefault="005C4275" w:rsidP="007423F7">
      <w:pPr>
        <w:tabs>
          <w:tab w:val="left" w:pos="1418"/>
          <w:tab w:val="left" w:pos="1843"/>
        </w:tabs>
        <w:spacing w:before="120" w:after="120"/>
        <w:ind w:left="1843" w:right="1134"/>
        <w:jc w:val="both"/>
        <w:rPr>
          <w:lang w:val="fr-FR"/>
        </w:rPr>
      </w:pPr>
      <w:r w:rsidRPr="007423F7">
        <w:rPr>
          <w:lang w:val="fr-FR"/>
        </w:rPr>
        <w:t>Dans le dernier paragraphe, remplacer «à l'exception des citernes destinées au transport de gaz de la classe 2 comprimés, liquéfiés ou dissous,» par «à l'exception des citernes destinées au transport de gaz comprimés, liquéfiés ou dissous, de la classe 2,».</w:t>
      </w:r>
    </w:p>
    <w:p w:rsidR="005C4275" w:rsidRPr="007423F7" w:rsidRDefault="005C4275" w:rsidP="007423F7">
      <w:pPr>
        <w:tabs>
          <w:tab w:val="left" w:pos="1418"/>
          <w:tab w:val="left" w:pos="1843"/>
        </w:tabs>
        <w:spacing w:before="120" w:after="120"/>
        <w:ind w:left="1843" w:right="1134"/>
        <w:jc w:val="both"/>
        <w:rPr>
          <w:lang w:val="fr-FR"/>
        </w:rPr>
      </w:pPr>
      <w:r w:rsidRPr="007423F7">
        <w:rPr>
          <w:lang w:val="fr-FR"/>
        </w:rPr>
        <w:t>In</w:t>
      </w:r>
      <w:r w:rsidR="008A638C" w:rsidRPr="007423F7">
        <w:rPr>
          <w:lang w:val="fr-FR"/>
        </w:rPr>
        <w:t>sérer le nouveau Nota 1 suivant</w:t>
      </w:r>
      <w:r w:rsidRPr="007423F7">
        <w:rPr>
          <w:lang w:val="fr-FR"/>
        </w:rPr>
        <w:t>:</w:t>
      </w:r>
    </w:p>
    <w:p w:rsidR="005C4275" w:rsidRPr="007423F7" w:rsidRDefault="005C4275" w:rsidP="007423F7">
      <w:pPr>
        <w:pStyle w:val="SingleTxtG"/>
        <w:ind w:left="1843"/>
        <w:rPr>
          <w:i/>
          <w:lang w:val="fr-FR"/>
        </w:rPr>
      </w:pPr>
      <w:r w:rsidRPr="007423F7">
        <w:rPr>
          <w:i/>
          <w:lang w:val="fr-FR"/>
        </w:rPr>
        <w:t>«</w:t>
      </w:r>
      <w:r w:rsidRPr="007423F7">
        <w:rPr>
          <w:b/>
          <w:i/>
          <w:lang w:val="fr-FR"/>
        </w:rPr>
        <w:t>NOTA</w:t>
      </w:r>
      <w:r w:rsidR="008A638C" w:rsidRPr="007423F7">
        <w:rPr>
          <w:b/>
          <w:i/>
          <w:lang w:val="fr-FR"/>
        </w:rPr>
        <w:t xml:space="preserve"> 1</w:t>
      </w:r>
      <w:r w:rsidRPr="007423F7">
        <w:rPr>
          <w:b/>
          <w:i/>
          <w:lang w:val="fr-FR"/>
        </w:rPr>
        <w:t>:</w:t>
      </w:r>
      <w:r w:rsidRPr="007423F7">
        <w:rPr>
          <w:i/>
          <w:lang w:val="fr-FR"/>
        </w:rPr>
        <w:tab/>
        <w:t xml:space="preserve">La pression maximale de service n’est pas applicable aux citernes à vidange </w:t>
      </w:r>
      <w:r w:rsidR="009D6189" w:rsidRPr="007423F7">
        <w:rPr>
          <w:i/>
          <w:lang w:val="fr-FR"/>
        </w:rPr>
        <w:t>par gravité</w:t>
      </w:r>
      <w:r w:rsidR="009D6189" w:rsidRPr="007423F7">
        <w:rPr>
          <w:i/>
          <w:iCs/>
          <w:lang w:val="fr-FR"/>
        </w:rPr>
        <w:t xml:space="preserve"> </w:t>
      </w:r>
      <w:r w:rsidR="008A638C" w:rsidRPr="007423F7">
        <w:rPr>
          <w:i/>
          <w:iCs/>
          <w:lang w:val="fr-FR"/>
        </w:rPr>
        <w:t>selon le 6.8.2.1.14 a).</w:t>
      </w:r>
      <w:r w:rsidRPr="007423F7">
        <w:rPr>
          <w:i/>
          <w:iCs/>
          <w:lang w:val="fr-FR"/>
        </w:rPr>
        <w:t>».</w:t>
      </w:r>
    </w:p>
    <w:p w:rsidR="005C4275" w:rsidRPr="007423F7" w:rsidRDefault="005C4275" w:rsidP="007423F7">
      <w:pPr>
        <w:tabs>
          <w:tab w:val="left" w:pos="1418"/>
          <w:tab w:val="left" w:pos="1843"/>
        </w:tabs>
        <w:spacing w:before="120" w:after="120"/>
        <w:ind w:left="1843" w:right="1134"/>
        <w:jc w:val="both"/>
        <w:rPr>
          <w:lang w:val="fr-FR"/>
        </w:rPr>
      </w:pPr>
      <w:r w:rsidRPr="007423F7">
        <w:rPr>
          <w:lang w:val="fr-FR"/>
        </w:rPr>
        <w:t>Renuméroter en conséquence les N</w:t>
      </w:r>
      <w:r w:rsidR="008A638C" w:rsidRPr="007423F7">
        <w:rPr>
          <w:lang w:val="fr-FR"/>
        </w:rPr>
        <w:t>otas</w:t>
      </w:r>
      <w:r w:rsidRPr="007423F7">
        <w:rPr>
          <w:lang w:val="fr-FR"/>
        </w:rPr>
        <w:t xml:space="preserve"> 1 et 2 qui deviennent les N</w:t>
      </w:r>
      <w:r w:rsidR="008A638C" w:rsidRPr="007423F7">
        <w:rPr>
          <w:lang w:val="fr-FR"/>
        </w:rPr>
        <w:t>otas</w:t>
      </w:r>
      <w:r w:rsidRPr="007423F7">
        <w:rPr>
          <w:lang w:val="fr-FR"/>
        </w:rPr>
        <w:t xml:space="preserve"> 2 et 3.</w:t>
      </w:r>
    </w:p>
    <w:p w:rsidR="005C4275" w:rsidRPr="007423F7" w:rsidRDefault="00E46C2A" w:rsidP="00F36719">
      <w:pPr>
        <w:pStyle w:val="H1G"/>
      </w:pPr>
      <w:r w:rsidRPr="007423F7">
        <w:lastRenderedPageBreak/>
        <w:tab/>
      </w:r>
      <w:r w:rsidRPr="007423F7">
        <w:tab/>
      </w:r>
      <w:r w:rsidR="005C4275" w:rsidRPr="007423F7">
        <w:t>Chapitre 1.4</w:t>
      </w:r>
    </w:p>
    <w:p w:rsidR="005C4275" w:rsidRPr="007423F7" w:rsidRDefault="005C4275" w:rsidP="005C4275">
      <w:pPr>
        <w:tabs>
          <w:tab w:val="left" w:pos="1418"/>
          <w:tab w:val="left" w:pos="1843"/>
        </w:tabs>
        <w:spacing w:before="120" w:after="120"/>
        <w:ind w:left="1134" w:right="1134"/>
        <w:jc w:val="both"/>
        <w:rPr>
          <w:rFonts w:cs="Arial"/>
          <w:szCs w:val="22"/>
          <w:lang w:val="fr-FR"/>
        </w:rPr>
      </w:pPr>
      <w:r w:rsidRPr="007423F7">
        <w:rPr>
          <w:lang w:val="fr-FR"/>
        </w:rPr>
        <w:t>1.4.2.2.1</w:t>
      </w:r>
      <w:r w:rsidRPr="007423F7">
        <w:rPr>
          <w:lang w:val="fr-FR"/>
        </w:rPr>
        <w:tab/>
      </w:r>
      <w:r w:rsidRPr="007423F7">
        <w:rPr>
          <w:lang w:val="fr-FR"/>
        </w:rPr>
        <w:tab/>
        <w:t xml:space="preserve">À l’alinéa d), dans le </w:t>
      </w:r>
      <w:r w:rsidR="0008260F" w:rsidRPr="007423F7">
        <w:rPr>
          <w:lang w:val="fr-FR"/>
        </w:rPr>
        <w:t>Nota</w:t>
      </w:r>
      <w:r w:rsidRPr="007423F7">
        <w:rPr>
          <w:lang w:val="fr-FR"/>
        </w:rPr>
        <w:t>, après «4.2.4.4,», ajouter: «4.3.2.3.7,».</w:t>
      </w:r>
    </w:p>
    <w:p w:rsidR="005C4275" w:rsidRPr="007423F7" w:rsidRDefault="00E46C2A" w:rsidP="00F36719">
      <w:pPr>
        <w:pStyle w:val="H1G"/>
      </w:pPr>
      <w:r w:rsidRPr="007423F7">
        <w:tab/>
      </w:r>
      <w:r w:rsidRPr="007423F7">
        <w:tab/>
      </w:r>
      <w:r w:rsidR="005C4275" w:rsidRPr="007423F7">
        <w:t>Chapitre 1.6</w:t>
      </w:r>
    </w:p>
    <w:p w:rsidR="005C4275" w:rsidRPr="007423F7" w:rsidRDefault="005C4275" w:rsidP="005C4275">
      <w:pPr>
        <w:pStyle w:val="SingleTxtG"/>
        <w:rPr>
          <w:lang w:val="fr-FR"/>
        </w:rPr>
      </w:pPr>
      <w:r w:rsidRPr="007423F7">
        <w:rPr>
          <w:lang w:val="fr-FR"/>
        </w:rPr>
        <w:t>1.6.1.30</w:t>
      </w:r>
      <w:r w:rsidRPr="007423F7">
        <w:rPr>
          <w:lang w:val="fr-FR"/>
        </w:rPr>
        <w:tab/>
        <w:t>Modifier pour lire comme suit:</w:t>
      </w:r>
    </w:p>
    <w:p w:rsidR="005C4275" w:rsidRPr="007423F7" w:rsidRDefault="005C4275" w:rsidP="005C4275">
      <w:pPr>
        <w:pStyle w:val="SingleTxtG"/>
        <w:rPr>
          <w:lang w:val="fr-FR"/>
        </w:rPr>
      </w:pPr>
      <w:r w:rsidRPr="007423F7">
        <w:rPr>
          <w:lang w:val="fr-FR"/>
        </w:rPr>
        <w:t>«1.6.1.30</w:t>
      </w:r>
      <w:r w:rsidRPr="007423F7">
        <w:rPr>
          <w:lang w:val="fr-FR"/>
        </w:rPr>
        <w:tab/>
        <w:t>Les étiquettes répondant aux prescriptions du 5.2.2.2.1.1 applicables jusqu’au 31 décembre 2014 pourront encore être utilisées jusqu’au 30 juin 2019.».</w:t>
      </w:r>
    </w:p>
    <w:p w:rsidR="005C4275" w:rsidRPr="007423F7" w:rsidRDefault="00062AEB" w:rsidP="005C4275">
      <w:pPr>
        <w:pStyle w:val="SingleTxtG"/>
        <w:rPr>
          <w:lang w:val="fr-FR"/>
        </w:rPr>
      </w:pPr>
      <w:r>
        <w:rPr>
          <w:lang w:val="fr-FR"/>
        </w:rPr>
        <w:t>1.6.1</w:t>
      </w:r>
      <w:r>
        <w:rPr>
          <w:lang w:val="fr-FR"/>
        </w:rPr>
        <w:tab/>
        <w:t>Ajouter les</w:t>
      </w:r>
      <w:r w:rsidR="005C4275" w:rsidRPr="007423F7">
        <w:rPr>
          <w:lang w:val="fr-FR"/>
        </w:rPr>
        <w:t xml:space="preserve"> nouvelle</w:t>
      </w:r>
      <w:r>
        <w:rPr>
          <w:lang w:val="fr-FR"/>
        </w:rPr>
        <w:t>s</w:t>
      </w:r>
      <w:r w:rsidR="005C4275" w:rsidRPr="007423F7">
        <w:rPr>
          <w:lang w:val="fr-FR"/>
        </w:rPr>
        <w:t xml:space="preserve"> mesure</w:t>
      </w:r>
      <w:r>
        <w:rPr>
          <w:lang w:val="fr-FR"/>
        </w:rPr>
        <w:t>s</w:t>
      </w:r>
      <w:r w:rsidR="005C4275" w:rsidRPr="007423F7">
        <w:rPr>
          <w:lang w:val="fr-FR"/>
        </w:rPr>
        <w:t xml:space="preserve"> transitoire</w:t>
      </w:r>
      <w:r>
        <w:rPr>
          <w:lang w:val="fr-FR"/>
        </w:rPr>
        <w:t>s</w:t>
      </w:r>
      <w:r w:rsidR="005C4275" w:rsidRPr="007423F7">
        <w:rPr>
          <w:lang w:val="fr-FR"/>
        </w:rPr>
        <w:t xml:space="preserve"> suivante</w:t>
      </w:r>
      <w:r>
        <w:rPr>
          <w:lang w:val="fr-FR"/>
        </w:rPr>
        <w:t>s</w:t>
      </w:r>
      <w:r w:rsidR="005C4275" w:rsidRPr="007423F7">
        <w:rPr>
          <w:lang w:val="fr-FR"/>
        </w:rPr>
        <w:t>:</w:t>
      </w:r>
    </w:p>
    <w:p w:rsidR="005C4275" w:rsidRPr="007423F7" w:rsidRDefault="005C4275" w:rsidP="005C4275">
      <w:pPr>
        <w:pStyle w:val="SingleTxtG"/>
        <w:rPr>
          <w:lang w:val="fr-FR"/>
        </w:rPr>
      </w:pPr>
      <w:r w:rsidRPr="007423F7">
        <w:rPr>
          <w:lang w:val="fr-FR"/>
        </w:rPr>
        <w:t>«1.6.1.37</w:t>
      </w:r>
      <w:r w:rsidRPr="007423F7">
        <w:rPr>
          <w:lang w:val="fr-FR"/>
        </w:rPr>
        <w:tab/>
      </w:r>
      <w:r w:rsidRPr="007423F7">
        <w:rPr>
          <w:i/>
          <w:lang w:val="fr-FR"/>
        </w:rPr>
        <w:t>(Réservé)</w:t>
      </w:r>
      <w:r w:rsidRPr="007423F7">
        <w:rPr>
          <w:lang w:val="fr-FR"/>
        </w:rPr>
        <w:t>».</w:t>
      </w:r>
    </w:p>
    <w:p w:rsidR="00631B95" w:rsidRPr="007423F7" w:rsidRDefault="00631B95" w:rsidP="00631B95">
      <w:pPr>
        <w:pStyle w:val="SingleTxtG"/>
      </w:pPr>
      <w:r w:rsidRPr="007423F7">
        <w:t>«</w:t>
      </w:r>
      <w:r w:rsidR="001322D1" w:rsidRPr="007423F7">
        <w:t>1.6.1.43</w:t>
      </w:r>
      <w:r w:rsidRPr="007423F7">
        <w:tab/>
        <w:t>Les véhicules immatriculés ou mis en service avant le 1er juillet 2017, tels que définis dans les dispositions spéciales 240, 385 et 669</w:t>
      </w:r>
      <w:r w:rsidR="001322D1" w:rsidRPr="007423F7">
        <w:t xml:space="preserve"> du chapitre 3.3</w:t>
      </w:r>
      <w:r w:rsidRPr="007423F7">
        <w:t>, et leur équipement destiné à une utilisation durant le transport, conformes aux prescriptions de l’ADR applicables jusqu’au 31 décembre 2016 mais contenant des piles et batteries au lithium qui ne sont pas conformes aux prescriptions du 2.2.9.1.7 pourront encore être transportés en tant que chargement selon les prescriptions de la disposition spéciale 666 du chapitre 3.3.».</w:t>
      </w:r>
    </w:p>
    <w:p w:rsidR="005C4275" w:rsidRPr="007423F7" w:rsidRDefault="005C4275" w:rsidP="005C4275">
      <w:pPr>
        <w:tabs>
          <w:tab w:val="left" w:pos="1418"/>
          <w:tab w:val="left" w:pos="1843"/>
        </w:tabs>
        <w:spacing w:before="120" w:after="120"/>
        <w:ind w:left="1134" w:right="1134"/>
        <w:jc w:val="both"/>
        <w:rPr>
          <w:lang w:val="fr-FR"/>
        </w:rPr>
      </w:pPr>
      <w:r w:rsidRPr="007423F7">
        <w:rPr>
          <w:lang w:val="fr-FR"/>
        </w:rPr>
        <w:t>1.6.3</w:t>
      </w:r>
      <w:r w:rsidRPr="007423F7">
        <w:rPr>
          <w:lang w:val="fr-FR"/>
        </w:rPr>
        <w:tab/>
        <w:t>Ajouter la nouvelle mesure transitoire suivante:</w:t>
      </w:r>
    </w:p>
    <w:p w:rsidR="005C4275" w:rsidRPr="007423F7" w:rsidRDefault="005C4275" w:rsidP="005C4275">
      <w:pPr>
        <w:tabs>
          <w:tab w:val="left" w:pos="1418"/>
          <w:tab w:val="left" w:pos="1843"/>
        </w:tabs>
        <w:spacing w:before="120" w:after="120"/>
        <w:ind w:left="1134" w:right="1134"/>
        <w:jc w:val="both"/>
        <w:rPr>
          <w:lang w:val="fr-FR"/>
        </w:rPr>
      </w:pPr>
      <w:r w:rsidRPr="007423F7">
        <w:rPr>
          <w:lang w:val="fr-FR"/>
        </w:rPr>
        <w:t>«1.6.3.46</w:t>
      </w:r>
      <w:r w:rsidRPr="007423F7">
        <w:rPr>
          <w:lang w:val="fr-FR"/>
        </w:rPr>
        <w:tab/>
        <w:t>Les citernes fixes (véhicules-citernes) et citernes démontables qui ont été construites avant le 1</w:t>
      </w:r>
      <w:r w:rsidRPr="007423F7">
        <w:rPr>
          <w:vertAlign w:val="superscript"/>
          <w:lang w:val="fr-FR"/>
        </w:rPr>
        <w:t>er</w:t>
      </w:r>
      <w:r w:rsidRPr="007423F7">
        <w:rPr>
          <w:lang w:val="fr-FR"/>
        </w:rPr>
        <w:t xml:space="preserve"> juillet 2017 selon les prescriptions applicables jusqu'au 31 décembre 2016, mais qui ne sont cependant pas conformes aux prescriptions du 6.8.2.1.23 applicables à partir du 1</w:t>
      </w:r>
      <w:r w:rsidRPr="007423F7">
        <w:rPr>
          <w:vertAlign w:val="superscript"/>
          <w:lang w:val="fr-FR"/>
        </w:rPr>
        <w:t>er</w:t>
      </w:r>
      <w:r w:rsidRPr="007423F7">
        <w:rPr>
          <w:lang w:val="fr-FR"/>
        </w:rPr>
        <w:t> janvier 2017, pourront encore être utilisées.».</w:t>
      </w:r>
    </w:p>
    <w:p w:rsidR="005C4275" w:rsidRPr="007423F7" w:rsidRDefault="005C4275" w:rsidP="005C4275">
      <w:pPr>
        <w:tabs>
          <w:tab w:val="left" w:pos="1418"/>
          <w:tab w:val="left" w:pos="1843"/>
        </w:tabs>
        <w:spacing w:before="120" w:after="120"/>
        <w:ind w:left="1134" w:right="1134"/>
        <w:jc w:val="both"/>
        <w:rPr>
          <w:lang w:val="fr-FR"/>
        </w:rPr>
      </w:pPr>
      <w:r w:rsidRPr="007423F7">
        <w:rPr>
          <w:lang w:val="fr-FR"/>
        </w:rPr>
        <w:t>1.6.4</w:t>
      </w:r>
      <w:r w:rsidRPr="007423F7">
        <w:rPr>
          <w:lang w:val="fr-FR"/>
        </w:rPr>
        <w:tab/>
        <w:t>Ajouter la nouvelle mesure transitoire suivante:</w:t>
      </w:r>
    </w:p>
    <w:p w:rsidR="005C4275" w:rsidRPr="007423F7" w:rsidRDefault="005C4275" w:rsidP="005C4275">
      <w:pPr>
        <w:tabs>
          <w:tab w:val="left" w:pos="1418"/>
          <w:tab w:val="left" w:pos="1843"/>
        </w:tabs>
        <w:spacing w:before="120" w:after="120"/>
        <w:ind w:left="1134" w:right="1134"/>
        <w:jc w:val="both"/>
        <w:rPr>
          <w:lang w:val="fr-FR"/>
        </w:rPr>
      </w:pPr>
      <w:r w:rsidRPr="007423F7">
        <w:rPr>
          <w:lang w:val="fr-FR"/>
        </w:rPr>
        <w:t>«1.6.4.48</w:t>
      </w:r>
      <w:r w:rsidRPr="007423F7">
        <w:rPr>
          <w:lang w:val="fr-FR"/>
        </w:rPr>
        <w:tab/>
        <w:t>Les conteneurs-citernes qui ont été construits avant le 1</w:t>
      </w:r>
      <w:r w:rsidRPr="007423F7">
        <w:rPr>
          <w:vertAlign w:val="superscript"/>
          <w:lang w:val="fr-FR"/>
        </w:rPr>
        <w:t>er</w:t>
      </w:r>
      <w:r w:rsidRPr="007423F7">
        <w:rPr>
          <w:lang w:val="fr-FR"/>
        </w:rPr>
        <w:t xml:space="preserve"> juillet 2017 selon les prescriptions applicables jusqu'au 31 décembre 2016, mais qui ne sont cependant pas conformes aux prescriptions du 6.8.2.1.23 applicables à partir du 1</w:t>
      </w:r>
      <w:r w:rsidRPr="007423F7">
        <w:rPr>
          <w:vertAlign w:val="superscript"/>
          <w:lang w:val="fr-FR"/>
        </w:rPr>
        <w:t>er</w:t>
      </w:r>
      <w:r w:rsidRPr="007423F7">
        <w:rPr>
          <w:lang w:val="fr-FR"/>
        </w:rPr>
        <w:t> janvier 2017, pourront encore être utilisés.».</w:t>
      </w:r>
    </w:p>
    <w:p w:rsidR="005C4275" w:rsidRPr="007423F7" w:rsidRDefault="00C60359" w:rsidP="00F36719">
      <w:pPr>
        <w:pStyle w:val="H1G"/>
      </w:pPr>
      <w:r w:rsidRPr="007423F7">
        <w:tab/>
      </w:r>
      <w:r w:rsidRPr="007423F7">
        <w:tab/>
      </w:r>
      <w:r w:rsidR="005C4275" w:rsidRPr="007423F7">
        <w:t>Chapitre 1.8</w:t>
      </w:r>
    </w:p>
    <w:p w:rsidR="005C4275" w:rsidRPr="007423F7" w:rsidRDefault="005C4275" w:rsidP="005C4275">
      <w:pPr>
        <w:pStyle w:val="SingleTxtG"/>
        <w:rPr>
          <w:lang w:val="fr-FR"/>
        </w:rPr>
      </w:pPr>
      <w:r w:rsidRPr="007423F7">
        <w:rPr>
          <w:lang w:val="fr-FR"/>
        </w:rPr>
        <w:t>1.8.6.2.3</w:t>
      </w:r>
      <w:r w:rsidRPr="007423F7">
        <w:rPr>
          <w:lang w:val="fr-FR"/>
        </w:rPr>
        <w:tab/>
        <w:t>Remplacer «les parties 4 et 6» par «les parties 4 ou 6».</w:t>
      </w:r>
    </w:p>
    <w:p w:rsidR="005C4275" w:rsidRPr="007423F7" w:rsidRDefault="00C60359" w:rsidP="00F36719">
      <w:pPr>
        <w:pStyle w:val="H1G"/>
      </w:pPr>
      <w:r w:rsidRPr="007423F7">
        <w:tab/>
      </w:r>
      <w:r w:rsidRPr="007423F7">
        <w:tab/>
      </w:r>
      <w:r w:rsidR="005C4275" w:rsidRPr="007423F7">
        <w:t>Chapitre 2.1</w:t>
      </w:r>
    </w:p>
    <w:p w:rsidR="005C4275" w:rsidRPr="007423F7" w:rsidRDefault="005C4275" w:rsidP="005C4275">
      <w:pPr>
        <w:pStyle w:val="SingleTxtG"/>
        <w:rPr>
          <w:lang w:val="fr-FR"/>
        </w:rPr>
      </w:pPr>
      <w:r w:rsidRPr="007423F7">
        <w:rPr>
          <w:lang w:val="fr-FR"/>
        </w:rPr>
        <w:t>2.1.1.2</w:t>
      </w:r>
      <w:r w:rsidRPr="007423F7">
        <w:rPr>
          <w:lang w:val="fr-FR"/>
        </w:rPr>
        <w:tab/>
      </w:r>
      <w:r w:rsidRPr="007423F7">
        <w:rPr>
          <w:lang w:val="fr-FR"/>
        </w:rPr>
        <w:tab/>
        <w:t>Pour la rubrique A, remplacer «les matières et objets» par «des matières ou objets» et remplacer «les rubriques recouvrant plusieurs isomères» par «les rubriques pour les matières recouvrant plusieurs isomères».</w:t>
      </w:r>
    </w:p>
    <w:p w:rsidR="0030158F" w:rsidRPr="007423F7" w:rsidRDefault="0030158F" w:rsidP="0030158F">
      <w:pPr>
        <w:pStyle w:val="SingleTxtG"/>
        <w:rPr>
          <w:lang w:val="fr-FR"/>
        </w:rPr>
      </w:pPr>
      <w:r w:rsidRPr="007423F7">
        <w:rPr>
          <w:lang w:val="fr-FR"/>
        </w:rPr>
        <w:t>2.1.4.2 e)</w:t>
      </w:r>
      <w:r w:rsidRPr="007423F7">
        <w:rPr>
          <w:lang w:val="fr-FR"/>
        </w:rPr>
        <w:tab/>
        <w:t>Remplacer «que la matière ne soit pas emballée» par «que l'échantillon ne soit pas emballé».</w:t>
      </w:r>
    </w:p>
    <w:p w:rsidR="005C4275" w:rsidRPr="007423F7" w:rsidRDefault="00C60359" w:rsidP="00F36719">
      <w:pPr>
        <w:pStyle w:val="H1G"/>
      </w:pPr>
      <w:r w:rsidRPr="007423F7">
        <w:tab/>
      </w:r>
      <w:r w:rsidRPr="007423F7">
        <w:tab/>
      </w:r>
      <w:r w:rsidR="005C4275" w:rsidRPr="007423F7">
        <w:t>Chapitre 2.2</w:t>
      </w:r>
    </w:p>
    <w:p w:rsidR="005C4275" w:rsidRPr="007423F7" w:rsidRDefault="005C4275" w:rsidP="005C4275">
      <w:pPr>
        <w:pStyle w:val="SingleTxtG"/>
        <w:rPr>
          <w:lang w:val="fr-FR"/>
        </w:rPr>
      </w:pPr>
      <w:r w:rsidRPr="007423F7">
        <w:rPr>
          <w:lang w:val="fr-FR"/>
        </w:rPr>
        <w:t>2.2.1.1.5</w:t>
      </w:r>
      <w:r w:rsidRPr="007423F7">
        <w:rPr>
          <w:lang w:val="fr-FR"/>
        </w:rPr>
        <w:tab/>
        <w:t>Pour la division 1.4, remplacer «danger mineur» par «danger mineur d'explosion».</w:t>
      </w:r>
    </w:p>
    <w:p w:rsidR="005C4275" w:rsidRPr="007423F7" w:rsidRDefault="005C4275" w:rsidP="005C4275">
      <w:pPr>
        <w:pStyle w:val="SingleTxtG"/>
        <w:rPr>
          <w:lang w:val="fr-FR"/>
        </w:rPr>
      </w:pPr>
      <w:r w:rsidRPr="007423F7">
        <w:rPr>
          <w:lang w:val="fr-FR"/>
        </w:rPr>
        <w:lastRenderedPageBreak/>
        <w:t>2.2.1.4</w:t>
      </w:r>
      <w:r w:rsidRPr="007423F7">
        <w:rPr>
          <w:lang w:val="fr-FR"/>
        </w:rPr>
        <w:tab/>
      </w:r>
      <w:r w:rsidRPr="007423F7">
        <w:rPr>
          <w:lang w:val="fr-FR"/>
        </w:rPr>
        <w:tab/>
        <w:t>Pour CARTOUCHES À BLANC POUR ARMES DE PETIT CALIBRE: Nos ONU 0327, 0338 et 0014, après «douille», insérer «fermée». Pour CORDEAU DÉTONANT à enveloppe métallique: Nos ONU 0290 et 0102, remplacer «d'une gaine de plastique» par «d'une gaine protectrice».</w:t>
      </w:r>
    </w:p>
    <w:p w:rsidR="005C4275" w:rsidRPr="007423F7" w:rsidRDefault="005C4275" w:rsidP="005C4275">
      <w:pPr>
        <w:pStyle w:val="SingleTxtG"/>
        <w:rPr>
          <w:lang w:val="fr-FR"/>
        </w:rPr>
      </w:pPr>
      <w:r w:rsidRPr="007423F7">
        <w:rPr>
          <w:lang w:val="fr-FR"/>
        </w:rPr>
        <w:t>2.2.2.1.7 c) et d)</w:t>
      </w:r>
      <w:r w:rsidRPr="007423F7">
        <w:rPr>
          <w:lang w:val="fr-FR"/>
        </w:rPr>
        <w:tab/>
        <w:t>Remplacer «marchandise» par «marchandise dangereuse».</w:t>
      </w:r>
    </w:p>
    <w:p w:rsidR="005C4275" w:rsidRPr="007423F7" w:rsidRDefault="005C4275" w:rsidP="005C4275">
      <w:pPr>
        <w:pStyle w:val="SingleTxtG"/>
      </w:pPr>
      <w:r w:rsidRPr="007423F7">
        <w:t>2.2.2.3</w:t>
      </w:r>
      <w:r w:rsidRPr="007423F7">
        <w:tab/>
        <w:t xml:space="preserve"> </w:t>
      </w:r>
      <w:r w:rsidR="001B25BB" w:rsidRPr="007423F7">
        <w:tab/>
      </w:r>
      <w:r w:rsidRPr="007423F7">
        <w:t xml:space="preserve">Dans le tableau </w:t>
      </w:r>
      <w:r w:rsidR="001B25BB" w:rsidRPr="007423F7">
        <w:t>pour «</w:t>
      </w:r>
      <w:r w:rsidRPr="007423F7">
        <w:t>Autres objets contenant du gaz sous pression</w:t>
      </w:r>
      <w:r w:rsidR="001B25BB" w:rsidRPr="007423F7">
        <w:t>»</w:t>
      </w:r>
      <w:r w:rsidRPr="007423F7">
        <w:t xml:space="preserve">, </w:t>
      </w:r>
      <w:r w:rsidR="001B25BB" w:rsidRPr="007423F7">
        <w:t>pour</w:t>
      </w:r>
      <w:r w:rsidRPr="007423F7">
        <w:t xml:space="preserve"> 6F, ajouter </w:t>
      </w:r>
      <w:r w:rsidR="001B25BB" w:rsidRPr="007423F7">
        <w:t>les nouvelles lignes suivantes</w:t>
      </w:r>
      <w:r w:rsidRPr="007423F7">
        <w:t>.</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tblPr>
      <w:tblGrid>
        <w:gridCol w:w="1560"/>
        <w:gridCol w:w="708"/>
        <w:gridCol w:w="7371"/>
      </w:tblGrid>
      <w:tr w:rsidR="00CD06BF" w:rsidRPr="007423F7" w:rsidTr="0008260F">
        <w:trPr>
          <w:cantSplit/>
          <w:trHeight w:val="40"/>
        </w:trPr>
        <w:tc>
          <w:tcPr>
            <w:tcW w:w="1560" w:type="dxa"/>
          </w:tcPr>
          <w:p w:rsidR="00CD06BF" w:rsidRPr="007423F7" w:rsidRDefault="00CD06BF" w:rsidP="0008260F">
            <w:pPr>
              <w:spacing w:before="20" w:after="20"/>
              <w:rPr>
                <w:sz w:val="18"/>
                <w:szCs w:val="18"/>
              </w:rPr>
            </w:pPr>
          </w:p>
        </w:tc>
        <w:tc>
          <w:tcPr>
            <w:tcW w:w="708" w:type="dxa"/>
          </w:tcPr>
          <w:p w:rsidR="00CD06BF" w:rsidRPr="007423F7" w:rsidRDefault="00CD06BF" w:rsidP="0008260F">
            <w:pPr>
              <w:spacing w:before="20" w:after="20"/>
              <w:rPr>
                <w:sz w:val="18"/>
                <w:szCs w:val="18"/>
              </w:rPr>
            </w:pPr>
            <w:r w:rsidRPr="007423F7">
              <w:rPr>
                <w:sz w:val="18"/>
                <w:szCs w:val="18"/>
              </w:rPr>
              <w:t>3529</w:t>
            </w:r>
          </w:p>
        </w:tc>
        <w:tc>
          <w:tcPr>
            <w:tcW w:w="7371" w:type="dxa"/>
          </w:tcPr>
          <w:p w:rsidR="00CD06BF" w:rsidRPr="007423F7" w:rsidRDefault="00CD06BF" w:rsidP="0008260F">
            <w:pPr>
              <w:spacing w:before="20" w:after="20"/>
              <w:ind w:left="164" w:hanging="164"/>
              <w:rPr>
                <w:sz w:val="18"/>
                <w:szCs w:val="18"/>
              </w:rPr>
            </w:pPr>
            <w:r w:rsidRPr="007423F7">
              <w:rPr>
                <w:sz w:val="18"/>
                <w:szCs w:val="18"/>
                <w:lang w:val="fr-FR"/>
              </w:rPr>
              <w:t xml:space="preserve">MOTEUR À COMBUSTION INTERNE </w:t>
            </w:r>
            <w:r w:rsidRPr="007423F7">
              <w:rPr>
                <w:sz w:val="18"/>
                <w:szCs w:val="18"/>
              </w:rPr>
              <w:t>FONCTIONNANT AU</w:t>
            </w:r>
            <w:r w:rsidRPr="007423F7">
              <w:rPr>
                <w:sz w:val="18"/>
                <w:szCs w:val="18"/>
                <w:lang w:val="fr-FR"/>
              </w:rPr>
              <w:t xml:space="preserve"> GAZ INFLAMMABLE</w:t>
            </w:r>
            <w:r w:rsidR="00B858A8">
              <w:rPr>
                <w:sz w:val="18"/>
                <w:szCs w:val="18"/>
                <w:lang w:val="fr-FR"/>
              </w:rPr>
              <w:t xml:space="preserve"> ou</w:t>
            </w:r>
          </w:p>
        </w:tc>
      </w:tr>
      <w:tr w:rsidR="00CD06BF" w:rsidRPr="007423F7" w:rsidTr="0008260F">
        <w:trPr>
          <w:cantSplit/>
          <w:trHeight w:val="40"/>
        </w:trPr>
        <w:tc>
          <w:tcPr>
            <w:tcW w:w="1560" w:type="dxa"/>
          </w:tcPr>
          <w:p w:rsidR="00CD06BF" w:rsidRPr="007423F7" w:rsidRDefault="00CD06BF" w:rsidP="0008260F">
            <w:pPr>
              <w:spacing w:before="20" w:after="20"/>
              <w:rPr>
                <w:sz w:val="18"/>
                <w:szCs w:val="18"/>
              </w:rPr>
            </w:pPr>
          </w:p>
        </w:tc>
        <w:tc>
          <w:tcPr>
            <w:tcW w:w="708" w:type="dxa"/>
          </w:tcPr>
          <w:p w:rsidR="00CD06BF" w:rsidRPr="007423F7" w:rsidRDefault="00CD06BF" w:rsidP="0008260F">
            <w:pPr>
              <w:spacing w:before="20" w:after="20"/>
              <w:rPr>
                <w:sz w:val="18"/>
                <w:szCs w:val="18"/>
              </w:rPr>
            </w:pPr>
            <w:r w:rsidRPr="007423F7">
              <w:rPr>
                <w:sz w:val="18"/>
                <w:szCs w:val="18"/>
              </w:rPr>
              <w:t>3529</w:t>
            </w:r>
          </w:p>
        </w:tc>
        <w:tc>
          <w:tcPr>
            <w:tcW w:w="7371" w:type="dxa"/>
          </w:tcPr>
          <w:p w:rsidR="00CD06BF" w:rsidRPr="007423F7" w:rsidRDefault="00CD06BF" w:rsidP="00CD06BF">
            <w:pPr>
              <w:spacing w:before="20" w:after="20"/>
              <w:ind w:left="164" w:hanging="164"/>
              <w:rPr>
                <w:sz w:val="18"/>
                <w:szCs w:val="18"/>
              </w:rPr>
            </w:pPr>
            <w:r w:rsidRPr="007423F7">
              <w:rPr>
                <w:sz w:val="18"/>
                <w:szCs w:val="18"/>
              </w:rPr>
              <w:t xml:space="preserve">MOTEUR PILE À COMBUSTIBLE CONTENANT DU GAZ INFLAMMABLE </w:t>
            </w:r>
            <w:r w:rsidR="00B858A8">
              <w:rPr>
                <w:sz w:val="18"/>
                <w:szCs w:val="18"/>
              </w:rPr>
              <w:t>ou</w:t>
            </w:r>
          </w:p>
        </w:tc>
      </w:tr>
      <w:tr w:rsidR="00CD06BF" w:rsidRPr="007423F7" w:rsidTr="0008260F">
        <w:trPr>
          <w:cantSplit/>
          <w:trHeight w:val="40"/>
        </w:trPr>
        <w:tc>
          <w:tcPr>
            <w:tcW w:w="1560" w:type="dxa"/>
          </w:tcPr>
          <w:p w:rsidR="00CD06BF" w:rsidRPr="007423F7" w:rsidRDefault="00CD06BF" w:rsidP="0008260F">
            <w:pPr>
              <w:spacing w:before="20" w:after="20"/>
              <w:rPr>
                <w:sz w:val="18"/>
                <w:szCs w:val="18"/>
              </w:rPr>
            </w:pPr>
          </w:p>
        </w:tc>
        <w:tc>
          <w:tcPr>
            <w:tcW w:w="708" w:type="dxa"/>
          </w:tcPr>
          <w:p w:rsidR="00CD06BF" w:rsidRPr="007423F7" w:rsidRDefault="00CD06BF" w:rsidP="0008260F">
            <w:pPr>
              <w:spacing w:before="20" w:after="20"/>
              <w:rPr>
                <w:sz w:val="18"/>
                <w:szCs w:val="18"/>
              </w:rPr>
            </w:pPr>
            <w:r w:rsidRPr="007423F7">
              <w:rPr>
                <w:sz w:val="18"/>
                <w:szCs w:val="18"/>
              </w:rPr>
              <w:t>3529</w:t>
            </w:r>
          </w:p>
        </w:tc>
        <w:tc>
          <w:tcPr>
            <w:tcW w:w="7371" w:type="dxa"/>
          </w:tcPr>
          <w:p w:rsidR="00CD06BF" w:rsidRPr="007423F7" w:rsidRDefault="00CD06BF" w:rsidP="0008260F">
            <w:pPr>
              <w:spacing w:before="20" w:after="20"/>
              <w:ind w:left="164" w:hanging="164"/>
              <w:rPr>
                <w:sz w:val="18"/>
                <w:szCs w:val="18"/>
              </w:rPr>
            </w:pPr>
            <w:r w:rsidRPr="007423F7">
              <w:rPr>
                <w:sz w:val="18"/>
                <w:szCs w:val="18"/>
              </w:rPr>
              <w:t>MACHINE À COMBUSTION INTERNE FONCTIONNANT AU GAZ INFLAMMABLE</w:t>
            </w:r>
            <w:r w:rsidR="00B858A8">
              <w:rPr>
                <w:sz w:val="18"/>
                <w:szCs w:val="18"/>
              </w:rPr>
              <w:t xml:space="preserve"> ou</w:t>
            </w:r>
          </w:p>
        </w:tc>
      </w:tr>
      <w:tr w:rsidR="00CD06BF" w:rsidRPr="007423F7" w:rsidTr="0008260F">
        <w:trPr>
          <w:cantSplit/>
          <w:trHeight w:val="40"/>
        </w:trPr>
        <w:tc>
          <w:tcPr>
            <w:tcW w:w="1560" w:type="dxa"/>
          </w:tcPr>
          <w:p w:rsidR="00CD06BF" w:rsidRPr="007423F7" w:rsidRDefault="00CD06BF" w:rsidP="0008260F">
            <w:pPr>
              <w:spacing w:before="20" w:after="20"/>
              <w:rPr>
                <w:sz w:val="18"/>
                <w:szCs w:val="18"/>
              </w:rPr>
            </w:pPr>
          </w:p>
        </w:tc>
        <w:tc>
          <w:tcPr>
            <w:tcW w:w="708" w:type="dxa"/>
          </w:tcPr>
          <w:p w:rsidR="00CD06BF" w:rsidRPr="007423F7" w:rsidRDefault="00CD06BF" w:rsidP="0008260F">
            <w:pPr>
              <w:spacing w:before="20" w:after="20"/>
              <w:rPr>
                <w:sz w:val="18"/>
                <w:szCs w:val="18"/>
              </w:rPr>
            </w:pPr>
            <w:r w:rsidRPr="007423F7">
              <w:rPr>
                <w:sz w:val="18"/>
                <w:szCs w:val="18"/>
              </w:rPr>
              <w:t>3529</w:t>
            </w:r>
          </w:p>
        </w:tc>
        <w:tc>
          <w:tcPr>
            <w:tcW w:w="7371" w:type="dxa"/>
          </w:tcPr>
          <w:p w:rsidR="00CD06BF" w:rsidRPr="007423F7" w:rsidRDefault="00CD06BF" w:rsidP="0008260F">
            <w:pPr>
              <w:spacing w:before="20" w:after="20"/>
              <w:ind w:left="164" w:hanging="164"/>
              <w:rPr>
                <w:sz w:val="18"/>
                <w:szCs w:val="18"/>
              </w:rPr>
            </w:pPr>
            <w:r w:rsidRPr="007423F7">
              <w:rPr>
                <w:sz w:val="18"/>
                <w:szCs w:val="18"/>
              </w:rPr>
              <w:t>MACHINE PILE À COMBUSTIBLE CONTENANT DU GAZ INFLAMMABLE</w:t>
            </w:r>
          </w:p>
        </w:tc>
      </w:tr>
    </w:tbl>
    <w:p w:rsidR="005C4275" w:rsidRPr="007423F7" w:rsidRDefault="005C4275" w:rsidP="007607A2">
      <w:pPr>
        <w:pStyle w:val="SingleTxtG"/>
        <w:spacing w:before="120"/>
        <w:rPr>
          <w:iCs/>
        </w:rPr>
      </w:pPr>
      <w:r w:rsidRPr="007423F7">
        <w:rPr>
          <w:iCs/>
        </w:rPr>
        <w:t>2.2.3.3</w:t>
      </w:r>
      <w:r w:rsidR="00DF542D" w:rsidRPr="007423F7">
        <w:rPr>
          <w:iCs/>
        </w:rPr>
        <w:tab/>
      </w:r>
      <w:r w:rsidR="00DF542D" w:rsidRPr="007423F7">
        <w:rPr>
          <w:iCs/>
        </w:rPr>
        <w:tab/>
        <w:t>Pour</w:t>
      </w:r>
      <w:r w:rsidRPr="007423F7">
        <w:rPr>
          <w:iCs/>
        </w:rPr>
        <w:t xml:space="preserve"> </w:t>
      </w:r>
      <w:r w:rsidR="00DF542D" w:rsidRPr="007423F7">
        <w:rPr>
          <w:iCs/>
        </w:rPr>
        <w:t>«F3</w:t>
      </w:r>
      <w:r w:rsidR="00DF542D" w:rsidRPr="007423F7">
        <w:rPr>
          <w:iCs/>
        </w:rPr>
        <w:tab/>
        <w:t>Objets»</w:t>
      </w:r>
      <w:r w:rsidRPr="007423F7">
        <w:rPr>
          <w:iCs/>
        </w:rPr>
        <w:t>, ajouter les nouvelles rubriques suivantes:</w:t>
      </w:r>
    </w:p>
    <w:p w:rsidR="005C4275" w:rsidRPr="007423F7" w:rsidRDefault="007607A2" w:rsidP="007607A2">
      <w:pPr>
        <w:pStyle w:val="SingleTxtG"/>
        <w:ind w:left="2268"/>
        <w:rPr>
          <w:bCs/>
        </w:rPr>
      </w:pPr>
      <w:r w:rsidRPr="007423F7">
        <w:rPr>
          <w:bCs/>
        </w:rPr>
        <w:t>«</w:t>
      </w:r>
      <w:r w:rsidR="005C4275" w:rsidRPr="007423F7">
        <w:rPr>
          <w:bCs/>
        </w:rPr>
        <w:t>3528</w:t>
      </w:r>
      <w:r w:rsidR="00B46846" w:rsidRPr="007423F7">
        <w:rPr>
          <w:bCs/>
        </w:rPr>
        <w:tab/>
      </w:r>
      <w:r w:rsidR="005C4275" w:rsidRPr="007423F7">
        <w:rPr>
          <w:bCs/>
        </w:rPr>
        <w:t>MOTEUR À COMBUSTION INTERNE FONCTIONNANT AU LIQUIDE INFLAMMABLE</w:t>
      </w:r>
      <w:r w:rsidR="00DF542D" w:rsidRPr="007423F7">
        <w:rPr>
          <w:bCs/>
        </w:rPr>
        <w:t xml:space="preserve"> ou</w:t>
      </w:r>
    </w:p>
    <w:p w:rsidR="005C4275" w:rsidRPr="007423F7" w:rsidRDefault="005C4275" w:rsidP="007607A2">
      <w:pPr>
        <w:pStyle w:val="SingleTxtG"/>
        <w:ind w:left="2268"/>
        <w:rPr>
          <w:bCs/>
        </w:rPr>
      </w:pPr>
      <w:r w:rsidRPr="007423F7">
        <w:rPr>
          <w:bCs/>
        </w:rPr>
        <w:t xml:space="preserve">3528 MOTEUR PILE À COMBUSTIBLE CONTENANT DU LIQUIDE INFLAMMABLE </w:t>
      </w:r>
      <w:r w:rsidR="00DF542D" w:rsidRPr="007423F7">
        <w:rPr>
          <w:bCs/>
        </w:rPr>
        <w:t>ou</w:t>
      </w:r>
    </w:p>
    <w:p w:rsidR="005C4275" w:rsidRPr="007423F7" w:rsidRDefault="005C4275" w:rsidP="007607A2">
      <w:pPr>
        <w:pStyle w:val="SingleTxtG"/>
        <w:ind w:left="2268"/>
        <w:rPr>
          <w:bCs/>
        </w:rPr>
      </w:pPr>
      <w:r w:rsidRPr="007423F7">
        <w:rPr>
          <w:bCs/>
        </w:rPr>
        <w:t xml:space="preserve">3528 MACHINE À COMBUSTION INTERNE FONCTIONNANT AU LIQUIDE INFLAMMABLE </w:t>
      </w:r>
      <w:r w:rsidR="00DF542D" w:rsidRPr="007423F7">
        <w:rPr>
          <w:bCs/>
        </w:rPr>
        <w:t>ou</w:t>
      </w:r>
    </w:p>
    <w:p w:rsidR="005C4275" w:rsidRPr="007423F7" w:rsidRDefault="005C4275" w:rsidP="007607A2">
      <w:pPr>
        <w:pStyle w:val="SingleTxtG"/>
        <w:ind w:left="2268"/>
        <w:rPr>
          <w:bCs/>
        </w:rPr>
      </w:pPr>
      <w:r w:rsidRPr="007423F7">
        <w:rPr>
          <w:bCs/>
        </w:rPr>
        <w:t>3528 MACHINE PILE À COMBUSTIBLE CONTENANT DU LIQUIDE INFLAMMABLE</w:t>
      </w:r>
      <w:r w:rsidR="007607A2" w:rsidRPr="007423F7">
        <w:rPr>
          <w:bCs/>
        </w:rPr>
        <w:t>».</w:t>
      </w:r>
    </w:p>
    <w:p w:rsidR="005C4275" w:rsidRPr="007423F7" w:rsidRDefault="005C4275" w:rsidP="005C4275">
      <w:pPr>
        <w:pStyle w:val="SingleTxtG"/>
        <w:rPr>
          <w:lang w:val="fr-FR"/>
        </w:rPr>
      </w:pPr>
      <w:r w:rsidRPr="007423F7">
        <w:rPr>
          <w:lang w:val="fr-FR"/>
        </w:rPr>
        <w:t>2.2.43.1.2</w:t>
      </w:r>
      <w:r w:rsidRPr="007423F7">
        <w:rPr>
          <w:lang w:val="fr-FR"/>
        </w:rPr>
        <w:tab/>
        <w:t>Pour le code WS, remplacer «Matières auto-échauffantes qui, au contact de l'eau, dégagent des gaz inflammables, solides» par «Matières qui, au contact de l'eau, dégagent des gaz inflammables, solides, auto-échauffantes».</w:t>
      </w:r>
    </w:p>
    <w:p w:rsidR="005C4275" w:rsidRPr="007423F7" w:rsidRDefault="005C4275" w:rsidP="005C4275">
      <w:pPr>
        <w:pStyle w:val="SingleTxtG"/>
        <w:rPr>
          <w:lang w:val="fr-FR"/>
        </w:rPr>
      </w:pPr>
      <w:r w:rsidRPr="007423F7">
        <w:rPr>
          <w:lang w:val="fr-FR"/>
        </w:rPr>
        <w:t>2.2.52.1.6</w:t>
      </w:r>
      <w:r w:rsidRPr="007423F7">
        <w:rPr>
          <w:lang w:val="fr-FR"/>
        </w:rPr>
        <w:tab/>
        <w:t>L’amendement ne s’applique pas au texte français.</w:t>
      </w:r>
    </w:p>
    <w:p w:rsidR="005C4275" w:rsidRPr="007423F7" w:rsidRDefault="005C4275" w:rsidP="005C4275">
      <w:pPr>
        <w:tabs>
          <w:tab w:val="left" w:pos="1418"/>
          <w:tab w:val="left" w:pos="1843"/>
        </w:tabs>
        <w:spacing w:before="120" w:after="120"/>
        <w:ind w:left="1134" w:right="1134"/>
        <w:jc w:val="both"/>
        <w:rPr>
          <w:lang w:val="fr-FR"/>
        </w:rPr>
      </w:pPr>
      <w:r w:rsidRPr="007423F7">
        <w:rPr>
          <w:lang w:val="fr-FR"/>
        </w:rPr>
        <w:t>2.2.61.1.14</w:t>
      </w:r>
      <w:r w:rsidRPr="007423F7">
        <w:rPr>
          <w:lang w:val="fr-FR"/>
        </w:rPr>
        <w:tab/>
        <w:t>Modifier pour lire comme suit:</w:t>
      </w:r>
    </w:p>
    <w:p w:rsidR="005C4275" w:rsidRPr="007423F7" w:rsidRDefault="005C4275" w:rsidP="005C4275">
      <w:pPr>
        <w:pStyle w:val="SingleTxtG"/>
        <w:rPr>
          <w:lang w:val="fr-FR"/>
        </w:rPr>
      </w:pPr>
      <w:r w:rsidRPr="007423F7">
        <w:rPr>
          <w:lang w:val="fr-FR"/>
        </w:rPr>
        <w:t>«Les matières, solutions et mélanges, à l’exception des matières et préparations servant de pesticides, qui ne sont pas classés dans les catégories de toxicité aiguë 1, 2 ou 3 selon le règlement (CE) no 1272/2008</w:t>
      </w:r>
      <w:r w:rsidRPr="007423F7">
        <w:rPr>
          <w:b/>
          <w:vertAlign w:val="superscript"/>
          <w:lang w:val="fr-FR"/>
        </w:rPr>
        <w:t>3</w:t>
      </w:r>
      <w:r w:rsidRPr="007423F7">
        <w:rPr>
          <w:lang w:val="fr-FR"/>
        </w:rPr>
        <w:t xml:space="preserve"> peuvent être considérés comme des matières n’appartenant pas à la classe 6.1.</w:t>
      </w:r>
    </w:p>
    <w:p w:rsidR="005C4275" w:rsidRPr="007423F7" w:rsidRDefault="005C4275" w:rsidP="005C4275">
      <w:pPr>
        <w:pStyle w:val="SingleTxtG"/>
        <w:rPr>
          <w:lang w:val="fr-FR"/>
        </w:rPr>
      </w:pPr>
      <w:r w:rsidRPr="007423F7">
        <w:rPr>
          <w:lang w:val="fr-FR"/>
        </w:rPr>
        <w:t>________</w:t>
      </w:r>
    </w:p>
    <w:p w:rsidR="005C4275" w:rsidRPr="007423F7" w:rsidRDefault="005C4275" w:rsidP="005C4275">
      <w:pPr>
        <w:pStyle w:val="SingleTxtG"/>
        <w:rPr>
          <w:lang w:val="fr-FR"/>
        </w:rPr>
      </w:pPr>
      <w:r w:rsidRPr="007423F7">
        <w:rPr>
          <w:b/>
          <w:vertAlign w:val="superscript"/>
          <w:lang w:val="fr-FR"/>
        </w:rPr>
        <w:t>3</w:t>
      </w:r>
      <w:r w:rsidRPr="007423F7">
        <w:rPr>
          <w:lang w:val="fr-FR"/>
        </w:rPr>
        <w:tab/>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 publié dans le Journal officiel L 353 du 31 décembre 2008, pages 1-1355».</w:t>
      </w:r>
    </w:p>
    <w:p w:rsidR="005C4275" w:rsidRPr="007423F7" w:rsidRDefault="005C4275" w:rsidP="005C4275">
      <w:pPr>
        <w:pStyle w:val="SingleTxtG"/>
        <w:rPr>
          <w:lang w:val="fr-FR"/>
        </w:rPr>
      </w:pPr>
      <w:r w:rsidRPr="007423F7">
        <w:rPr>
          <w:lang w:val="fr-FR"/>
        </w:rPr>
        <w:t>Les notes de bas de page 3 et 4 existantes sont supprimées. Renuméroter en conséquence les notes de bas de page suivantes.</w:t>
      </w:r>
    </w:p>
    <w:p w:rsidR="00F42BD2" w:rsidRPr="007423F7" w:rsidRDefault="00EC3D14" w:rsidP="00F42BD2">
      <w:pPr>
        <w:pStyle w:val="SingleTxtG"/>
      </w:pPr>
      <w:r>
        <w:t>2.2.7.2.4.1.5 b)</w:t>
      </w:r>
      <w:r>
        <w:tab/>
        <w:t>R</w:t>
      </w:r>
      <w:r w:rsidR="00F42BD2" w:rsidRPr="007423F7">
        <w:t>emplacer «2.2.7.2.4.5.1» par «2.2.7.2.4.5.2».</w:t>
      </w:r>
    </w:p>
    <w:p w:rsidR="005C4275" w:rsidRPr="007423F7" w:rsidRDefault="005C4275" w:rsidP="005C4275">
      <w:pPr>
        <w:tabs>
          <w:tab w:val="left" w:pos="1418"/>
          <w:tab w:val="left" w:pos="1843"/>
        </w:tabs>
        <w:spacing w:before="120" w:after="120"/>
        <w:ind w:left="1134" w:right="1134"/>
        <w:jc w:val="both"/>
        <w:rPr>
          <w:lang w:val="fr-FR"/>
        </w:rPr>
      </w:pPr>
      <w:r w:rsidRPr="007423F7">
        <w:rPr>
          <w:lang w:val="fr-FR"/>
        </w:rPr>
        <w:t>2.2.8.1.9</w:t>
      </w:r>
      <w:r w:rsidRPr="007423F7">
        <w:rPr>
          <w:lang w:val="fr-FR"/>
        </w:rPr>
        <w:tab/>
      </w:r>
      <w:r w:rsidRPr="007423F7">
        <w:rPr>
          <w:lang w:val="fr-FR"/>
        </w:rPr>
        <w:tab/>
        <w:t>Modifier pour lire comme suit:</w:t>
      </w:r>
    </w:p>
    <w:p w:rsidR="005C4275" w:rsidRPr="007423F7" w:rsidRDefault="005C4275" w:rsidP="005C4275">
      <w:pPr>
        <w:pStyle w:val="SingleTxtG"/>
        <w:rPr>
          <w:lang w:val="fr-FR"/>
        </w:rPr>
      </w:pPr>
      <w:r w:rsidRPr="007423F7">
        <w:rPr>
          <w:spacing w:val="2"/>
          <w:lang w:val="fr-FR"/>
        </w:rPr>
        <w:t xml:space="preserve">«Les matières, solutions et mélanges qui ne sont pas classés comme corrosifs pour </w:t>
      </w:r>
      <w:r w:rsidRPr="007423F7">
        <w:rPr>
          <w:lang w:val="fr-FR"/>
        </w:rPr>
        <w:t>la peau ou pour les métaux de catégorie 1 selon le règlement (CE) no 1272/2008</w:t>
      </w:r>
      <w:r w:rsidRPr="007423F7">
        <w:rPr>
          <w:b/>
          <w:vertAlign w:val="superscript"/>
          <w:lang w:val="fr-FR"/>
        </w:rPr>
        <w:t>3</w:t>
      </w:r>
      <w:r w:rsidRPr="007423F7">
        <w:rPr>
          <w:lang w:val="fr-FR"/>
        </w:rPr>
        <w:t xml:space="preserve"> peuvent être considérés comme des matières n’appartenant pas à la classe 8.</w:t>
      </w:r>
    </w:p>
    <w:p w:rsidR="005C4275" w:rsidRPr="007423F7" w:rsidRDefault="005C4275" w:rsidP="005C4275">
      <w:pPr>
        <w:pStyle w:val="SingleTxtG"/>
        <w:rPr>
          <w:lang w:val="fr-FR"/>
        </w:rPr>
      </w:pPr>
      <w:r w:rsidRPr="007423F7">
        <w:rPr>
          <w:lang w:val="fr-FR"/>
        </w:rPr>
        <w:t>________</w:t>
      </w:r>
    </w:p>
    <w:p w:rsidR="005C4275" w:rsidRPr="007423F7" w:rsidRDefault="005C4275" w:rsidP="005C4275">
      <w:pPr>
        <w:pStyle w:val="SingleTxtG"/>
        <w:rPr>
          <w:lang w:val="fr-FR"/>
        </w:rPr>
      </w:pPr>
      <w:r w:rsidRPr="007423F7">
        <w:rPr>
          <w:b/>
          <w:vertAlign w:val="superscript"/>
          <w:lang w:val="fr-FR"/>
        </w:rPr>
        <w:lastRenderedPageBreak/>
        <w:t>3</w:t>
      </w:r>
      <w:r w:rsidRPr="007423F7">
        <w:rPr>
          <w:lang w:val="fr-FR"/>
        </w:rPr>
        <w:tab/>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 publié dans le Journal officiel L 353 du 31 décembre 2008, pages 1-1355».</w:t>
      </w:r>
    </w:p>
    <w:p w:rsidR="005C4275" w:rsidRPr="007423F7" w:rsidRDefault="005C4275" w:rsidP="005C4275">
      <w:pPr>
        <w:pStyle w:val="SingleTxtG"/>
        <w:rPr>
          <w:lang w:val="fr-FR"/>
        </w:rPr>
      </w:pPr>
      <w:r w:rsidRPr="007423F7">
        <w:rPr>
          <w:lang w:val="fr-FR"/>
        </w:rPr>
        <w:t>Le Nota reste inchangé.</w:t>
      </w:r>
    </w:p>
    <w:p w:rsidR="00F42BD2" w:rsidRPr="007423F7" w:rsidRDefault="00F42BD2" w:rsidP="00F42BD2">
      <w:pPr>
        <w:pStyle w:val="SingleTxtG"/>
      </w:pPr>
      <w:r w:rsidRPr="007423F7">
        <w:t xml:space="preserve">2.2.9.1.2 </w:t>
      </w:r>
      <w:r w:rsidR="005B28D1" w:rsidRPr="007423F7">
        <w:tab/>
      </w:r>
      <w:r w:rsidR="001B25BB" w:rsidRPr="007423F7">
        <w:t xml:space="preserve">Pour la </w:t>
      </w:r>
      <w:r w:rsidR="00E53469" w:rsidRPr="007423F7">
        <w:t>sub</w:t>
      </w:r>
      <w:r w:rsidR="001B25BB" w:rsidRPr="007423F7">
        <w:t xml:space="preserve">division </w:t>
      </w:r>
      <w:r w:rsidRPr="007423F7">
        <w:t>M11, ajouter «et objets» après «matières»</w:t>
      </w:r>
      <w:r w:rsidR="005B28D1" w:rsidRPr="007423F7">
        <w:t>.</w:t>
      </w:r>
    </w:p>
    <w:p w:rsidR="005C4275" w:rsidRPr="007423F7" w:rsidRDefault="005C4275" w:rsidP="005C4275">
      <w:pPr>
        <w:pStyle w:val="SingleTxtG"/>
        <w:rPr>
          <w:lang w:val="fr-FR"/>
        </w:rPr>
      </w:pPr>
      <w:r w:rsidRPr="007423F7">
        <w:rPr>
          <w:lang w:val="fr-FR"/>
        </w:rPr>
        <w:t>2.2.9.1.10.2.6 c)</w:t>
      </w:r>
      <w:r w:rsidRPr="007423F7">
        <w:rPr>
          <w:lang w:val="fr-FR"/>
        </w:rPr>
        <w:tab/>
        <w:t>L’amendement ne s’applique pas au texte français.</w:t>
      </w:r>
    </w:p>
    <w:p w:rsidR="005C4275" w:rsidRPr="007423F7" w:rsidRDefault="005C4275" w:rsidP="005C4275">
      <w:pPr>
        <w:pStyle w:val="SingleTxtG"/>
        <w:rPr>
          <w:lang w:val="fr-FR"/>
        </w:rPr>
      </w:pPr>
      <w:r w:rsidRPr="007423F7">
        <w:rPr>
          <w:lang w:val="fr-FR"/>
        </w:rPr>
        <w:t>2.2.9.1.10.5</w:t>
      </w:r>
      <w:r w:rsidRPr="007423F7">
        <w:rPr>
          <w:lang w:val="fr-FR"/>
        </w:rPr>
        <w:tab/>
      </w:r>
      <w:r w:rsidR="004A7E73" w:rsidRPr="007423F7">
        <w:rPr>
          <w:lang w:val="fr-FR"/>
        </w:rPr>
        <w:t xml:space="preserve">Dans le titre et dans l’alinéa a), renuméroter </w:t>
      </w:r>
      <w:r w:rsidRPr="007423F7">
        <w:rPr>
          <w:lang w:val="fr-FR"/>
        </w:rPr>
        <w:t>la référence à la note de bas de page après «1272/2008/CE» en tant que note de bas de page 3:</w:t>
      </w:r>
    </w:p>
    <w:p w:rsidR="005C4275" w:rsidRPr="007423F7" w:rsidRDefault="005C4275" w:rsidP="005C4275">
      <w:pPr>
        <w:pStyle w:val="SingleTxtG"/>
        <w:rPr>
          <w:lang w:val="fr-FR"/>
        </w:rPr>
      </w:pPr>
      <w:r w:rsidRPr="007423F7">
        <w:rPr>
          <w:lang w:val="fr-FR"/>
        </w:rPr>
        <w:t>La note de bas de page 3 se lit comme suit: «</w:t>
      </w:r>
      <w:r w:rsidRPr="007423F7">
        <w:rPr>
          <w:b/>
          <w:vertAlign w:val="superscript"/>
          <w:lang w:val="fr-FR"/>
        </w:rPr>
        <w:t>3</w:t>
      </w:r>
      <w:r w:rsidRPr="007423F7">
        <w:rPr>
          <w:lang w:val="fr-FR"/>
        </w:rPr>
        <w:tab/>
        <w:t>Règlement (CE) no 1272/2008 du Parlement européen et du Conseil du 16 décembre 2008 relatif à la classification, à l’étiquetage et à l’emballage des substances et des mélanges, modifiant et abrogeant les directives 67/548/CEE et 1999/45/CE et modifiant le règlement (CE) no 1907/2006, publié dans le Journal officiel L 353 du 31 décembre 2008, pages 1</w:t>
      </w:r>
      <w:r w:rsidR="0016236D">
        <w:rPr>
          <w:lang w:val="fr-FR"/>
        </w:rPr>
        <w:t>-</w:t>
      </w:r>
      <w:r w:rsidRPr="007423F7">
        <w:rPr>
          <w:lang w:val="fr-FR"/>
        </w:rPr>
        <w:t>1355».</w:t>
      </w:r>
    </w:p>
    <w:p w:rsidR="005C4275" w:rsidRPr="007423F7" w:rsidRDefault="005C4275" w:rsidP="005C4275">
      <w:pPr>
        <w:pStyle w:val="SingleTxtG"/>
        <w:rPr>
          <w:lang w:val="fr-FR"/>
        </w:rPr>
      </w:pPr>
      <w:r w:rsidRPr="007423F7">
        <w:rPr>
          <w:lang w:val="fr-FR"/>
        </w:rPr>
        <w:t>À l’alinéa a), supprimer: «ou, si cela est toujours pertinent conformément audit Règlement, la ou les phrases de risque R50, R50/53 ou R51/53 conformément aux Directives 67/548/CE</w:t>
      </w:r>
      <w:r w:rsidRPr="007423F7">
        <w:rPr>
          <w:b/>
          <w:vertAlign w:val="superscript"/>
          <w:lang w:val="fr-FR"/>
        </w:rPr>
        <w:t>3</w:t>
      </w:r>
      <w:r w:rsidRPr="007423F7">
        <w:rPr>
          <w:lang w:val="fr-FR"/>
        </w:rPr>
        <w:t xml:space="preserve"> et 1999/45/CE</w:t>
      </w:r>
      <w:r w:rsidRPr="007423F7">
        <w:rPr>
          <w:b/>
          <w:vertAlign w:val="superscript"/>
          <w:lang w:val="fr-FR"/>
        </w:rPr>
        <w:t>4</w:t>
      </w:r>
      <w:r w:rsidRPr="007423F7">
        <w:rPr>
          <w:lang w:val="fr-FR"/>
        </w:rPr>
        <w:t>,».</w:t>
      </w:r>
    </w:p>
    <w:p w:rsidR="005C4275" w:rsidRPr="007423F7" w:rsidRDefault="005C4275" w:rsidP="005C4275">
      <w:pPr>
        <w:pStyle w:val="SingleTxtG"/>
        <w:rPr>
          <w:lang w:val="fr-FR"/>
        </w:rPr>
      </w:pPr>
      <w:r w:rsidRPr="007423F7">
        <w:rPr>
          <w:lang w:val="fr-FR"/>
        </w:rPr>
        <w:t>À l’alinéa b), remplacer «si une telle phrase de risque ou catégorie conformément auxdits Directives et Règlement» par «si une telle catégorie conformément audit règlement».</w:t>
      </w:r>
    </w:p>
    <w:p w:rsidR="0007509E" w:rsidRPr="007423F7" w:rsidRDefault="00F42BD2" w:rsidP="00F42BD2">
      <w:pPr>
        <w:pStyle w:val="SingleTxtG"/>
      </w:pPr>
      <w:r w:rsidRPr="007423F7">
        <w:t>2.2.9.3</w:t>
      </w:r>
      <w:r w:rsidR="0007509E" w:rsidRPr="007423F7">
        <w:tab/>
      </w:r>
      <w:r w:rsidR="0007509E" w:rsidRPr="007423F7">
        <w:tab/>
        <w:t>Pour</w:t>
      </w:r>
      <w:r w:rsidRPr="007423F7">
        <w:t xml:space="preserve"> </w:t>
      </w:r>
      <w:r w:rsidR="0007509E" w:rsidRPr="007423F7">
        <w:t>«</w:t>
      </w:r>
      <w:r w:rsidRPr="007423F7">
        <w:t>M11</w:t>
      </w:r>
      <w:r w:rsidR="0007509E" w:rsidRPr="007423F7">
        <w:t>»</w:t>
      </w:r>
      <w:r w:rsidRPr="007423F7">
        <w:t xml:space="preserve">, ajouter «et objets» après «matières», deux fois. Ajouter </w:t>
      </w:r>
      <w:r w:rsidR="0007509E" w:rsidRPr="007423F7">
        <w:t>les nouvelles rubriques suivantes:</w:t>
      </w:r>
    </w:p>
    <w:p w:rsidR="0007509E" w:rsidRPr="007423F7" w:rsidRDefault="0007509E" w:rsidP="002315C9">
      <w:pPr>
        <w:pStyle w:val="SingleTxtG"/>
        <w:ind w:left="2268"/>
        <w:rPr>
          <w:bCs/>
        </w:rPr>
      </w:pPr>
      <w:r w:rsidRPr="007423F7">
        <w:t>«</w:t>
      </w:r>
      <w:r w:rsidR="00F42BD2" w:rsidRPr="007423F7">
        <w:t>3530</w:t>
      </w:r>
      <w:r w:rsidR="00C3511F" w:rsidRPr="007423F7">
        <w:rPr>
          <w:sz w:val="18"/>
          <w:szCs w:val="18"/>
        </w:rPr>
        <w:tab/>
      </w:r>
      <w:r w:rsidR="00F42BD2" w:rsidRPr="007423F7">
        <w:rPr>
          <w:bCs/>
        </w:rPr>
        <w:t xml:space="preserve">MOTEUR À COMBUSTION INTERNE ou </w:t>
      </w:r>
    </w:p>
    <w:p w:rsidR="00F42BD2" w:rsidRPr="007423F7" w:rsidRDefault="0007509E" w:rsidP="002315C9">
      <w:pPr>
        <w:pStyle w:val="SingleTxtG"/>
        <w:ind w:left="2268"/>
      </w:pPr>
      <w:r w:rsidRPr="007423F7">
        <w:t>3530</w:t>
      </w:r>
      <w:r w:rsidRPr="007423F7">
        <w:tab/>
      </w:r>
      <w:r w:rsidR="00F42BD2" w:rsidRPr="007423F7">
        <w:rPr>
          <w:bCs/>
        </w:rPr>
        <w:t>MACHINE À COMBUSTION INTERNE</w:t>
      </w:r>
      <w:r w:rsidRPr="007423F7">
        <w:rPr>
          <w:bCs/>
        </w:rPr>
        <w:t>».</w:t>
      </w:r>
    </w:p>
    <w:p w:rsidR="00680A96" w:rsidRPr="007423F7" w:rsidRDefault="00680A96" w:rsidP="00680A96">
      <w:pPr>
        <w:pStyle w:val="H1G"/>
      </w:pPr>
      <w:r w:rsidRPr="007423F7">
        <w:tab/>
      </w:r>
      <w:r w:rsidRPr="007423F7">
        <w:tab/>
        <w:t>Chapitre 2.3</w:t>
      </w:r>
    </w:p>
    <w:p w:rsidR="005C4275" w:rsidRPr="007423F7" w:rsidRDefault="005C4275" w:rsidP="005C4275">
      <w:pPr>
        <w:pStyle w:val="SingleTxtG"/>
        <w:rPr>
          <w:lang w:val="fr-FR"/>
        </w:rPr>
      </w:pPr>
      <w:r w:rsidRPr="007423F7">
        <w:rPr>
          <w:lang w:val="fr-FR"/>
        </w:rPr>
        <w:t>2.3.1.4</w:t>
      </w:r>
      <w:r w:rsidRPr="007423F7">
        <w:rPr>
          <w:lang w:val="fr-FR"/>
        </w:rPr>
        <w:tab/>
      </w:r>
      <w:r w:rsidRPr="007423F7">
        <w:rPr>
          <w:lang w:val="fr-FR"/>
        </w:rPr>
        <w:tab/>
        <w:t>L’amendement ne s’applique pas au texte français.</w:t>
      </w:r>
    </w:p>
    <w:p w:rsidR="005C4275" w:rsidRPr="007423F7" w:rsidRDefault="00F36719" w:rsidP="00F36719">
      <w:pPr>
        <w:pStyle w:val="H1G"/>
      </w:pPr>
      <w:r w:rsidRPr="007423F7">
        <w:tab/>
      </w:r>
      <w:r w:rsidRPr="007423F7">
        <w:tab/>
      </w:r>
      <w:r w:rsidR="005C4275" w:rsidRPr="007423F7">
        <w:t>Chapitre 3.2</w:t>
      </w:r>
      <w:r w:rsidRPr="007423F7">
        <w:t>, tableau A</w:t>
      </w:r>
    </w:p>
    <w:p w:rsidR="005C4275" w:rsidRPr="007423F7" w:rsidRDefault="005C4275" w:rsidP="005C4275">
      <w:pPr>
        <w:pStyle w:val="SingleTxtG"/>
        <w:rPr>
          <w:lang w:val="fr-FR"/>
        </w:rPr>
      </w:pPr>
      <w:r w:rsidRPr="007423F7">
        <w:rPr>
          <w:lang w:val="fr-FR"/>
        </w:rPr>
        <w:t>Pour la première rubrique du groupe d’emballage III des Nos ONU 1133, 1139, 1169, 1197, 1210, 1263, 1266, 1286, 1287, 1306, 1866, 1993 et 1999, dans la colonne (6), supprimer: «640E».</w:t>
      </w:r>
    </w:p>
    <w:p w:rsidR="00F36719" w:rsidRPr="007423F7" w:rsidRDefault="00F36719" w:rsidP="00F36719">
      <w:pPr>
        <w:pStyle w:val="SingleTxtG"/>
      </w:pPr>
      <w:r w:rsidRPr="007423F7">
        <w:t>Pour les No. ONU 1361 et 3088, groupe d’emballage III, dans la colonne (6) ajouter «665».</w:t>
      </w:r>
    </w:p>
    <w:p w:rsidR="00F36719" w:rsidRPr="007423F7" w:rsidRDefault="00F36719" w:rsidP="00F36719">
      <w:pPr>
        <w:pStyle w:val="SingleTxtG"/>
        <w:rPr>
          <w:lang w:val="fr-FR"/>
        </w:rPr>
      </w:pPr>
      <w:r w:rsidRPr="007423F7">
        <w:rPr>
          <w:lang w:val="fr-FR"/>
        </w:rPr>
        <w:t>Pour les Nos ONU 3166, 3171, 3528, 3529 et 3530, ajouter dans la colonne (6): «669».</w:t>
      </w:r>
    </w:p>
    <w:p w:rsidR="005C4275" w:rsidRPr="007423F7" w:rsidRDefault="005C4275" w:rsidP="005C4275">
      <w:pPr>
        <w:pStyle w:val="SingleTxtG"/>
        <w:rPr>
          <w:lang w:val="fr-FR"/>
        </w:rPr>
      </w:pPr>
      <w:r w:rsidRPr="007423F7">
        <w:rPr>
          <w:lang w:val="fr-FR"/>
        </w:rPr>
        <w:t>Pour le No ONU 2022, en colonne (2), remplacer «</w:t>
      </w:r>
      <w:r w:rsidR="007361A8" w:rsidRPr="007423F7">
        <w:rPr>
          <w:lang w:val="fr-FR"/>
        </w:rPr>
        <w:t>CRÉSILIQUE</w:t>
      </w:r>
      <w:r w:rsidRPr="007423F7">
        <w:rPr>
          <w:lang w:val="fr-FR"/>
        </w:rPr>
        <w:t>» par «</w:t>
      </w:r>
      <w:r w:rsidR="007361A8" w:rsidRPr="007423F7">
        <w:rPr>
          <w:lang w:val="fr-FR"/>
        </w:rPr>
        <w:t>CRÉSYLIQUE</w:t>
      </w:r>
      <w:r w:rsidRPr="007423F7">
        <w:rPr>
          <w:lang w:val="fr-FR"/>
        </w:rPr>
        <w:t>».</w:t>
      </w:r>
    </w:p>
    <w:p w:rsidR="00A24382" w:rsidRPr="007423F7" w:rsidRDefault="00A24382" w:rsidP="00A24382">
      <w:pPr>
        <w:pStyle w:val="SingleTxtG"/>
      </w:pPr>
      <w:r w:rsidRPr="007423F7">
        <w:rPr>
          <w:lang w:val="fr-FR"/>
        </w:rPr>
        <w:t>Pour le No ONU</w:t>
      </w:r>
      <w:r w:rsidRPr="007423F7">
        <w:t xml:space="preserve"> 3528, </w:t>
      </w:r>
      <w:r w:rsidRPr="007423F7">
        <w:rPr>
          <w:lang w:val="fr-FR"/>
        </w:rPr>
        <w:t>en colonne</w:t>
      </w:r>
      <w:r w:rsidRPr="007423F7">
        <w:t xml:space="preserve"> (3b), ajouter: «F3».</w:t>
      </w:r>
    </w:p>
    <w:p w:rsidR="00A24382" w:rsidRPr="007423F7" w:rsidRDefault="00A24382" w:rsidP="00A24382">
      <w:pPr>
        <w:pStyle w:val="SingleTxtG"/>
      </w:pPr>
      <w:r w:rsidRPr="007423F7">
        <w:rPr>
          <w:lang w:val="fr-FR"/>
        </w:rPr>
        <w:t>Pour le No ONU</w:t>
      </w:r>
      <w:r w:rsidRPr="007423F7">
        <w:t xml:space="preserve"> 3529, </w:t>
      </w:r>
      <w:r w:rsidRPr="007423F7">
        <w:rPr>
          <w:lang w:val="fr-FR"/>
        </w:rPr>
        <w:t>en colonne</w:t>
      </w:r>
      <w:r w:rsidRPr="007423F7">
        <w:t xml:space="preserve"> (3b), ajouter: «6F».</w:t>
      </w:r>
    </w:p>
    <w:p w:rsidR="00A24382" w:rsidRPr="007423F7" w:rsidRDefault="00A24382" w:rsidP="00A24382">
      <w:pPr>
        <w:pStyle w:val="SingleTxtG"/>
      </w:pPr>
      <w:r w:rsidRPr="007423F7">
        <w:rPr>
          <w:lang w:val="fr-FR"/>
        </w:rPr>
        <w:t>Pour le No ONU</w:t>
      </w:r>
      <w:r w:rsidRPr="007423F7">
        <w:t xml:space="preserve"> 3530, </w:t>
      </w:r>
      <w:r w:rsidRPr="007423F7">
        <w:rPr>
          <w:lang w:val="fr-FR"/>
        </w:rPr>
        <w:t>en colonne</w:t>
      </w:r>
      <w:r w:rsidRPr="007423F7">
        <w:t xml:space="preserve"> (3b), ajouter: «M11».</w:t>
      </w:r>
    </w:p>
    <w:p w:rsidR="005C4275" w:rsidRPr="007423F7" w:rsidRDefault="00F36719" w:rsidP="00F36719">
      <w:pPr>
        <w:pStyle w:val="H1G"/>
      </w:pPr>
      <w:r w:rsidRPr="007423F7">
        <w:lastRenderedPageBreak/>
        <w:tab/>
      </w:r>
      <w:r w:rsidRPr="007423F7">
        <w:tab/>
      </w:r>
      <w:r w:rsidR="005C4275" w:rsidRPr="007423F7">
        <w:t>Chapitre 3.3</w:t>
      </w:r>
    </w:p>
    <w:p w:rsidR="005C4275" w:rsidRPr="007423F7" w:rsidRDefault="005C4275" w:rsidP="005C4275">
      <w:pPr>
        <w:pStyle w:val="SingleTxtG"/>
        <w:rPr>
          <w:lang w:val="fr-FR"/>
        </w:rPr>
      </w:pPr>
      <w:r w:rsidRPr="007423F7">
        <w:rPr>
          <w:lang w:val="fr-FR"/>
        </w:rPr>
        <w:t>Disposition spéciale 342 b)</w:t>
      </w:r>
      <w:r w:rsidRPr="007423F7">
        <w:rPr>
          <w:lang w:val="fr-FR"/>
        </w:rPr>
        <w:tab/>
      </w:r>
      <w:r w:rsidR="001C59B7" w:rsidRPr="007423F7">
        <w:rPr>
          <w:lang w:val="fr-FR"/>
        </w:rPr>
        <w:tab/>
      </w:r>
      <w:r w:rsidRPr="007423F7">
        <w:rPr>
          <w:lang w:val="fr-FR"/>
        </w:rPr>
        <w:t>Remplacer «de l’emballage intérieur en verre» par «du récipient intérieur en verre».</w:t>
      </w:r>
    </w:p>
    <w:p w:rsidR="005C4275" w:rsidRPr="007423F7" w:rsidRDefault="005C4275" w:rsidP="005C4275">
      <w:pPr>
        <w:pStyle w:val="SingleTxtG"/>
      </w:pPr>
      <w:r w:rsidRPr="007423F7">
        <w:t>Disposition spéciale 369</w:t>
      </w:r>
      <w:r w:rsidR="008B3378" w:rsidRPr="007423F7">
        <w:tab/>
        <w:t>R</w:t>
      </w:r>
      <w:r w:rsidRPr="007423F7">
        <w:t>emplacer «2.2.7.2.3.6» par «2.2.7.2.3.5».</w:t>
      </w:r>
    </w:p>
    <w:p w:rsidR="005C4275" w:rsidRPr="007423F7" w:rsidRDefault="005C4275" w:rsidP="005C4275">
      <w:pPr>
        <w:pStyle w:val="SingleTxtG"/>
        <w:rPr>
          <w:lang w:val="fr-FR"/>
        </w:rPr>
      </w:pPr>
      <w:r w:rsidRPr="007423F7">
        <w:rPr>
          <w:lang w:val="fr-FR"/>
        </w:rPr>
        <w:t>Disposition spéciale 373 (a)</w:t>
      </w:r>
      <w:r w:rsidRPr="007423F7">
        <w:rPr>
          <w:lang w:val="fr-FR"/>
        </w:rPr>
        <w:tab/>
      </w:r>
      <w:r w:rsidR="001C59B7" w:rsidRPr="007423F7">
        <w:rPr>
          <w:lang w:val="fr-FR"/>
        </w:rPr>
        <w:tab/>
      </w:r>
      <w:r w:rsidRPr="007423F7">
        <w:rPr>
          <w:lang w:val="fr-FR"/>
        </w:rPr>
        <w:t xml:space="preserve">À l’alinéa a) iii), dans le </w:t>
      </w:r>
      <w:r w:rsidR="001C59B7" w:rsidRPr="007423F7">
        <w:rPr>
          <w:lang w:val="fr-FR"/>
        </w:rPr>
        <w:t>Nota</w:t>
      </w:r>
      <w:r w:rsidRPr="007423F7">
        <w:rPr>
          <w:lang w:val="fr-FR"/>
        </w:rPr>
        <w:t>, remplacer «ISO 9001:2008» par «ISO 9001».</w:t>
      </w:r>
    </w:p>
    <w:p w:rsidR="005C4275" w:rsidRPr="007423F7" w:rsidRDefault="005C4275" w:rsidP="00F36719">
      <w:pPr>
        <w:pStyle w:val="SingleTxtG"/>
      </w:pPr>
      <w:r w:rsidRPr="007423F7">
        <w:t>Disposition spéciale 376, à la fin, ajouter la phrase suivante: «Dans ce cas, les piles et batteries sont affectées à la catégorie de transport 0.».</w:t>
      </w:r>
    </w:p>
    <w:p w:rsidR="005C4275" w:rsidRPr="007423F7" w:rsidRDefault="005C4275" w:rsidP="005C4275">
      <w:pPr>
        <w:pStyle w:val="SingleTxtG"/>
        <w:rPr>
          <w:lang w:val="fr-FR"/>
        </w:rPr>
      </w:pPr>
      <w:r w:rsidRPr="007423F7">
        <w:rPr>
          <w:lang w:val="fr-FR"/>
        </w:rPr>
        <w:t>Disposition spéciale 528</w:t>
      </w:r>
      <w:r w:rsidRPr="007423F7">
        <w:rPr>
          <w:lang w:val="fr-FR"/>
        </w:rPr>
        <w:tab/>
        <w:t>L’amendement ne s’applique pas au texte français.</w:t>
      </w:r>
    </w:p>
    <w:p w:rsidR="005C4275" w:rsidRPr="007423F7" w:rsidRDefault="005C4275" w:rsidP="005C4275">
      <w:pPr>
        <w:pStyle w:val="SingleTxtG"/>
        <w:rPr>
          <w:lang w:val="fr-FR"/>
        </w:rPr>
      </w:pPr>
      <w:r w:rsidRPr="007423F7">
        <w:rPr>
          <w:lang w:val="fr-FR"/>
        </w:rPr>
        <w:t>Disposition spéciale 531</w:t>
      </w:r>
      <w:r w:rsidRPr="007423F7">
        <w:rPr>
          <w:lang w:val="fr-FR"/>
        </w:rPr>
        <w:tab/>
        <w:t>Après «classe 4.1», insérer «(Nos ONU 2555, 2556 ou 2557)».</w:t>
      </w:r>
    </w:p>
    <w:p w:rsidR="005C4275" w:rsidRPr="007423F7" w:rsidRDefault="005C4275" w:rsidP="005C4275">
      <w:pPr>
        <w:pStyle w:val="SingleTxtG"/>
        <w:rPr>
          <w:lang w:val="fr-FR"/>
        </w:rPr>
      </w:pPr>
      <w:r w:rsidRPr="007423F7">
        <w:rPr>
          <w:lang w:val="fr-FR"/>
        </w:rPr>
        <w:t>Disposition spéciale 545</w:t>
      </w:r>
      <w:r w:rsidRPr="007423F7">
        <w:rPr>
          <w:lang w:val="fr-FR"/>
        </w:rPr>
        <w:tab/>
        <w:t>Remplacer «au moins 10% d’eau» par «moins de 10% d’eau».</w:t>
      </w:r>
    </w:p>
    <w:p w:rsidR="005C4275" w:rsidRPr="007423F7" w:rsidRDefault="005C4275" w:rsidP="005C4275">
      <w:pPr>
        <w:pStyle w:val="SingleTxtG"/>
        <w:rPr>
          <w:i/>
          <w:iCs/>
          <w:lang w:val="fr-FR"/>
        </w:rPr>
      </w:pPr>
      <w:r w:rsidRPr="007423F7">
        <w:rPr>
          <w:lang w:val="fr-FR"/>
        </w:rPr>
        <w:t>Disposition spéciale 592</w:t>
      </w:r>
      <w:r w:rsidRPr="007423F7">
        <w:rPr>
          <w:lang w:val="fr-FR"/>
        </w:rPr>
        <w:tab/>
        <w:t>Remplacer «Les emballages vides» par «Les emballages vides non nettoyés».</w:t>
      </w:r>
    </w:p>
    <w:p w:rsidR="005C4275" w:rsidRPr="007423F7" w:rsidRDefault="005C4275" w:rsidP="005C4275">
      <w:pPr>
        <w:pStyle w:val="SingleTxtG"/>
        <w:rPr>
          <w:lang w:val="fr-FR"/>
        </w:rPr>
      </w:pPr>
      <w:r w:rsidRPr="007423F7">
        <w:t xml:space="preserve">Disposition spéciale 636 b) </w:t>
      </w:r>
      <w:r w:rsidRPr="007423F7">
        <w:rPr>
          <w:lang w:val="fr-FR"/>
        </w:rPr>
        <w:t>Modifier le texte avant l’alinéa i) pour lire comme suit:</w:t>
      </w:r>
    </w:p>
    <w:p w:rsidR="005C4275" w:rsidRPr="007423F7" w:rsidRDefault="005C4275" w:rsidP="00E471D0">
      <w:pPr>
        <w:pStyle w:val="SingleTxtG"/>
        <w:rPr>
          <w:lang w:val="fr-FR"/>
        </w:rPr>
      </w:pPr>
      <w:r w:rsidRPr="007423F7">
        <w:rPr>
          <w:lang w:val="fr-FR"/>
        </w:rPr>
        <w:t>«b)</w:t>
      </w:r>
      <w:r w:rsidRPr="007423F7">
        <w:rPr>
          <w:lang w:val="fr-FR"/>
        </w:rPr>
        <w:tab/>
        <w:t>Lorsqu’elles sont transportées jusqu’aux lieux de traitement intermédiaire:</w:t>
      </w:r>
    </w:p>
    <w:p w:rsidR="005C4275" w:rsidRPr="007423F7" w:rsidRDefault="005C4275" w:rsidP="008C2B04">
      <w:pPr>
        <w:pStyle w:val="SingleTxtG"/>
        <w:ind w:left="1701"/>
        <w:rPr>
          <w:lang w:val="fr-FR"/>
        </w:rPr>
      </w:pPr>
      <w:r w:rsidRPr="007423F7">
        <w:rPr>
          <w:lang w:val="fr-FR"/>
        </w:rPr>
        <w:t>-</w:t>
      </w:r>
      <w:r w:rsidRPr="007423F7">
        <w:rPr>
          <w:lang w:val="fr-FR"/>
        </w:rPr>
        <w:tab/>
        <w:t>les piles et batteries au lithium, dont la masse brute ne dépasse pas 500 g par unité ou les piles au lithium ionique dont l’énergie nominale en wattheures ne dépasse pas 20 Wh, les batteries au lithium ionique dont l’énergie nominale en wattheures ne dépasse pas 100 Wh, les piles au lithium métal dont la quantité de lithium ne dépasse pas 1 g et les batteries au lithium métal dont la quantité totale de lithium ne dépasse pas 2 g, qui ne sont pas contenues dans un équipement, collectées et présentées au transport en vue de leur tri, élimination ou recyclage; ainsi que</w:t>
      </w:r>
    </w:p>
    <w:p w:rsidR="005C4275" w:rsidRPr="007423F7" w:rsidRDefault="005C4275" w:rsidP="008C2B04">
      <w:pPr>
        <w:pStyle w:val="SingleTxtG"/>
        <w:ind w:left="1701"/>
        <w:rPr>
          <w:lang w:val="fr-FR"/>
        </w:rPr>
      </w:pPr>
      <w:r w:rsidRPr="007423F7">
        <w:rPr>
          <w:lang w:val="fr-FR"/>
        </w:rPr>
        <w:t>-</w:t>
      </w:r>
      <w:r w:rsidRPr="007423F7">
        <w:rPr>
          <w:lang w:val="fr-FR"/>
        </w:rPr>
        <w:tab/>
        <w:t>les piles et batteries au lithium contenues dans des équipements provenant des ménages</w:t>
      </w:r>
      <w:r w:rsidR="00A82D75" w:rsidRPr="007423F7">
        <w:rPr>
          <w:lang w:val="fr-FR"/>
        </w:rPr>
        <w:t>,</w:t>
      </w:r>
      <w:r w:rsidRPr="007423F7">
        <w:rPr>
          <w:lang w:val="fr-FR"/>
        </w:rPr>
        <w:t xml:space="preserve"> collectés et présentés au transport en vue de leur dépollution, démantèlement, élimination ou recyclage;</w:t>
      </w:r>
    </w:p>
    <w:p w:rsidR="005C4275" w:rsidRPr="007423F7" w:rsidRDefault="005C4275" w:rsidP="008C2B04">
      <w:pPr>
        <w:pStyle w:val="SingleTxtG"/>
        <w:ind w:left="2268"/>
        <w:rPr>
          <w:i/>
          <w:lang w:val="fr-FR"/>
        </w:rPr>
      </w:pPr>
      <w:r w:rsidRPr="007423F7">
        <w:rPr>
          <w:b/>
          <w:i/>
          <w:lang w:val="fr-FR"/>
        </w:rPr>
        <w:t>NOTA:</w:t>
      </w:r>
      <w:r w:rsidRPr="007423F7">
        <w:rPr>
          <w:i/>
          <w:lang w:val="fr-FR"/>
        </w:rPr>
        <w:t xml:space="preserve"> Par «équipements provenant des ménages» on entend les équipements provenant des ménages et les équipements d’origine commerciale, industrielle, institutionnelle et autre qui, en raison de leur nature et de leur quantité, sont similaires à ceux des ménages. Les équipements susceptibles d’être utilisés à la fois par les ménages et les utilisateurs autres que les ménages doivent en tout état de cause être considérés comme étant des équipements provenant des ménages.</w:t>
      </w:r>
    </w:p>
    <w:p w:rsidR="005C4275" w:rsidRPr="007423F7" w:rsidRDefault="004569DA" w:rsidP="008C2B04">
      <w:pPr>
        <w:pStyle w:val="SingleTxtG"/>
        <w:ind w:left="1701" w:hanging="567"/>
        <w:rPr>
          <w:lang w:val="fr-FR"/>
        </w:rPr>
      </w:pPr>
      <w:r w:rsidRPr="007423F7">
        <w:rPr>
          <w:lang w:val="fr-FR"/>
        </w:rPr>
        <w:tab/>
      </w:r>
      <w:r w:rsidR="005C4275" w:rsidRPr="007423F7">
        <w:rPr>
          <w:lang w:val="fr-FR"/>
        </w:rPr>
        <w:t>ne sont pas soumises aux autres dispositions de l’ADR, y compris la disposition spéciale 376 et le 2.2.9.1.7, si elles satisfont aux conditions suivantes:».</w:t>
      </w:r>
    </w:p>
    <w:p w:rsidR="005C4275" w:rsidRPr="007423F7" w:rsidRDefault="00E471D0" w:rsidP="005C4275">
      <w:pPr>
        <w:pStyle w:val="SingleTxtG"/>
        <w:rPr>
          <w:lang w:val="fr-FR"/>
        </w:rPr>
      </w:pPr>
      <w:r w:rsidRPr="007423F7">
        <w:t>Disposition spéciale</w:t>
      </w:r>
      <w:r w:rsidR="005C4275" w:rsidRPr="007423F7">
        <w:rPr>
          <w:lang w:val="fr-FR"/>
        </w:rPr>
        <w:t xml:space="preserve"> 636 b)</w:t>
      </w:r>
      <w:r w:rsidR="005C4275" w:rsidRPr="007423F7">
        <w:rPr>
          <w:lang w:val="fr-FR"/>
        </w:rPr>
        <w:tab/>
        <w:t>Modifier l’alinéa iii) pour lire comme suit:</w:t>
      </w:r>
    </w:p>
    <w:p w:rsidR="005C4275" w:rsidRPr="007423F7" w:rsidRDefault="005C4275" w:rsidP="009163C3">
      <w:pPr>
        <w:pStyle w:val="SingleTxtG"/>
        <w:ind w:left="1701" w:hanging="567"/>
        <w:rPr>
          <w:lang w:val="fr-FR"/>
        </w:rPr>
      </w:pPr>
      <w:r w:rsidRPr="007423F7">
        <w:rPr>
          <w:lang w:val="fr-FR"/>
        </w:rPr>
        <w:t>«iii)</w:t>
      </w:r>
      <w:r w:rsidRPr="007423F7">
        <w:rPr>
          <w:lang w:val="fr-FR"/>
        </w:rPr>
        <w:tab/>
        <w:t>Les colis doivent porter la marque "PILES AU LITHIUM POUR ÉLIMINATION" ou "PILES AU LITHIUM POUR RECYCLAGE" comme approprié.</w:t>
      </w:r>
    </w:p>
    <w:p w:rsidR="005C4275" w:rsidRPr="007423F7" w:rsidRDefault="008C2B04" w:rsidP="009163C3">
      <w:pPr>
        <w:pStyle w:val="SingleTxtG"/>
        <w:ind w:left="1701" w:hanging="567"/>
        <w:rPr>
          <w:rFonts w:eastAsia="MS Mincho"/>
          <w:lang w:val="fr-FR" w:eastAsia="nl-NL"/>
        </w:rPr>
      </w:pPr>
      <w:r w:rsidRPr="007423F7">
        <w:rPr>
          <w:lang w:val="fr-FR"/>
        </w:rPr>
        <w:tab/>
      </w:r>
      <w:r w:rsidR="005C4275" w:rsidRPr="007423F7">
        <w:rPr>
          <w:lang w:val="fr-FR"/>
        </w:rPr>
        <w:t>Alternativement, si des équipements contenant des piles ou batteries au lithium sont transportés non emballés ou sur des palettes conformément à la prescription d’emballage P909 3) du 4.1.4.1, cette marque peut être fixée sur la surface extérieure des véhicules ou conteneurs.».</w:t>
      </w:r>
    </w:p>
    <w:p w:rsidR="005C4275" w:rsidRPr="007423F7" w:rsidRDefault="005C4275" w:rsidP="005C4275">
      <w:pPr>
        <w:pStyle w:val="SingleTxtG"/>
      </w:pPr>
      <w:r w:rsidRPr="007423F7">
        <w:t>3.3.1, Disposition spéciale 664 e)</w:t>
      </w:r>
      <w:r w:rsidRPr="007423F7">
        <w:tab/>
        <w:t>Remplacer la dernière phrase par «Dans ce cas, l’indication "Dispositif pour additif" doit être ajoutée dans le document de transport.».</w:t>
      </w:r>
    </w:p>
    <w:p w:rsidR="005C4275" w:rsidRPr="007423F7" w:rsidRDefault="005C4275" w:rsidP="005C4275">
      <w:pPr>
        <w:pStyle w:val="SingleTxtG"/>
      </w:pPr>
      <w:r w:rsidRPr="007423F7">
        <w:lastRenderedPageBreak/>
        <w:t xml:space="preserve">Ajouter </w:t>
      </w:r>
      <w:r w:rsidR="003C6763" w:rsidRPr="007423F7">
        <w:t xml:space="preserve">les </w:t>
      </w:r>
      <w:r w:rsidRPr="007423F7">
        <w:t>nouvelle</w:t>
      </w:r>
      <w:r w:rsidR="003C6763" w:rsidRPr="007423F7">
        <w:t>s</w:t>
      </w:r>
      <w:r w:rsidRPr="007423F7">
        <w:t xml:space="preserve"> disposition</w:t>
      </w:r>
      <w:r w:rsidR="003C6763" w:rsidRPr="007423F7">
        <w:t>s</w:t>
      </w:r>
      <w:r w:rsidRPr="007423F7">
        <w:t xml:space="preserve"> spéciale</w:t>
      </w:r>
      <w:r w:rsidR="003C6763" w:rsidRPr="007423F7">
        <w:t>s</w:t>
      </w:r>
      <w:r w:rsidRPr="007423F7">
        <w:t xml:space="preserve"> </w:t>
      </w:r>
      <w:r w:rsidR="003C6763" w:rsidRPr="007423F7">
        <w:t>suivantes</w:t>
      </w:r>
      <w:r w:rsidRPr="007423F7">
        <w:t>:</w:t>
      </w:r>
    </w:p>
    <w:p w:rsidR="005C4275" w:rsidRPr="007423F7" w:rsidRDefault="005C4275" w:rsidP="0045723C">
      <w:pPr>
        <w:pStyle w:val="SingleTxtG"/>
      </w:pPr>
      <w:r w:rsidRPr="007423F7">
        <w:t>«</w:t>
      </w:r>
      <w:r w:rsidR="003C6763" w:rsidRPr="007423F7">
        <w:t>665</w:t>
      </w:r>
      <w:r w:rsidRPr="007423F7">
        <w:tab/>
      </w:r>
      <w:r w:rsidRPr="007423F7">
        <w:tab/>
        <w:t>La houille, le coke et l’anthracite non-pulvérisés, remplissant les critères de classification de la classe 4.2, groupe d’emballage III, ne sont pas soumis aux prescriptions de l’ADR.».</w:t>
      </w:r>
    </w:p>
    <w:p w:rsidR="005C4275" w:rsidRPr="007423F7" w:rsidRDefault="005C4275" w:rsidP="005C4275">
      <w:pPr>
        <w:pStyle w:val="SingleTxtG"/>
        <w:rPr>
          <w:lang w:val="fr-FR"/>
        </w:rPr>
      </w:pPr>
      <w:r w:rsidRPr="007423F7">
        <w:rPr>
          <w:lang w:val="fr-FR"/>
        </w:rPr>
        <w:t>«669</w:t>
      </w:r>
      <w:r w:rsidRPr="007423F7">
        <w:rPr>
          <w:lang w:val="fr-FR"/>
        </w:rPr>
        <w:tab/>
        <w:t>Toute remorque dotée d’un équipement fonctionnant à l’aide d’un combustible liquide ou gazeux ou d’un dispositif de stockage et de production d’énergie électrique, qui est destiné à fonctionner pendant un transport effectué au moyen de cette remorque en tant que partie d’une unité de transport, doit être affectée aux Nos ONU 3166 ou 3171 et doit être soumise aux mêmes conditions que ces Nos ONU lorsqu’elle est transportée en tant que chargement sur un véhicule, sous réserve que la capacité totale des réservoirs pour combustible liquide ne dépasse pas 500 litres.».</w:t>
      </w:r>
    </w:p>
    <w:p w:rsidR="005C4275" w:rsidRPr="007423F7" w:rsidRDefault="00C17D10" w:rsidP="00C17D10">
      <w:pPr>
        <w:pStyle w:val="H1G"/>
      </w:pPr>
      <w:r w:rsidRPr="007423F7">
        <w:tab/>
      </w:r>
      <w:r w:rsidRPr="007423F7">
        <w:tab/>
      </w:r>
      <w:r w:rsidR="005C4275" w:rsidRPr="007423F7">
        <w:t>Chapitre 4.1</w:t>
      </w:r>
    </w:p>
    <w:p w:rsidR="005C4275" w:rsidRPr="007423F7" w:rsidRDefault="005C4275" w:rsidP="005C4275">
      <w:pPr>
        <w:pStyle w:val="SingleTxtG"/>
        <w:rPr>
          <w:lang w:val="fr-FR"/>
        </w:rPr>
      </w:pPr>
      <w:r w:rsidRPr="007423F7">
        <w:rPr>
          <w:lang w:val="fr-FR"/>
        </w:rPr>
        <w:t>4.1.3.4</w:t>
      </w:r>
      <w:r w:rsidRPr="007423F7">
        <w:rPr>
          <w:lang w:val="fr-FR"/>
        </w:rPr>
        <w:tab/>
      </w:r>
      <w:r w:rsidRPr="007423F7">
        <w:rPr>
          <w:lang w:val="fr-FR"/>
        </w:rPr>
        <w:tab/>
        <w:t>Dans la ligne pour les «Caisses», après «4B,», ajouter : «4N,».</w:t>
      </w:r>
    </w:p>
    <w:p w:rsidR="005C4275" w:rsidRPr="007423F7" w:rsidRDefault="00F46148" w:rsidP="005C4275">
      <w:pPr>
        <w:pStyle w:val="SingleTxtG"/>
        <w:tabs>
          <w:tab w:val="left" w:pos="1854"/>
        </w:tabs>
        <w:rPr>
          <w:lang w:val="fr-FR"/>
        </w:rPr>
      </w:pPr>
      <w:r w:rsidRPr="007423F7">
        <w:t xml:space="preserve">4.1.4.1, Instruction d’emballage </w:t>
      </w:r>
      <w:r w:rsidR="005C4275" w:rsidRPr="007423F7">
        <w:rPr>
          <w:lang w:val="fr-FR"/>
        </w:rPr>
        <w:t xml:space="preserve">P101 </w:t>
      </w:r>
      <w:r w:rsidR="005C4275" w:rsidRPr="007423F7">
        <w:rPr>
          <w:lang w:val="fr-FR"/>
        </w:rPr>
        <w:tab/>
        <w:t>Remplacer «utilisé pour les véhicules automobiles en circulation internationale» par «utilisé sur les véhicules en circulation routière internationale</w:t>
      </w:r>
      <w:r w:rsidR="005C4275" w:rsidRPr="007423F7">
        <w:rPr>
          <w:b/>
          <w:vertAlign w:val="superscript"/>
          <w:lang w:val="fr-FR"/>
        </w:rPr>
        <w:t>a</w:t>
      </w:r>
      <w:r w:rsidR="005C4275" w:rsidRPr="007423F7">
        <w:rPr>
          <w:lang w:val="fr-FR"/>
        </w:rPr>
        <w:t>».</w:t>
      </w:r>
    </w:p>
    <w:p w:rsidR="005C4275" w:rsidRPr="007423F7" w:rsidRDefault="005C4275" w:rsidP="005C4275">
      <w:pPr>
        <w:pStyle w:val="SingleTxtG"/>
        <w:tabs>
          <w:tab w:val="left" w:pos="1854"/>
        </w:tabs>
        <w:rPr>
          <w:lang w:val="fr-FR"/>
        </w:rPr>
      </w:pPr>
      <w:r w:rsidRPr="007423F7">
        <w:rPr>
          <w:lang w:val="fr-FR"/>
        </w:rPr>
        <w:t xml:space="preserve">La note de bas de page </w:t>
      </w:r>
      <w:r w:rsidRPr="007423F7">
        <w:rPr>
          <w:b/>
          <w:vertAlign w:val="superscript"/>
          <w:lang w:val="fr-FR"/>
        </w:rPr>
        <w:t>a</w:t>
      </w:r>
      <w:r w:rsidRPr="007423F7">
        <w:rPr>
          <w:lang w:val="fr-FR"/>
        </w:rPr>
        <w:t xml:space="preserve"> se lit comme suit:</w:t>
      </w:r>
    </w:p>
    <w:p w:rsidR="005C4275" w:rsidRPr="007423F7" w:rsidRDefault="005C4275" w:rsidP="005C4275">
      <w:pPr>
        <w:pStyle w:val="SingleTxtG"/>
        <w:tabs>
          <w:tab w:val="left" w:pos="1854"/>
        </w:tabs>
        <w:rPr>
          <w:lang w:val="fr-FR"/>
        </w:rPr>
      </w:pPr>
      <w:r w:rsidRPr="007423F7">
        <w:rPr>
          <w:lang w:val="fr-FR"/>
        </w:rPr>
        <w:t>«</w:t>
      </w:r>
      <w:r w:rsidRPr="007423F7">
        <w:rPr>
          <w:b/>
          <w:vertAlign w:val="superscript"/>
          <w:lang w:val="fr-FR"/>
        </w:rPr>
        <w:t>a</w:t>
      </w:r>
      <w:r w:rsidRPr="007423F7">
        <w:rPr>
          <w:lang w:val="fr-FR"/>
        </w:rPr>
        <w:tab/>
      </w:r>
      <w:r w:rsidRPr="007423F7">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7423F7">
        <w:rPr>
          <w:lang w:val="fr-FR"/>
        </w:rPr>
        <w:t>».</w:t>
      </w:r>
    </w:p>
    <w:p w:rsidR="005C4275" w:rsidRPr="007423F7" w:rsidRDefault="00F46148" w:rsidP="005C4275">
      <w:pPr>
        <w:pStyle w:val="SingleTxtG"/>
        <w:rPr>
          <w:lang w:val="fr-FR"/>
        </w:rPr>
      </w:pPr>
      <w:r w:rsidRPr="007423F7">
        <w:t xml:space="preserve">4.1.4.1, Instruction d’emballage </w:t>
      </w:r>
      <w:r w:rsidR="005C4275" w:rsidRPr="007423F7">
        <w:rPr>
          <w:lang w:val="fr-FR"/>
        </w:rPr>
        <w:t>P200</w:t>
      </w:r>
      <w:r w:rsidR="005C4275" w:rsidRPr="007423F7">
        <w:rPr>
          <w:lang w:val="fr-FR"/>
        </w:rPr>
        <w:tab/>
        <w:t>Au point 1.1 des paragraphes 12) et 13), ajouter à la fin: «(pour les définitions d’organismes Xb et IS voir 6.2.3.6.1)».</w:t>
      </w:r>
    </w:p>
    <w:p w:rsidR="00F46148" w:rsidRPr="007423F7" w:rsidRDefault="00F46148" w:rsidP="00F46148">
      <w:pPr>
        <w:pStyle w:val="SingleTxtG"/>
      </w:pPr>
      <w:r w:rsidRPr="007423F7">
        <w:t>4.1.4.1, Instruction d’emballage P200, Tableau 3</w:t>
      </w:r>
      <w:r w:rsidR="006963E1" w:rsidRPr="007423F7">
        <w:tab/>
        <w:t>S</w:t>
      </w:r>
      <w:r w:rsidRPr="007423F7">
        <w:t>upprimer la ligne correspondant au No. ONU 1790 ACIDE FLUORHYDRIQUE contenant plus de 85% de fluorure d’hydrogène.</w:t>
      </w:r>
    </w:p>
    <w:p w:rsidR="005C4275" w:rsidRPr="007423F7" w:rsidRDefault="00F46148" w:rsidP="005C4275">
      <w:pPr>
        <w:pStyle w:val="SingleTxtG"/>
        <w:rPr>
          <w:lang w:val="fr-FR"/>
        </w:rPr>
      </w:pPr>
      <w:r w:rsidRPr="007423F7">
        <w:t>4.1.4.1, Instruction d’emballage</w:t>
      </w:r>
      <w:r w:rsidR="005C4275" w:rsidRPr="007423F7">
        <w:rPr>
          <w:lang w:val="fr-FR"/>
        </w:rPr>
        <w:t xml:space="preserve"> P400</w:t>
      </w:r>
      <w:r w:rsidR="005C4275" w:rsidRPr="007423F7">
        <w:rPr>
          <w:lang w:val="fr-FR"/>
        </w:rPr>
        <w:tab/>
        <w:t>Dans la disposition spéciale d’emballage PP86, remplacer «de la phase gazeuse» par «du ciel gazeux».</w:t>
      </w:r>
    </w:p>
    <w:p w:rsidR="00184CD8" w:rsidRPr="007423F7" w:rsidRDefault="00184CD8" w:rsidP="00184CD8">
      <w:pPr>
        <w:pStyle w:val="SingleTxtG"/>
      </w:pPr>
      <w:r w:rsidRPr="007423F7">
        <w:t>4.1.4.1, instructions d’emballage P603 (anciennement P805), sous «Disposition spéciale d’emballage”, remplacer «aux 2.2.7.2.3.5 et 6.</w:t>
      </w:r>
      <w:r w:rsidR="00B166F0">
        <w:t>4</w:t>
      </w:r>
      <w:r w:rsidRPr="007423F7">
        <w:t>.11.2» par «au 2.2.7.2.3.5».</w:t>
      </w:r>
    </w:p>
    <w:p w:rsidR="005C4275" w:rsidRPr="007423F7" w:rsidRDefault="00F46148" w:rsidP="005C4275">
      <w:pPr>
        <w:pStyle w:val="SingleTxtG"/>
        <w:rPr>
          <w:lang w:val="fr-FR"/>
        </w:rPr>
      </w:pPr>
      <w:r w:rsidRPr="007423F7">
        <w:t xml:space="preserve">4.1.4.1, Instruction d’emballage </w:t>
      </w:r>
      <w:r w:rsidR="005C4275" w:rsidRPr="007423F7">
        <w:rPr>
          <w:lang w:val="fr-FR"/>
        </w:rPr>
        <w:t>P620</w:t>
      </w:r>
      <w:r w:rsidR="005C4275" w:rsidRPr="007423F7">
        <w:rPr>
          <w:lang w:val="fr-FR"/>
        </w:rPr>
        <w:tab/>
      </w:r>
      <w:r w:rsidR="005C4275" w:rsidRPr="007423F7">
        <w:rPr>
          <w:lang w:val="fr-FR"/>
        </w:rPr>
        <w:tab/>
        <w:t xml:space="preserve">Dans la phrase introductive de la disposition supplémentaire 2, après «dispositions», insérer: «supplémentaires». L’amendement </w:t>
      </w:r>
      <w:r w:rsidR="00BB5A0E" w:rsidRPr="007423F7">
        <w:rPr>
          <w:lang w:val="fr-FR"/>
        </w:rPr>
        <w:t xml:space="preserve">relatif </w:t>
      </w:r>
      <w:r w:rsidR="005C4275" w:rsidRPr="007423F7">
        <w:rPr>
          <w:lang w:val="fr-FR"/>
        </w:rPr>
        <w:t xml:space="preserve">à l’alinéa c) ne s’applique pas au texte français. </w:t>
      </w:r>
    </w:p>
    <w:p w:rsidR="005C4275" w:rsidRPr="007423F7" w:rsidRDefault="00F46148" w:rsidP="005C4275">
      <w:pPr>
        <w:pStyle w:val="SingleTxtG"/>
        <w:rPr>
          <w:lang w:val="fr-FR"/>
        </w:rPr>
      </w:pPr>
      <w:r w:rsidRPr="007423F7">
        <w:t>4.1.4.1, Instruction d’emballage</w:t>
      </w:r>
      <w:r w:rsidR="005C4275" w:rsidRPr="007423F7">
        <w:rPr>
          <w:lang w:val="fr-FR"/>
        </w:rPr>
        <w:t xml:space="preserve"> P906 2)</w:t>
      </w:r>
      <w:r w:rsidR="005C4275" w:rsidRPr="007423F7">
        <w:rPr>
          <w:lang w:val="fr-FR"/>
        </w:rPr>
        <w:tab/>
      </w:r>
      <w:r w:rsidR="005C4275" w:rsidRPr="007423F7">
        <w:rPr>
          <w:snapToGrid w:val="0"/>
          <w:lang w:val="fr-FR"/>
        </w:rPr>
        <w:t>L’amendement ne s’applique pas au texte français.</w:t>
      </w:r>
    </w:p>
    <w:p w:rsidR="005C4275" w:rsidRPr="007423F7" w:rsidRDefault="005C4275" w:rsidP="005C4275">
      <w:pPr>
        <w:pStyle w:val="SingleTxtG"/>
        <w:rPr>
          <w:lang w:val="fr-FR"/>
        </w:rPr>
      </w:pPr>
      <w:r w:rsidRPr="007423F7">
        <w:rPr>
          <w:lang w:val="fr-FR"/>
        </w:rPr>
        <w:t xml:space="preserve">4.1.4.2, </w:t>
      </w:r>
      <w:r w:rsidR="00F46148" w:rsidRPr="007423F7">
        <w:t>Instruction d’emballage</w:t>
      </w:r>
      <w:r w:rsidR="00F46148" w:rsidRPr="007423F7">
        <w:rPr>
          <w:lang w:val="fr-FR"/>
        </w:rPr>
        <w:t xml:space="preserve"> </w:t>
      </w:r>
      <w:r w:rsidRPr="007423F7">
        <w:rPr>
          <w:lang w:val="fr-FR"/>
        </w:rPr>
        <w:t>IBC02</w:t>
      </w:r>
      <w:r w:rsidRPr="007423F7">
        <w:rPr>
          <w:lang w:val="fr-FR"/>
        </w:rPr>
        <w:tab/>
        <w:t>Dans la disposition spéciale d’emballage B5, remplacer «l’espace vapeur» par «le ciel gazeux».</w:t>
      </w:r>
    </w:p>
    <w:p w:rsidR="005C4275" w:rsidRPr="007423F7" w:rsidRDefault="005C4275" w:rsidP="005C4275">
      <w:pPr>
        <w:pStyle w:val="SingleTxtG"/>
        <w:rPr>
          <w:lang w:val="fr-FR"/>
        </w:rPr>
      </w:pPr>
      <w:r w:rsidRPr="007423F7">
        <w:rPr>
          <w:lang w:val="fr-FR"/>
        </w:rPr>
        <w:t xml:space="preserve">4.1.4.2, </w:t>
      </w:r>
      <w:r w:rsidR="00F46148" w:rsidRPr="007423F7">
        <w:t>Instruction d’emballage</w:t>
      </w:r>
      <w:r w:rsidR="00F46148" w:rsidRPr="007423F7">
        <w:rPr>
          <w:lang w:val="fr-FR"/>
        </w:rPr>
        <w:t xml:space="preserve"> </w:t>
      </w:r>
      <w:r w:rsidRPr="007423F7">
        <w:rPr>
          <w:lang w:val="fr-FR"/>
        </w:rPr>
        <w:t>IBC520</w:t>
      </w:r>
      <w:r w:rsidRPr="007423F7">
        <w:rPr>
          <w:lang w:val="fr-FR"/>
        </w:rPr>
        <w:tab/>
        <w:t>Dans la disposition supplémentaire 1, remplacer «l’espace vapeur» par «le ciel gazeux».</w:t>
      </w:r>
    </w:p>
    <w:p w:rsidR="005C4275" w:rsidRPr="007423F7" w:rsidRDefault="005C4275" w:rsidP="005C4275">
      <w:pPr>
        <w:pStyle w:val="SingleTxtG"/>
        <w:rPr>
          <w:lang w:val="fr-FR"/>
        </w:rPr>
      </w:pPr>
      <w:r w:rsidRPr="007423F7">
        <w:rPr>
          <w:lang w:val="fr-FR"/>
        </w:rPr>
        <w:t>4.1.5.17</w:t>
      </w:r>
      <w:r w:rsidRPr="007423F7">
        <w:rPr>
          <w:lang w:val="fr-FR"/>
        </w:rPr>
        <w:tab/>
      </w:r>
      <w:r w:rsidR="00F21B1D" w:rsidRPr="007423F7">
        <w:rPr>
          <w:lang w:val="fr-FR"/>
        </w:rPr>
        <w:t>Remplacer</w:t>
      </w:r>
      <w:r w:rsidRPr="007423F7">
        <w:rPr>
          <w:lang w:val="fr-FR"/>
        </w:rPr>
        <w:t xml:space="preserve"> </w:t>
      </w:r>
      <w:r w:rsidR="00F21B1D" w:rsidRPr="007423F7">
        <w:rPr>
          <w:lang w:val="fr-FR"/>
        </w:rPr>
        <w:t xml:space="preserve">«1A1, 1A2, 1B1, 1B2, 4A, 4B et récipients en métal» par </w:t>
      </w:r>
      <w:r w:rsidRPr="007423F7">
        <w:rPr>
          <w:lang w:val="fr-FR"/>
        </w:rPr>
        <w:t>«</w:t>
      </w:r>
      <w:r w:rsidR="00F21B1D" w:rsidRPr="007423F7">
        <w:rPr>
          <w:lang w:val="fr-FR"/>
        </w:rPr>
        <w:t>(</w:t>
      </w:r>
      <w:r w:rsidRPr="007423F7">
        <w:rPr>
          <w:lang w:val="fr-FR"/>
        </w:rPr>
        <w:t>1A1, 1A2, 1B1, 1B2, 1N1, 1N2, 4A, 4B, 4N et récipients en métal</w:t>
      </w:r>
      <w:r w:rsidR="00F21B1D" w:rsidRPr="007423F7">
        <w:rPr>
          <w:lang w:val="fr-FR"/>
        </w:rPr>
        <w:t>)</w:t>
      </w:r>
      <w:r w:rsidRPr="007423F7">
        <w:rPr>
          <w:lang w:val="fr-FR"/>
        </w:rPr>
        <w:t>».</w:t>
      </w:r>
    </w:p>
    <w:p w:rsidR="005C4275" w:rsidRPr="007423F7" w:rsidRDefault="005C4275" w:rsidP="005C4275">
      <w:pPr>
        <w:pStyle w:val="SingleTxtG"/>
        <w:rPr>
          <w:lang w:val="fr-FR" w:eastAsia="fr-FR"/>
        </w:rPr>
      </w:pPr>
      <w:r w:rsidRPr="007423F7">
        <w:rPr>
          <w:rFonts w:ascii="TimesNewRomanPSMT" w:hAnsi="TimesNewRomanPSMT" w:cs="TimesNewRomanPSMT"/>
          <w:lang w:val="fr-FR" w:eastAsia="fr-FR"/>
        </w:rPr>
        <w:t>4.1.10.4</w:t>
      </w:r>
      <w:r w:rsidRPr="007423F7">
        <w:rPr>
          <w:rFonts w:ascii="TimesNewRomanPSMT" w:hAnsi="TimesNewRomanPSMT" w:cs="TimesNewRomanPSMT"/>
          <w:lang w:val="fr-FR" w:eastAsia="fr-FR"/>
        </w:rPr>
        <w:tab/>
        <w:t>Supprimer MP16 et ajouter:</w:t>
      </w:r>
      <w:r w:rsidRPr="007423F7">
        <w:rPr>
          <w:rFonts w:ascii="TimesNewRomanPSMT" w:hAnsi="TimesNewRomanPSMT" w:cs="TimesNewRomanPSMT"/>
          <w:lang w:val="fr-FR" w:eastAsia="fr-FR"/>
        </w:rPr>
        <w:tab/>
      </w:r>
      <w:r w:rsidRPr="007423F7">
        <w:rPr>
          <w:rFonts w:ascii="TimesNewRomanPSMT" w:hAnsi="TimesNewRomanPSMT" w:cs="TimesNewRomanPSMT"/>
          <w:lang w:val="fr-FR" w:eastAsia="fr-FR"/>
        </w:rPr>
        <w:br/>
        <w:t>“MP16</w:t>
      </w:r>
      <w:r w:rsidRPr="007423F7">
        <w:rPr>
          <w:rFonts w:ascii="TimesNewRomanPSMT" w:hAnsi="TimesNewRomanPSMT" w:cs="TimesNewRomanPSMT"/>
          <w:lang w:val="fr-FR" w:eastAsia="fr-FR"/>
        </w:rPr>
        <w:tab/>
      </w:r>
      <w:r w:rsidRPr="007423F7">
        <w:rPr>
          <w:rFonts w:ascii="TimesNewRomanPSMT" w:hAnsi="TimesNewRomanPSMT" w:cs="TimesNewRomanPSMT"/>
          <w:i/>
          <w:lang w:val="fr-FR" w:eastAsia="fr-FR"/>
        </w:rPr>
        <w:t>(Réservé)</w:t>
      </w:r>
      <w:r w:rsidRPr="007423F7">
        <w:rPr>
          <w:rFonts w:ascii="TimesNewRomanPSMT" w:hAnsi="TimesNewRomanPSMT" w:cs="TimesNewRomanPSMT"/>
          <w:lang w:val="fr-FR" w:eastAsia="fr-FR"/>
        </w:rPr>
        <w:t>”.</w:t>
      </w:r>
    </w:p>
    <w:p w:rsidR="005C4275" w:rsidRPr="007423F7" w:rsidRDefault="00184CD8" w:rsidP="00184CD8">
      <w:pPr>
        <w:pStyle w:val="H1G"/>
      </w:pPr>
      <w:r w:rsidRPr="007423F7">
        <w:lastRenderedPageBreak/>
        <w:tab/>
      </w:r>
      <w:r w:rsidRPr="007423F7">
        <w:tab/>
      </w:r>
      <w:r w:rsidR="005C4275" w:rsidRPr="007423F7">
        <w:t>Chapitre 4.2</w:t>
      </w:r>
    </w:p>
    <w:p w:rsidR="005C4275" w:rsidRPr="007423F7" w:rsidRDefault="00A904D4" w:rsidP="005C4275">
      <w:pPr>
        <w:pStyle w:val="SingleTxtG"/>
        <w:rPr>
          <w:lang w:val="fr-FR"/>
        </w:rPr>
      </w:pPr>
      <w:r>
        <w:rPr>
          <w:lang w:val="fr-FR"/>
        </w:rPr>
        <w:t xml:space="preserve">4.2.5.3, </w:t>
      </w:r>
      <w:r w:rsidR="005C4275" w:rsidRPr="007423F7">
        <w:rPr>
          <w:lang w:val="fr-FR"/>
        </w:rPr>
        <w:t>TP7</w:t>
      </w:r>
      <w:r w:rsidR="005C4275" w:rsidRPr="007423F7">
        <w:rPr>
          <w:lang w:val="fr-FR"/>
        </w:rPr>
        <w:tab/>
        <w:t>Remplacer «de la phase vapeur» par «du ciel gazeux».</w:t>
      </w:r>
    </w:p>
    <w:p w:rsidR="005C4275" w:rsidRPr="007423F7" w:rsidRDefault="00A904D4" w:rsidP="005C4275">
      <w:pPr>
        <w:pStyle w:val="SingleTxtG"/>
        <w:rPr>
          <w:lang w:val="fr-FR"/>
        </w:rPr>
      </w:pPr>
      <w:r>
        <w:rPr>
          <w:lang w:val="fr-FR"/>
        </w:rPr>
        <w:t xml:space="preserve">4.2.5.3, </w:t>
      </w:r>
      <w:r w:rsidR="005C4275" w:rsidRPr="007423F7">
        <w:rPr>
          <w:lang w:val="fr-FR"/>
        </w:rPr>
        <w:t>TP24</w:t>
      </w:r>
      <w:r w:rsidR="005C4275" w:rsidRPr="007423F7">
        <w:rPr>
          <w:lang w:val="fr-FR"/>
        </w:rPr>
        <w:tab/>
        <w:t>Remplacer «dans la phase gazeuse» par «dans le ciel gazeux».</w:t>
      </w:r>
    </w:p>
    <w:p w:rsidR="005C4275" w:rsidRPr="007423F7" w:rsidRDefault="00A904D4" w:rsidP="005C4275">
      <w:pPr>
        <w:pStyle w:val="SingleTxtG"/>
        <w:rPr>
          <w:lang w:val="fr-FR"/>
        </w:rPr>
      </w:pPr>
      <w:r>
        <w:rPr>
          <w:lang w:val="fr-FR"/>
        </w:rPr>
        <w:t xml:space="preserve">4.2.5.3, </w:t>
      </w:r>
      <w:r w:rsidR="005C4275" w:rsidRPr="007423F7">
        <w:rPr>
          <w:lang w:val="fr-FR"/>
        </w:rPr>
        <w:t>TP36</w:t>
      </w:r>
      <w:r w:rsidR="005C4275" w:rsidRPr="007423F7">
        <w:rPr>
          <w:lang w:val="fr-FR"/>
        </w:rPr>
        <w:tab/>
        <w:t>Remplacer «l’espace vapeur» par «le ciel gazeux».</w:t>
      </w:r>
    </w:p>
    <w:p w:rsidR="005C4275" w:rsidRPr="007423F7" w:rsidRDefault="00184CD8" w:rsidP="00184CD8">
      <w:pPr>
        <w:pStyle w:val="H1G"/>
      </w:pPr>
      <w:r w:rsidRPr="007423F7">
        <w:tab/>
      </w:r>
      <w:r w:rsidRPr="007423F7">
        <w:tab/>
      </w:r>
      <w:r w:rsidR="005C4275" w:rsidRPr="007423F7">
        <w:t>Chapitre 4.3</w:t>
      </w:r>
    </w:p>
    <w:p w:rsidR="005C4275" w:rsidRPr="007423F7" w:rsidRDefault="00AF7134" w:rsidP="005C4275">
      <w:pPr>
        <w:pStyle w:val="SingleTxtG"/>
        <w:rPr>
          <w:i/>
          <w:iCs/>
          <w:lang w:val="fr-FR"/>
        </w:rPr>
      </w:pPr>
      <w:r w:rsidRPr="007423F7">
        <w:t>4.3.2.1.7</w:t>
      </w:r>
      <w:r w:rsidRPr="007423F7">
        <w:tab/>
      </w:r>
      <w:r w:rsidR="005C4275" w:rsidRPr="007423F7">
        <w:rPr>
          <w:lang w:val="fr-FR"/>
        </w:rPr>
        <w:t>Dans le deuxième paragraphe, après «transféré», ajouter «sans délai».</w:t>
      </w:r>
    </w:p>
    <w:p w:rsidR="00A17A98" w:rsidRPr="007423F7" w:rsidRDefault="005C4275" w:rsidP="00A17A98">
      <w:pPr>
        <w:pStyle w:val="SingleTxtG"/>
        <w:rPr>
          <w:lang w:val="fr-FR"/>
        </w:rPr>
      </w:pPr>
      <w:r w:rsidRPr="007423F7">
        <w:rPr>
          <w:lang w:val="fr-FR"/>
        </w:rPr>
        <w:t>4.3.2.3</w:t>
      </w:r>
      <w:r w:rsidRPr="007423F7">
        <w:rPr>
          <w:lang w:val="fr-FR"/>
        </w:rPr>
        <w:tab/>
      </w:r>
      <w:r w:rsidR="00A17A98" w:rsidRPr="007423F7">
        <w:rPr>
          <w:lang w:val="fr-FR"/>
        </w:rPr>
        <w:tab/>
      </w:r>
      <w:r w:rsidR="00A17A98" w:rsidRPr="007423F7">
        <w:t>Ajouter un nouveau 4.3.2.3.7 pour lire comme suit:</w:t>
      </w:r>
    </w:p>
    <w:p w:rsidR="005C4275" w:rsidRPr="007423F7" w:rsidRDefault="00A17A98" w:rsidP="00A17A98">
      <w:pPr>
        <w:pStyle w:val="SingleTxtG"/>
        <w:rPr>
          <w:bCs/>
          <w:lang w:val="fr-FR"/>
        </w:rPr>
      </w:pPr>
      <w:r w:rsidRPr="007423F7">
        <w:rPr>
          <w:lang w:val="fr-FR"/>
        </w:rPr>
        <w:t>«4.3.2.3.7</w:t>
      </w:r>
      <w:r w:rsidRPr="007423F7">
        <w:rPr>
          <w:lang w:val="fr-FR"/>
        </w:rPr>
        <w:tab/>
      </w:r>
      <w:r w:rsidR="005C4275" w:rsidRPr="007423F7">
        <w:rPr>
          <w:bCs/>
          <w:lang w:val="fr-FR"/>
        </w:rPr>
        <w:t>Les citernes fixes (véhicules-citernes), citernes démontables, véhicules-batteries, conteneurs-citernes, caisses mobiles citernes et CGEM ne peuvent être remplis ou présentés au transport après expiration de la période de validité du contrôle prescrit aux 6.8.2.4.2, 6.8.3.4.6 et 6.8.3.4.10.</w:t>
      </w:r>
    </w:p>
    <w:p w:rsidR="005C4275" w:rsidRPr="007423F7" w:rsidRDefault="005C4275" w:rsidP="005C4275">
      <w:pPr>
        <w:pStyle w:val="SingleTxtG"/>
        <w:rPr>
          <w:bCs/>
          <w:lang w:val="fr-FR"/>
        </w:rPr>
      </w:pPr>
      <w:r w:rsidRPr="007423F7">
        <w:rPr>
          <w:bCs/>
          <w:lang w:val="fr-FR"/>
        </w:rPr>
        <w:t>Toutefois, les citernes fixes (véhicules-citernes), citernes démontables, véhicules-batteries, conteneurs-citernes, caisses mobiles citernes et CGEM qui ont été remplis avant la date d’expiration du dernier contrôle périodique peuvent être transportés:</w:t>
      </w:r>
    </w:p>
    <w:p w:rsidR="005C4275" w:rsidRPr="007423F7" w:rsidRDefault="005C4275" w:rsidP="005C4275">
      <w:pPr>
        <w:pStyle w:val="SingleTxtG"/>
        <w:rPr>
          <w:bCs/>
          <w:lang w:val="fr-FR"/>
        </w:rPr>
      </w:pPr>
      <w:r w:rsidRPr="007423F7">
        <w:rPr>
          <w:bCs/>
          <w:lang w:val="fr-FR"/>
        </w:rPr>
        <w:t>a)</w:t>
      </w:r>
      <w:r w:rsidRPr="007423F7">
        <w:rPr>
          <w:bCs/>
          <w:lang w:val="fr-FR"/>
        </w:rPr>
        <w:tab/>
        <w:t>pendant une période ne dépassant pas un mois suivant l’expiration de ce délai ;</w:t>
      </w:r>
    </w:p>
    <w:p w:rsidR="005C4275" w:rsidRPr="007423F7" w:rsidRDefault="005C4275" w:rsidP="005C4275">
      <w:pPr>
        <w:pStyle w:val="SingleTxtG"/>
        <w:rPr>
          <w:bCs/>
          <w:lang w:val="fr-FR"/>
        </w:rPr>
      </w:pPr>
      <w:r w:rsidRPr="007423F7">
        <w:rPr>
          <w:bCs/>
          <w:lang w:val="fr-FR"/>
        </w:rPr>
        <w:t>b)</w:t>
      </w:r>
      <w:r w:rsidRPr="007423F7">
        <w:rPr>
          <w:bCs/>
          <w:lang w:val="fr-FR"/>
        </w:rPr>
        <w:tab/>
        <w:t>sauf si l'autorité compétente en dispose autrement, pendant une période ne dépassant pas trois mois au-delà de cette date, lorsqu'elles contiennent des marchandises dangereuses retournées aux fins d'élimination ou de recyclage. Le document de transport doit faire état de cette exemption.</w:t>
      </w:r>
      <w:r w:rsidR="00A60B90" w:rsidRPr="007423F7">
        <w:rPr>
          <w:bCs/>
          <w:lang w:val="fr-FR"/>
        </w:rPr>
        <w:t>».</w:t>
      </w:r>
    </w:p>
    <w:p w:rsidR="005C4275" w:rsidRPr="007423F7" w:rsidRDefault="005C4275" w:rsidP="005C4275">
      <w:pPr>
        <w:pStyle w:val="SingleTxtG"/>
        <w:rPr>
          <w:lang w:val="fr-FR"/>
        </w:rPr>
      </w:pPr>
      <w:r w:rsidRPr="007423F7">
        <w:rPr>
          <w:lang w:val="fr-FR"/>
        </w:rPr>
        <w:t>4.3.3.2.5</w:t>
      </w:r>
      <w:r w:rsidRPr="007423F7">
        <w:rPr>
          <w:lang w:val="fr-FR"/>
        </w:rPr>
        <w:tab/>
        <w:t>Dans le tableau, pour le No ONU 1028, dans la deuxième colonne, remplacer «</w:t>
      </w:r>
      <w:r w:rsidR="001121EC" w:rsidRPr="007423F7">
        <w:rPr>
          <w:lang w:val="fr-FR"/>
        </w:rPr>
        <w:t>D</w:t>
      </w:r>
      <w:r w:rsidRPr="007423F7">
        <w:rPr>
          <w:lang w:val="fr-FR"/>
        </w:rPr>
        <w:t>ichlorofluorométhane» par «</w:t>
      </w:r>
      <w:r w:rsidR="001121EC" w:rsidRPr="007423F7">
        <w:rPr>
          <w:lang w:val="fr-FR"/>
        </w:rPr>
        <w:t>D</w:t>
      </w:r>
      <w:r w:rsidRPr="007423F7">
        <w:rPr>
          <w:lang w:val="fr-FR"/>
        </w:rPr>
        <w:t>ichlorodiflurométhane».</w:t>
      </w:r>
    </w:p>
    <w:p w:rsidR="005C4275" w:rsidRPr="007423F7" w:rsidRDefault="005C4275" w:rsidP="005C4275">
      <w:pPr>
        <w:pStyle w:val="SingleTxtG"/>
        <w:rPr>
          <w:lang w:val="fr-FR"/>
        </w:rPr>
      </w:pPr>
      <w:r w:rsidRPr="007423F7">
        <w:rPr>
          <w:lang w:val="fr-FR"/>
        </w:rPr>
        <w:t>4.3.3.2.5</w:t>
      </w:r>
      <w:r w:rsidRPr="007423F7">
        <w:rPr>
          <w:lang w:val="fr-FR"/>
        </w:rPr>
        <w:tab/>
        <w:t>Dans le tableau, pour le No ONU 1060, dans la deuxième colonne, dans la première ligne, remplacer «Méthylacéthylène» par «Méthylacétylène».</w:t>
      </w:r>
    </w:p>
    <w:p w:rsidR="005C4275" w:rsidRPr="007423F7" w:rsidRDefault="00150C14" w:rsidP="00184CD8">
      <w:pPr>
        <w:pStyle w:val="H1G"/>
      </w:pPr>
      <w:r w:rsidRPr="007423F7">
        <w:tab/>
      </w:r>
      <w:r w:rsidRPr="007423F7">
        <w:tab/>
      </w:r>
      <w:r w:rsidR="005C4275" w:rsidRPr="007423F7">
        <w:t>Chapitre 5.1</w:t>
      </w:r>
    </w:p>
    <w:p w:rsidR="005C4275" w:rsidRPr="007423F7" w:rsidRDefault="005C4275" w:rsidP="005C4275">
      <w:pPr>
        <w:pStyle w:val="SingleTxtG"/>
      </w:pPr>
      <w:r w:rsidRPr="007423F7">
        <w:t>5.1.5.5</w:t>
      </w:r>
      <w:r w:rsidRPr="007423F7">
        <w:tab/>
        <w:t xml:space="preserve"> </w:t>
      </w:r>
      <w:r w:rsidR="00ED5364" w:rsidRPr="007423F7">
        <w:tab/>
      </w:r>
      <w:r w:rsidRPr="007423F7">
        <w:t xml:space="preserve">Modifier le tableau comme suit: </w:t>
      </w:r>
    </w:p>
    <w:p w:rsidR="005C4275" w:rsidRPr="007423F7" w:rsidRDefault="005C4275" w:rsidP="00ED5364">
      <w:pPr>
        <w:pStyle w:val="SingleTxtG"/>
        <w:ind w:left="2268"/>
      </w:pPr>
      <w:r w:rsidRPr="007423F7">
        <w:t xml:space="preserve">Ajouter les nouvelles lignes suivantes: </w:t>
      </w:r>
    </w:p>
    <w:tbl>
      <w:tblPr>
        <w:tblW w:w="8646" w:type="dxa"/>
        <w:tblInd w:w="1134" w:type="dxa"/>
        <w:tblLayout w:type="fixed"/>
        <w:tblCellMar>
          <w:left w:w="66" w:type="dxa"/>
          <w:right w:w="66" w:type="dxa"/>
        </w:tblCellMar>
        <w:tblLook w:val="0000"/>
      </w:tblPr>
      <w:tblGrid>
        <w:gridCol w:w="2693"/>
        <w:gridCol w:w="709"/>
        <w:gridCol w:w="708"/>
        <w:gridCol w:w="1134"/>
        <w:gridCol w:w="1560"/>
        <w:gridCol w:w="1842"/>
      </w:tblGrid>
      <w:tr w:rsidR="005C4275" w:rsidRPr="007423F7" w:rsidTr="00ED5364">
        <w:trPr>
          <w:cantSplit/>
        </w:trPr>
        <w:tc>
          <w:tcPr>
            <w:tcW w:w="2693" w:type="dxa"/>
            <w:tcBorders>
              <w:top w:val="single" w:sz="6" w:space="0" w:color="auto"/>
              <w:left w:val="single" w:sz="6" w:space="0" w:color="auto"/>
              <w:bottom w:val="single" w:sz="6" w:space="0" w:color="auto"/>
            </w:tcBorders>
          </w:tcPr>
          <w:p w:rsidR="005C4275" w:rsidRPr="007423F7" w:rsidRDefault="005C4275" w:rsidP="008A638C">
            <w:pPr>
              <w:keepNext/>
              <w:tabs>
                <w:tab w:val="left" w:pos="218"/>
              </w:tabs>
              <w:spacing w:before="20" w:after="20"/>
            </w:pPr>
            <w:r w:rsidRPr="007423F7">
              <w:t>Limites alternatives d’activités pour un envoi exempté portant sur des appareils ou des objets</w:t>
            </w:r>
          </w:p>
        </w:tc>
        <w:tc>
          <w:tcPr>
            <w:tcW w:w="709" w:type="dxa"/>
            <w:tcBorders>
              <w:top w:val="single" w:sz="6" w:space="0" w:color="auto"/>
              <w:left w:val="single" w:sz="6" w:space="0" w:color="auto"/>
              <w:bottom w:val="single" w:sz="6" w:space="0" w:color="auto"/>
            </w:tcBorders>
          </w:tcPr>
          <w:p w:rsidR="005C4275" w:rsidRPr="007423F7" w:rsidRDefault="005C4275" w:rsidP="008A638C">
            <w:pPr>
              <w:keepNext/>
              <w:spacing w:before="20" w:after="20"/>
              <w:jc w:val="center"/>
            </w:pPr>
            <w:r w:rsidRPr="007423F7">
              <w:t>-</w:t>
            </w:r>
          </w:p>
        </w:tc>
        <w:tc>
          <w:tcPr>
            <w:tcW w:w="708" w:type="dxa"/>
            <w:tcBorders>
              <w:top w:val="single" w:sz="6" w:space="0" w:color="auto"/>
              <w:left w:val="single" w:sz="6" w:space="0" w:color="auto"/>
              <w:bottom w:val="single" w:sz="6" w:space="0" w:color="auto"/>
            </w:tcBorders>
          </w:tcPr>
          <w:p w:rsidR="005C4275" w:rsidRPr="007423F7" w:rsidRDefault="005C4275" w:rsidP="008A638C">
            <w:pPr>
              <w:keepNext/>
              <w:spacing w:before="20" w:after="20"/>
              <w:jc w:val="center"/>
            </w:pPr>
            <w:r w:rsidRPr="007423F7">
              <w:t>Oui</w:t>
            </w:r>
          </w:p>
        </w:tc>
        <w:tc>
          <w:tcPr>
            <w:tcW w:w="1134" w:type="dxa"/>
            <w:tcBorders>
              <w:top w:val="single" w:sz="6" w:space="0" w:color="auto"/>
              <w:left w:val="single" w:sz="6" w:space="0" w:color="auto"/>
              <w:bottom w:val="single" w:sz="6" w:space="0" w:color="auto"/>
            </w:tcBorders>
          </w:tcPr>
          <w:p w:rsidR="005C4275" w:rsidRPr="007423F7" w:rsidRDefault="005C4275" w:rsidP="008A638C">
            <w:pPr>
              <w:keepNext/>
              <w:spacing w:before="20" w:after="20"/>
              <w:jc w:val="center"/>
            </w:pPr>
            <w:r w:rsidRPr="007423F7">
              <w:t>Oui</w:t>
            </w:r>
          </w:p>
        </w:tc>
        <w:tc>
          <w:tcPr>
            <w:tcW w:w="1560" w:type="dxa"/>
            <w:tcBorders>
              <w:top w:val="single" w:sz="6" w:space="0" w:color="auto"/>
              <w:left w:val="single" w:sz="6" w:space="0" w:color="auto"/>
              <w:bottom w:val="single" w:sz="6" w:space="0" w:color="auto"/>
            </w:tcBorders>
          </w:tcPr>
          <w:p w:rsidR="005C4275" w:rsidRPr="007423F7" w:rsidRDefault="005C4275" w:rsidP="008A638C">
            <w:pPr>
              <w:keepNext/>
              <w:spacing w:before="20" w:after="20"/>
              <w:jc w:val="center"/>
            </w:pPr>
            <w:r w:rsidRPr="007423F7">
              <w:t>Non</w:t>
            </w:r>
          </w:p>
        </w:tc>
        <w:tc>
          <w:tcPr>
            <w:tcW w:w="1842" w:type="dxa"/>
            <w:tcBorders>
              <w:top w:val="single" w:sz="6" w:space="0" w:color="auto"/>
              <w:left w:val="single" w:sz="6" w:space="0" w:color="auto"/>
              <w:bottom w:val="single" w:sz="6" w:space="0" w:color="auto"/>
              <w:right w:val="single" w:sz="6" w:space="0" w:color="auto"/>
            </w:tcBorders>
          </w:tcPr>
          <w:p w:rsidR="005C4275" w:rsidRPr="007423F7" w:rsidRDefault="005C4275" w:rsidP="008A638C">
            <w:pPr>
              <w:keepNext/>
              <w:spacing w:before="20" w:after="20"/>
              <w:jc w:val="center"/>
            </w:pPr>
            <w:r w:rsidRPr="007423F7">
              <w:t xml:space="preserve">5.1.5.2.1e), </w:t>
            </w:r>
            <w:r w:rsidRPr="007423F7">
              <w:br/>
              <w:t>6.4.22.7</w:t>
            </w:r>
          </w:p>
        </w:tc>
      </w:tr>
      <w:tr w:rsidR="005C4275" w:rsidRPr="007423F7" w:rsidTr="00ED5364">
        <w:trPr>
          <w:cantSplit/>
        </w:trPr>
        <w:tc>
          <w:tcPr>
            <w:tcW w:w="2693" w:type="dxa"/>
            <w:tcBorders>
              <w:top w:val="single" w:sz="6" w:space="0" w:color="auto"/>
              <w:left w:val="single" w:sz="6" w:space="0" w:color="auto"/>
              <w:bottom w:val="single" w:sz="6" w:space="0" w:color="auto"/>
            </w:tcBorders>
          </w:tcPr>
          <w:p w:rsidR="005C4275" w:rsidRPr="007423F7" w:rsidRDefault="005C4275" w:rsidP="008A638C">
            <w:pPr>
              <w:keepNext/>
              <w:spacing w:before="20" w:after="20"/>
            </w:pPr>
            <w:r w:rsidRPr="007423F7">
              <w:t xml:space="preserve">Matières fissiles exceptées </w:t>
            </w:r>
            <w:r w:rsidR="0026579A">
              <w:t xml:space="preserve">conformément au 2.2.7.2.3.5 </w:t>
            </w:r>
            <w:r w:rsidRPr="007423F7">
              <w:t>f)</w:t>
            </w:r>
          </w:p>
        </w:tc>
        <w:tc>
          <w:tcPr>
            <w:tcW w:w="709" w:type="dxa"/>
            <w:tcBorders>
              <w:top w:val="single" w:sz="6" w:space="0" w:color="auto"/>
              <w:left w:val="single" w:sz="6" w:space="0" w:color="auto"/>
              <w:bottom w:val="single" w:sz="6" w:space="0" w:color="auto"/>
            </w:tcBorders>
          </w:tcPr>
          <w:p w:rsidR="005C4275" w:rsidRPr="007423F7" w:rsidRDefault="005C4275" w:rsidP="008A638C">
            <w:pPr>
              <w:keepNext/>
              <w:spacing w:before="20" w:after="20"/>
              <w:jc w:val="center"/>
            </w:pPr>
            <w:r w:rsidRPr="007423F7">
              <w:t>-</w:t>
            </w:r>
          </w:p>
        </w:tc>
        <w:tc>
          <w:tcPr>
            <w:tcW w:w="708" w:type="dxa"/>
            <w:tcBorders>
              <w:top w:val="single" w:sz="6" w:space="0" w:color="auto"/>
              <w:left w:val="single" w:sz="6" w:space="0" w:color="auto"/>
              <w:bottom w:val="single" w:sz="6" w:space="0" w:color="auto"/>
            </w:tcBorders>
          </w:tcPr>
          <w:p w:rsidR="005C4275" w:rsidRPr="007423F7" w:rsidRDefault="005C4275" w:rsidP="008A638C">
            <w:pPr>
              <w:keepNext/>
              <w:spacing w:before="20" w:after="20"/>
              <w:jc w:val="center"/>
            </w:pPr>
            <w:r w:rsidRPr="007423F7">
              <w:t>Oui</w:t>
            </w:r>
          </w:p>
        </w:tc>
        <w:tc>
          <w:tcPr>
            <w:tcW w:w="1134" w:type="dxa"/>
            <w:tcBorders>
              <w:top w:val="single" w:sz="6" w:space="0" w:color="auto"/>
              <w:left w:val="single" w:sz="6" w:space="0" w:color="auto"/>
              <w:bottom w:val="single" w:sz="6" w:space="0" w:color="auto"/>
            </w:tcBorders>
          </w:tcPr>
          <w:p w:rsidR="005C4275" w:rsidRPr="007423F7" w:rsidRDefault="005C4275" w:rsidP="008A638C">
            <w:pPr>
              <w:keepNext/>
              <w:spacing w:before="20" w:after="20"/>
              <w:jc w:val="center"/>
            </w:pPr>
            <w:r w:rsidRPr="007423F7">
              <w:t>Oui</w:t>
            </w:r>
          </w:p>
        </w:tc>
        <w:tc>
          <w:tcPr>
            <w:tcW w:w="1560" w:type="dxa"/>
            <w:tcBorders>
              <w:top w:val="single" w:sz="6" w:space="0" w:color="auto"/>
              <w:left w:val="single" w:sz="6" w:space="0" w:color="auto"/>
              <w:bottom w:val="single" w:sz="6" w:space="0" w:color="auto"/>
            </w:tcBorders>
          </w:tcPr>
          <w:p w:rsidR="005C4275" w:rsidRPr="007423F7" w:rsidRDefault="005C4275" w:rsidP="008A638C">
            <w:pPr>
              <w:keepNext/>
              <w:spacing w:before="20" w:after="20"/>
              <w:jc w:val="center"/>
            </w:pPr>
            <w:r w:rsidRPr="007423F7">
              <w:t>Non</w:t>
            </w:r>
          </w:p>
        </w:tc>
        <w:tc>
          <w:tcPr>
            <w:tcW w:w="1842" w:type="dxa"/>
            <w:tcBorders>
              <w:top w:val="single" w:sz="6" w:space="0" w:color="auto"/>
              <w:left w:val="single" w:sz="6" w:space="0" w:color="auto"/>
              <w:bottom w:val="single" w:sz="6" w:space="0" w:color="auto"/>
              <w:right w:val="single" w:sz="6" w:space="0" w:color="auto"/>
            </w:tcBorders>
          </w:tcPr>
          <w:p w:rsidR="005C4275" w:rsidRPr="007423F7" w:rsidRDefault="005C4275" w:rsidP="008A638C">
            <w:pPr>
              <w:keepNext/>
              <w:spacing w:before="20" w:after="20"/>
              <w:jc w:val="center"/>
            </w:pPr>
            <w:r w:rsidRPr="007423F7">
              <w:t>5.1.5.2.1 a) iii),</w:t>
            </w:r>
            <w:r w:rsidRPr="007423F7">
              <w:br/>
              <w:t>6.4.22.6</w:t>
            </w:r>
          </w:p>
        </w:tc>
      </w:tr>
    </w:tbl>
    <w:p w:rsidR="005C4275" w:rsidRPr="007423F7" w:rsidRDefault="005C4275" w:rsidP="00ED5364">
      <w:pPr>
        <w:pStyle w:val="SingleTxtG"/>
        <w:spacing w:before="120"/>
        <w:ind w:left="2268"/>
      </w:pPr>
      <w:r w:rsidRPr="007423F7">
        <w:t>Dans la première ligne (Calcul des valeurs A</w:t>
      </w:r>
      <w:r w:rsidRPr="007423F7">
        <w:rPr>
          <w:vertAlign w:val="subscript"/>
        </w:rPr>
        <w:t>1</w:t>
      </w:r>
      <w:r w:rsidRPr="007423F7">
        <w:t xml:space="preserve"> and A</w:t>
      </w:r>
      <w:r w:rsidRPr="007423F7">
        <w:rPr>
          <w:vertAlign w:val="subscript"/>
        </w:rPr>
        <w:t xml:space="preserve">2 </w:t>
      </w:r>
      <w:r w:rsidRPr="007423F7">
        <w:t>non mentionnées), dans la dernière colonne, insérer «2.2.7.2.2.2 a),  5.1.5.2.1 d)».</w:t>
      </w:r>
    </w:p>
    <w:p w:rsidR="005C4275" w:rsidRPr="007423F7" w:rsidRDefault="005C4275" w:rsidP="00ED5364">
      <w:pPr>
        <w:pStyle w:val="SingleTxtG"/>
        <w:spacing w:before="120"/>
        <w:ind w:left="2268"/>
      </w:pPr>
      <w:r w:rsidRPr="007423F7">
        <w:t>Dans la dixième ligne (Matière radioactive faiblement dispersable), dans la dernière colonne, remplacer «6.4.22.3» par «6.4.22.5».</w:t>
      </w:r>
    </w:p>
    <w:p w:rsidR="005C4275" w:rsidRPr="007423F7" w:rsidRDefault="005C4275" w:rsidP="00ED5364">
      <w:pPr>
        <w:pStyle w:val="SingleTxtG"/>
        <w:ind w:left="2268"/>
      </w:pPr>
      <w:r w:rsidRPr="007423F7">
        <w:t>Dans la treizième ligne (Modèles de colis approuvés soumis aux mesures transitoires), dans la dernière colonne, supprimer «1.6.6.1</w:t>
      </w:r>
      <w:r w:rsidR="00812730" w:rsidRPr="007423F7">
        <w:t>,</w:t>
      </w:r>
      <w:r w:rsidRPr="007423F7">
        <w:t>» et insérer «</w:t>
      </w:r>
      <w:r w:rsidR="00812730" w:rsidRPr="007423F7">
        <w:t xml:space="preserve">, </w:t>
      </w:r>
      <w:r w:rsidRPr="007423F7">
        <w:t>6.4.22.9» à la fin.</w:t>
      </w:r>
    </w:p>
    <w:p w:rsidR="005C4275" w:rsidRPr="007423F7" w:rsidRDefault="00150C14" w:rsidP="00184CD8">
      <w:pPr>
        <w:pStyle w:val="H1G"/>
      </w:pPr>
      <w:r w:rsidRPr="007423F7">
        <w:lastRenderedPageBreak/>
        <w:tab/>
      </w:r>
      <w:r w:rsidRPr="007423F7">
        <w:tab/>
      </w:r>
      <w:r w:rsidR="005C4275" w:rsidRPr="007423F7">
        <w:t xml:space="preserve">Chapitre 5.2 </w:t>
      </w:r>
    </w:p>
    <w:p w:rsidR="005C4275" w:rsidRPr="007423F7" w:rsidRDefault="005C4275" w:rsidP="005C4275">
      <w:pPr>
        <w:pStyle w:val="SingleTxtG"/>
        <w:tabs>
          <w:tab w:val="left" w:pos="1854"/>
        </w:tabs>
        <w:rPr>
          <w:lang w:val="fr-FR"/>
        </w:rPr>
      </w:pPr>
      <w:r w:rsidRPr="007423F7">
        <w:rPr>
          <w:lang w:val="fr-FR"/>
        </w:rPr>
        <w:t>5.2.1.7.4 c)</w:t>
      </w:r>
      <w:r w:rsidRPr="007423F7">
        <w:rPr>
          <w:lang w:val="fr-FR"/>
        </w:rPr>
        <w:tab/>
        <w:t>Remplacer «l’indicatif de pays (code VRI)</w:t>
      </w:r>
      <w:r w:rsidRPr="007423F7">
        <w:rPr>
          <w:b/>
          <w:vertAlign w:val="superscript"/>
          <w:lang w:val="fr-FR"/>
        </w:rPr>
        <w:t>2</w:t>
      </w:r>
      <w:r w:rsidRPr="007423F7">
        <w:rPr>
          <w:lang w:val="fr-FR"/>
        </w:rPr>
        <w:t xml:space="preserve"> attribué pour la circulation internationale des véhicules au pays» par «le signe distinctif utilisé sur les véhicules en circulation routière internationale</w:t>
      </w:r>
      <w:r w:rsidRPr="007423F7">
        <w:rPr>
          <w:b/>
          <w:vertAlign w:val="superscript"/>
          <w:lang w:val="fr-FR"/>
        </w:rPr>
        <w:t>2</w:t>
      </w:r>
      <w:r w:rsidRPr="007423F7">
        <w:rPr>
          <w:lang w:val="fr-FR"/>
        </w:rPr>
        <w:t xml:space="preserve"> du pays». Modifier la note de bas de page 2 pour lire:</w:t>
      </w:r>
    </w:p>
    <w:p w:rsidR="005C4275" w:rsidRPr="007423F7" w:rsidRDefault="005C4275" w:rsidP="005C4275">
      <w:pPr>
        <w:pStyle w:val="SingleTxtG"/>
      </w:pPr>
      <w:r w:rsidRPr="007423F7">
        <w:rPr>
          <w:lang w:val="fr-FR"/>
        </w:rPr>
        <w:t>«</w:t>
      </w:r>
      <w:r w:rsidRPr="007423F7">
        <w:rPr>
          <w:b/>
          <w:vertAlign w:val="superscript"/>
          <w:lang w:val="fr-FR"/>
        </w:rPr>
        <w:t>2</w:t>
      </w:r>
      <w:r w:rsidRPr="007423F7">
        <w:rPr>
          <w:lang w:val="fr-FR"/>
        </w:rPr>
        <w:tab/>
      </w:r>
      <w:r w:rsidRPr="007423F7">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7423F7">
        <w:rPr>
          <w:lang w:val="fr-FR"/>
        </w:rPr>
        <w:t>».</w:t>
      </w:r>
    </w:p>
    <w:p w:rsidR="005C4275" w:rsidRPr="007423F7" w:rsidRDefault="005C4275" w:rsidP="005C4275">
      <w:pPr>
        <w:pStyle w:val="SingleTxtG"/>
      </w:pPr>
      <w:r w:rsidRPr="007423F7">
        <w:t>5.2.2.2.2</w:t>
      </w:r>
      <w:r w:rsidRPr="007423F7">
        <w:tab/>
        <w:t>Modifier le titre au-dessus du modèle de l’étiquette de danger No 4.1 pour lire «DANGER DE CLASSE 4.1 Matières solides inflammables, matières autoréactives, matières</w:t>
      </w:r>
      <w:r w:rsidR="0076278C" w:rsidRPr="007423F7">
        <w:t xml:space="preserve"> </w:t>
      </w:r>
      <w:r w:rsidRPr="007423F7">
        <w:t xml:space="preserve">qui polymérisent et matières solides explosibles désensibilisées». </w:t>
      </w:r>
    </w:p>
    <w:p w:rsidR="005C4275" w:rsidRPr="007423F7" w:rsidRDefault="00BB6C37" w:rsidP="00BB6C37">
      <w:pPr>
        <w:pStyle w:val="H1G"/>
      </w:pPr>
      <w:r w:rsidRPr="007423F7">
        <w:tab/>
      </w:r>
      <w:r w:rsidRPr="007423F7">
        <w:tab/>
      </w:r>
      <w:r w:rsidR="005C4275" w:rsidRPr="007423F7">
        <w:t xml:space="preserve">Chapitre 5.4 </w:t>
      </w:r>
    </w:p>
    <w:p w:rsidR="005C4275" w:rsidRPr="007423F7" w:rsidRDefault="005C4275" w:rsidP="005C4275">
      <w:pPr>
        <w:pStyle w:val="SingleTxtG"/>
        <w:rPr>
          <w:lang w:val="fr-FR"/>
        </w:rPr>
      </w:pPr>
      <w:r w:rsidRPr="007423F7">
        <w:rPr>
          <w:lang w:val="fr-FR"/>
        </w:rPr>
        <w:t>5.4.1.1.11</w:t>
      </w:r>
      <w:r w:rsidRPr="007423F7">
        <w:rPr>
          <w:lang w:val="fr-FR"/>
        </w:rPr>
        <w:tab/>
        <w:t>Modifier pour lire comme suit:</w:t>
      </w:r>
    </w:p>
    <w:p w:rsidR="005C4275" w:rsidRPr="007423F7" w:rsidRDefault="005C4275" w:rsidP="005C4275">
      <w:pPr>
        <w:pStyle w:val="SingleTxtG"/>
        <w:rPr>
          <w:lang w:val="fr-FR"/>
        </w:rPr>
      </w:pPr>
      <w:r w:rsidRPr="007423F7">
        <w:rPr>
          <w:lang w:val="fr-FR"/>
        </w:rPr>
        <w:t>«5.4.1.1.11</w:t>
      </w:r>
      <w:r w:rsidRPr="007423F7">
        <w:rPr>
          <w:lang w:val="fr-FR"/>
        </w:rPr>
        <w:tab/>
      </w:r>
      <w:r w:rsidRPr="007423F7">
        <w:rPr>
          <w:bCs/>
          <w:i/>
          <w:lang w:val="fr-FR"/>
        </w:rPr>
        <w:t>Dispositions spéciales pour le transport de GRV, de citernes, de véhicules-batteries, de citernes mobiles et de CGEM après la date d’expiration de la validité du dernier contrôle ou de la dernière épreuve périodique</w:t>
      </w:r>
    </w:p>
    <w:p w:rsidR="005C4275" w:rsidRPr="007423F7" w:rsidRDefault="00805661" w:rsidP="005C4275">
      <w:pPr>
        <w:pStyle w:val="SingleTxtG"/>
        <w:rPr>
          <w:lang w:val="fr-FR"/>
        </w:rPr>
      </w:pPr>
      <w:r w:rsidRPr="007423F7">
        <w:rPr>
          <w:lang w:val="fr-FR"/>
        </w:rPr>
        <w:tab/>
      </w:r>
      <w:r w:rsidRPr="007423F7">
        <w:rPr>
          <w:lang w:val="fr-FR"/>
        </w:rPr>
        <w:tab/>
      </w:r>
      <w:r w:rsidR="005C4275" w:rsidRPr="007423F7">
        <w:rPr>
          <w:lang w:val="fr-FR"/>
        </w:rPr>
        <w:t>Pour les transports conformes aux 4.1.2.2 b), 4.3.2.3.7 b), 6.7.2.19.6 b), 6.7.3.15.6 b) ou 6.7.4.14.6 b), le document de transport doit porter la mention suivante:</w:t>
      </w:r>
    </w:p>
    <w:p w:rsidR="005C4275" w:rsidRPr="007423F7" w:rsidRDefault="005C4275" w:rsidP="00805661">
      <w:pPr>
        <w:pStyle w:val="SingleTxtG"/>
        <w:ind w:left="2268"/>
        <w:rPr>
          <w:lang w:val="fr-FR"/>
        </w:rPr>
      </w:pPr>
      <w:r w:rsidRPr="007423F7">
        <w:rPr>
          <w:lang w:val="fr-FR"/>
        </w:rPr>
        <w:t>"TRANSPORT CONFORMÉMENT AU 4.1.2.2 b)",</w:t>
      </w:r>
    </w:p>
    <w:p w:rsidR="005C4275" w:rsidRPr="007423F7" w:rsidRDefault="005C4275" w:rsidP="00805661">
      <w:pPr>
        <w:pStyle w:val="SingleTxtG"/>
        <w:ind w:left="2268"/>
        <w:rPr>
          <w:lang w:val="fr-FR"/>
        </w:rPr>
      </w:pPr>
      <w:r w:rsidRPr="007423F7">
        <w:rPr>
          <w:lang w:val="fr-FR"/>
        </w:rPr>
        <w:t>"TRANSPORT CONFORMÉMENT AU 4.3.2.3.7 b)",</w:t>
      </w:r>
    </w:p>
    <w:p w:rsidR="005C4275" w:rsidRPr="007423F7" w:rsidRDefault="005C4275" w:rsidP="00805661">
      <w:pPr>
        <w:pStyle w:val="SingleTxtG"/>
        <w:ind w:left="2268"/>
        <w:rPr>
          <w:lang w:val="fr-FR"/>
        </w:rPr>
      </w:pPr>
      <w:r w:rsidRPr="007423F7">
        <w:rPr>
          <w:lang w:val="fr-FR"/>
        </w:rPr>
        <w:t>"TRANSPORT CONFORMÉMENT AU 6.7.2.19.6 b)",</w:t>
      </w:r>
    </w:p>
    <w:p w:rsidR="005C4275" w:rsidRPr="007423F7" w:rsidRDefault="005C4275" w:rsidP="00805661">
      <w:pPr>
        <w:pStyle w:val="SingleTxtG"/>
        <w:ind w:left="2268"/>
        <w:rPr>
          <w:lang w:val="fr-FR"/>
        </w:rPr>
      </w:pPr>
      <w:r w:rsidRPr="007423F7">
        <w:rPr>
          <w:lang w:val="fr-FR"/>
        </w:rPr>
        <w:t>"TRANSPORT CONFORMÉMENT AU 6.7.3.15.6 b)"; ou</w:t>
      </w:r>
    </w:p>
    <w:p w:rsidR="005C4275" w:rsidRPr="007423F7" w:rsidRDefault="005C4275" w:rsidP="00805661">
      <w:pPr>
        <w:pStyle w:val="SingleTxtG"/>
        <w:ind w:left="2268"/>
        <w:rPr>
          <w:lang w:val="fr-FR"/>
        </w:rPr>
      </w:pPr>
      <w:r w:rsidRPr="007423F7">
        <w:rPr>
          <w:lang w:val="fr-FR"/>
        </w:rPr>
        <w:t>"TRANSPORT CONFORMÉMENT AU 6.7.4.14.6 b)</w:t>
      </w:r>
      <w:r w:rsidR="0044335F" w:rsidRPr="007423F7">
        <w:rPr>
          <w:lang w:val="fr-FR"/>
        </w:rPr>
        <w:t>"</w:t>
      </w:r>
      <w:r w:rsidRPr="007423F7">
        <w:rPr>
          <w:lang w:val="fr-FR"/>
        </w:rPr>
        <w:t>, selon le cas.».</w:t>
      </w:r>
    </w:p>
    <w:p w:rsidR="005C4275" w:rsidRPr="007423F7" w:rsidRDefault="005C4275" w:rsidP="005C4275">
      <w:pPr>
        <w:pStyle w:val="SingleTxtG"/>
        <w:tabs>
          <w:tab w:val="left" w:pos="1854"/>
        </w:tabs>
        <w:rPr>
          <w:lang w:val="fr-FR"/>
        </w:rPr>
      </w:pPr>
      <w:r w:rsidRPr="007423F7">
        <w:rPr>
          <w:lang w:val="fr-FR"/>
        </w:rPr>
        <w:t>5.4.1.2.1</w:t>
      </w:r>
      <w:r w:rsidRPr="007423F7">
        <w:rPr>
          <w:lang w:val="fr-FR"/>
        </w:rPr>
        <w:tab/>
      </w:r>
      <w:r w:rsidRPr="007423F7">
        <w:rPr>
          <w:lang w:val="fr-FR"/>
        </w:rPr>
        <w:tab/>
      </w:r>
      <w:r w:rsidR="00090DBA">
        <w:rPr>
          <w:lang w:val="fr-FR"/>
        </w:rPr>
        <w:t xml:space="preserve">Le premier amendement ne s’applique pas à la version française. </w:t>
      </w:r>
      <w:r w:rsidRPr="007423F7">
        <w:rPr>
          <w:lang w:val="fr-FR"/>
        </w:rPr>
        <w:t>Dans le Nota 2, remplacer «le signe distinctif prévu pour les véhicules dans le trafic international (XX)</w:t>
      </w:r>
      <w:r w:rsidRPr="007423F7">
        <w:rPr>
          <w:b/>
          <w:vertAlign w:val="superscript"/>
          <w:lang w:val="fr-FR"/>
        </w:rPr>
        <w:t xml:space="preserve"> 3</w:t>
      </w:r>
      <w:r w:rsidRPr="007423F7">
        <w:rPr>
          <w:lang w:val="fr-FR"/>
        </w:rPr>
        <w:t xml:space="preserve">» par «le signe </w:t>
      </w:r>
      <w:r w:rsidRPr="004F5F23">
        <w:rPr>
          <w:lang w:val="fr-FR"/>
        </w:rPr>
        <w:t xml:space="preserve">distinctif </w:t>
      </w:r>
      <w:r w:rsidRPr="007423F7">
        <w:rPr>
          <w:lang w:val="fr-FR"/>
        </w:rPr>
        <w:t>utilisé sur les véhicules en circulation routière internationale (XX)</w:t>
      </w:r>
      <w:r w:rsidRPr="007423F7">
        <w:rPr>
          <w:b/>
          <w:vertAlign w:val="superscript"/>
          <w:lang w:val="fr-FR"/>
        </w:rPr>
        <w:t xml:space="preserve"> 3</w:t>
      </w:r>
      <w:r w:rsidRPr="007423F7">
        <w:rPr>
          <w:lang w:val="fr-FR"/>
        </w:rPr>
        <w:t>».</w:t>
      </w:r>
    </w:p>
    <w:p w:rsidR="005C4275" w:rsidRPr="007423F7" w:rsidRDefault="005C4275" w:rsidP="005C4275">
      <w:pPr>
        <w:pStyle w:val="SingleTxtG"/>
        <w:tabs>
          <w:tab w:val="left" w:pos="1854"/>
        </w:tabs>
        <w:rPr>
          <w:lang w:val="fr-FR"/>
        </w:rPr>
      </w:pPr>
      <w:r w:rsidRPr="007423F7">
        <w:rPr>
          <w:lang w:val="fr-FR"/>
        </w:rPr>
        <w:t>Modifier la note de bas de page 3 pour lire:</w:t>
      </w:r>
    </w:p>
    <w:p w:rsidR="005C4275" w:rsidRPr="007423F7" w:rsidRDefault="005C4275" w:rsidP="005C4275">
      <w:pPr>
        <w:pStyle w:val="SingleTxtG"/>
        <w:tabs>
          <w:tab w:val="left" w:pos="1854"/>
        </w:tabs>
        <w:rPr>
          <w:lang w:val="fr-FR"/>
        </w:rPr>
      </w:pPr>
      <w:r w:rsidRPr="007423F7">
        <w:rPr>
          <w:lang w:val="fr-FR"/>
        </w:rPr>
        <w:t>«</w:t>
      </w:r>
      <w:r w:rsidRPr="007423F7">
        <w:rPr>
          <w:b/>
          <w:vertAlign w:val="superscript"/>
          <w:lang w:val="fr-FR"/>
        </w:rPr>
        <w:t>3</w:t>
      </w:r>
      <w:r w:rsidRPr="007423F7">
        <w:rPr>
          <w:lang w:val="fr-FR"/>
        </w:rPr>
        <w:tab/>
      </w:r>
      <w:r w:rsidRPr="007423F7">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7423F7">
        <w:rPr>
          <w:lang w:val="fr-FR"/>
        </w:rPr>
        <w:t>».</w:t>
      </w:r>
    </w:p>
    <w:p w:rsidR="00DE06D2" w:rsidRPr="007423F7" w:rsidRDefault="00DE06D2" w:rsidP="004832A5">
      <w:pPr>
        <w:spacing w:after="120"/>
        <w:ind w:left="1134" w:right="1134"/>
        <w:jc w:val="both"/>
        <w:rPr>
          <w:lang w:val="fr-FR"/>
        </w:rPr>
      </w:pPr>
      <w:r w:rsidRPr="007423F7">
        <w:rPr>
          <w:lang w:val="fr-FR"/>
        </w:rPr>
        <w:t>5.4.2</w:t>
      </w:r>
      <w:r w:rsidRPr="007423F7">
        <w:rPr>
          <w:lang w:val="fr-FR"/>
        </w:rPr>
        <w:tab/>
        <w:t xml:space="preserve"> Après le NOTA, ajouter le nouveau paragraphe suivant:</w:t>
      </w:r>
    </w:p>
    <w:p w:rsidR="00DE06D2" w:rsidRPr="007423F7" w:rsidRDefault="00DE06D2" w:rsidP="00DE06D2">
      <w:pPr>
        <w:pStyle w:val="SingleTxtG"/>
        <w:rPr>
          <w:lang w:val="fr-FR"/>
        </w:rPr>
      </w:pPr>
      <w:r w:rsidRPr="007423F7">
        <w:rPr>
          <w:lang w:val="fr-FR"/>
        </w:rPr>
        <w:t>«Si un transport de marchandises dangereuses dans un véhicule précède un parcours maritime, un "certificat d’empotage du conteneur ou du véhicule" conforme à la section 5.4.2 du Code IMDG</w:t>
      </w:r>
      <w:r w:rsidRPr="007423F7">
        <w:rPr>
          <w:b/>
          <w:vertAlign w:val="superscript"/>
          <w:lang w:val="fr-FR"/>
        </w:rPr>
        <w:t>5, 6</w:t>
      </w:r>
      <w:r w:rsidRPr="007423F7">
        <w:rPr>
          <w:lang w:val="fr-FR"/>
        </w:rPr>
        <w:t xml:space="preserve"> peut être fourni avec le document de transport.».</w:t>
      </w:r>
    </w:p>
    <w:p w:rsidR="005C4275" w:rsidRPr="007423F7" w:rsidRDefault="005C4275" w:rsidP="005C4275">
      <w:pPr>
        <w:pStyle w:val="SingleTxtG"/>
        <w:rPr>
          <w:lang w:val="fr-FR"/>
        </w:rPr>
      </w:pPr>
      <w:r w:rsidRPr="007423F7">
        <w:rPr>
          <w:lang w:val="fr-FR"/>
        </w:rPr>
        <w:t>5.4.2</w:t>
      </w:r>
      <w:r w:rsidRPr="007423F7">
        <w:rPr>
          <w:lang w:val="fr-FR"/>
        </w:rPr>
        <w:tab/>
        <w:t xml:space="preserve">À la fin de la note de bas de page 5, remplacer «(Directive OMI/OIT/CEE-ONU sur le chargement des cargaisons dans des engins de transport)» par «(Code de bonnes pratiques OMI/OIT/CEE-ONU pour le chargement des cargaisons dans des engins de transport (Code CTU))». </w:t>
      </w:r>
    </w:p>
    <w:p w:rsidR="003723D7" w:rsidRPr="007423F7" w:rsidRDefault="003723D7" w:rsidP="009116CF">
      <w:pPr>
        <w:pStyle w:val="SingleTxtG"/>
        <w:keepNext/>
        <w:rPr>
          <w:lang w:val="fr-FR"/>
        </w:rPr>
      </w:pPr>
      <w:r w:rsidRPr="007423F7">
        <w:rPr>
          <w:lang w:val="fr-FR"/>
        </w:rPr>
        <w:lastRenderedPageBreak/>
        <w:t>5.4.2</w:t>
      </w:r>
      <w:r w:rsidRPr="007423F7">
        <w:rPr>
          <w:lang w:val="fr-FR"/>
        </w:rPr>
        <w:tab/>
        <w:t xml:space="preserve">Dans la note de bas de page 6: </w:t>
      </w:r>
    </w:p>
    <w:p w:rsidR="003723D7" w:rsidRPr="007423F7" w:rsidRDefault="003723D7" w:rsidP="009116CF">
      <w:pPr>
        <w:pStyle w:val="SingleTxtG"/>
        <w:keepNext/>
        <w:ind w:left="1701"/>
        <w:rPr>
          <w:lang w:val="fr-FR"/>
        </w:rPr>
      </w:pPr>
      <w:r w:rsidRPr="007423F7">
        <w:rPr>
          <w:lang w:val="fr-FR"/>
        </w:rPr>
        <w:t>-</w:t>
      </w:r>
      <w:r w:rsidRPr="007423F7">
        <w:rPr>
          <w:lang w:val="fr-FR"/>
        </w:rPr>
        <w:tab/>
        <w:t>Au début, après «code IMDG», ajouter «(Amendement 38-16)»;</w:t>
      </w:r>
    </w:p>
    <w:p w:rsidR="003723D7" w:rsidRPr="007423F7" w:rsidRDefault="003723D7" w:rsidP="004832A5">
      <w:pPr>
        <w:pStyle w:val="SingleTxtG"/>
        <w:ind w:left="1701"/>
        <w:rPr>
          <w:lang w:val="fr-FR"/>
        </w:rPr>
      </w:pPr>
      <w:r w:rsidRPr="007423F7">
        <w:rPr>
          <w:lang w:val="fr-FR"/>
        </w:rPr>
        <w:t>-</w:t>
      </w:r>
      <w:r w:rsidRPr="007423F7">
        <w:rPr>
          <w:lang w:val="fr-FR"/>
        </w:rPr>
        <w:tab/>
        <w:t xml:space="preserve">Au point 2, remplacer «7.2.2.3» par «7.3.4.1»; </w:t>
      </w:r>
    </w:p>
    <w:p w:rsidR="003723D7" w:rsidRPr="007423F7" w:rsidRDefault="003723D7" w:rsidP="004832A5">
      <w:pPr>
        <w:pStyle w:val="SingleTxtG"/>
        <w:ind w:left="1701"/>
        <w:rPr>
          <w:lang w:val="fr-FR"/>
        </w:rPr>
      </w:pPr>
      <w:r w:rsidRPr="007423F7">
        <w:rPr>
          <w:lang w:val="fr-FR"/>
        </w:rPr>
        <w:t>-</w:t>
      </w:r>
      <w:r w:rsidRPr="007423F7">
        <w:rPr>
          <w:lang w:val="fr-FR"/>
        </w:rPr>
        <w:tab/>
        <w:t xml:space="preserve">Au point 6, remplacer «au 7.4.6» par «à 7.1.2»; </w:t>
      </w:r>
    </w:p>
    <w:p w:rsidR="003723D7" w:rsidRPr="007423F7" w:rsidRDefault="003723D7" w:rsidP="004832A5">
      <w:pPr>
        <w:pStyle w:val="SingleTxtG"/>
        <w:ind w:left="1701"/>
        <w:rPr>
          <w:lang w:val="fr-FR"/>
        </w:rPr>
      </w:pPr>
      <w:r w:rsidRPr="007423F7">
        <w:rPr>
          <w:lang w:val="fr-FR"/>
        </w:rPr>
        <w:t>-</w:t>
      </w:r>
      <w:r w:rsidRPr="007423F7">
        <w:rPr>
          <w:lang w:val="fr-FR"/>
        </w:rPr>
        <w:tab/>
        <w:t>Dans le N</w:t>
      </w:r>
      <w:r w:rsidR="00691827">
        <w:rPr>
          <w:lang w:val="fr-FR"/>
        </w:rPr>
        <w:t>ota</w:t>
      </w:r>
      <w:r w:rsidRPr="007423F7">
        <w:rPr>
          <w:lang w:val="fr-FR"/>
        </w:rPr>
        <w:t xml:space="preserve"> sous le 5.4.2.1 du code IMDG, remplacer «citernes» par «citernes mobiles»</w:t>
      </w:r>
      <w:r w:rsidR="00BC75A1" w:rsidRPr="007423F7">
        <w:rPr>
          <w:lang w:val="fr-FR"/>
        </w:rPr>
        <w:t>;</w:t>
      </w:r>
    </w:p>
    <w:p w:rsidR="00BC75A1" w:rsidRPr="007423F7" w:rsidRDefault="00BC75A1" w:rsidP="004832A5">
      <w:pPr>
        <w:pStyle w:val="SingleTxtG"/>
        <w:ind w:left="1701"/>
        <w:rPr>
          <w:lang w:val="fr-FR"/>
        </w:rPr>
      </w:pPr>
      <w:r w:rsidRPr="007423F7">
        <w:rPr>
          <w:lang w:val="fr-FR"/>
        </w:rPr>
        <w:t>-</w:t>
      </w:r>
      <w:r w:rsidRPr="007423F7">
        <w:rPr>
          <w:lang w:val="fr-FR"/>
        </w:rPr>
        <w:tab/>
        <w:t>La dernière modification ne s’applique pas au texte français.</w:t>
      </w:r>
    </w:p>
    <w:p w:rsidR="005C4275" w:rsidRPr="007423F7" w:rsidRDefault="005C4275" w:rsidP="005C4275">
      <w:pPr>
        <w:pStyle w:val="SingleTxtG"/>
        <w:rPr>
          <w:lang w:val="fr-FR"/>
        </w:rPr>
      </w:pPr>
      <w:r w:rsidRPr="007423F7">
        <w:rPr>
          <w:lang w:val="fr-FR"/>
        </w:rPr>
        <w:t>5.4.3.4</w:t>
      </w:r>
      <w:r w:rsidRPr="007423F7">
        <w:rPr>
          <w:lang w:val="fr-FR"/>
        </w:rPr>
        <w:tab/>
      </w:r>
      <w:r w:rsidRPr="007423F7">
        <w:rPr>
          <w:lang w:val="fr-FR"/>
        </w:rPr>
        <w:tab/>
        <w:t>Dans le modèle des consignes écrites, dans la colonne (1), au-dessus de l’étiquette de danger 4.1, après «matières autoréactives», insérer: «, matières qui polymérisent».</w:t>
      </w:r>
    </w:p>
    <w:p w:rsidR="005C4275" w:rsidRPr="007423F7" w:rsidRDefault="005C4275" w:rsidP="004832A5">
      <w:pPr>
        <w:pStyle w:val="SingleTxtG"/>
        <w:tabs>
          <w:tab w:val="left" w:pos="1985"/>
        </w:tabs>
      </w:pPr>
      <w:r w:rsidRPr="007423F7">
        <w:t xml:space="preserve">5.4.3.5 </w:t>
      </w:r>
      <w:r w:rsidR="004832A5" w:rsidRPr="007423F7">
        <w:tab/>
      </w:r>
      <w:r w:rsidRPr="007423F7">
        <w:t>Ajouter le nouveau paragraphe suivant:</w:t>
      </w:r>
    </w:p>
    <w:p w:rsidR="005C4275" w:rsidRPr="007423F7" w:rsidRDefault="005C4275" w:rsidP="004832A5">
      <w:pPr>
        <w:pStyle w:val="SingleTxtG"/>
        <w:tabs>
          <w:tab w:val="left" w:pos="1985"/>
        </w:tabs>
      </w:pPr>
      <w:r w:rsidRPr="007423F7">
        <w:t xml:space="preserve">«5.4.3.5 </w:t>
      </w:r>
      <w:r w:rsidR="004832A5" w:rsidRPr="007423F7">
        <w:tab/>
      </w:r>
      <w:r w:rsidRPr="007423F7">
        <w:t>Les Parties contractantes doivent fournir au secrétariat de la CEE-ONU la traduction officielle des consignes écrites dans leur(s) langue(s) national(es), en application de la présente section. Le secrétariat de la CEE-ONU met les versions nationales des consignes écrites qu’il a reçues à la disposition de toutes les Parties contractantes.».</w:t>
      </w:r>
    </w:p>
    <w:p w:rsidR="005C4275" w:rsidRPr="007423F7" w:rsidRDefault="00BB6C37" w:rsidP="00BB6C37">
      <w:pPr>
        <w:pStyle w:val="H1G"/>
      </w:pPr>
      <w:r w:rsidRPr="007423F7">
        <w:tab/>
      </w:r>
      <w:r w:rsidRPr="007423F7">
        <w:tab/>
      </w:r>
      <w:r w:rsidR="005C4275" w:rsidRPr="007423F7">
        <w:t>Chapitre 6.1</w:t>
      </w:r>
    </w:p>
    <w:p w:rsidR="005C4275" w:rsidRPr="007423F7" w:rsidRDefault="005C4275" w:rsidP="005C4275">
      <w:pPr>
        <w:pStyle w:val="SingleTxtG"/>
        <w:rPr>
          <w:lang w:val="fr-FR" w:eastAsia="fr-FR"/>
        </w:rPr>
      </w:pPr>
      <w:r w:rsidRPr="007423F7">
        <w:rPr>
          <w:rFonts w:ascii="TimesNewRomanPSMT" w:hAnsi="TimesNewRomanPSMT" w:cs="TimesNewRomanPSMT"/>
          <w:lang w:val="fr-FR" w:eastAsia="fr-FR"/>
        </w:rPr>
        <w:t xml:space="preserve">6.1.1.1 e) </w:t>
      </w:r>
      <w:r w:rsidRPr="007423F7">
        <w:rPr>
          <w:rFonts w:ascii="TimesNewRomanPSMT" w:hAnsi="TimesNewRomanPSMT" w:cs="TimesNewRomanPSMT"/>
          <w:lang w:val="fr-FR" w:eastAsia="fr-FR"/>
        </w:rPr>
        <w:tab/>
        <w:t>Dans le texte français, ajouter une virgule après «emballages combinés».</w:t>
      </w:r>
    </w:p>
    <w:p w:rsidR="005C4275" w:rsidRPr="007423F7" w:rsidRDefault="005C4275" w:rsidP="005C4275">
      <w:pPr>
        <w:pStyle w:val="SingleTxtG"/>
        <w:rPr>
          <w:lang w:val="fr-FR" w:eastAsia="fr-FR"/>
        </w:rPr>
      </w:pPr>
      <w:r w:rsidRPr="007423F7">
        <w:rPr>
          <w:lang w:val="fr-FR" w:eastAsia="fr-FR"/>
        </w:rPr>
        <w:t>6.1.2.4</w:t>
      </w:r>
      <w:r w:rsidRPr="007423F7">
        <w:rPr>
          <w:lang w:val="fr-FR" w:eastAsia="fr-FR"/>
        </w:rPr>
        <w:tab/>
      </w:r>
      <w:r w:rsidRPr="007423F7">
        <w:rPr>
          <w:lang w:val="fr-FR" w:eastAsia="fr-FR"/>
        </w:rPr>
        <w:tab/>
        <w:t>Modifier la dernière phrase pour lire comme suit: «</w:t>
      </w:r>
      <w:r w:rsidRPr="007423F7">
        <w:rPr>
          <w:lang w:val="fr-FR"/>
        </w:rPr>
        <w:t>La lettre "W" indique que l'emballage, bien qu'il soit du même type que celui qui est désigné par le code, a été fabriqué selon une spécification différente de celles du 6.1.4, mais est considéré comme équivalent au sens du 6.1.1.2.</w:t>
      </w:r>
      <w:r w:rsidRPr="007423F7">
        <w:rPr>
          <w:lang w:val="fr-FR" w:eastAsia="fr-FR"/>
        </w:rPr>
        <w:t>».</w:t>
      </w:r>
    </w:p>
    <w:p w:rsidR="00D2748F" w:rsidRPr="007423F7" w:rsidRDefault="00D2748F" w:rsidP="005C4275">
      <w:pPr>
        <w:pStyle w:val="SingleTxtG"/>
        <w:tabs>
          <w:tab w:val="left" w:pos="1854"/>
        </w:tabs>
        <w:rPr>
          <w:lang w:val="fr-FR"/>
        </w:rPr>
      </w:pPr>
      <w:r w:rsidRPr="007423F7">
        <w:rPr>
          <w:lang w:val="fr-FR"/>
        </w:rPr>
        <w:t xml:space="preserve">6.1.3.1 a) i) </w:t>
      </w:r>
      <w:r w:rsidRPr="007423F7">
        <w:rPr>
          <w:lang w:val="fr-FR"/>
        </w:rPr>
        <w:tab/>
        <w:t>Supprimer la note de bas de page 2 e</w:t>
      </w:r>
      <w:r w:rsidR="00CB0832" w:rsidRPr="007423F7">
        <w:rPr>
          <w:lang w:val="fr-FR"/>
        </w:rPr>
        <w:t>t</w:t>
      </w:r>
      <w:r w:rsidRPr="007423F7">
        <w:rPr>
          <w:lang w:val="fr-FR"/>
        </w:rPr>
        <w:t xml:space="preserve"> renuméroter les notes de bas de page suivantes en conséquence.</w:t>
      </w:r>
    </w:p>
    <w:p w:rsidR="005C4275" w:rsidRPr="007423F7" w:rsidRDefault="005C4275" w:rsidP="005C4275">
      <w:pPr>
        <w:pStyle w:val="SingleTxtG"/>
        <w:tabs>
          <w:tab w:val="left" w:pos="1854"/>
        </w:tabs>
        <w:rPr>
          <w:lang w:val="fr-FR"/>
        </w:rPr>
      </w:pPr>
      <w:r w:rsidRPr="007423F7">
        <w:rPr>
          <w:lang w:val="fr-FR"/>
        </w:rPr>
        <w:t>6.1.3.1 f)</w:t>
      </w:r>
      <w:r w:rsidRPr="007423F7">
        <w:rPr>
          <w:lang w:val="fr-FR"/>
        </w:rPr>
        <w:tab/>
        <w:t>Remplacer «le signe distinctif prévu pour les véhicules dans le trafic international</w:t>
      </w:r>
      <w:r w:rsidRPr="007423F7">
        <w:rPr>
          <w:b/>
          <w:vertAlign w:val="superscript"/>
          <w:lang w:val="fr-FR"/>
        </w:rPr>
        <w:t>3</w:t>
      </w:r>
      <w:r w:rsidRPr="007423F7">
        <w:rPr>
          <w:lang w:val="fr-FR"/>
        </w:rPr>
        <w:t xml:space="preserve">» par «le signe distinctif utilisé sur les véhicules en circulation routière </w:t>
      </w:r>
      <w:r w:rsidR="00D2748F" w:rsidRPr="007423F7">
        <w:rPr>
          <w:lang w:val="fr-FR"/>
        </w:rPr>
        <w:t>internationale</w:t>
      </w:r>
      <w:r w:rsidR="00D2748F" w:rsidRPr="007423F7">
        <w:rPr>
          <w:b/>
          <w:vertAlign w:val="superscript"/>
          <w:lang w:val="fr-FR"/>
        </w:rPr>
        <w:t>2</w:t>
      </w:r>
      <w:r w:rsidRPr="007423F7">
        <w:rPr>
          <w:lang w:val="fr-FR"/>
        </w:rPr>
        <w:t>».</w:t>
      </w:r>
    </w:p>
    <w:p w:rsidR="005C4275" w:rsidRPr="007423F7" w:rsidRDefault="005C4275" w:rsidP="005C4275">
      <w:pPr>
        <w:pStyle w:val="SingleTxtG"/>
        <w:tabs>
          <w:tab w:val="left" w:pos="1854"/>
        </w:tabs>
        <w:rPr>
          <w:lang w:val="fr-FR"/>
        </w:rPr>
      </w:pPr>
      <w:r w:rsidRPr="007423F7">
        <w:rPr>
          <w:lang w:val="fr-FR"/>
        </w:rPr>
        <w:t xml:space="preserve">Modifier la note de bas de page </w:t>
      </w:r>
      <w:r w:rsidR="00D2748F" w:rsidRPr="007423F7">
        <w:rPr>
          <w:lang w:val="fr-FR"/>
        </w:rPr>
        <w:t xml:space="preserve">2 (anciennement note de bas de page </w:t>
      </w:r>
      <w:r w:rsidRPr="007423F7">
        <w:rPr>
          <w:lang w:val="fr-FR"/>
        </w:rPr>
        <w:t>3</w:t>
      </w:r>
      <w:r w:rsidR="00D2748F" w:rsidRPr="007423F7">
        <w:rPr>
          <w:lang w:val="fr-FR"/>
        </w:rPr>
        <w:t>)</w:t>
      </w:r>
      <w:r w:rsidRPr="007423F7">
        <w:rPr>
          <w:lang w:val="fr-FR"/>
        </w:rPr>
        <w:t xml:space="preserve"> pour lire:</w:t>
      </w:r>
    </w:p>
    <w:p w:rsidR="005C4275" w:rsidRPr="007423F7" w:rsidRDefault="005C4275" w:rsidP="005C4275">
      <w:pPr>
        <w:pStyle w:val="SingleTxtG"/>
      </w:pPr>
      <w:r w:rsidRPr="007423F7">
        <w:rPr>
          <w:lang w:val="fr-FR"/>
        </w:rPr>
        <w:t>«</w:t>
      </w:r>
      <w:r w:rsidR="00C53FB9" w:rsidRPr="007423F7">
        <w:rPr>
          <w:b/>
          <w:vertAlign w:val="superscript"/>
          <w:lang w:val="fr-FR"/>
        </w:rPr>
        <w:t>2</w:t>
      </w:r>
      <w:r w:rsidRPr="007423F7">
        <w:rPr>
          <w:lang w:val="fr-FR"/>
        </w:rPr>
        <w:tab/>
      </w:r>
      <w:r w:rsidRPr="007423F7">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7423F7">
        <w:rPr>
          <w:lang w:val="fr-FR"/>
        </w:rPr>
        <w:t>».</w:t>
      </w:r>
    </w:p>
    <w:p w:rsidR="005C4275" w:rsidRPr="007423F7" w:rsidRDefault="005C4275" w:rsidP="005C4275">
      <w:pPr>
        <w:pStyle w:val="SingleTxtG"/>
        <w:tabs>
          <w:tab w:val="left" w:pos="1854"/>
        </w:tabs>
        <w:rPr>
          <w:lang w:val="fr-FR"/>
        </w:rPr>
      </w:pPr>
      <w:r w:rsidRPr="007423F7">
        <w:rPr>
          <w:lang w:val="fr-FR"/>
        </w:rPr>
        <w:t>6.1.3.8 h)</w:t>
      </w:r>
      <w:r w:rsidRPr="007423F7">
        <w:rPr>
          <w:lang w:val="fr-FR"/>
        </w:rPr>
        <w:tab/>
        <w:t>Remplacer «le signe distinctif prévu pour les véhicules dans le trafic international</w:t>
      </w:r>
      <w:r w:rsidRPr="007423F7">
        <w:rPr>
          <w:b/>
          <w:vertAlign w:val="superscript"/>
          <w:lang w:val="fr-FR"/>
        </w:rPr>
        <w:t>3</w:t>
      </w:r>
      <w:r w:rsidRPr="007423F7">
        <w:rPr>
          <w:lang w:val="fr-FR"/>
        </w:rPr>
        <w:t xml:space="preserve">» par «le signe distinctif utilisé sur les véhicules en circulation routière </w:t>
      </w:r>
      <w:r w:rsidR="0026313D" w:rsidRPr="007423F7">
        <w:rPr>
          <w:lang w:val="fr-FR"/>
        </w:rPr>
        <w:t>internationale</w:t>
      </w:r>
      <w:r w:rsidR="0026313D" w:rsidRPr="007423F7">
        <w:rPr>
          <w:b/>
          <w:vertAlign w:val="superscript"/>
          <w:lang w:val="fr-FR"/>
        </w:rPr>
        <w:t>2</w:t>
      </w:r>
      <w:r w:rsidRPr="007423F7">
        <w:rPr>
          <w:lang w:val="fr-FR"/>
        </w:rPr>
        <w:t>».</w:t>
      </w:r>
    </w:p>
    <w:p w:rsidR="008F2A0E" w:rsidRPr="007423F7" w:rsidRDefault="008F2A0E" w:rsidP="008F2A0E">
      <w:pPr>
        <w:pStyle w:val="SingleTxtG"/>
        <w:tabs>
          <w:tab w:val="left" w:pos="1854"/>
        </w:tabs>
        <w:rPr>
          <w:lang w:val="fr-FR"/>
        </w:rPr>
      </w:pPr>
      <w:r w:rsidRPr="007423F7">
        <w:rPr>
          <w:lang w:val="fr-FR"/>
        </w:rPr>
        <w:t>Modifier la note de bas de page 2 (anciennement note de bas de page 3) pour lire:</w:t>
      </w:r>
    </w:p>
    <w:p w:rsidR="005C4275" w:rsidRPr="007423F7" w:rsidRDefault="005C4275" w:rsidP="008F2A0E">
      <w:pPr>
        <w:pStyle w:val="SingleTxtG"/>
        <w:tabs>
          <w:tab w:val="left" w:pos="1854"/>
        </w:tabs>
        <w:rPr>
          <w:lang w:val="fr-FR"/>
        </w:rPr>
      </w:pPr>
      <w:r w:rsidRPr="007423F7">
        <w:rPr>
          <w:lang w:val="fr-FR"/>
        </w:rPr>
        <w:t>«</w:t>
      </w:r>
      <w:r w:rsidR="0026313D" w:rsidRPr="007423F7">
        <w:rPr>
          <w:b/>
          <w:vertAlign w:val="superscript"/>
          <w:lang w:val="fr-FR"/>
        </w:rPr>
        <w:t>2</w:t>
      </w:r>
      <w:r w:rsidRPr="007423F7">
        <w:rPr>
          <w:lang w:val="fr-FR"/>
        </w:rPr>
        <w:tab/>
      </w:r>
      <w:r w:rsidRPr="007423F7">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7423F7">
        <w:rPr>
          <w:lang w:val="fr-FR"/>
        </w:rPr>
        <w:t>».</w:t>
      </w:r>
    </w:p>
    <w:p w:rsidR="005C4275" w:rsidRPr="007423F7" w:rsidRDefault="005C4275" w:rsidP="005C4275">
      <w:pPr>
        <w:pStyle w:val="SingleTxtG"/>
        <w:rPr>
          <w:lang w:val="fr-FR" w:eastAsia="fr-FR"/>
        </w:rPr>
      </w:pPr>
      <w:r w:rsidRPr="007423F7">
        <w:rPr>
          <w:lang w:val="fr-FR" w:eastAsia="fr-FR"/>
        </w:rPr>
        <w:t>6.1.4.2.2</w:t>
      </w:r>
      <w:r w:rsidRPr="007423F7">
        <w:rPr>
          <w:lang w:val="fr-FR" w:eastAsia="fr-FR"/>
        </w:rPr>
        <w:tab/>
        <w:t>Modifier la deuxième phrase pour lire comme suit: «Les joints des rebords, s'il y en a, doivent être renforcés par la pose de colliers de renfort séparés.».</w:t>
      </w:r>
    </w:p>
    <w:p w:rsidR="005C4275" w:rsidRPr="007423F7" w:rsidRDefault="005C4275" w:rsidP="005C4275">
      <w:pPr>
        <w:pStyle w:val="SingleTxtG"/>
        <w:rPr>
          <w:lang w:val="fr-FR" w:eastAsia="fr-FR"/>
        </w:rPr>
      </w:pPr>
      <w:r w:rsidRPr="007423F7">
        <w:rPr>
          <w:lang w:val="fr-FR" w:eastAsia="fr-FR"/>
        </w:rPr>
        <w:lastRenderedPageBreak/>
        <w:t>6.1.4.3.2</w:t>
      </w:r>
      <w:r w:rsidRPr="007423F7">
        <w:rPr>
          <w:lang w:val="fr-FR" w:eastAsia="fr-FR"/>
        </w:rPr>
        <w:tab/>
        <w:t>Modifier la première phrase pour lire comme suit: «</w:t>
      </w:r>
      <w:r w:rsidRPr="007423F7">
        <w:rPr>
          <w:lang w:val="fr-FR"/>
        </w:rPr>
        <w:t xml:space="preserve">Les joints des rebords, s'il y en a, doivent être renforcés par la pose </w:t>
      </w:r>
      <w:r w:rsidRPr="007423F7">
        <w:rPr>
          <w:lang w:val="fr-FR" w:eastAsia="fr-FR"/>
        </w:rPr>
        <w:t>de colliers de renfort séparés</w:t>
      </w:r>
      <w:r w:rsidRPr="007423F7">
        <w:rPr>
          <w:lang w:val="fr-FR"/>
        </w:rPr>
        <w:t>.</w:t>
      </w:r>
      <w:r w:rsidRPr="007423F7">
        <w:rPr>
          <w:lang w:val="fr-FR" w:eastAsia="fr-FR"/>
        </w:rPr>
        <w:t>».</w:t>
      </w:r>
    </w:p>
    <w:p w:rsidR="005C4275" w:rsidRPr="007423F7" w:rsidRDefault="005C4275" w:rsidP="005C4275">
      <w:pPr>
        <w:pStyle w:val="SingleTxtG"/>
        <w:rPr>
          <w:lang w:val="fr-FR" w:eastAsia="fr-FR"/>
        </w:rPr>
      </w:pPr>
      <w:r w:rsidRPr="007423F7">
        <w:rPr>
          <w:lang w:val="fr-FR" w:eastAsia="fr-FR"/>
        </w:rPr>
        <w:t>6.1.4.4.2</w:t>
      </w:r>
      <w:r w:rsidRPr="007423F7">
        <w:rPr>
          <w:lang w:val="fr-FR" w:eastAsia="fr-FR"/>
        </w:rPr>
        <w:tab/>
        <w:t>Dans le texte français, dans la dernière phrase, remplacer «Les rebords» par «Les joints des rebords».</w:t>
      </w:r>
    </w:p>
    <w:p w:rsidR="005C4275" w:rsidRPr="007423F7" w:rsidRDefault="005C4275" w:rsidP="005C4275">
      <w:pPr>
        <w:pStyle w:val="SingleTxtG"/>
        <w:rPr>
          <w:rFonts w:ascii="TimesNewRomanPSMT" w:hAnsi="TimesNewRomanPSMT" w:cs="TimesNewRomanPSMT"/>
          <w:lang w:val="fr-FR" w:eastAsia="fr-FR"/>
        </w:rPr>
      </w:pPr>
      <w:r w:rsidRPr="007423F7">
        <w:rPr>
          <w:rFonts w:ascii="TimesNewRomanPSMT" w:hAnsi="TimesNewRomanPSMT" w:cs="TimesNewRomanPSMT"/>
          <w:lang w:val="fr-FR" w:eastAsia="fr-FR"/>
        </w:rPr>
        <w:t>6.1.4.5.4</w:t>
      </w:r>
      <w:r w:rsidRPr="007423F7">
        <w:rPr>
          <w:rFonts w:ascii="TimesNewRomanPSMT" w:hAnsi="TimesNewRomanPSMT" w:cs="TimesNewRomanPSMT"/>
          <w:lang w:val="fr-FR" w:eastAsia="fr-FR"/>
        </w:rPr>
        <w:tab/>
        <w:t xml:space="preserve">Modifier pour lire comme suit :  </w:t>
      </w:r>
    </w:p>
    <w:p w:rsidR="005C4275" w:rsidRPr="007423F7" w:rsidRDefault="005C4275" w:rsidP="005C4275">
      <w:pPr>
        <w:pStyle w:val="SingleTxtG"/>
        <w:rPr>
          <w:lang w:val="fr-FR"/>
        </w:rPr>
      </w:pPr>
      <w:r w:rsidRPr="007423F7">
        <w:rPr>
          <w:rFonts w:ascii="TimesNewRomanPSMT" w:hAnsi="TimesNewRomanPSMT" w:cs="TimesNewRomanPSMT"/>
          <w:lang w:val="fr-FR" w:eastAsia="fr-FR"/>
        </w:rPr>
        <w:t>«6.1.4.5.4</w:t>
      </w:r>
      <w:r w:rsidRPr="007423F7">
        <w:rPr>
          <w:rFonts w:ascii="TimesNewRomanPSMT" w:hAnsi="TimesNewRomanPSMT" w:cs="TimesNewRomanPSMT"/>
          <w:lang w:val="fr-FR" w:eastAsia="fr-FR"/>
        </w:rPr>
        <w:tab/>
        <w:t>Pour éviter les pertes de contenu par les interstices, les couvercles doivent être doublés de papier kraft ou d'un autre matériau équivalent; ceux-ci doivent être solidement fixés sur le couvercle et s'étendre à l'extérieur sous toute sa circonférence.».</w:t>
      </w:r>
    </w:p>
    <w:p w:rsidR="005C4275" w:rsidRPr="007423F7" w:rsidRDefault="005C4275" w:rsidP="005C4275">
      <w:pPr>
        <w:pStyle w:val="SingleTxtG"/>
        <w:rPr>
          <w:lang w:val="fr-FR"/>
        </w:rPr>
      </w:pPr>
      <w:r w:rsidRPr="007423F7">
        <w:rPr>
          <w:lang w:val="fr-FR"/>
        </w:rPr>
        <w:t>6.1.5.5.4 b)</w:t>
      </w:r>
      <w:r w:rsidRPr="007423F7">
        <w:rPr>
          <w:lang w:val="fr-FR"/>
        </w:rPr>
        <w:tab/>
        <w:t>Remplacer «du liquide transporté» par «du liquide à transporter».</w:t>
      </w:r>
    </w:p>
    <w:p w:rsidR="005C4275" w:rsidRPr="007423F7" w:rsidRDefault="00BB6C37" w:rsidP="00BB6C37">
      <w:pPr>
        <w:pStyle w:val="H1G"/>
      </w:pPr>
      <w:r w:rsidRPr="007423F7">
        <w:tab/>
      </w:r>
      <w:r w:rsidRPr="007423F7">
        <w:tab/>
      </w:r>
      <w:r w:rsidR="005C4275" w:rsidRPr="007423F7">
        <w:t>Chapitre 6.2</w:t>
      </w:r>
    </w:p>
    <w:p w:rsidR="005C4275" w:rsidRPr="007423F7" w:rsidRDefault="005C4275" w:rsidP="005C4275">
      <w:pPr>
        <w:tabs>
          <w:tab w:val="left" w:pos="1418"/>
          <w:tab w:val="left" w:pos="1843"/>
        </w:tabs>
        <w:spacing w:before="120" w:after="120"/>
        <w:ind w:left="1134" w:right="1134"/>
        <w:jc w:val="both"/>
        <w:rPr>
          <w:szCs w:val="24"/>
          <w:lang w:val="fr-FR"/>
        </w:rPr>
      </w:pPr>
      <w:r w:rsidRPr="007423F7">
        <w:rPr>
          <w:lang w:val="fr-FR"/>
        </w:rPr>
        <w:t>6.2.1.3.6.4.4</w:t>
      </w:r>
      <w:r w:rsidRPr="007423F7">
        <w:rPr>
          <w:lang w:val="fr-FR"/>
        </w:rPr>
        <w:tab/>
        <w:t>Remplacer «l’espace vapeur» par «le ciel gazeux».</w:t>
      </w:r>
    </w:p>
    <w:p w:rsidR="005C4275" w:rsidRPr="007423F7" w:rsidRDefault="005C4275" w:rsidP="005C4275">
      <w:pPr>
        <w:tabs>
          <w:tab w:val="left" w:pos="1418"/>
          <w:tab w:val="left" w:pos="1843"/>
        </w:tabs>
        <w:spacing w:before="120" w:after="120"/>
        <w:ind w:left="1134" w:right="1134"/>
        <w:jc w:val="both"/>
        <w:rPr>
          <w:lang w:val="fr-FR"/>
        </w:rPr>
      </w:pPr>
      <w:r w:rsidRPr="007423F7">
        <w:rPr>
          <w:lang w:val="fr-FR"/>
        </w:rPr>
        <w:t>6.2.2</w:t>
      </w:r>
      <w:r w:rsidRPr="007423F7">
        <w:rPr>
          <w:lang w:val="fr-FR"/>
        </w:rPr>
        <w:tab/>
        <w:t>Identifier le Nota existant en tant que Nota 1.</w:t>
      </w:r>
      <w:r w:rsidR="00520020">
        <w:rPr>
          <w:lang w:val="fr-FR"/>
        </w:rPr>
        <w:t xml:space="preserve"> </w:t>
      </w:r>
      <w:r w:rsidRPr="007423F7">
        <w:rPr>
          <w:lang w:val="fr-FR"/>
        </w:rPr>
        <w:t>Insérer le nouveau Nota 2 suivant:</w:t>
      </w:r>
    </w:p>
    <w:p w:rsidR="005C4275" w:rsidRPr="007423F7" w:rsidRDefault="005C4275" w:rsidP="005C4275">
      <w:pPr>
        <w:tabs>
          <w:tab w:val="left" w:pos="1418"/>
          <w:tab w:val="left" w:pos="1843"/>
        </w:tabs>
        <w:spacing w:before="120" w:after="120"/>
        <w:ind w:left="1134" w:right="1134"/>
        <w:jc w:val="both"/>
        <w:rPr>
          <w:i/>
          <w:lang w:val="fr-FR"/>
        </w:rPr>
      </w:pPr>
      <w:r w:rsidRPr="007423F7">
        <w:rPr>
          <w:i/>
          <w:lang w:val="fr-FR"/>
        </w:rPr>
        <w:t>«</w:t>
      </w:r>
      <w:r w:rsidRPr="007423F7">
        <w:rPr>
          <w:b/>
          <w:i/>
          <w:lang w:val="fr-FR"/>
        </w:rPr>
        <w:t>NOTA 2:</w:t>
      </w:r>
      <w:r w:rsidRPr="007423F7">
        <w:rPr>
          <w:i/>
          <w:lang w:val="fr-FR"/>
        </w:rPr>
        <w:tab/>
        <w:t>Lorsque des versions EN ISO des normes ISO ci-après sont disponibles, elles peuvent être utilisées pour satisfaire aux prescriptions des 6.2.2.1, 6.2.2.2, 6.2.2.3 et 6.2.2.4.».</w:t>
      </w:r>
    </w:p>
    <w:p w:rsidR="005C4275" w:rsidRPr="007423F7" w:rsidRDefault="005C4275" w:rsidP="005C4275">
      <w:pPr>
        <w:tabs>
          <w:tab w:val="left" w:pos="1418"/>
          <w:tab w:val="left" w:pos="1843"/>
        </w:tabs>
        <w:spacing w:before="120" w:after="120"/>
        <w:ind w:left="1134" w:right="1134"/>
        <w:jc w:val="both"/>
        <w:rPr>
          <w:lang w:val="fr-FR"/>
        </w:rPr>
      </w:pPr>
      <w:r w:rsidRPr="007423F7">
        <w:rPr>
          <w:lang w:val="fr-FR"/>
        </w:rPr>
        <w:t>6.2.2.3</w:t>
      </w:r>
      <w:r w:rsidRPr="007423F7">
        <w:rPr>
          <w:lang w:val="fr-FR"/>
        </w:rPr>
        <w:tab/>
        <w:t>Dans le tableau, pour la norme «ISO 10297:2006 », supprimer le Nota dans la colonne (2).</w:t>
      </w:r>
    </w:p>
    <w:p w:rsidR="006630C5" w:rsidRPr="007423F7" w:rsidRDefault="006630C5" w:rsidP="006630C5">
      <w:pPr>
        <w:pStyle w:val="SingleTxtG"/>
        <w:tabs>
          <w:tab w:val="left" w:pos="1854"/>
        </w:tabs>
        <w:rPr>
          <w:lang w:val="fr-FR"/>
        </w:rPr>
      </w:pPr>
      <w:r w:rsidRPr="007423F7">
        <w:rPr>
          <w:lang w:val="fr-FR"/>
        </w:rPr>
        <w:t>6.2.2.7.2 a)</w:t>
      </w:r>
      <w:r w:rsidR="008F2A0E" w:rsidRPr="007423F7">
        <w:rPr>
          <w:lang w:val="fr-FR"/>
        </w:rPr>
        <w:t xml:space="preserve"> et </w:t>
      </w:r>
      <w:r w:rsidR="000442BE" w:rsidRPr="007423F7">
        <w:rPr>
          <w:lang w:val="fr-FR"/>
        </w:rPr>
        <w:t>6.2.2.9.2 a)</w:t>
      </w:r>
      <w:r w:rsidRPr="007423F7">
        <w:rPr>
          <w:lang w:val="fr-FR"/>
        </w:rPr>
        <w:t xml:space="preserve"> </w:t>
      </w:r>
      <w:r w:rsidRPr="007423F7">
        <w:rPr>
          <w:lang w:val="fr-FR"/>
        </w:rPr>
        <w:tab/>
        <w:t>Supprimer la note de bas de page 2 et renuméroter les notes de bas de page suivantes en conséquence.</w:t>
      </w:r>
    </w:p>
    <w:p w:rsidR="005C4275" w:rsidRPr="007423F7" w:rsidRDefault="005C4275" w:rsidP="005C4275">
      <w:pPr>
        <w:pStyle w:val="SingleTxtG"/>
        <w:tabs>
          <w:tab w:val="left" w:pos="1854"/>
        </w:tabs>
        <w:rPr>
          <w:lang w:val="fr-FR"/>
        </w:rPr>
      </w:pPr>
      <w:r w:rsidRPr="007423F7">
        <w:rPr>
          <w:lang w:val="fr-FR"/>
        </w:rPr>
        <w:t>6.2.2.7.2 c)</w:t>
      </w:r>
      <w:r w:rsidRPr="007423F7">
        <w:rPr>
          <w:lang w:val="fr-FR"/>
        </w:rPr>
        <w:tab/>
        <w:t>Remplacer «aux signes distinctifs utilisés pour les véhicules automobiles en circulation routière internationale</w:t>
      </w:r>
      <w:r w:rsidRPr="007423F7">
        <w:rPr>
          <w:b/>
          <w:vertAlign w:val="superscript"/>
          <w:lang w:val="fr-FR"/>
        </w:rPr>
        <w:t>3</w:t>
      </w:r>
      <w:r w:rsidRPr="007423F7">
        <w:rPr>
          <w:lang w:val="fr-FR"/>
        </w:rPr>
        <w:t xml:space="preserve">» par «au signe distinctif utilisé sur les véhicules en circulation routière </w:t>
      </w:r>
      <w:r w:rsidR="00164A65" w:rsidRPr="007423F7">
        <w:rPr>
          <w:lang w:val="fr-FR"/>
        </w:rPr>
        <w:t>internationale</w:t>
      </w:r>
      <w:r w:rsidR="00164A65" w:rsidRPr="007423F7">
        <w:rPr>
          <w:b/>
          <w:vertAlign w:val="superscript"/>
          <w:lang w:val="fr-FR"/>
        </w:rPr>
        <w:t>2</w:t>
      </w:r>
      <w:r w:rsidRPr="007423F7">
        <w:rPr>
          <w:lang w:val="fr-FR"/>
        </w:rPr>
        <w:t>»</w:t>
      </w:r>
    </w:p>
    <w:p w:rsidR="005C4275" w:rsidRPr="007423F7" w:rsidRDefault="005C4275" w:rsidP="005C4275">
      <w:pPr>
        <w:pStyle w:val="SingleTxtG"/>
        <w:tabs>
          <w:tab w:val="left" w:pos="1854"/>
        </w:tabs>
        <w:rPr>
          <w:lang w:val="fr-FR"/>
        </w:rPr>
      </w:pPr>
      <w:r w:rsidRPr="007423F7">
        <w:rPr>
          <w:lang w:val="fr-FR"/>
        </w:rPr>
        <w:t xml:space="preserve">Modifier la note de bas de page </w:t>
      </w:r>
      <w:r w:rsidR="00164A65" w:rsidRPr="007423F7">
        <w:rPr>
          <w:lang w:val="fr-FR"/>
        </w:rPr>
        <w:t xml:space="preserve">2 </w:t>
      </w:r>
      <w:r w:rsidR="006630C5" w:rsidRPr="007423F7">
        <w:rPr>
          <w:lang w:val="fr-FR"/>
        </w:rPr>
        <w:t xml:space="preserve">(anciennement note de bas de page 3) </w:t>
      </w:r>
      <w:r w:rsidRPr="007423F7">
        <w:rPr>
          <w:lang w:val="fr-FR"/>
        </w:rPr>
        <w:t>pour lire:</w:t>
      </w:r>
    </w:p>
    <w:p w:rsidR="005C4275" w:rsidRPr="007423F7" w:rsidRDefault="005C4275" w:rsidP="005C4275">
      <w:pPr>
        <w:pStyle w:val="SingleTxtG"/>
        <w:tabs>
          <w:tab w:val="left" w:pos="1854"/>
        </w:tabs>
        <w:rPr>
          <w:lang w:val="fr-FR"/>
        </w:rPr>
      </w:pPr>
      <w:r w:rsidRPr="007423F7">
        <w:rPr>
          <w:lang w:val="fr-FR"/>
        </w:rPr>
        <w:t>«</w:t>
      </w:r>
      <w:r w:rsidR="00164A65" w:rsidRPr="007423F7">
        <w:rPr>
          <w:b/>
          <w:vertAlign w:val="superscript"/>
          <w:lang w:val="fr-FR"/>
        </w:rPr>
        <w:t>2</w:t>
      </w:r>
      <w:r w:rsidRPr="007423F7">
        <w:rPr>
          <w:lang w:val="fr-FR"/>
        </w:rPr>
        <w:tab/>
      </w:r>
      <w:r w:rsidRPr="007423F7">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7423F7">
        <w:rPr>
          <w:lang w:val="fr-FR"/>
        </w:rPr>
        <w:t>».</w:t>
      </w:r>
    </w:p>
    <w:p w:rsidR="005C4275" w:rsidRPr="007423F7" w:rsidRDefault="005C4275" w:rsidP="005C4275">
      <w:pPr>
        <w:pStyle w:val="SingleTxtG"/>
        <w:tabs>
          <w:tab w:val="left" w:pos="1854"/>
        </w:tabs>
        <w:rPr>
          <w:lang w:val="fr-FR"/>
        </w:rPr>
      </w:pPr>
      <w:r w:rsidRPr="007423F7">
        <w:rPr>
          <w:lang w:val="fr-FR"/>
        </w:rPr>
        <w:t>6.2.2.7.4 n)</w:t>
      </w:r>
      <w:r w:rsidRPr="007423F7">
        <w:rPr>
          <w:lang w:val="fr-FR"/>
        </w:rPr>
        <w:tab/>
        <w:t>Remplacer «aux signes distinctifs utilisés pour les véhicules automobiles en circulation routière internationale</w:t>
      </w:r>
      <w:r w:rsidRPr="007423F7">
        <w:rPr>
          <w:b/>
          <w:vertAlign w:val="superscript"/>
          <w:lang w:val="fr-FR"/>
        </w:rPr>
        <w:t>3</w:t>
      </w:r>
      <w:r w:rsidRPr="007423F7">
        <w:rPr>
          <w:lang w:val="fr-FR"/>
        </w:rPr>
        <w:t xml:space="preserve">» par «au signe distinctif utilisé sur les véhicules en circulation routière </w:t>
      </w:r>
      <w:r w:rsidR="00FE0740" w:rsidRPr="007423F7">
        <w:rPr>
          <w:lang w:val="fr-FR"/>
        </w:rPr>
        <w:t>internationale</w:t>
      </w:r>
      <w:r w:rsidR="00FE0740" w:rsidRPr="007423F7">
        <w:rPr>
          <w:b/>
          <w:vertAlign w:val="superscript"/>
          <w:lang w:val="fr-FR"/>
        </w:rPr>
        <w:t>2</w:t>
      </w:r>
      <w:r w:rsidRPr="007423F7">
        <w:rPr>
          <w:lang w:val="fr-FR"/>
        </w:rPr>
        <w:t>»</w:t>
      </w:r>
    </w:p>
    <w:p w:rsidR="00FE0740" w:rsidRPr="007423F7" w:rsidRDefault="00FE0740" w:rsidP="00FE0740">
      <w:pPr>
        <w:pStyle w:val="SingleTxtG"/>
        <w:tabs>
          <w:tab w:val="left" w:pos="1854"/>
        </w:tabs>
        <w:rPr>
          <w:lang w:val="fr-FR"/>
        </w:rPr>
      </w:pPr>
      <w:r w:rsidRPr="007423F7">
        <w:rPr>
          <w:lang w:val="fr-FR"/>
        </w:rPr>
        <w:t>Modifier la note de bas de page 2 (anciennement note de bas de page 3) pour lire:</w:t>
      </w:r>
    </w:p>
    <w:p w:rsidR="00FE0740" w:rsidRPr="007423F7" w:rsidRDefault="00FE0740" w:rsidP="00FE0740">
      <w:pPr>
        <w:pStyle w:val="SingleTxtG"/>
        <w:tabs>
          <w:tab w:val="left" w:pos="1854"/>
        </w:tabs>
        <w:rPr>
          <w:lang w:val="fr-FR"/>
        </w:rPr>
      </w:pPr>
      <w:r w:rsidRPr="007423F7">
        <w:rPr>
          <w:lang w:val="fr-FR"/>
        </w:rPr>
        <w:t>«</w:t>
      </w:r>
      <w:r w:rsidRPr="007423F7">
        <w:rPr>
          <w:b/>
          <w:vertAlign w:val="superscript"/>
          <w:lang w:val="fr-FR"/>
        </w:rPr>
        <w:t>2</w:t>
      </w:r>
      <w:r w:rsidRPr="007423F7">
        <w:rPr>
          <w:lang w:val="fr-FR"/>
        </w:rPr>
        <w:tab/>
      </w:r>
      <w:r w:rsidRPr="007423F7">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7423F7">
        <w:rPr>
          <w:lang w:val="fr-FR"/>
        </w:rPr>
        <w:t>».</w:t>
      </w:r>
    </w:p>
    <w:p w:rsidR="005C4275" w:rsidRPr="007423F7" w:rsidRDefault="005C4275" w:rsidP="005C4275">
      <w:pPr>
        <w:pStyle w:val="SingleTxtG"/>
        <w:tabs>
          <w:tab w:val="left" w:pos="1854"/>
        </w:tabs>
        <w:rPr>
          <w:lang w:val="fr-FR"/>
        </w:rPr>
      </w:pPr>
      <w:r w:rsidRPr="007423F7">
        <w:rPr>
          <w:lang w:val="fr-FR"/>
        </w:rPr>
        <w:t>6.2.2.7.7 a)</w:t>
      </w:r>
      <w:r w:rsidRPr="007423F7">
        <w:rPr>
          <w:lang w:val="fr-FR"/>
        </w:rPr>
        <w:tab/>
        <w:t>Remplacer «aux signes distinctifs utilisés pour les véhicules automobiles en circulation routière internationale</w:t>
      </w:r>
      <w:r w:rsidRPr="007423F7">
        <w:rPr>
          <w:b/>
          <w:vertAlign w:val="superscript"/>
          <w:lang w:val="fr-FR"/>
        </w:rPr>
        <w:t>3</w:t>
      </w:r>
      <w:r w:rsidRPr="007423F7">
        <w:rPr>
          <w:lang w:val="fr-FR"/>
        </w:rPr>
        <w:t xml:space="preserve">» par «au signe distinctif utilisé sur les véhicules en circulation routière </w:t>
      </w:r>
      <w:r w:rsidR="00C4524E" w:rsidRPr="007423F7">
        <w:rPr>
          <w:lang w:val="fr-FR"/>
        </w:rPr>
        <w:t>internationale</w:t>
      </w:r>
      <w:r w:rsidR="00C4524E" w:rsidRPr="007423F7">
        <w:rPr>
          <w:b/>
          <w:vertAlign w:val="superscript"/>
          <w:lang w:val="fr-FR"/>
        </w:rPr>
        <w:t>2</w:t>
      </w:r>
      <w:r w:rsidRPr="007423F7">
        <w:rPr>
          <w:lang w:val="fr-FR"/>
        </w:rPr>
        <w:t>»</w:t>
      </w:r>
    </w:p>
    <w:p w:rsidR="00C4524E" w:rsidRPr="007423F7" w:rsidRDefault="00C4524E" w:rsidP="00C4524E">
      <w:pPr>
        <w:pStyle w:val="SingleTxtG"/>
        <w:tabs>
          <w:tab w:val="left" w:pos="1854"/>
        </w:tabs>
        <w:rPr>
          <w:lang w:val="fr-FR"/>
        </w:rPr>
      </w:pPr>
      <w:r w:rsidRPr="007423F7">
        <w:rPr>
          <w:lang w:val="fr-FR"/>
        </w:rPr>
        <w:t>Modifier la note de bas de page 2 (anciennement note de bas de page 3) pour lire:</w:t>
      </w:r>
    </w:p>
    <w:p w:rsidR="005C4275" w:rsidRPr="007423F7" w:rsidRDefault="00C4524E" w:rsidP="00C4524E">
      <w:pPr>
        <w:pStyle w:val="SingleTxtG"/>
        <w:tabs>
          <w:tab w:val="left" w:pos="1854"/>
        </w:tabs>
        <w:rPr>
          <w:lang w:val="fr-FR"/>
        </w:rPr>
      </w:pPr>
      <w:r w:rsidRPr="007423F7">
        <w:rPr>
          <w:lang w:val="fr-FR"/>
        </w:rPr>
        <w:t>«</w:t>
      </w:r>
      <w:r w:rsidRPr="007423F7">
        <w:rPr>
          <w:b/>
          <w:vertAlign w:val="superscript"/>
          <w:lang w:val="fr-FR"/>
        </w:rPr>
        <w:t>2</w:t>
      </w:r>
      <w:r w:rsidRPr="007423F7">
        <w:rPr>
          <w:lang w:val="fr-FR"/>
        </w:rPr>
        <w:tab/>
      </w:r>
      <w:r w:rsidRPr="007423F7">
        <w:rPr>
          <w:i/>
          <w:lang w:val="fr-FR"/>
        </w:rPr>
        <w:t xml:space="preserve">Signe distinctif de l’Etat d’immatriculation utilisé sur les automobiles et les remorques en circulation routière internationale, par exemple en vertu de la Convention de </w:t>
      </w:r>
      <w:r w:rsidRPr="007423F7">
        <w:rPr>
          <w:i/>
          <w:lang w:val="fr-FR"/>
        </w:rPr>
        <w:lastRenderedPageBreak/>
        <w:t>Genève sur la circulation routière de 1949 ou de la Convention de Vienne sur la circulation routière de 1968.</w:t>
      </w:r>
      <w:r w:rsidRPr="007423F7">
        <w:rPr>
          <w:lang w:val="fr-FR"/>
        </w:rPr>
        <w:t>».</w:t>
      </w:r>
    </w:p>
    <w:p w:rsidR="005C4275" w:rsidRPr="007423F7" w:rsidRDefault="005C4275" w:rsidP="005C4275">
      <w:pPr>
        <w:pStyle w:val="SingleTxtG"/>
        <w:tabs>
          <w:tab w:val="left" w:pos="1854"/>
        </w:tabs>
        <w:rPr>
          <w:lang w:val="fr-FR"/>
        </w:rPr>
      </w:pPr>
      <w:r w:rsidRPr="007423F7">
        <w:rPr>
          <w:lang w:val="fr-FR"/>
        </w:rPr>
        <w:t>6.2.2.9.2 c) et h)</w:t>
      </w:r>
      <w:r w:rsidRPr="007423F7">
        <w:rPr>
          <w:lang w:val="fr-FR"/>
        </w:rPr>
        <w:tab/>
        <w:t>Remplacer «aux signes distinctifs utilisés pour les véhicules automobiles en circulation routière internationale</w:t>
      </w:r>
      <w:r w:rsidRPr="007423F7">
        <w:rPr>
          <w:b/>
          <w:vertAlign w:val="superscript"/>
          <w:lang w:val="fr-FR"/>
        </w:rPr>
        <w:t>3</w:t>
      </w:r>
      <w:r w:rsidRPr="007423F7">
        <w:rPr>
          <w:lang w:val="fr-FR"/>
        </w:rPr>
        <w:t xml:space="preserve">» par «au signe distinctif utilisé sur les véhicules en circulation routière </w:t>
      </w:r>
      <w:r w:rsidR="00C4524E" w:rsidRPr="007423F7">
        <w:rPr>
          <w:lang w:val="fr-FR"/>
        </w:rPr>
        <w:t>internationale</w:t>
      </w:r>
      <w:r w:rsidR="00C4524E" w:rsidRPr="007423F7">
        <w:rPr>
          <w:b/>
          <w:vertAlign w:val="superscript"/>
          <w:lang w:val="fr-FR"/>
        </w:rPr>
        <w:t>2</w:t>
      </w:r>
      <w:r w:rsidRPr="007423F7">
        <w:rPr>
          <w:lang w:val="fr-FR"/>
        </w:rPr>
        <w:t>»</w:t>
      </w:r>
    </w:p>
    <w:p w:rsidR="00C4524E" w:rsidRPr="007423F7" w:rsidRDefault="00C4524E" w:rsidP="00C4524E">
      <w:pPr>
        <w:pStyle w:val="SingleTxtG"/>
        <w:tabs>
          <w:tab w:val="left" w:pos="1854"/>
        </w:tabs>
        <w:rPr>
          <w:lang w:val="fr-FR"/>
        </w:rPr>
      </w:pPr>
      <w:r w:rsidRPr="007423F7">
        <w:rPr>
          <w:lang w:val="fr-FR"/>
        </w:rPr>
        <w:t>Modifier la note de bas de page 2 (anciennement note de bas de page 3) pour lire:</w:t>
      </w:r>
    </w:p>
    <w:p w:rsidR="005C4275" w:rsidRPr="007423F7" w:rsidRDefault="00C4524E" w:rsidP="00C4524E">
      <w:pPr>
        <w:pStyle w:val="SingleTxtG"/>
        <w:tabs>
          <w:tab w:val="left" w:pos="1854"/>
        </w:tabs>
        <w:rPr>
          <w:lang w:val="fr-FR"/>
        </w:rPr>
      </w:pPr>
      <w:r w:rsidRPr="007423F7">
        <w:rPr>
          <w:lang w:val="fr-FR"/>
        </w:rPr>
        <w:t>«</w:t>
      </w:r>
      <w:r w:rsidRPr="007423F7">
        <w:rPr>
          <w:b/>
          <w:vertAlign w:val="superscript"/>
          <w:lang w:val="fr-FR"/>
        </w:rPr>
        <w:t>2</w:t>
      </w:r>
      <w:r w:rsidRPr="007423F7">
        <w:rPr>
          <w:lang w:val="fr-FR"/>
        </w:rPr>
        <w:tab/>
      </w:r>
      <w:r w:rsidRPr="007423F7">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7423F7">
        <w:rPr>
          <w:lang w:val="fr-FR"/>
        </w:rPr>
        <w:t>».</w:t>
      </w:r>
    </w:p>
    <w:p w:rsidR="005C4275" w:rsidRPr="007423F7" w:rsidRDefault="005C4275" w:rsidP="005C4275">
      <w:pPr>
        <w:pStyle w:val="SingleTxtG"/>
        <w:tabs>
          <w:tab w:val="left" w:pos="1854"/>
        </w:tabs>
        <w:rPr>
          <w:lang w:val="fr-FR"/>
        </w:rPr>
      </w:pPr>
      <w:r w:rsidRPr="007423F7">
        <w:rPr>
          <w:lang w:val="fr-FR"/>
        </w:rPr>
        <w:t>6.2.2.9.4 a)</w:t>
      </w:r>
      <w:r w:rsidRPr="007423F7">
        <w:rPr>
          <w:lang w:val="fr-FR"/>
        </w:rPr>
        <w:tab/>
        <w:t>Remplacer «aux signes distinctifs utilisés pour les véhicules automobiles en circulation routière internationale</w:t>
      </w:r>
      <w:r w:rsidRPr="007423F7">
        <w:rPr>
          <w:b/>
          <w:vertAlign w:val="superscript"/>
          <w:lang w:val="fr-FR"/>
        </w:rPr>
        <w:t>3</w:t>
      </w:r>
      <w:r w:rsidRPr="007423F7">
        <w:rPr>
          <w:lang w:val="fr-FR"/>
        </w:rPr>
        <w:t xml:space="preserve">» par «au signe distinctif utilisé sur les véhicules en circulation routière </w:t>
      </w:r>
      <w:r w:rsidR="005C774F" w:rsidRPr="007423F7">
        <w:rPr>
          <w:lang w:val="fr-FR"/>
        </w:rPr>
        <w:t>internationale</w:t>
      </w:r>
      <w:r w:rsidR="005C774F" w:rsidRPr="007423F7">
        <w:rPr>
          <w:b/>
          <w:vertAlign w:val="superscript"/>
          <w:lang w:val="fr-FR"/>
        </w:rPr>
        <w:t>2</w:t>
      </w:r>
      <w:r w:rsidRPr="007423F7">
        <w:rPr>
          <w:lang w:val="fr-FR"/>
        </w:rPr>
        <w:t>».</w:t>
      </w:r>
    </w:p>
    <w:p w:rsidR="005C774F" w:rsidRPr="007423F7" w:rsidRDefault="005C774F" w:rsidP="005C774F">
      <w:pPr>
        <w:pStyle w:val="SingleTxtG"/>
        <w:tabs>
          <w:tab w:val="left" w:pos="1854"/>
        </w:tabs>
        <w:rPr>
          <w:lang w:val="fr-FR"/>
        </w:rPr>
      </w:pPr>
      <w:r w:rsidRPr="007423F7">
        <w:rPr>
          <w:lang w:val="fr-FR"/>
        </w:rPr>
        <w:t>Modifier la note de bas de page 2 (anciennement note de bas de page 3) pour lire:</w:t>
      </w:r>
    </w:p>
    <w:p w:rsidR="005C4275" w:rsidRPr="007423F7" w:rsidRDefault="005C774F" w:rsidP="005C774F">
      <w:pPr>
        <w:pStyle w:val="SingleTxtG"/>
        <w:rPr>
          <w:lang w:val="fr-FR"/>
        </w:rPr>
      </w:pPr>
      <w:r w:rsidRPr="007423F7">
        <w:rPr>
          <w:lang w:val="fr-FR"/>
        </w:rPr>
        <w:t>«</w:t>
      </w:r>
      <w:r w:rsidRPr="007423F7">
        <w:rPr>
          <w:b/>
          <w:vertAlign w:val="superscript"/>
          <w:lang w:val="fr-FR"/>
        </w:rPr>
        <w:t>2</w:t>
      </w:r>
      <w:r w:rsidRPr="007423F7">
        <w:rPr>
          <w:lang w:val="fr-FR"/>
        </w:rPr>
        <w:tab/>
      </w:r>
      <w:r w:rsidRPr="007423F7">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7423F7">
        <w:rPr>
          <w:lang w:val="fr-FR"/>
        </w:rPr>
        <w:t>».</w:t>
      </w:r>
    </w:p>
    <w:p w:rsidR="005C4275" w:rsidRPr="007423F7" w:rsidRDefault="005C4275" w:rsidP="005C4275">
      <w:pPr>
        <w:pStyle w:val="SingleTxtG"/>
        <w:rPr>
          <w:lang w:val="fr-FR"/>
        </w:rPr>
      </w:pPr>
      <w:r w:rsidRPr="007423F7">
        <w:rPr>
          <w:lang w:val="fr-FR"/>
        </w:rPr>
        <w:t>6.2.2.10.2</w:t>
      </w:r>
      <w:r w:rsidRPr="007423F7">
        <w:rPr>
          <w:lang w:val="fr-FR"/>
        </w:rPr>
        <w:tab/>
        <w:t>Dans la première phrase, remplacer «Les récipients à pression rechargeables "UN"» par «Les cadres des bouteilles rechargeables "UN"».</w:t>
      </w:r>
    </w:p>
    <w:p w:rsidR="005C4275" w:rsidRPr="007423F7" w:rsidRDefault="005C4275" w:rsidP="005C4275">
      <w:pPr>
        <w:tabs>
          <w:tab w:val="left" w:pos="1418"/>
          <w:tab w:val="left" w:pos="1843"/>
        </w:tabs>
        <w:spacing w:before="120" w:after="120"/>
        <w:ind w:left="1134" w:right="1134"/>
        <w:jc w:val="both"/>
        <w:rPr>
          <w:lang w:val="fr-FR"/>
        </w:rPr>
      </w:pPr>
      <w:r w:rsidRPr="007423F7">
        <w:rPr>
          <w:lang w:val="fr-FR"/>
        </w:rPr>
        <w:t>6.2.3.5.1</w:t>
      </w:r>
      <w:r w:rsidRPr="007423F7">
        <w:rPr>
          <w:lang w:val="fr-FR"/>
        </w:rPr>
        <w:tab/>
      </w:r>
      <w:r w:rsidRPr="007423F7">
        <w:rPr>
          <w:lang w:val="fr-FR"/>
        </w:rPr>
        <w:tab/>
        <w:t>Identifier le Nota existant en tant que Nota 1. Insérer les nouveaux Notas 2 et 3 suivants:</w:t>
      </w:r>
    </w:p>
    <w:p w:rsidR="005C4275" w:rsidRPr="007423F7" w:rsidRDefault="005C4275" w:rsidP="005C4275">
      <w:pPr>
        <w:tabs>
          <w:tab w:val="left" w:pos="1418"/>
          <w:tab w:val="left" w:pos="1843"/>
        </w:tabs>
        <w:spacing w:before="120" w:after="120"/>
        <w:ind w:left="1134" w:right="1134"/>
        <w:jc w:val="both"/>
        <w:rPr>
          <w:i/>
          <w:lang w:val="fr-FR"/>
        </w:rPr>
      </w:pPr>
      <w:r w:rsidRPr="007423F7">
        <w:rPr>
          <w:lang w:val="fr-FR"/>
        </w:rPr>
        <w:t>«</w:t>
      </w:r>
      <w:r w:rsidRPr="007423F7">
        <w:rPr>
          <w:b/>
          <w:i/>
          <w:lang w:val="fr-FR"/>
        </w:rPr>
        <w:t>NOTA 2:</w:t>
      </w:r>
      <w:r w:rsidRPr="007423F7">
        <w:rPr>
          <w:i/>
          <w:lang w:val="fr-FR"/>
        </w:rPr>
        <w:tab/>
        <w:t>Pour les bouteilles et tubes en acier sans soudure, le contrôle du 6.2.1.6.1 b) et l’épreuve de pression hydraulique du 6.2.1.6.1 d) peuvent être remplacés par une procédure conforme à la norme EN ISO 16148:2016 « Bouteilles à gaz - Bouteilles à gaz rechargeables en acier sans soudure et tubes - Essais d’émission acoustique et examen ultrasonique complémentaire pour l’inspection périodique et l’essai».</w:t>
      </w:r>
    </w:p>
    <w:p w:rsidR="005C4275" w:rsidRPr="007423F7" w:rsidRDefault="005C4275" w:rsidP="005C4275">
      <w:pPr>
        <w:tabs>
          <w:tab w:val="left" w:pos="1418"/>
          <w:tab w:val="left" w:pos="1843"/>
        </w:tabs>
        <w:spacing w:before="120" w:after="120"/>
        <w:ind w:left="1134" w:right="1134"/>
        <w:jc w:val="both"/>
        <w:rPr>
          <w:i/>
          <w:lang w:val="fr-FR"/>
        </w:rPr>
      </w:pPr>
      <w:r w:rsidRPr="007423F7">
        <w:rPr>
          <w:b/>
          <w:i/>
          <w:lang w:val="fr-FR"/>
        </w:rPr>
        <w:t>NOTA 3:</w:t>
      </w:r>
      <w:r w:rsidRPr="007423F7">
        <w:rPr>
          <w:i/>
          <w:lang w:val="fr-FR"/>
        </w:rPr>
        <w:tab/>
        <w:t>Le contrôle du 6.2.1.6.1 b) et l’épreuve de pression hydraulique du 6.2.1.6.1 d) peuvent être remplacés par un examen ultrasonique réalisé conformément à la norme EN 1802:2002 pour les bouteilles à gaz sans soudure en alliages d’aluminium et à la norme EN 1968:2002 + A1:2005 pour les bouteilles à gaz sans soudure en acier.</w:t>
      </w:r>
      <w:r w:rsidRPr="007423F7">
        <w:rPr>
          <w:lang w:val="fr-FR"/>
        </w:rPr>
        <w:t>».</w:t>
      </w:r>
      <w:r w:rsidRPr="007423F7">
        <w:rPr>
          <w:i/>
          <w:lang w:val="fr-FR"/>
        </w:rPr>
        <w:t xml:space="preserve"> </w:t>
      </w:r>
    </w:p>
    <w:p w:rsidR="005C4275" w:rsidRPr="007423F7" w:rsidRDefault="005C4275" w:rsidP="005C4275">
      <w:pPr>
        <w:pStyle w:val="SingleTxtG"/>
        <w:tabs>
          <w:tab w:val="left" w:pos="1854"/>
        </w:tabs>
        <w:rPr>
          <w:lang w:val="fr-FR"/>
        </w:rPr>
      </w:pPr>
      <w:r w:rsidRPr="007423F7">
        <w:rPr>
          <w:lang w:val="fr-FR"/>
        </w:rPr>
        <w:t>6.2.3.9.7.3 a)</w:t>
      </w:r>
      <w:r w:rsidRPr="007423F7">
        <w:rPr>
          <w:lang w:val="fr-FR"/>
        </w:rPr>
        <w:tab/>
        <w:t>Remplacer «aux signes distinctifs utilisés pour les véhicules automobiles en circulation routière internationale</w:t>
      </w:r>
      <w:r w:rsidRPr="007423F7">
        <w:rPr>
          <w:b/>
          <w:vertAlign w:val="superscript"/>
          <w:lang w:val="fr-FR"/>
        </w:rPr>
        <w:t>3</w:t>
      </w:r>
      <w:r w:rsidRPr="007423F7">
        <w:rPr>
          <w:lang w:val="fr-FR"/>
        </w:rPr>
        <w:t xml:space="preserve">» par «au signe distinctif utilisé sur les véhicules en circulation routière </w:t>
      </w:r>
      <w:r w:rsidR="005C774F" w:rsidRPr="007423F7">
        <w:rPr>
          <w:lang w:val="fr-FR"/>
        </w:rPr>
        <w:t>internationale</w:t>
      </w:r>
      <w:r w:rsidR="005C774F" w:rsidRPr="007423F7">
        <w:rPr>
          <w:b/>
          <w:vertAlign w:val="superscript"/>
          <w:lang w:val="fr-FR"/>
        </w:rPr>
        <w:t>2</w:t>
      </w:r>
      <w:r w:rsidRPr="007423F7">
        <w:rPr>
          <w:lang w:val="fr-FR"/>
        </w:rPr>
        <w:t>»</w:t>
      </w:r>
    </w:p>
    <w:p w:rsidR="005C774F" w:rsidRPr="007423F7" w:rsidRDefault="005C774F" w:rsidP="005C774F">
      <w:pPr>
        <w:pStyle w:val="SingleTxtG"/>
        <w:tabs>
          <w:tab w:val="left" w:pos="1854"/>
        </w:tabs>
        <w:rPr>
          <w:lang w:val="fr-FR"/>
        </w:rPr>
      </w:pPr>
      <w:r w:rsidRPr="007423F7">
        <w:rPr>
          <w:lang w:val="fr-FR"/>
        </w:rPr>
        <w:t>Modifier la note de bas de page 2 (anciennement note de bas de page 3) pour lire:</w:t>
      </w:r>
    </w:p>
    <w:p w:rsidR="005C4275" w:rsidRPr="007423F7" w:rsidRDefault="005C774F" w:rsidP="005C774F">
      <w:pPr>
        <w:pStyle w:val="SingleTxtG"/>
        <w:rPr>
          <w:i/>
          <w:iCs/>
          <w:lang w:val="fr-FR"/>
        </w:rPr>
      </w:pPr>
      <w:r w:rsidRPr="007423F7">
        <w:rPr>
          <w:lang w:val="fr-FR"/>
        </w:rPr>
        <w:t>«</w:t>
      </w:r>
      <w:r w:rsidRPr="007423F7">
        <w:rPr>
          <w:b/>
          <w:vertAlign w:val="superscript"/>
          <w:lang w:val="fr-FR"/>
        </w:rPr>
        <w:t>2</w:t>
      </w:r>
      <w:r w:rsidRPr="007423F7">
        <w:rPr>
          <w:lang w:val="fr-FR"/>
        </w:rPr>
        <w:tab/>
      </w:r>
      <w:r w:rsidRPr="007423F7">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7423F7">
        <w:rPr>
          <w:lang w:val="fr-FR"/>
        </w:rPr>
        <w:t>».</w:t>
      </w:r>
    </w:p>
    <w:p w:rsidR="005C4275" w:rsidRPr="007423F7" w:rsidRDefault="005C4275" w:rsidP="00B7069D">
      <w:pPr>
        <w:tabs>
          <w:tab w:val="left" w:pos="1418"/>
        </w:tabs>
        <w:spacing w:before="120" w:after="120"/>
        <w:ind w:left="1134" w:right="1134"/>
        <w:jc w:val="both"/>
        <w:rPr>
          <w:lang w:val="fr-FR"/>
        </w:rPr>
      </w:pPr>
      <w:r w:rsidRPr="007423F7">
        <w:rPr>
          <w:lang w:val="fr-FR"/>
        </w:rPr>
        <w:t>6.2.4.1</w:t>
      </w:r>
      <w:r w:rsidRPr="007423F7">
        <w:rPr>
          <w:lang w:val="fr-FR"/>
        </w:rPr>
        <w:tab/>
      </w:r>
      <w:r w:rsidRPr="007423F7">
        <w:rPr>
          <w:lang w:val="fr-FR"/>
        </w:rPr>
        <w:tab/>
      </w:r>
      <w:r w:rsidRPr="007423F7">
        <w:rPr>
          <w:rFonts w:cs="Arial"/>
          <w:szCs w:val="22"/>
          <w:lang w:val="fr-FR"/>
        </w:rPr>
        <w:t xml:space="preserve">Dans le </w:t>
      </w:r>
      <w:r w:rsidRPr="007423F7">
        <w:rPr>
          <w:lang w:val="fr-FR"/>
        </w:rPr>
        <w:t>tableau</w:t>
      </w:r>
      <w:r w:rsidRPr="007423F7">
        <w:rPr>
          <w:rFonts w:cs="Arial"/>
          <w:szCs w:val="22"/>
          <w:lang w:val="fr-FR"/>
        </w:rPr>
        <w:t>, sous «</w:t>
      </w:r>
      <w:r w:rsidRPr="007423F7">
        <w:rPr>
          <w:rFonts w:cs="Arial"/>
          <w:i/>
          <w:szCs w:val="22"/>
          <w:lang w:val="fr-FR"/>
        </w:rPr>
        <w:t>Pour la conception et la fabrication</w:t>
      </w:r>
      <w:r w:rsidRPr="007423F7">
        <w:rPr>
          <w:rFonts w:cs="Arial"/>
          <w:szCs w:val="22"/>
          <w:lang w:val="fr-FR"/>
        </w:rPr>
        <w:t>»:</w:t>
      </w:r>
    </w:p>
    <w:p w:rsidR="005C4275" w:rsidRPr="007423F7" w:rsidRDefault="005C4275" w:rsidP="005C4275">
      <w:pPr>
        <w:pStyle w:val="SingleTxtG"/>
        <w:rPr>
          <w:lang w:val="fr-FR"/>
        </w:rPr>
      </w:pPr>
      <w:r w:rsidRPr="007423F7">
        <w:rPr>
          <w:lang w:val="fr-FR"/>
        </w:rPr>
        <w:t xml:space="preserve">- </w:t>
      </w:r>
      <w:r w:rsidR="009B69E9" w:rsidRPr="007423F7">
        <w:rPr>
          <w:lang w:val="fr-FR"/>
        </w:rPr>
        <w:tab/>
      </w:r>
      <w:r w:rsidRPr="007423F7">
        <w:rPr>
          <w:lang w:val="fr-FR"/>
        </w:rPr>
        <w:t xml:space="preserve">Pour la norme «EN 12205:2001», dans la </w:t>
      </w:r>
      <w:r w:rsidR="00C06099" w:rsidRPr="007423F7">
        <w:rPr>
          <w:lang w:val="fr-FR"/>
        </w:rPr>
        <w:t>colonne (4), remplacer «Jusqu’à</w:t>
      </w:r>
      <w:r w:rsidRPr="007423F7">
        <w:rPr>
          <w:lang w:val="fr-FR"/>
        </w:rPr>
        <w:t xml:space="preserve"> nou</w:t>
      </w:r>
      <w:r w:rsidR="00C06099" w:rsidRPr="007423F7">
        <w:rPr>
          <w:lang w:val="fr-FR"/>
        </w:rPr>
        <w:t xml:space="preserve">vel ordre» </w:t>
      </w:r>
      <w:r w:rsidRPr="007423F7">
        <w:rPr>
          <w:lang w:val="fr-FR"/>
        </w:rPr>
        <w:t>par «Entre le 1er janvier 2005 et le 31 décembre 2017».</w:t>
      </w:r>
    </w:p>
    <w:p w:rsidR="005C4275" w:rsidRPr="007423F7" w:rsidRDefault="005C4275" w:rsidP="005C4275">
      <w:pPr>
        <w:pStyle w:val="SingleTxtG"/>
        <w:rPr>
          <w:lang w:val="fr-FR"/>
        </w:rPr>
      </w:pPr>
      <w:r w:rsidRPr="007423F7">
        <w:rPr>
          <w:lang w:val="fr-FR"/>
        </w:rPr>
        <w:t xml:space="preserve">- </w:t>
      </w:r>
      <w:r w:rsidR="009B69E9" w:rsidRPr="007423F7">
        <w:rPr>
          <w:lang w:val="fr-FR"/>
        </w:rPr>
        <w:tab/>
      </w:r>
      <w:r w:rsidRPr="007423F7">
        <w:rPr>
          <w:lang w:val="fr-FR"/>
        </w:rPr>
        <w:t>Pour la norme «EN 12205:2001», dans la colonne (5), insérer: «31 décembre 2018».</w:t>
      </w:r>
    </w:p>
    <w:p w:rsidR="005C4275" w:rsidRPr="007423F7" w:rsidRDefault="005C4275" w:rsidP="005C4275">
      <w:pPr>
        <w:pStyle w:val="SingleTxtG"/>
        <w:rPr>
          <w:lang w:val="fr-FR"/>
        </w:rPr>
      </w:pPr>
      <w:r w:rsidRPr="007423F7">
        <w:rPr>
          <w:lang w:val="fr-FR"/>
        </w:rPr>
        <w:t xml:space="preserve">- </w:t>
      </w:r>
      <w:r w:rsidR="009B69E9" w:rsidRPr="007423F7">
        <w:rPr>
          <w:lang w:val="fr-FR"/>
        </w:rPr>
        <w:tab/>
      </w:r>
      <w:r w:rsidRPr="007423F7">
        <w:rPr>
          <w:bCs/>
          <w:lang w:val="fr-FR"/>
        </w:rPr>
        <w:t>Après la norme «</w:t>
      </w:r>
      <w:r w:rsidRPr="007423F7">
        <w:rPr>
          <w:lang w:val="fr-FR"/>
        </w:rPr>
        <w:t>EN 12205:2001</w:t>
      </w:r>
      <w:r w:rsidRPr="007423F7">
        <w:rPr>
          <w:bCs/>
          <w:lang w:val="fr-FR"/>
        </w:rPr>
        <w:t>», insérer la nouvelle norme suivante:</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9"/>
        <w:gridCol w:w="3544"/>
        <w:gridCol w:w="1437"/>
        <w:gridCol w:w="956"/>
        <w:gridCol w:w="664"/>
      </w:tblGrid>
      <w:tr w:rsidR="005C4275" w:rsidRPr="007423F7" w:rsidTr="008A638C">
        <w:trPr>
          <w:cantSplit/>
        </w:trPr>
        <w:tc>
          <w:tcPr>
            <w:tcW w:w="1679" w:type="dxa"/>
            <w:tcBorders>
              <w:top w:val="single" w:sz="4" w:space="0" w:color="auto"/>
              <w:left w:val="single" w:sz="4" w:space="0" w:color="auto"/>
              <w:bottom w:val="single" w:sz="4" w:space="0" w:color="auto"/>
              <w:right w:val="single" w:sz="4" w:space="0" w:color="auto"/>
            </w:tcBorders>
            <w:hideMark/>
          </w:tcPr>
          <w:p w:rsidR="005C4275" w:rsidRPr="007423F7" w:rsidRDefault="005C4275" w:rsidP="008A638C">
            <w:pPr>
              <w:widowControl w:val="0"/>
              <w:rPr>
                <w:rFonts w:cs="Arial"/>
                <w:lang w:val="fr-FR"/>
              </w:rPr>
            </w:pPr>
            <w:r w:rsidRPr="007423F7">
              <w:rPr>
                <w:rFonts w:cs="Arial"/>
                <w:lang w:val="fr-FR"/>
              </w:rPr>
              <w:lastRenderedPageBreak/>
              <w:t>EN ISO 11118:2015</w:t>
            </w:r>
          </w:p>
        </w:tc>
        <w:tc>
          <w:tcPr>
            <w:tcW w:w="3544" w:type="dxa"/>
            <w:tcBorders>
              <w:top w:val="single" w:sz="4" w:space="0" w:color="auto"/>
              <w:left w:val="single" w:sz="4" w:space="0" w:color="auto"/>
              <w:bottom w:val="single" w:sz="4" w:space="0" w:color="auto"/>
              <w:right w:val="single" w:sz="4" w:space="0" w:color="auto"/>
            </w:tcBorders>
            <w:hideMark/>
          </w:tcPr>
          <w:p w:rsidR="005C4275" w:rsidRPr="007423F7" w:rsidRDefault="005C4275" w:rsidP="008A638C">
            <w:pPr>
              <w:widowControl w:val="0"/>
              <w:rPr>
                <w:rFonts w:cs="Arial"/>
                <w:lang w:val="fr-FR"/>
              </w:rPr>
            </w:pPr>
            <w:r w:rsidRPr="007423F7">
              <w:rPr>
                <w:rFonts w:cs="Arial"/>
                <w:bCs/>
                <w:lang w:val="fr-FR"/>
              </w:rPr>
              <w:t>Bouteilles à gaz - Bouteilles à gaz métalliques non rechargeables - Spécifications et méthodes d'essai</w:t>
            </w:r>
          </w:p>
        </w:tc>
        <w:tc>
          <w:tcPr>
            <w:tcW w:w="1437" w:type="dxa"/>
            <w:tcBorders>
              <w:top w:val="single" w:sz="4" w:space="0" w:color="auto"/>
              <w:left w:val="single" w:sz="4" w:space="0" w:color="auto"/>
              <w:bottom w:val="single" w:sz="4" w:space="0" w:color="auto"/>
              <w:right w:val="single" w:sz="4" w:space="0" w:color="auto"/>
            </w:tcBorders>
            <w:hideMark/>
          </w:tcPr>
          <w:p w:rsidR="005C4275" w:rsidRPr="007423F7" w:rsidRDefault="005C4275" w:rsidP="008A638C">
            <w:pPr>
              <w:widowControl w:val="0"/>
              <w:rPr>
                <w:rFonts w:cs="Arial"/>
                <w:lang w:val="fr-FR"/>
              </w:rPr>
            </w:pPr>
            <w:r w:rsidRPr="007423F7">
              <w:rPr>
                <w:rFonts w:cs="Arial"/>
                <w:lang w:val="fr-FR"/>
              </w:rPr>
              <w:t>6.2.3.1, 6.2.3.3 et 6.2.3.4</w:t>
            </w:r>
          </w:p>
        </w:tc>
        <w:tc>
          <w:tcPr>
            <w:tcW w:w="956" w:type="dxa"/>
            <w:tcBorders>
              <w:top w:val="single" w:sz="4" w:space="0" w:color="auto"/>
              <w:left w:val="single" w:sz="4" w:space="0" w:color="auto"/>
              <w:bottom w:val="single" w:sz="4" w:space="0" w:color="auto"/>
              <w:right w:val="single" w:sz="4" w:space="0" w:color="auto"/>
            </w:tcBorders>
            <w:hideMark/>
          </w:tcPr>
          <w:p w:rsidR="005C4275" w:rsidRPr="007423F7" w:rsidRDefault="005C4275" w:rsidP="008A638C">
            <w:pPr>
              <w:widowControl w:val="0"/>
              <w:rPr>
                <w:rFonts w:cs="Arial"/>
                <w:lang w:val="fr-FR"/>
              </w:rPr>
            </w:pPr>
            <w:r w:rsidRPr="007423F7">
              <w:rPr>
                <w:rFonts w:cs="Arial"/>
                <w:bCs/>
                <w:lang w:val="fr-FR"/>
              </w:rPr>
              <w:t>Jusqu’à nouvel ordre</w:t>
            </w:r>
          </w:p>
        </w:tc>
        <w:tc>
          <w:tcPr>
            <w:tcW w:w="664" w:type="dxa"/>
            <w:tcBorders>
              <w:top w:val="single" w:sz="4" w:space="0" w:color="auto"/>
              <w:left w:val="single" w:sz="4" w:space="0" w:color="auto"/>
              <w:bottom w:val="single" w:sz="4" w:space="0" w:color="auto"/>
              <w:right w:val="single" w:sz="4" w:space="0" w:color="auto"/>
            </w:tcBorders>
            <w:vAlign w:val="center"/>
          </w:tcPr>
          <w:p w:rsidR="005C4275" w:rsidRPr="007423F7" w:rsidRDefault="005C4275" w:rsidP="008A638C">
            <w:pPr>
              <w:widowControl w:val="0"/>
              <w:rPr>
                <w:rFonts w:cs="Arial"/>
                <w:sz w:val="18"/>
                <w:szCs w:val="18"/>
                <w:lang w:val="fr-FR"/>
              </w:rPr>
            </w:pPr>
          </w:p>
        </w:tc>
      </w:tr>
    </w:tbl>
    <w:p w:rsidR="00B57848" w:rsidRPr="007423F7" w:rsidRDefault="00B57848" w:rsidP="00B57848">
      <w:pPr>
        <w:pStyle w:val="SingleTxtG"/>
        <w:rPr>
          <w:lang w:val="fr-FR"/>
        </w:rPr>
      </w:pPr>
      <w:r w:rsidRPr="007423F7">
        <w:rPr>
          <w:lang w:val="fr-FR"/>
        </w:rPr>
        <w:t>-</w:t>
      </w:r>
      <w:r w:rsidRPr="007423F7">
        <w:rPr>
          <w:lang w:val="fr-FR"/>
        </w:rPr>
        <w:tab/>
        <w:t>Pour les normes EN ISO 9809-1:2010, EN ISO 9809-2:2010 et EN ISO 9809-3:2010, dans la colonne (2), dans le texte entre parenthèses, remplacer «2008» par «2010».</w:t>
      </w:r>
    </w:p>
    <w:p w:rsidR="009B69E9" w:rsidRPr="007423F7" w:rsidRDefault="009B69E9" w:rsidP="009B69E9">
      <w:pPr>
        <w:pStyle w:val="SingleTxtG"/>
        <w:spacing w:before="120"/>
      </w:pPr>
      <w:r w:rsidRPr="007423F7">
        <w:rPr>
          <w:lang w:val="fr-FR"/>
        </w:rPr>
        <w:t>6.2.4.1</w:t>
      </w:r>
      <w:r w:rsidRPr="007423F7">
        <w:rPr>
          <w:lang w:val="fr-FR"/>
        </w:rPr>
        <w:tab/>
      </w:r>
      <w:r w:rsidRPr="007423F7">
        <w:rPr>
          <w:lang w:val="fr-FR"/>
        </w:rPr>
        <w:tab/>
      </w:r>
      <w:r w:rsidRPr="007423F7">
        <w:rPr>
          <w:rFonts w:cs="Arial"/>
          <w:szCs w:val="22"/>
          <w:lang w:val="fr-FR"/>
        </w:rPr>
        <w:t xml:space="preserve">Dans le </w:t>
      </w:r>
      <w:r w:rsidRPr="007423F7">
        <w:rPr>
          <w:lang w:val="fr-FR"/>
        </w:rPr>
        <w:t>tableau</w:t>
      </w:r>
      <w:r w:rsidRPr="007423F7">
        <w:rPr>
          <w:rFonts w:cs="Arial"/>
          <w:szCs w:val="22"/>
          <w:lang w:val="fr-FR"/>
        </w:rPr>
        <w:t xml:space="preserve">, sous </w:t>
      </w:r>
      <w:r w:rsidRPr="007423F7">
        <w:t>«</w:t>
      </w:r>
      <w:r w:rsidRPr="007423F7">
        <w:rPr>
          <w:i/>
        </w:rPr>
        <w:t>Pour les fermetures</w:t>
      </w:r>
      <w:r w:rsidRPr="007423F7">
        <w:t>»:</w:t>
      </w:r>
    </w:p>
    <w:p w:rsidR="009B69E9" w:rsidRPr="007423F7" w:rsidRDefault="009B69E9" w:rsidP="009B69E9">
      <w:pPr>
        <w:tabs>
          <w:tab w:val="left" w:pos="1418"/>
        </w:tabs>
        <w:spacing w:before="120" w:after="120"/>
        <w:ind w:left="1134" w:right="1134"/>
        <w:jc w:val="both"/>
      </w:pPr>
      <w:r w:rsidRPr="007423F7">
        <w:t>-</w:t>
      </w:r>
      <w:r w:rsidRPr="007423F7">
        <w:tab/>
        <w:t xml:space="preserve">Pour la norme «EN ISO 10297:2006», dans la colonne (4), remplacer «Jusqu’à nouvel ordre» par «Entre le 1er janvier 2009 et le 31 décembre 2018». </w:t>
      </w:r>
    </w:p>
    <w:p w:rsidR="009B69E9" w:rsidRPr="007423F7" w:rsidRDefault="009B69E9" w:rsidP="009B69E9">
      <w:pPr>
        <w:tabs>
          <w:tab w:val="left" w:pos="1418"/>
        </w:tabs>
        <w:spacing w:before="120" w:after="120"/>
        <w:ind w:left="1134" w:right="1134"/>
        <w:jc w:val="both"/>
      </w:pPr>
      <w:r w:rsidRPr="007423F7">
        <w:t>-</w:t>
      </w:r>
      <w:r w:rsidRPr="007423F7">
        <w:tab/>
        <w:t>Après la norme «EN ISO 10297:2006», insérer la nouvelle ligne suivante:</w:t>
      </w:r>
    </w:p>
    <w:tbl>
      <w:tblPr>
        <w:tblW w:w="813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4208"/>
        <w:gridCol w:w="1012"/>
        <w:gridCol w:w="956"/>
        <w:gridCol w:w="516"/>
      </w:tblGrid>
      <w:tr w:rsidR="009B69E9" w:rsidRPr="007423F7" w:rsidTr="00F704B0">
        <w:tc>
          <w:tcPr>
            <w:tcW w:w="1440" w:type="dxa"/>
          </w:tcPr>
          <w:p w:rsidR="009B69E9" w:rsidRPr="007423F7" w:rsidRDefault="009B69E9" w:rsidP="00F704B0">
            <w:pPr>
              <w:widowControl w:val="0"/>
              <w:rPr>
                <w:rFonts w:cs="Arial"/>
                <w:lang w:val="fr-FR"/>
              </w:rPr>
            </w:pPr>
            <w:r w:rsidRPr="007423F7">
              <w:rPr>
                <w:rFonts w:cs="Arial"/>
                <w:lang w:val="fr-FR"/>
              </w:rPr>
              <w:t>EN ISO 10297:2014</w:t>
            </w:r>
          </w:p>
        </w:tc>
        <w:tc>
          <w:tcPr>
            <w:tcW w:w="4208" w:type="dxa"/>
          </w:tcPr>
          <w:p w:rsidR="009B69E9" w:rsidRPr="007423F7" w:rsidRDefault="009B69E9" w:rsidP="00F704B0">
            <w:pPr>
              <w:widowControl w:val="0"/>
              <w:rPr>
                <w:rFonts w:cs="Arial"/>
                <w:lang w:val="fr-FR"/>
              </w:rPr>
            </w:pPr>
            <w:r w:rsidRPr="007423F7">
              <w:rPr>
                <w:rFonts w:cs="Arial"/>
                <w:bCs/>
                <w:lang w:val="fr-FR"/>
              </w:rPr>
              <w:t>Bouteilles à gaz transportables  − Robinets de bouteilles  − Spécifications et essais de type (ISO/DIS 10297:2012)</w:t>
            </w:r>
          </w:p>
        </w:tc>
        <w:tc>
          <w:tcPr>
            <w:tcW w:w="1012" w:type="dxa"/>
          </w:tcPr>
          <w:p w:rsidR="009B69E9" w:rsidRPr="007423F7" w:rsidRDefault="009B69E9" w:rsidP="00F704B0">
            <w:pPr>
              <w:widowControl w:val="0"/>
              <w:rPr>
                <w:rFonts w:cs="Arial"/>
                <w:lang w:val="fr-FR"/>
              </w:rPr>
            </w:pPr>
            <w:r w:rsidRPr="007423F7">
              <w:rPr>
                <w:rFonts w:cs="Arial"/>
                <w:lang w:val="fr-FR"/>
              </w:rPr>
              <w:t>6.2.3.1 et 6.2.3.3</w:t>
            </w:r>
          </w:p>
        </w:tc>
        <w:tc>
          <w:tcPr>
            <w:tcW w:w="956" w:type="dxa"/>
          </w:tcPr>
          <w:p w:rsidR="009B69E9" w:rsidRPr="007423F7" w:rsidRDefault="009B69E9" w:rsidP="00F704B0">
            <w:pPr>
              <w:widowControl w:val="0"/>
              <w:rPr>
                <w:rFonts w:cs="Arial"/>
                <w:lang w:val="fr-FR"/>
              </w:rPr>
            </w:pPr>
            <w:r w:rsidRPr="007423F7">
              <w:rPr>
                <w:rFonts w:cs="Arial"/>
                <w:bCs/>
                <w:lang w:val="fr-FR"/>
              </w:rPr>
              <w:t>Jusqu’à nouvel ordre</w:t>
            </w:r>
          </w:p>
        </w:tc>
        <w:tc>
          <w:tcPr>
            <w:tcW w:w="516" w:type="dxa"/>
          </w:tcPr>
          <w:p w:rsidR="009B69E9" w:rsidRPr="007423F7" w:rsidRDefault="009B69E9" w:rsidP="00F704B0">
            <w:pPr>
              <w:widowControl w:val="0"/>
              <w:rPr>
                <w:rFonts w:cs="Arial"/>
                <w:lang w:val="fr-FR"/>
              </w:rPr>
            </w:pPr>
          </w:p>
        </w:tc>
      </w:tr>
    </w:tbl>
    <w:p w:rsidR="005C4275" w:rsidRPr="007423F7" w:rsidRDefault="009B69E9" w:rsidP="009B69E9">
      <w:pPr>
        <w:tabs>
          <w:tab w:val="left" w:pos="1418"/>
        </w:tabs>
        <w:spacing w:before="120" w:after="120"/>
        <w:ind w:left="1134" w:right="1134"/>
        <w:jc w:val="both"/>
        <w:rPr>
          <w:rFonts w:cs="Arial"/>
          <w:szCs w:val="22"/>
          <w:lang w:val="fr-FR"/>
        </w:rPr>
      </w:pPr>
      <w:r w:rsidRPr="007423F7">
        <w:rPr>
          <w:lang w:val="fr-FR"/>
        </w:rPr>
        <w:t>-</w:t>
      </w:r>
      <w:r w:rsidRPr="007423F7">
        <w:rPr>
          <w:lang w:val="fr-FR"/>
        </w:rPr>
        <w:tab/>
      </w:r>
      <w:r w:rsidR="005C4275" w:rsidRPr="007423F7">
        <w:rPr>
          <w:lang w:val="fr-FR"/>
        </w:rPr>
        <w:t>Pour</w:t>
      </w:r>
      <w:r w:rsidR="005C4275" w:rsidRPr="007423F7">
        <w:rPr>
          <w:bCs/>
          <w:lang w:val="fr-FR"/>
        </w:rPr>
        <w:t xml:space="preserve"> la norme «</w:t>
      </w:r>
      <w:r w:rsidR="005C4275" w:rsidRPr="007423F7">
        <w:rPr>
          <w:rFonts w:cs="Arial"/>
          <w:szCs w:val="22"/>
          <w:lang w:val="fr-FR"/>
        </w:rPr>
        <w:t>EN ISO 13340:2001</w:t>
      </w:r>
      <w:r w:rsidR="005C4275" w:rsidRPr="007423F7">
        <w:rPr>
          <w:bCs/>
          <w:lang w:val="fr-FR"/>
        </w:rPr>
        <w:t xml:space="preserve">», dans la colonne (4), remplacer «Jusqu’à nouvel ordre» par </w:t>
      </w:r>
      <w:r w:rsidR="005C4275" w:rsidRPr="007423F7">
        <w:rPr>
          <w:rFonts w:cs="Arial"/>
          <w:szCs w:val="22"/>
          <w:lang w:val="fr-FR"/>
        </w:rPr>
        <w:t>«Entre le 1</w:t>
      </w:r>
      <w:r w:rsidR="005C4275" w:rsidRPr="007423F7">
        <w:rPr>
          <w:rFonts w:cs="Arial"/>
          <w:szCs w:val="22"/>
          <w:vertAlign w:val="superscript"/>
          <w:lang w:val="fr-FR"/>
        </w:rPr>
        <w:t>er</w:t>
      </w:r>
      <w:r w:rsidR="005C4275" w:rsidRPr="007423F7">
        <w:rPr>
          <w:rFonts w:cs="Arial"/>
          <w:szCs w:val="22"/>
          <w:lang w:val="fr-FR"/>
        </w:rPr>
        <w:t> janvier 2011 et le 31 décembre 2017».</w:t>
      </w:r>
    </w:p>
    <w:p w:rsidR="005C4275" w:rsidRPr="007423F7" w:rsidRDefault="009B69E9" w:rsidP="009B69E9">
      <w:pPr>
        <w:tabs>
          <w:tab w:val="left" w:pos="1418"/>
        </w:tabs>
        <w:spacing w:before="120" w:after="120"/>
        <w:ind w:left="1134" w:right="1134"/>
        <w:jc w:val="both"/>
        <w:rPr>
          <w:rFonts w:cs="Arial"/>
          <w:szCs w:val="22"/>
          <w:lang w:val="fr-FR"/>
        </w:rPr>
      </w:pPr>
      <w:r w:rsidRPr="007423F7">
        <w:rPr>
          <w:lang w:val="fr-FR"/>
        </w:rPr>
        <w:t>-</w:t>
      </w:r>
      <w:r w:rsidRPr="007423F7">
        <w:rPr>
          <w:lang w:val="fr-FR"/>
        </w:rPr>
        <w:tab/>
      </w:r>
      <w:r w:rsidR="005C4275" w:rsidRPr="007423F7">
        <w:rPr>
          <w:lang w:val="fr-FR"/>
        </w:rPr>
        <w:t>Pour</w:t>
      </w:r>
      <w:r w:rsidR="005C4275" w:rsidRPr="007423F7">
        <w:rPr>
          <w:bCs/>
          <w:lang w:val="fr-FR"/>
        </w:rPr>
        <w:t xml:space="preserve"> la norme «</w:t>
      </w:r>
      <w:r w:rsidR="005C4275" w:rsidRPr="007423F7">
        <w:rPr>
          <w:rFonts w:cs="Arial"/>
          <w:szCs w:val="22"/>
          <w:lang w:val="fr-FR"/>
        </w:rPr>
        <w:t>EN ISO 13340:2001</w:t>
      </w:r>
      <w:r w:rsidR="005C4275" w:rsidRPr="007423F7">
        <w:rPr>
          <w:bCs/>
          <w:lang w:val="fr-FR"/>
        </w:rPr>
        <w:t xml:space="preserve">», dans la colonne (5), insérer: </w:t>
      </w:r>
      <w:r w:rsidR="005C4275" w:rsidRPr="007423F7">
        <w:rPr>
          <w:rFonts w:cs="Arial"/>
          <w:szCs w:val="22"/>
          <w:lang w:val="fr-FR"/>
        </w:rPr>
        <w:t>«31 décembre 2018».</w:t>
      </w:r>
    </w:p>
    <w:p w:rsidR="009540C9" w:rsidRPr="007423F7" w:rsidRDefault="009540C9" w:rsidP="009540C9">
      <w:pPr>
        <w:tabs>
          <w:tab w:val="left" w:pos="1418"/>
        </w:tabs>
        <w:spacing w:before="120" w:after="120"/>
        <w:ind w:left="1134" w:right="1134"/>
        <w:jc w:val="both"/>
        <w:rPr>
          <w:iCs/>
          <w:lang w:val="fr-FR"/>
        </w:rPr>
      </w:pPr>
      <w:r w:rsidRPr="007423F7">
        <w:rPr>
          <w:iCs/>
          <w:lang w:val="fr-FR"/>
        </w:rPr>
        <w:t>-</w:t>
      </w:r>
      <w:r w:rsidRPr="007423F7">
        <w:rPr>
          <w:iCs/>
          <w:lang w:val="fr-FR"/>
        </w:rPr>
        <w:tab/>
        <w:t>Ajouter la norme suivante à la fin:</w:t>
      </w:r>
    </w:p>
    <w:tbl>
      <w:tblPr>
        <w:tblW w:w="82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4208"/>
        <w:gridCol w:w="1012"/>
        <w:gridCol w:w="956"/>
        <w:gridCol w:w="664"/>
      </w:tblGrid>
      <w:tr w:rsidR="009540C9" w:rsidRPr="007423F7" w:rsidTr="00896BEE">
        <w:tc>
          <w:tcPr>
            <w:tcW w:w="1440" w:type="dxa"/>
          </w:tcPr>
          <w:p w:rsidR="009540C9" w:rsidRPr="007423F7" w:rsidRDefault="009540C9" w:rsidP="00896BEE">
            <w:pPr>
              <w:widowControl w:val="0"/>
              <w:rPr>
                <w:rFonts w:cs="Arial"/>
                <w:lang w:val="fr-FR"/>
              </w:rPr>
            </w:pPr>
            <w:r w:rsidRPr="007423F7">
              <w:rPr>
                <w:rFonts w:cs="Arial"/>
                <w:lang w:val="fr-FR"/>
              </w:rPr>
              <w:t>EN ISO</w:t>
            </w:r>
          </w:p>
          <w:p w:rsidR="009540C9" w:rsidRPr="007423F7" w:rsidRDefault="009540C9" w:rsidP="00896BEE">
            <w:pPr>
              <w:widowControl w:val="0"/>
              <w:rPr>
                <w:rFonts w:cs="Arial"/>
                <w:lang w:val="fr-FR"/>
              </w:rPr>
            </w:pPr>
            <w:r w:rsidRPr="007423F7">
              <w:rPr>
                <w:rFonts w:cs="Arial"/>
                <w:lang w:val="fr-FR"/>
              </w:rPr>
              <w:t>14246:2014</w:t>
            </w:r>
          </w:p>
        </w:tc>
        <w:tc>
          <w:tcPr>
            <w:tcW w:w="4208" w:type="dxa"/>
          </w:tcPr>
          <w:p w:rsidR="009540C9" w:rsidRPr="007423F7" w:rsidRDefault="009540C9" w:rsidP="00896BEE">
            <w:pPr>
              <w:widowControl w:val="0"/>
              <w:rPr>
                <w:rFonts w:cs="Arial"/>
                <w:lang w:val="fr-FR"/>
              </w:rPr>
            </w:pPr>
            <w:r w:rsidRPr="007423F7">
              <w:rPr>
                <w:rFonts w:cs="Arial"/>
                <w:bCs/>
                <w:lang w:val="fr-FR"/>
              </w:rPr>
              <w:t>Bouteilles à gaz - Robinets de bouteilles à gaz - Essais de fabrication et contrôles (ISO 14246:2014)</w:t>
            </w:r>
          </w:p>
        </w:tc>
        <w:tc>
          <w:tcPr>
            <w:tcW w:w="1012" w:type="dxa"/>
          </w:tcPr>
          <w:p w:rsidR="009540C9" w:rsidRPr="007423F7" w:rsidRDefault="009540C9" w:rsidP="00896BEE">
            <w:pPr>
              <w:widowControl w:val="0"/>
              <w:rPr>
                <w:rFonts w:cs="Arial"/>
                <w:lang w:val="fr-FR"/>
              </w:rPr>
            </w:pPr>
            <w:r w:rsidRPr="007423F7">
              <w:rPr>
                <w:rFonts w:cs="Arial"/>
                <w:lang w:val="fr-FR"/>
              </w:rPr>
              <w:t>6.2.3.1 et 6.2.3.4</w:t>
            </w:r>
          </w:p>
        </w:tc>
        <w:tc>
          <w:tcPr>
            <w:tcW w:w="956" w:type="dxa"/>
          </w:tcPr>
          <w:p w:rsidR="009540C9" w:rsidRPr="007423F7" w:rsidRDefault="009540C9" w:rsidP="00896BEE">
            <w:pPr>
              <w:widowControl w:val="0"/>
              <w:rPr>
                <w:rFonts w:cs="Arial"/>
                <w:lang w:val="fr-FR"/>
              </w:rPr>
            </w:pPr>
            <w:r w:rsidRPr="007423F7">
              <w:rPr>
                <w:rFonts w:cs="Arial"/>
                <w:bCs/>
                <w:lang w:val="fr-FR"/>
              </w:rPr>
              <w:t>Jusqu’à nouvel ordre</w:t>
            </w:r>
          </w:p>
        </w:tc>
        <w:tc>
          <w:tcPr>
            <w:tcW w:w="664" w:type="dxa"/>
          </w:tcPr>
          <w:p w:rsidR="009540C9" w:rsidRPr="007423F7" w:rsidRDefault="009540C9" w:rsidP="00896BEE">
            <w:pPr>
              <w:widowControl w:val="0"/>
              <w:rPr>
                <w:rFonts w:cs="Arial"/>
                <w:lang w:val="fr-FR"/>
              </w:rPr>
            </w:pPr>
          </w:p>
        </w:tc>
      </w:tr>
    </w:tbl>
    <w:p w:rsidR="005C4275" w:rsidRPr="007423F7" w:rsidRDefault="005C4275" w:rsidP="00B32F68">
      <w:pPr>
        <w:pStyle w:val="SingleTxtG"/>
        <w:spacing w:before="120"/>
        <w:rPr>
          <w:lang w:val="fr-FR"/>
        </w:rPr>
      </w:pPr>
      <w:r w:rsidRPr="007423F7">
        <w:rPr>
          <w:lang w:val="fr-FR"/>
        </w:rPr>
        <w:t>6.2.4.2</w:t>
      </w:r>
      <w:r w:rsidR="00BB6C37" w:rsidRPr="007423F7">
        <w:rPr>
          <w:lang w:val="fr-FR"/>
        </w:rPr>
        <w:tab/>
      </w:r>
      <w:r w:rsidRPr="007423F7">
        <w:rPr>
          <w:lang w:val="fr-FR"/>
        </w:rPr>
        <w:tab/>
        <w:t>Dans le tableau:</w:t>
      </w:r>
    </w:p>
    <w:p w:rsidR="005C4275" w:rsidRPr="007423F7" w:rsidRDefault="005C4275" w:rsidP="00BB6C37">
      <w:pPr>
        <w:tabs>
          <w:tab w:val="left" w:pos="1418"/>
        </w:tabs>
        <w:spacing w:before="120" w:after="120"/>
        <w:ind w:left="1134" w:right="1134"/>
        <w:jc w:val="both"/>
      </w:pPr>
      <w:r w:rsidRPr="007423F7">
        <w:t xml:space="preserve">- </w:t>
      </w:r>
      <w:r w:rsidR="00BB6C37" w:rsidRPr="007423F7">
        <w:tab/>
      </w:r>
      <w:r w:rsidRPr="007423F7">
        <w:t>Supprimer la ligne pour la norme «EN 12863:2002 + A1:2005».</w:t>
      </w:r>
    </w:p>
    <w:p w:rsidR="005C4275" w:rsidRPr="007423F7" w:rsidRDefault="005C4275" w:rsidP="00BB6C37">
      <w:pPr>
        <w:tabs>
          <w:tab w:val="left" w:pos="1418"/>
        </w:tabs>
        <w:spacing w:before="120" w:after="120"/>
        <w:ind w:left="1134" w:right="1134"/>
        <w:jc w:val="both"/>
      </w:pPr>
      <w:r w:rsidRPr="007423F7">
        <w:t xml:space="preserve">- </w:t>
      </w:r>
      <w:r w:rsidR="00BB6C37" w:rsidRPr="007423F7">
        <w:tab/>
      </w:r>
      <w:r w:rsidRPr="007423F7">
        <w:t>Pour la norme «EN ISO 10462:2013», dans la dernière colonne, remplacer «Obligatoirement à partir du 1er janvier 2017» par «Jusqu’à nouvel ordre».</w:t>
      </w:r>
    </w:p>
    <w:p w:rsidR="005C4275" w:rsidRPr="007423F7" w:rsidRDefault="005C4275" w:rsidP="00BB6C37">
      <w:pPr>
        <w:tabs>
          <w:tab w:val="left" w:pos="1418"/>
        </w:tabs>
        <w:spacing w:before="120" w:after="120"/>
        <w:ind w:left="1134" w:right="1134"/>
        <w:jc w:val="both"/>
      </w:pPr>
      <w:r w:rsidRPr="007423F7">
        <w:t xml:space="preserve">- </w:t>
      </w:r>
      <w:r w:rsidR="00BB6C37" w:rsidRPr="007423F7">
        <w:tab/>
      </w:r>
      <w:r w:rsidRPr="007423F7">
        <w:t>Pour la norme «EN ISO 11623:2002 (sauf article 4)», dans la dernière colonne, remplacer «Jusqu’à nouvel ordre» par «Jusqu’au 31 décembre 2018».</w:t>
      </w:r>
    </w:p>
    <w:p w:rsidR="005C4275" w:rsidRPr="007423F7" w:rsidRDefault="005C4275" w:rsidP="00BB6C37">
      <w:pPr>
        <w:tabs>
          <w:tab w:val="left" w:pos="1418"/>
        </w:tabs>
        <w:spacing w:before="120" w:after="120"/>
        <w:ind w:left="1134" w:right="1134"/>
        <w:jc w:val="both"/>
      </w:pPr>
      <w:r w:rsidRPr="007423F7">
        <w:t xml:space="preserve">- </w:t>
      </w:r>
      <w:r w:rsidR="00BB6C37" w:rsidRPr="007423F7">
        <w:tab/>
      </w:r>
      <w:r w:rsidRPr="007423F7">
        <w:t>Après la norme «EN ISO 11623:2002 (sauf article 4)», insérer la nouvelle norme suivante:</w:t>
      </w:r>
    </w:p>
    <w:tbl>
      <w:tblPr>
        <w:tblW w:w="83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5370"/>
        <w:gridCol w:w="1530"/>
      </w:tblGrid>
      <w:tr w:rsidR="005C4275" w:rsidRPr="007423F7" w:rsidTr="008A638C">
        <w:tc>
          <w:tcPr>
            <w:tcW w:w="1440" w:type="dxa"/>
            <w:tcBorders>
              <w:top w:val="single" w:sz="4" w:space="0" w:color="auto"/>
              <w:left w:val="single" w:sz="4" w:space="0" w:color="auto"/>
              <w:bottom w:val="single" w:sz="4" w:space="0" w:color="auto"/>
              <w:right w:val="single" w:sz="4" w:space="0" w:color="auto"/>
            </w:tcBorders>
            <w:hideMark/>
          </w:tcPr>
          <w:p w:rsidR="005C4275" w:rsidRPr="007423F7" w:rsidRDefault="005C4275" w:rsidP="008A638C">
            <w:pPr>
              <w:widowControl w:val="0"/>
              <w:rPr>
                <w:rFonts w:cs="Arial"/>
                <w:lang w:val="fr-FR"/>
              </w:rPr>
            </w:pPr>
            <w:r w:rsidRPr="007423F7">
              <w:rPr>
                <w:rFonts w:cs="Arial"/>
                <w:szCs w:val="22"/>
                <w:lang w:val="fr-FR"/>
              </w:rPr>
              <w:t>EN ISO</w:t>
            </w:r>
            <w:r w:rsidRPr="007423F7">
              <w:rPr>
                <w:rFonts w:cs="Arial"/>
                <w:szCs w:val="22"/>
                <w:lang w:val="fr-FR"/>
              </w:rPr>
              <w:br/>
              <w:t>11623:2015</w:t>
            </w:r>
          </w:p>
        </w:tc>
        <w:tc>
          <w:tcPr>
            <w:tcW w:w="5371" w:type="dxa"/>
            <w:tcBorders>
              <w:top w:val="single" w:sz="4" w:space="0" w:color="auto"/>
              <w:left w:val="single" w:sz="4" w:space="0" w:color="auto"/>
              <w:bottom w:val="single" w:sz="4" w:space="0" w:color="auto"/>
              <w:right w:val="single" w:sz="4" w:space="0" w:color="auto"/>
            </w:tcBorders>
            <w:hideMark/>
          </w:tcPr>
          <w:p w:rsidR="005C4275" w:rsidRPr="007423F7" w:rsidRDefault="005C4275" w:rsidP="008A638C">
            <w:pPr>
              <w:widowControl w:val="0"/>
              <w:rPr>
                <w:rFonts w:cs="Arial"/>
                <w:lang w:val="fr-FR"/>
              </w:rPr>
            </w:pPr>
            <w:r w:rsidRPr="007423F7">
              <w:rPr>
                <w:rFonts w:cs="Arial"/>
                <w:lang w:val="fr-FR"/>
              </w:rPr>
              <w:t>Bouteilles à gaz - Construction composite - Contrôles et essais périodiques</w:t>
            </w:r>
          </w:p>
        </w:tc>
        <w:tc>
          <w:tcPr>
            <w:tcW w:w="1530" w:type="dxa"/>
            <w:tcBorders>
              <w:top w:val="single" w:sz="4" w:space="0" w:color="auto"/>
              <w:left w:val="single" w:sz="4" w:space="0" w:color="auto"/>
              <w:bottom w:val="single" w:sz="4" w:space="0" w:color="auto"/>
              <w:right w:val="single" w:sz="4" w:space="0" w:color="auto"/>
            </w:tcBorders>
            <w:hideMark/>
          </w:tcPr>
          <w:p w:rsidR="005C4275" w:rsidRPr="007423F7" w:rsidRDefault="005C4275" w:rsidP="008A638C">
            <w:pPr>
              <w:widowControl w:val="0"/>
              <w:jc w:val="center"/>
              <w:rPr>
                <w:rFonts w:cs="Arial"/>
                <w:lang w:val="fr-FR"/>
              </w:rPr>
            </w:pPr>
            <w:r w:rsidRPr="007423F7">
              <w:rPr>
                <w:rFonts w:cs="Arial"/>
                <w:lang w:val="fr-FR"/>
              </w:rPr>
              <w:t>Obligatoirement</w:t>
            </w:r>
          </w:p>
          <w:p w:rsidR="005C4275" w:rsidRPr="007423F7" w:rsidRDefault="005C4275" w:rsidP="008A638C">
            <w:pPr>
              <w:widowControl w:val="0"/>
              <w:jc w:val="center"/>
              <w:rPr>
                <w:rFonts w:cs="Arial"/>
                <w:lang w:val="fr-FR"/>
              </w:rPr>
            </w:pPr>
            <w:r w:rsidRPr="007423F7">
              <w:rPr>
                <w:rFonts w:cs="Arial"/>
                <w:lang w:val="fr-FR"/>
              </w:rPr>
              <w:t>à partir du</w:t>
            </w:r>
          </w:p>
          <w:p w:rsidR="005C4275" w:rsidRPr="007423F7" w:rsidRDefault="005C4275" w:rsidP="008A638C">
            <w:pPr>
              <w:widowControl w:val="0"/>
              <w:jc w:val="center"/>
              <w:rPr>
                <w:rFonts w:cs="Arial"/>
                <w:lang w:val="fr-FR"/>
              </w:rPr>
            </w:pPr>
            <w:r w:rsidRPr="007423F7">
              <w:rPr>
                <w:rFonts w:cs="Arial"/>
                <w:lang w:val="fr-FR"/>
              </w:rPr>
              <w:t>1</w:t>
            </w:r>
            <w:r w:rsidRPr="007423F7">
              <w:rPr>
                <w:rFonts w:cs="Arial"/>
                <w:vertAlign w:val="superscript"/>
                <w:lang w:val="fr-FR"/>
              </w:rPr>
              <w:t>er</w:t>
            </w:r>
            <w:r w:rsidRPr="007423F7">
              <w:rPr>
                <w:rFonts w:cs="Arial"/>
                <w:lang w:val="fr-FR"/>
              </w:rPr>
              <w:t xml:space="preserve"> janvier 2019</w:t>
            </w:r>
          </w:p>
        </w:tc>
      </w:tr>
    </w:tbl>
    <w:p w:rsidR="005C4275" w:rsidRPr="007423F7" w:rsidRDefault="00BB6C37" w:rsidP="00BB6C37">
      <w:pPr>
        <w:tabs>
          <w:tab w:val="left" w:pos="1418"/>
        </w:tabs>
        <w:spacing w:before="120" w:after="120"/>
        <w:ind w:left="1134" w:right="1134"/>
        <w:jc w:val="both"/>
        <w:rPr>
          <w:lang w:val="fr-FR"/>
        </w:rPr>
      </w:pPr>
      <w:r w:rsidRPr="007423F7">
        <w:rPr>
          <w:lang w:val="fr-FR"/>
        </w:rPr>
        <w:t>-</w:t>
      </w:r>
      <w:r w:rsidRPr="007423F7">
        <w:rPr>
          <w:lang w:val="fr-FR"/>
        </w:rPr>
        <w:tab/>
      </w:r>
      <w:r w:rsidR="005C4275" w:rsidRPr="007423F7">
        <w:rPr>
          <w:lang w:val="fr-FR"/>
        </w:rPr>
        <w:t>Pour la norme «EN 1440:2008 + A1:2012 (sauf annexes G et H)», dans la dernière colonne, remplacer «Jusqu’à nouvel ordre» par «Jusqu’au 31 décembre 2018».</w:t>
      </w:r>
    </w:p>
    <w:p w:rsidR="005C4275" w:rsidRPr="007423F7" w:rsidRDefault="00BB6C37" w:rsidP="00BB6C37">
      <w:pPr>
        <w:tabs>
          <w:tab w:val="left" w:pos="1418"/>
        </w:tabs>
        <w:spacing w:before="120" w:after="120"/>
        <w:ind w:left="1134" w:right="1134"/>
        <w:jc w:val="both"/>
        <w:rPr>
          <w:bCs/>
          <w:lang w:val="fr-FR"/>
        </w:rPr>
      </w:pPr>
      <w:r w:rsidRPr="007423F7">
        <w:rPr>
          <w:lang w:val="fr-FR"/>
        </w:rPr>
        <w:t>-</w:t>
      </w:r>
      <w:r w:rsidRPr="007423F7">
        <w:rPr>
          <w:lang w:val="fr-FR"/>
        </w:rPr>
        <w:tab/>
      </w:r>
      <w:r w:rsidR="005C4275" w:rsidRPr="007423F7">
        <w:rPr>
          <w:lang w:val="fr-FR"/>
        </w:rPr>
        <w:t>Après la norme «EN 1440:2008 + A1:2012 (sauf annexes G et H)», insérer les nouvelles normes suivantes:</w:t>
      </w:r>
    </w:p>
    <w:tbl>
      <w:tblPr>
        <w:tblW w:w="83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6"/>
        <w:gridCol w:w="5244"/>
        <w:gridCol w:w="1530"/>
      </w:tblGrid>
      <w:tr w:rsidR="005C4275" w:rsidRPr="007423F7" w:rsidTr="008A638C">
        <w:tc>
          <w:tcPr>
            <w:tcW w:w="1566" w:type="dxa"/>
            <w:tcBorders>
              <w:top w:val="single" w:sz="4" w:space="0" w:color="auto"/>
              <w:left w:val="single" w:sz="4" w:space="0" w:color="auto"/>
              <w:bottom w:val="single" w:sz="4" w:space="0" w:color="auto"/>
              <w:right w:val="single" w:sz="4" w:space="0" w:color="auto"/>
            </w:tcBorders>
            <w:hideMark/>
          </w:tcPr>
          <w:p w:rsidR="005C4275" w:rsidRPr="007423F7" w:rsidRDefault="005C4275" w:rsidP="008A638C">
            <w:pPr>
              <w:widowControl w:val="0"/>
              <w:rPr>
                <w:rFonts w:cs="Arial"/>
                <w:lang w:val="fr-FR"/>
              </w:rPr>
            </w:pPr>
            <w:r w:rsidRPr="007423F7">
              <w:rPr>
                <w:rFonts w:cs="Arial"/>
                <w:szCs w:val="22"/>
                <w:lang w:val="fr-FR"/>
              </w:rPr>
              <w:t>EN 1440:2016 (sauf annexe C)</w:t>
            </w:r>
          </w:p>
        </w:tc>
        <w:tc>
          <w:tcPr>
            <w:tcW w:w="5245" w:type="dxa"/>
            <w:tcBorders>
              <w:top w:val="single" w:sz="4" w:space="0" w:color="auto"/>
              <w:left w:val="single" w:sz="4" w:space="0" w:color="auto"/>
              <w:bottom w:val="single" w:sz="4" w:space="0" w:color="auto"/>
              <w:right w:val="single" w:sz="4" w:space="0" w:color="auto"/>
            </w:tcBorders>
            <w:hideMark/>
          </w:tcPr>
          <w:p w:rsidR="005C4275" w:rsidRPr="007423F7" w:rsidRDefault="005C4275" w:rsidP="008A638C">
            <w:pPr>
              <w:widowControl w:val="0"/>
              <w:rPr>
                <w:rFonts w:cs="Arial"/>
                <w:lang w:val="fr-FR"/>
              </w:rPr>
            </w:pPr>
            <w:r w:rsidRPr="007423F7">
              <w:rPr>
                <w:rFonts w:cs="Arial"/>
                <w:bCs/>
                <w:szCs w:val="18"/>
                <w:lang w:val="fr-FR"/>
              </w:rPr>
              <w:t>Équipement pour GPL et leurs accessoires - Bouteilles transportables et rechargeables pour GPL en acier soudé et brasé - Contrôle périodique</w:t>
            </w:r>
          </w:p>
        </w:tc>
        <w:tc>
          <w:tcPr>
            <w:tcW w:w="1530" w:type="dxa"/>
            <w:tcBorders>
              <w:top w:val="single" w:sz="4" w:space="0" w:color="auto"/>
              <w:left w:val="single" w:sz="4" w:space="0" w:color="auto"/>
              <w:bottom w:val="single" w:sz="4" w:space="0" w:color="auto"/>
              <w:right w:val="single" w:sz="4" w:space="0" w:color="auto"/>
            </w:tcBorders>
            <w:hideMark/>
          </w:tcPr>
          <w:p w:rsidR="005C4275" w:rsidRPr="007423F7" w:rsidRDefault="005C4275" w:rsidP="008A638C">
            <w:pPr>
              <w:widowControl w:val="0"/>
              <w:jc w:val="center"/>
              <w:rPr>
                <w:rFonts w:cs="Arial"/>
                <w:lang w:val="fr-FR"/>
              </w:rPr>
            </w:pPr>
            <w:r w:rsidRPr="007423F7">
              <w:rPr>
                <w:rFonts w:cs="Arial"/>
                <w:lang w:val="fr-FR"/>
              </w:rPr>
              <w:t>Obligatoirement</w:t>
            </w:r>
          </w:p>
          <w:p w:rsidR="005C4275" w:rsidRPr="007423F7" w:rsidRDefault="005C4275" w:rsidP="008A638C">
            <w:pPr>
              <w:widowControl w:val="0"/>
              <w:jc w:val="center"/>
              <w:rPr>
                <w:rFonts w:cs="Arial"/>
                <w:lang w:val="fr-FR"/>
              </w:rPr>
            </w:pPr>
            <w:r w:rsidRPr="007423F7">
              <w:rPr>
                <w:rFonts w:cs="Arial"/>
                <w:lang w:val="fr-FR"/>
              </w:rPr>
              <w:t>à partir du</w:t>
            </w:r>
          </w:p>
          <w:p w:rsidR="005C4275" w:rsidRPr="007423F7" w:rsidRDefault="005C4275" w:rsidP="008A638C">
            <w:pPr>
              <w:widowControl w:val="0"/>
              <w:jc w:val="center"/>
              <w:rPr>
                <w:rFonts w:cs="Arial"/>
                <w:lang w:val="fr-FR"/>
              </w:rPr>
            </w:pPr>
            <w:r w:rsidRPr="007423F7">
              <w:rPr>
                <w:rFonts w:cs="Arial"/>
                <w:lang w:val="fr-FR"/>
              </w:rPr>
              <w:t>1</w:t>
            </w:r>
            <w:r w:rsidRPr="007423F7">
              <w:rPr>
                <w:rFonts w:cs="Arial"/>
                <w:vertAlign w:val="superscript"/>
                <w:lang w:val="fr-FR"/>
              </w:rPr>
              <w:t>er</w:t>
            </w:r>
            <w:r w:rsidRPr="007423F7">
              <w:rPr>
                <w:rFonts w:cs="Arial"/>
                <w:lang w:val="fr-FR"/>
              </w:rPr>
              <w:t xml:space="preserve"> janvier 2019</w:t>
            </w:r>
          </w:p>
        </w:tc>
      </w:tr>
      <w:tr w:rsidR="005C4275" w:rsidRPr="007423F7" w:rsidTr="008A638C">
        <w:tc>
          <w:tcPr>
            <w:tcW w:w="1566" w:type="dxa"/>
            <w:tcBorders>
              <w:top w:val="single" w:sz="4" w:space="0" w:color="auto"/>
              <w:left w:val="single" w:sz="4" w:space="0" w:color="auto"/>
              <w:bottom w:val="single" w:sz="4" w:space="0" w:color="auto"/>
              <w:right w:val="single" w:sz="4" w:space="0" w:color="auto"/>
            </w:tcBorders>
            <w:hideMark/>
          </w:tcPr>
          <w:p w:rsidR="005C4275" w:rsidRPr="007423F7" w:rsidRDefault="005C4275" w:rsidP="008A638C">
            <w:pPr>
              <w:widowControl w:val="0"/>
              <w:rPr>
                <w:rFonts w:cs="Arial"/>
                <w:lang w:val="fr-FR"/>
              </w:rPr>
            </w:pPr>
            <w:r w:rsidRPr="007423F7">
              <w:rPr>
                <w:rFonts w:cs="Arial"/>
                <w:lang w:val="fr-FR"/>
              </w:rPr>
              <w:t>EN 16728:2016 (sauf article 3.5, annexe F et annexe G)</w:t>
            </w:r>
          </w:p>
        </w:tc>
        <w:tc>
          <w:tcPr>
            <w:tcW w:w="5245" w:type="dxa"/>
            <w:tcBorders>
              <w:top w:val="single" w:sz="4" w:space="0" w:color="auto"/>
              <w:left w:val="single" w:sz="4" w:space="0" w:color="auto"/>
              <w:bottom w:val="single" w:sz="4" w:space="0" w:color="auto"/>
              <w:right w:val="single" w:sz="4" w:space="0" w:color="auto"/>
            </w:tcBorders>
            <w:hideMark/>
          </w:tcPr>
          <w:p w:rsidR="005C4275" w:rsidRPr="007423F7" w:rsidRDefault="005C4275" w:rsidP="008A638C">
            <w:pPr>
              <w:widowControl w:val="0"/>
              <w:rPr>
                <w:rFonts w:cs="Arial"/>
                <w:lang w:val="fr-FR"/>
              </w:rPr>
            </w:pPr>
            <w:r w:rsidRPr="007423F7">
              <w:rPr>
                <w:rFonts w:cs="Arial"/>
                <w:bCs/>
                <w:szCs w:val="18"/>
                <w:lang w:val="fr-FR"/>
              </w:rPr>
              <w:t>Équipement pour GPL et leurs accessoires - Bouteilles transportables et rechargeables pour GPL autres que celles en acier soudé et brasé - Contrôle périodique</w:t>
            </w:r>
          </w:p>
        </w:tc>
        <w:tc>
          <w:tcPr>
            <w:tcW w:w="1530" w:type="dxa"/>
            <w:tcBorders>
              <w:top w:val="single" w:sz="4" w:space="0" w:color="auto"/>
              <w:left w:val="single" w:sz="4" w:space="0" w:color="auto"/>
              <w:bottom w:val="single" w:sz="4" w:space="0" w:color="auto"/>
              <w:right w:val="single" w:sz="4" w:space="0" w:color="auto"/>
            </w:tcBorders>
            <w:hideMark/>
          </w:tcPr>
          <w:p w:rsidR="005C4275" w:rsidRPr="007423F7" w:rsidRDefault="005C4275" w:rsidP="008A638C">
            <w:pPr>
              <w:widowControl w:val="0"/>
              <w:jc w:val="center"/>
              <w:rPr>
                <w:rFonts w:cs="Arial"/>
                <w:lang w:val="fr-FR"/>
              </w:rPr>
            </w:pPr>
            <w:r w:rsidRPr="007423F7">
              <w:rPr>
                <w:rFonts w:cs="Arial"/>
                <w:lang w:val="fr-FR"/>
              </w:rPr>
              <w:t>Obligatoirement</w:t>
            </w:r>
          </w:p>
          <w:p w:rsidR="005C4275" w:rsidRPr="007423F7" w:rsidRDefault="005C4275" w:rsidP="008A638C">
            <w:pPr>
              <w:widowControl w:val="0"/>
              <w:jc w:val="center"/>
              <w:rPr>
                <w:rFonts w:cs="Arial"/>
                <w:lang w:val="fr-FR"/>
              </w:rPr>
            </w:pPr>
            <w:r w:rsidRPr="007423F7">
              <w:rPr>
                <w:rFonts w:cs="Arial"/>
                <w:lang w:val="fr-FR"/>
              </w:rPr>
              <w:t>à partir du</w:t>
            </w:r>
          </w:p>
          <w:p w:rsidR="005C4275" w:rsidRPr="007423F7" w:rsidRDefault="005C4275" w:rsidP="008A638C">
            <w:pPr>
              <w:widowControl w:val="0"/>
              <w:jc w:val="center"/>
              <w:rPr>
                <w:rFonts w:cs="Arial"/>
                <w:lang w:val="fr-FR"/>
              </w:rPr>
            </w:pPr>
            <w:r w:rsidRPr="007423F7">
              <w:rPr>
                <w:rFonts w:cs="Arial"/>
                <w:lang w:val="fr-FR"/>
              </w:rPr>
              <w:t>1</w:t>
            </w:r>
            <w:r w:rsidRPr="007423F7">
              <w:rPr>
                <w:rFonts w:cs="Arial"/>
                <w:vertAlign w:val="superscript"/>
                <w:lang w:val="fr-FR"/>
              </w:rPr>
              <w:t>er</w:t>
            </w:r>
            <w:r w:rsidRPr="007423F7">
              <w:rPr>
                <w:rFonts w:cs="Arial"/>
                <w:lang w:val="fr-FR"/>
              </w:rPr>
              <w:t xml:space="preserve"> janvier 2019</w:t>
            </w:r>
          </w:p>
        </w:tc>
      </w:tr>
    </w:tbl>
    <w:p w:rsidR="005C4275" w:rsidRPr="007423F7" w:rsidRDefault="00BB6C37" w:rsidP="00BB6C37">
      <w:pPr>
        <w:pStyle w:val="H1G"/>
      </w:pPr>
      <w:r w:rsidRPr="007423F7">
        <w:lastRenderedPageBreak/>
        <w:tab/>
      </w:r>
      <w:r w:rsidRPr="007423F7">
        <w:tab/>
      </w:r>
      <w:r w:rsidR="005C4275" w:rsidRPr="007423F7">
        <w:t>Chapitre 6.3</w:t>
      </w:r>
    </w:p>
    <w:p w:rsidR="005C4275" w:rsidRPr="007423F7" w:rsidRDefault="005C4275" w:rsidP="005C4275">
      <w:pPr>
        <w:pStyle w:val="SingleTxtG"/>
        <w:rPr>
          <w:lang w:val="fr-FR"/>
        </w:rPr>
      </w:pPr>
      <w:r w:rsidRPr="007423F7">
        <w:rPr>
          <w:lang w:val="fr-FR"/>
        </w:rPr>
        <w:t>6.3.1.1</w:t>
      </w:r>
      <w:r w:rsidRPr="007423F7">
        <w:rPr>
          <w:lang w:val="fr-FR"/>
        </w:rPr>
        <w:tab/>
      </w:r>
      <w:r w:rsidRPr="007423F7">
        <w:rPr>
          <w:lang w:val="fr-FR"/>
        </w:rPr>
        <w:tab/>
        <w:t>Remplacer «Le présent chapitre</w:t>
      </w:r>
      <w:r w:rsidR="00CE5B90" w:rsidRPr="007423F7">
        <w:rPr>
          <w:lang w:val="fr-FR"/>
        </w:rPr>
        <w:t xml:space="preserve"> s’applique</w:t>
      </w:r>
      <w:r w:rsidRPr="007423F7">
        <w:rPr>
          <w:lang w:val="fr-FR"/>
        </w:rPr>
        <w:t>» par «Les prescriptions du présent chapitre</w:t>
      </w:r>
      <w:r w:rsidR="00CE5B90" w:rsidRPr="007423F7">
        <w:rPr>
          <w:lang w:val="fr-FR"/>
        </w:rPr>
        <w:t xml:space="preserve"> s’appliquent</w:t>
      </w:r>
      <w:r w:rsidRPr="007423F7">
        <w:rPr>
          <w:lang w:val="fr-FR"/>
        </w:rPr>
        <w:t>».</w:t>
      </w:r>
    </w:p>
    <w:p w:rsidR="008F39ED" w:rsidRPr="007423F7" w:rsidRDefault="00CC58D5" w:rsidP="005C4275">
      <w:pPr>
        <w:pStyle w:val="SingleTxtG"/>
        <w:tabs>
          <w:tab w:val="left" w:pos="1854"/>
        </w:tabs>
        <w:rPr>
          <w:lang w:val="fr-FR"/>
        </w:rPr>
      </w:pPr>
      <w:r w:rsidRPr="007423F7">
        <w:rPr>
          <w:lang w:val="fr-FR"/>
        </w:rPr>
        <w:t>6.3.4.2</w:t>
      </w:r>
      <w:r w:rsidR="008F39ED" w:rsidRPr="007423F7">
        <w:rPr>
          <w:lang w:val="fr-FR"/>
        </w:rPr>
        <w:t xml:space="preserve"> a) </w:t>
      </w:r>
      <w:r w:rsidR="008F39ED" w:rsidRPr="007423F7">
        <w:rPr>
          <w:lang w:val="fr-FR"/>
        </w:rPr>
        <w:tab/>
        <w:t xml:space="preserve">Supprimer la note de bas de page </w:t>
      </w:r>
      <w:r w:rsidR="00CA3D81" w:rsidRPr="007423F7">
        <w:rPr>
          <w:lang w:val="fr-FR"/>
        </w:rPr>
        <w:t>1</w:t>
      </w:r>
      <w:r w:rsidR="008F39ED" w:rsidRPr="007423F7">
        <w:rPr>
          <w:lang w:val="fr-FR"/>
        </w:rPr>
        <w:t xml:space="preserve"> et renuméroter </w:t>
      </w:r>
      <w:r w:rsidR="00CA3D81" w:rsidRPr="007423F7">
        <w:rPr>
          <w:lang w:val="fr-FR"/>
        </w:rPr>
        <w:t>la note de bas de page suivante</w:t>
      </w:r>
      <w:r w:rsidR="008F39ED" w:rsidRPr="007423F7">
        <w:rPr>
          <w:lang w:val="fr-FR"/>
        </w:rPr>
        <w:t xml:space="preserve"> en </w:t>
      </w:r>
      <w:r w:rsidR="00CA3D81" w:rsidRPr="007423F7">
        <w:rPr>
          <w:lang w:val="fr-FR"/>
        </w:rPr>
        <w:t>tant que note de bas de page 1</w:t>
      </w:r>
      <w:r w:rsidR="008F39ED" w:rsidRPr="007423F7">
        <w:rPr>
          <w:lang w:val="fr-FR"/>
        </w:rPr>
        <w:t>.</w:t>
      </w:r>
    </w:p>
    <w:p w:rsidR="005C4275" w:rsidRPr="007423F7" w:rsidRDefault="005C4275" w:rsidP="005C4275">
      <w:pPr>
        <w:pStyle w:val="SingleTxtG"/>
        <w:tabs>
          <w:tab w:val="left" w:pos="1854"/>
        </w:tabs>
        <w:rPr>
          <w:lang w:val="fr-FR"/>
        </w:rPr>
      </w:pPr>
      <w:r w:rsidRPr="007423F7">
        <w:rPr>
          <w:lang w:val="fr-FR"/>
        </w:rPr>
        <w:t>6.3.4.2 e)</w:t>
      </w:r>
      <w:r w:rsidRPr="007423F7">
        <w:rPr>
          <w:lang w:val="fr-FR"/>
        </w:rPr>
        <w:tab/>
        <w:t>Remplacer «le signe distinctif prévu pour les automobiles dans le trafic international</w:t>
      </w:r>
      <w:r w:rsidRPr="007423F7">
        <w:rPr>
          <w:b/>
          <w:vertAlign w:val="superscript"/>
          <w:lang w:val="fr-FR"/>
        </w:rPr>
        <w:t>2</w:t>
      </w:r>
      <w:r w:rsidRPr="007423F7">
        <w:rPr>
          <w:lang w:val="fr-FR"/>
        </w:rPr>
        <w:t xml:space="preserve">» par «le signe distinctif utilisé sur les véhicules en circulation routière </w:t>
      </w:r>
      <w:r w:rsidR="00CA3D81" w:rsidRPr="007423F7">
        <w:rPr>
          <w:lang w:val="fr-FR"/>
        </w:rPr>
        <w:t>internationale</w:t>
      </w:r>
      <w:r w:rsidR="00CA3D81" w:rsidRPr="007423F7">
        <w:rPr>
          <w:b/>
          <w:vertAlign w:val="superscript"/>
          <w:lang w:val="fr-FR"/>
        </w:rPr>
        <w:t>1</w:t>
      </w:r>
      <w:r w:rsidRPr="007423F7">
        <w:rPr>
          <w:lang w:val="fr-FR"/>
        </w:rPr>
        <w:t>».</w:t>
      </w:r>
    </w:p>
    <w:p w:rsidR="005C4275" w:rsidRPr="007423F7" w:rsidRDefault="005C4275" w:rsidP="005C4275">
      <w:pPr>
        <w:pStyle w:val="SingleTxtG"/>
        <w:tabs>
          <w:tab w:val="left" w:pos="1854"/>
        </w:tabs>
        <w:rPr>
          <w:lang w:val="fr-FR"/>
        </w:rPr>
      </w:pPr>
      <w:r w:rsidRPr="007423F7">
        <w:rPr>
          <w:lang w:val="fr-FR"/>
        </w:rPr>
        <w:t xml:space="preserve">Modifier la note de bas de page </w:t>
      </w:r>
      <w:r w:rsidR="00CA3D81" w:rsidRPr="007423F7">
        <w:rPr>
          <w:lang w:val="fr-FR"/>
        </w:rPr>
        <w:t xml:space="preserve">1 (anciennement note de bas de page 2) </w:t>
      </w:r>
      <w:r w:rsidRPr="007423F7">
        <w:rPr>
          <w:lang w:val="fr-FR"/>
        </w:rPr>
        <w:t xml:space="preserve"> pour lire:</w:t>
      </w:r>
    </w:p>
    <w:p w:rsidR="005C4275" w:rsidRPr="007423F7" w:rsidRDefault="005C4275" w:rsidP="005C4275">
      <w:pPr>
        <w:pStyle w:val="SingleTxtG"/>
        <w:tabs>
          <w:tab w:val="left" w:pos="1854"/>
        </w:tabs>
        <w:rPr>
          <w:lang w:val="fr-FR"/>
        </w:rPr>
      </w:pPr>
      <w:r w:rsidRPr="007423F7">
        <w:rPr>
          <w:lang w:val="fr-FR"/>
        </w:rPr>
        <w:t>«</w:t>
      </w:r>
      <w:r w:rsidR="00352E12" w:rsidRPr="007423F7">
        <w:rPr>
          <w:b/>
          <w:vertAlign w:val="superscript"/>
          <w:lang w:val="fr-FR"/>
        </w:rPr>
        <w:t>1</w:t>
      </w:r>
      <w:r w:rsidRPr="007423F7">
        <w:rPr>
          <w:lang w:val="fr-FR"/>
        </w:rPr>
        <w:tab/>
      </w:r>
      <w:r w:rsidRPr="007423F7">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5C4275" w:rsidRPr="007423F7" w:rsidRDefault="005C4275" w:rsidP="005C4275">
      <w:pPr>
        <w:pStyle w:val="SingleTxtG"/>
        <w:rPr>
          <w:lang w:val="fr-FR"/>
        </w:rPr>
      </w:pPr>
      <w:r w:rsidRPr="007423F7">
        <w:rPr>
          <w:lang w:val="fr-FR"/>
        </w:rPr>
        <w:t>6.3.5.1.6 a)</w:t>
      </w:r>
      <w:r w:rsidRPr="007423F7">
        <w:rPr>
          <w:lang w:val="fr-FR"/>
        </w:rPr>
        <w:tab/>
        <w:t>Remplacer «</w:t>
      </w:r>
      <w:r w:rsidRPr="007423F7">
        <w:t>les épreuves de chute</w:t>
      </w:r>
      <w:r w:rsidRPr="007423F7">
        <w:rPr>
          <w:lang w:val="fr-FR"/>
        </w:rPr>
        <w:t>» par «les épreuves».</w:t>
      </w:r>
    </w:p>
    <w:p w:rsidR="005C4275" w:rsidRPr="007423F7" w:rsidRDefault="00BB6C37" w:rsidP="00BB6C37">
      <w:pPr>
        <w:pStyle w:val="H1G"/>
      </w:pPr>
      <w:r w:rsidRPr="007423F7">
        <w:tab/>
      </w:r>
      <w:r w:rsidRPr="007423F7">
        <w:tab/>
      </w:r>
      <w:r w:rsidR="005C4275" w:rsidRPr="007423F7">
        <w:t>Chapitre 6.4</w:t>
      </w:r>
    </w:p>
    <w:p w:rsidR="005C4275" w:rsidRPr="007423F7" w:rsidRDefault="005C4275" w:rsidP="005C4275">
      <w:pPr>
        <w:pStyle w:val="SingleTxtG"/>
        <w:rPr>
          <w:lang w:val="fr-FR"/>
        </w:rPr>
      </w:pPr>
      <w:r w:rsidRPr="007423F7">
        <w:rPr>
          <w:rFonts w:ascii="TimesNewRomanPSMT" w:hAnsi="TimesNewRomanPSMT" w:cs="TimesNewRomanPSMT"/>
          <w:lang w:val="fr-FR" w:eastAsia="fr-FR"/>
        </w:rPr>
        <w:t>6.4.5.4.4 c)</w:t>
      </w:r>
      <w:r w:rsidRPr="007423F7">
        <w:rPr>
          <w:lang w:val="fr-FR"/>
        </w:rPr>
        <w:tab/>
      </w:r>
      <w:r w:rsidRPr="007423F7">
        <w:rPr>
          <w:rFonts w:ascii="TimesNewRomanPSMT" w:hAnsi="TimesNewRomanPSMT" w:cs="TimesNewRomanPSMT"/>
          <w:lang w:val="fr-FR" w:eastAsia="fr-FR"/>
        </w:rPr>
        <w:t>Dans le texte français, remplacer «</w:t>
      </w:r>
      <w:r w:rsidRPr="007423F7">
        <w:rPr>
          <w:lang w:val="fr-FR"/>
        </w:rPr>
        <w:t>pendant les transports courants</w:t>
      </w:r>
      <w:r w:rsidRPr="007423F7">
        <w:rPr>
          <w:rFonts w:ascii="TimesNewRomanPSMT" w:hAnsi="TimesNewRomanPSMT" w:cs="TimesNewRomanPSMT"/>
          <w:lang w:val="fr-FR" w:eastAsia="fr-FR"/>
        </w:rPr>
        <w:t>» par «</w:t>
      </w:r>
      <w:r w:rsidRPr="007423F7">
        <w:rPr>
          <w:lang w:val="fr-FR"/>
        </w:rPr>
        <w:t>dans des conditions de transport de routine</w:t>
      </w:r>
      <w:r w:rsidRPr="007423F7">
        <w:rPr>
          <w:rFonts w:ascii="TimesNewRomanPSMT" w:hAnsi="TimesNewRomanPSMT" w:cs="TimesNewRomanPSMT"/>
          <w:lang w:val="fr-FR" w:eastAsia="fr-FR"/>
        </w:rPr>
        <w:t>».</w:t>
      </w:r>
    </w:p>
    <w:p w:rsidR="005C4275" w:rsidRPr="007423F7" w:rsidRDefault="005C4275" w:rsidP="005C4275">
      <w:pPr>
        <w:pStyle w:val="SingleTxtG"/>
        <w:rPr>
          <w:lang w:val="fr-FR"/>
        </w:rPr>
      </w:pPr>
      <w:r w:rsidRPr="007423F7">
        <w:rPr>
          <w:lang w:val="fr-FR"/>
        </w:rPr>
        <w:t>6.4.11.8 a)</w:t>
      </w:r>
      <w:r w:rsidRPr="007423F7">
        <w:rPr>
          <w:lang w:val="fr-FR"/>
        </w:rPr>
        <w:tab/>
        <w:t>Au début, remplacer «</w:t>
      </w:r>
      <w:r w:rsidRPr="007423F7">
        <w:t>Soit des barrières étanches</w:t>
      </w:r>
      <w:r w:rsidRPr="007423F7">
        <w:rPr>
          <w:lang w:val="fr-FR"/>
        </w:rPr>
        <w:t>» par «</w:t>
      </w:r>
      <w:r w:rsidRPr="007423F7">
        <w:t>Soit des barrières étanches à l’eau</w:t>
      </w:r>
      <w:r w:rsidRPr="007423F7">
        <w:rPr>
          <w:lang w:val="fr-FR"/>
        </w:rPr>
        <w:t>».</w:t>
      </w:r>
    </w:p>
    <w:p w:rsidR="005C4275" w:rsidRPr="007423F7" w:rsidRDefault="005C4275" w:rsidP="005C4275">
      <w:pPr>
        <w:pStyle w:val="SingleTxtG"/>
        <w:rPr>
          <w:lang w:val="fr-FR"/>
        </w:rPr>
      </w:pPr>
      <w:r w:rsidRPr="007423F7">
        <w:rPr>
          <w:lang w:val="fr-FR"/>
        </w:rPr>
        <w:t>6.4.21.2</w:t>
      </w:r>
      <w:r w:rsidRPr="007423F7">
        <w:rPr>
          <w:lang w:val="fr-FR"/>
        </w:rPr>
        <w:tab/>
        <w:t>Remplacer «d'une épreuve de capacité en eau» par «d</w:t>
      </w:r>
      <w:r w:rsidR="00874B3A" w:rsidRPr="007423F7">
        <w:rPr>
          <w:lang w:val="fr-FR"/>
        </w:rPr>
        <w:t>’</w:t>
      </w:r>
      <w:r w:rsidRPr="007423F7">
        <w:rPr>
          <w:lang w:val="fr-FR"/>
        </w:rPr>
        <w:t>une vérification de la capacité en eau».</w:t>
      </w:r>
    </w:p>
    <w:p w:rsidR="005C4275" w:rsidRPr="007423F7" w:rsidRDefault="005C4275" w:rsidP="005C4275">
      <w:pPr>
        <w:pStyle w:val="SingleTxtG"/>
        <w:tabs>
          <w:tab w:val="left" w:pos="1854"/>
        </w:tabs>
        <w:rPr>
          <w:lang w:val="fr-FR"/>
        </w:rPr>
      </w:pPr>
      <w:r w:rsidRPr="007423F7">
        <w:rPr>
          <w:lang w:val="fr-FR"/>
        </w:rPr>
        <w:t>6.4.23.11 a)</w:t>
      </w:r>
      <w:r w:rsidRPr="007423F7">
        <w:rPr>
          <w:lang w:val="fr-FR"/>
        </w:rPr>
        <w:tab/>
        <w:t xml:space="preserve">Modifier pour lire comme suit: </w:t>
      </w:r>
    </w:p>
    <w:p w:rsidR="005C4275" w:rsidRPr="007423F7" w:rsidRDefault="005C4275" w:rsidP="005C4275">
      <w:pPr>
        <w:pStyle w:val="SingleTxtG"/>
        <w:tabs>
          <w:tab w:val="left" w:pos="1854"/>
        </w:tabs>
        <w:rPr>
          <w:lang w:val="fr-FR"/>
        </w:rPr>
      </w:pPr>
      <w:r w:rsidRPr="007423F7">
        <w:rPr>
          <w:lang w:val="fr-FR"/>
        </w:rPr>
        <w:t>«a)</w:t>
      </w:r>
      <w:r w:rsidRPr="007423F7">
        <w:rPr>
          <w:lang w:val="fr-FR"/>
        </w:rPr>
        <w:tab/>
        <w:t>Sous réserve des prescriptions du 6.4.23.12 b), l'indicatif de pays est le signe distinctif utilisé sur les véhicules en circulation routière internationale</w:t>
      </w:r>
      <w:r w:rsidRPr="007423F7">
        <w:rPr>
          <w:b/>
          <w:vertAlign w:val="superscript"/>
          <w:lang w:val="fr-FR"/>
        </w:rPr>
        <w:t>1</w:t>
      </w:r>
      <w:r w:rsidRPr="007423F7">
        <w:rPr>
          <w:lang w:val="fr-FR"/>
        </w:rPr>
        <w:t xml:space="preserve"> pour le pays qui délivre le certificat</w:t>
      </w:r>
      <w:r w:rsidR="00874B3A" w:rsidRPr="007423F7">
        <w:rPr>
          <w:lang w:val="fr-FR"/>
        </w:rPr>
        <w:t>;</w:t>
      </w:r>
      <w:r w:rsidRPr="007423F7">
        <w:rPr>
          <w:lang w:val="fr-FR"/>
        </w:rPr>
        <w:t>».</w:t>
      </w:r>
    </w:p>
    <w:p w:rsidR="005C4275" w:rsidRPr="007423F7" w:rsidRDefault="005C4275" w:rsidP="005C4275">
      <w:pPr>
        <w:pStyle w:val="SingleTxtG"/>
        <w:tabs>
          <w:tab w:val="left" w:pos="1854"/>
        </w:tabs>
        <w:rPr>
          <w:lang w:val="fr-FR"/>
        </w:rPr>
      </w:pPr>
      <w:r w:rsidRPr="007423F7">
        <w:rPr>
          <w:lang w:val="fr-FR"/>
        </w:rPr>
        <w:t>Modifier la note de bas de page 1 pour lire:</w:t>
      </w:r>
    </w:p>
    <w:p w:rsidR="005C4275" w:rsidRPr="007423F7" w:rsidRDefault="005C4275" w:rsidP="005C4275">
      <w:pPr>
        <w:pStyle w:val="SingleTxtG"/>
        <w:tabs>
          <w:tab w:val="left" w:pos="1854"/>
        </w:tabs>
        <w:rPr>
          <w:lang w:val="fr-FR"/>
        </w:rPr>
      </w:pPr>
      <w:r w:rsidRPr="007423F7">
        <w:rPr>
          <w:lang w:val="fr-FR"/>
        </w:rPr>
        <w:t>«</w:t>
      </w:r>
      <w:r w:rsidRPr="007423F7">
        <w:rPr>
          <w:b/>
          <w:vertAlign w:val="superscript"/>
          <w:lang w:val="fr-FR"/>
        </w:rPr>
        <w:t>1</w:t>
      </w:r>
      <w:r w:rsidRPr="007423F7">
        <w:rPr>
          <w:lang w:val="fr-FR"/>
        </w:rPr>
        <w:tab/>
      </w:r>
      <w:r w:rsidRPr="007423F7">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5C4275" w:rsidRPr="007423F7" w:rsidRDefault="00BB6C37" w:rsidP="00BB6C37">
      <w:pPr>
        <w:pStyle w:val="H1G"/>
      </w:pPr>
      <w:r w:rsidRPr="007423F7">
        <w:tab/>
      </w:r>
      <w:r w:rsidRPr="007423F7">
        <w:tab/>
      </w:r>
      <w:r w:rsidR="005C4275" w:rsidRPr="007423F7">
        <w:t xml:space="preserve">Chapitre 6.5 </w:t>
      </w:r>
    </w:p>
    <w:p w:rsidR="005C4275" w:rsidRPr="007423F7" w:rsidRDefault="005C4275" w:rsidP="005C4275">
      <w:pPr>
        <w:pStyle w:val="SingleTxtG"/>
        <w:rPr>
          <w:lang w:val="fr-FR"/>
        </w:rPr>
      </w:pPr>
      <w:r w:rsidRPr="007423F7">
        <w:rPr>
          <w:lang w:val="fr-FR" w:eastAsia="fr-FR"/>
        </w:rPr>
        <w:t>6.5.1.4.4</w:t>
      </w:r>
      <w:r w:rsidRPr="007423F7">
        <w:rPr>
          <w:lang w:val="fr-FR"/>
        </w:rPr>
        <w:tab/>
      </w:r>
      <w:r w:rsidRPr="007423F7">
        <w:rPr>
          <w:lang w:val="fr-FR" w:eastAsia="fr-FR"/>
        </w:rPr>
        <w:t>Modifier la deuxième phrase pour lire comme suit: «</w:t>
      </w:r>
      <w:r w:rsidRPr="007423F7">
        <w:rPr>
          <w:lang w:val="fr-FR"/>
        </w:rPr>
        <w:t>La lettre "W" indique que le GRV, bien qu'il soit du même type que celui désigné par le code, a été fabriqué selon une spécification différente de celles du 6.5.5, mais est considéré comme équivalent au sens du 6.5.1.1.2.».</w:t>
      </w:r>
    </w:p>
    <w:p w:rsidR="00CC58D5" w:rsidRPr="007423F7" w:rsidRDefault="00CC58D5" w:rsidP="005C4275">
      <w:pPr>
        <w:pStyle w:val="SingleTxtG"/>
        <w:tabs>
          <w:tab w:val="left" w:pos="1854"/>
        </w:tabs>
        <w:rPr>
          <w:lang w:val="fr-FR"/>
        </w:rPr>
      </w:pPr>
      <w:r w:rsidRPr="007423F7">
        <w:rPr>
          <w:lang w:val="fr-FR"/>
        </w:rPr>
        <w:t xml:space="preserve">6.5.2.1.1 a) </w:t>
      </w:r>
      <w:r w:rsidRPr="007423F7">
        <w:rPr>
          <w:lang w:val="fr-FR"/>
        </w:rPr>
        <w:tab/>
        <w:t>Supprimer la note de bas de page 1 et renuméroter la note de bas de page suivante en tant que note de bas de page 1.</w:t>
      </w:r>
    </w:p>
    <w:p w:rsidR="005C4275" w:rsidRPr="007423F7" w:rsidRDefault="005C4275" w:rsidP="005C4275">
      <w:pPr>
        <w:pStyle w:val="SingleTxtG"/>
        <w:tabs>
          <w:tab w:val="left" w:pos="1854"/>
        </w:tabs>
        <w:rPr>
          <w:lang w:val="fr-FR"/>
        </w:rPr>
      </w:pPr>
      <w:r w:rsidRPr="007423F7">
        <w:rPr>
          <w:lang w:val="fr-FR"/>
        </w:rPr>
        <w:t>6.5.2.1.1 e)</w:t>
      </w:r>
      <w:r w:rsidRPr="007423F7">
        <w:rPr>
          <w:lang w:val="fr-FR"/>
        </w:rPr>
        <w:tab/>
        <w:t>Remplacer «du signe distinctif utilisé pour les véhicules automobiles en circulation routière internationale</w:t>
      </w:r>
      <w:r w:rsidRPr="007423F7">
        <w:rPr>
          <w:b/>
          <w:vertAlign w:val="superscript"/>
          <w:lang w:val="fr-FR"/>
        </w:rPr>
        <w:t>2</w:t>
      </w:r>
      <w:r w:rsidRPr="007423F7">
        <w:rPr>
          <w:lang w:val="fr-FR"/>
        </w:rPr>
        <w:t xml:space="preserve">» par «du signe distinctif utilisé sur les véhicules en circulation routière </w:t>
      </w:r>
      <w:r w:rsidR="00CC58D5" w:rsidRPr="007423F7">
        <w:rPr>
          <w:lang w:val="fr-FR"/>
        </w:rPr>
        <w:t>internationale</w:t>
      </w:r>
      <w:r w:rsidR="00CC58D5" w:rsidRPr="007423F7">
        <w:rPr>
          <w:b/>
          <w:vertAlign w:val="superscript"/>
          <w:lang w:val="fr-FR"/>
        </w:rPr>
        <w:t>1</w:t>
      </w:r>
      <w:r w:rsidRPr="007423F7">
        <w:rPr>
          <w:lang w:val="fr-FR"/>
        </w:rPr>
        <w:t>».</w:t>
      </w:r>
    </w:p>
    <w:p w:rsidR="005C4275" w:rsidRPr="007423F7" w:rsidRDefault="005C4275" w:rsidP="005C4275">
      <w:pPr>
        <w:pStyle w:val="SingleTxtG"/>
        <w:tabs>
          <w:tab w:val="left" w:pos="1854"/>
        </w:tabs>
        <w:rPr>
          <w:lang w:val="fr-FR"/>
        </w:rPr>
      </w:pPr>
      <w:r w:rsidRPr="007423F7">
        <w:rPr>
          <w:lang w:val="fr-FR"/>
        </w:rPr>
        <w:lastRenderedPageBreak/>
        <w:t xml:space="preserve">Modifier la note de bas de page </w:t>
      </w:r>
      <w:r w:rsidR="00CC58D5" w:rsidRPr="007423F7">
        <w:rPr>
          <w:lang w:val="fr-FR"/>
        </w:rPr>
        <w:t xml:space="preserve">1 (anciennement note de bas de page 2) </w:t>
      </w:r>
      <w:r w:rsidRPr="007423F7">
        <w:rPr>
          <w:lang w:val="fr-FR"/>
        </w:rPr>
        <w:t xml:space="preserve"> pour lire:</w:t>
      </w:r>
    </w:p>
    <w:p w:rsidR="005C4275" w:rsidRPr="007423F7" w:rsidRDefault="005C4275" w:rsidP="005C4275">
      <w:pPr>
        <w:pStyle w:val="SingleTxtG"/>
        <w:tabs>
          <w:tab w:val="left" w:pos="1854"/>
        </w:tabs>
        <w:rPr>
          <w:lang w:val="fr-FR"/>
        </w:rPr>
      </w:pPr>
      <w:r w:rsidRPr="007423F7">
        <w:rPr>
          <w:lang w:val="fr-FR"/>
        </w:rPr>
        <w:t>«</w:t>
      </w:r>
      <w:r w:rsidR="00CC58D5" w:rsidRPr="007423F7">
        <w:rPr>
          <w:b/>
          <w:vertAlign w:val="superscript"/>
          <w:lang w:val="fr-FR"/>
        </w:rPr>
        <w:t>1</w:t>
      </w:r>
      <w:r w:rsidRPr="007423F7">
        <w:rPr>
          <w:lang w:val="fr-FR"/>
        </w:rPr>
        <w:tab/>
      </w:r>
      <w:r w:rsidRPr="007423F7">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5C4275" w:rsidRPr="007423F7" w:rsidRDefault="005C4275" w:rsidP="005C4275">
      <w:pPr>
        <w:pStyle w:val="SingleTxtG"/>
        <w:rPr>
          <w:lang w:val="fr-FR"/>
        </w:rPr>
      </w:pPr>
      <w:r w:rsidRPr="007423F7">
        <w:rPr>
          <w:lang w:val="fr-FR"/>
        </w:rPr>
        <w:t>6.5.5</w:t>
      </w:r>
      <w:r w:rsidRPr="007423F7">
        <w:rPr>
          <w:lang w:val="fr-FR"/>
        </w:rPr>
        <w:tab/>
        <w:t>Modifier le titre pour lire «6.5.5</w:t>
      </w:r>
      <w:r w:rsidRPr="007423F7">
        <w:rPr>
          <w:lang w:val="fr-FR"/>
        </w:rPr>
        <w:tab/>
        <w:t>Prescriptions particulières applicables aux GRV».</w:t>
      </w:r>
    </w:p>
    <w:p w:rsidR="005C4275" w:rsidRPr="007423F7" w:rsidRDefault="005C4275" w:rsidP="005C4275">
      <w:pPr>
        <w:tabs>
          <w:tab w:val="left" w:pos="1418"/>
          <w:tab w:val="left" w:pos="1843"/>
        </w:tabs>
        <w:spacing w:before="120" w:after="120"/>
        <w:ind w:left="1134" w:right="1134"/>
        <w:jc w:val="both"/>
        <w:rPr>
          <w:szCs w:val="24"/>
          <w:lang w:val="fr-FR"/>
        </w:rPr>
      </w:pPr>
      <w:r w:rsidRPr="007423F7">
        <w:rPr>
          <w:szCs w:val="24"/>
          <w:lang w:val="fr-FR"/>
        </w:rPr>
        <w:t>6.5.5.1.7</w:t>
      </w:r>
      <w:r w:rsidRPr="007423F7">
        <w:rPr>
          <w:lang w:val="fr-FR"/>
        </w:rPr>
        <w:tab/>
      </w:r>
      <w:r w:rsidRPr="007423F7">
        <w:rPr>
          <w:lang w:val="fr-FR"/>
        </w:rPr>
        <w:tab/>
      </w:r>
      <w:r w:rsidR="00874B3A" w:rsidRPr="007423F7">
        <w:rPr>
          <w:lang w:val="fr-FR"/>
        </w:rPr>
        <w:t xml:space="preserve">À la fin, remplacer </w:t>
      </w:r>
      <w:r w:rsidRPr="007423F7">
        <w:rPr>
          <w:lang w:val="fr-FR"/>
        </w:rPr>
        <w:t>«dans la phase vapeur» par «dans le ciel gazeux».</w:t>
      </w:r>
    </w:p>
    <w:p w:rsidR="005C4275" w:rsidRPr="007423F7" w:rsidRDefault="005C4275" w:rsidP="005C4275">
      <w:pPr>
        <w:pStyle w:val="SingleTxtG"/>
        <w:rPr>
          <w:lang w:val="fr-FR"/>
        </w:rPr>
      </w:pPr>
      <w:r w:rsidRPr="007423F7">
        <w:rPr>
          <w:lang w:val="fr-FR" w:eastAsia="fr-FR"/>
        </w:rPr>
        <w:t>6.5.5.4.17 et 6.5.5.5.3</w:t>
      </w:r>
      <w:r w:rsidRPr="007423F7">
        <w:rPr>
          <w:lang w:val="fr-FR" w:eastAsia="fr-FR"/>
        </w:rPr>
        <w:tab/>
        <w:t>Remplacer «</w:t>
      </w:r>
      <w:r w:rsidRPr="007423F7">
        <w:rPr>
          <w:rFonts w:ascii="TimesNewRomanPSMT" w:hAnsi="TimesNewRomanPSMT" w:cs="TimesNewRomanPSMT"/>
          <w:lang w:val="fr-FR" w:eastAsia="fr-FR"/>
        </w:rPr>
        <w:t>Le matériau doit avoir des caractéristiques</w:t>
      </w:r>
      <w:r w:rsidRPr="007423F7">
        <w:rPr>
          <w:lang w:val="fr-FR" w:eastAsia="fr-FR"/>
        </w:rPr>
        <w:t>» par «</w:t>
      </w:r>
      <w:r w:rsidRPr="007423F7">
        <w:rPr>
          <w:rFonts w:ascii="TimesNewRomanPSMT" w:hAnsi="TimesNewRomanPSMT" w:cs="TimesNewRomanPSMT"/>
          <w:lang w:val="fr-FR" w:eastAsia="fr-FR"/>
        </w:rPr>
        <w:t>Le carton doit avoir des caractéristiques</w:t>
      </w:r>
      <w:r w:rsidRPr="007423F7">
        <w:rPr>
          <w:lang w:val="fr-FR" w:eastAsia="fr-FR"/>
        </w:rPr>
        <w:t>».</w:t>
      </w:r>
    </w:p>
    <w:p w:rsidR="005C4275" w:rsidRPr="007423F7" w:rsidRDefault="005C4275" w:rsidP="005C4275">
      <w:pPr>
        <w:pStyle w:val="SingleTxtG"/>
        <w:rPr>
          <w:lang w:val="fr-FR"/>
        </w:rPr>
      </w:pPr>
      <w:r w:rsidRPr="007423F7">
        <w:rPr>
          <w:lang w:val="fr-FR"/>
        </w:rPr>
        <w:t>6.5.6.3.3</w:t>
      </w:r>
      <w:r w:rsidRPr="007423F7">
        <w:rPr>
          <w:lang w:val="fr-FR"/>
        </w:rPr>
        <w:tab/>
        <w:t>Remplacer «pendant lequel» par «pendant laquelle» et remplacer «matières conçues pour avoir des effets» par «matières connues pour avoir des effets».</w:t>
      </w:r>
    </w:p>
    <w:p w:rsidR="005C4275" w:rsidRPr="007423F7" w:rsidRDefault="00E937E5" w:rsidP="005C4275">
      <w:pPr>
        <w:pStyle w:val="SingleTxtG"/>
        <w:rPr>
          <w:lang w:val="fr-FR"/>
        </w:rPr>
      </w:pPr>
      <w:r w:rsidRPr="007423F7">
        <w:rPr>
          <w:lang w:val="fr-FR"/>
        </w:rPr>
        <w:t xml:space="preserve">6.5.6.2.2 première phrase et 6.5.6.3.7, </w:t>
      </w:r>
      <w:r w:rsidR="005C4275" w:rsidRPr="007423F7">
        <w:rPr>
          <w:lang w:val="fr-FR"/>
        </w:rPr>
        <w:t xml:space="preserve">Note de bas de tableau g </w:t>
      </w:r>
      <w:r w:rsidR="005C4275" w:rsidRPr="007423F7">
        <w:rPr>
          <w:lang w:val="fr-FR"/>
        </w:rPr>
        <w:tab/>
        <w:t>Remplacer «peut être employé» par «peut être utilisé».</w:t>
      </w:r>
    </w:p>
    <w:p w:rsidR="005C4275" w:rsidRPr="007423F7" w:rsidRDefault="005C4275" w:rsidP="005C4275">
      <w:pPr>
        <w:pStyle w:val="SingleTxtG"/>
        <w:rPr>
          <w:lang w:val="fr-FR"/>
        </w:rPr>
      </w:pPr>
      <w:r w:rsidRPr="007423F7">
        <w:rPr>
          <w:lang w:val="fr-FR"/>
        </w:rPr>
        <w:t>6.5.6.9.2 c)</w:t>
      </w:r>
      <w:r w:rsidRPr="007423F7">
        <w:rPr>
          <w:lang w:val="fr-FR"/>
        </w:rPr>
        <w:tab/>
        <w:t>Remplacer «6.5.4.3.1» par «6.5.6.3.1».</w:t>
      </w:r>
    </w:p>
    <w:p w:rsidR="005C4275" w:rsidRPr="007423F7" w:rsidRDefault="00F704B0" w:rsidP="00F704B0">
      <w:pPr>
        <w:pStyle w:val="H1G"/>
      </w:pPr>
      <w:r w:rsidRPr="007423F7">
        <w:tab/>
      </w:r>
      <w:r w:rsidRPr="007423F7">
        <w:tab/>
      </w:r>
      <w:r w:rsidR="005C4275" w:rsidRPr="007423F7">
        <w:t>Chapitre 6.6</w:t>
      </w:r>
    </w:p>
    <w:p w:rsidR="00CC58D5" w:rsidRPr="007423F7" w:rsidRDefault="00CC58D5" w:rsidP="00CC58D5">
      <w:pPr>
        <w:pStyle w:val="SingleTxtG"/>
        <w:tabs>
          <w:tab w:val="left" w:pos="1854"/>
        </w:tabs>
        <w:rPr>
          <w:lang w:val="fr-FR"/>
        </w:rPr>
      </w:pPr>
      <w:r w:rsidRPr="007423F7">
        <w:rPr>
          <w:lang w:val="fr-FR"/>
        </w:rPr>
        <w:t xml:space="preserve">6.6.3.1 a) </w:t>
      </w:r>
      <w:r w:rsidRPr="007423F7">
        <w:rPr>
          <w:lang w:val="fr-FR"/>
        </w:rPr>
        <w:tab/>
        <w:t>Supprimer la note de bas de page 1 et renuméroter la note de bas de page suivante en tant que note de bas de page 1.</w:t>
      </w:r>
    </w:p>
    <w:p w:rsidR="005C4275" w:rsidRPr="007423F7" w:rsidRDefault="005C4275" w:rsidP="005C4275">
      <w:pPr>
        <w:pStyle w:val="SingleTxtG"/>
        <w:tabs>
          <w:tab w:val="left" w:pos="1854"/>
        </w:tabs>
        <w:rPr>
          <w:lang w:val="fr-FR"/>
        </w:rPr>
      </w:pPr>
      <w:r w:rsidRPr="007423F7">
        <w:rPr>
          <w:lang w:val="fr-FR"/>
        </w:rPr>
        <w:t>6.6.3.1 e)</w:t>
      </w:r>
      <w:r w:rsidRPr="007423F7">
        <w:rPr>
          <w:lang w:val="fr-FR"/>
        </w:rPr>
        <w:tab/>
        <w:t>Remplacer «du signe distinctif utilisé pour les véhicules routiers en circulation internationale</w:t>
      </w:r>
      <w:r w:rsidRPr="007423F7">
        <w:rPr>
          <w:b/>
          <w:vertAlign w:val="superscript"/>
          <w:lang w:val="fr-FR"/>
        </w:rPr>
        <w:t>2</w:t>
      </w:r>
      <w:r w:rsidRPr="007423F7">
        <w:rPr>
          <w:lang w:val="fr-FR"/>
        </w:rPr>
        <w:t xml:space="preserve">» par «du signe distinctif utilisé sur les véhicules en circulation routière </w:t>
      </w:r>
      <w:r w:rsidR="00CC58D5" w:rsidRPr="007423F7">
        <w:rPr>
          <w:lang w:val="fr-FR"/>
        </w:rPr>
        <w:t>internationale</w:t>
      </w:r>
      <w:r w:rsidR="00CC58D5" w:rsidRPr="007423F7">
        <w:rPr>
          <w:b/>
          <w:vertAlign w:val="superscript"/>
          <w:lang w:val="fr-FR"/>
        </w:rPr>
        <w:t>1</w:t>
      </w:r>
      <w:r w:rsidRPr="007423F7">
        <w:rPr>
          <w:lang w:val="fr-FR"/>
        </w:rPr>
        <w:t xml:space="preserve">». </w:t>
      </w:r>
    </w:p>
    <w:p w:rsidR="005C4275" w:rsidRPr="007423F7" w:rsidRDefault="005C4275" w:rsidP="005C4275">
      <w:pPr>
        <w:pStyle w:val="SingleTxtG"/>
        <w:tabs>
          <w:tab w:val="left" w:pos="1854"/>
        </w:tabs>
        <w:rPr>
          <w:lang w:val="fr-FR"/>
        </w:rPr>
      </w:pPr>
      <w:r w:rsidRPr="007423F7">
        <w:rPr>
          <w:lang w:val="fr-FR"/>
        </w:rPr>
        <w:t xml:space="preserve">Modifier la note de bas de page </w:t>
      </w:r>
      <w:r w:rsidR="00CC58D5" w:rsidRPr="007423F7">
        <w:rPr>
          <w:lang w:val="fr-FR"/>
        </w:rPr>
        <w:t xml:space="preserve">1 (anciennement note de bas de page 2) </w:t>
      </w:r>
      <w:r w:rsidRPr="007423F7">
        <w:rPr>
          <w:lang w:val="fr-FR"/>
        </w:rPr>
        <w:t xml:space="preserve"> pour lire:</w:t>
      </w:r>
    </w:p>
    <w:p w:rsidR="005C4275" w:rsidRPr="007423F7" w:rsidRDefault="005C4275" w:rsidP="005C4275">
      <w:pPr>
        <w:pStyle w:val="SingleTxtG"/>
        <w:tabs>
          <w:tab w:val="left" w:pos="1854"/>
        </w:tabs>
        <w:rPr>
          <w:lang w:val="fr-FR"/>
        </w:rPr>
      </w:pPr>
      <w:r w:rsidRPr="007423F7">
        <w:rPr>
          <w:lang w:val="fr-FR"/>
        </w:rPr>
        <w:t>«</w:t>
      </w:r>
      <w:r w:rsidR="00CC58D5" w:rsidRPr="007423F7">
        <w:rPr>
          <w:b/>
          <w:vertAlign w:val="superscript"/>
          <w:lang w:val="fr-FR"/>
        </w:rPr>
        <w:t>1</w:t>
      </w:r>
      <w:r w:rsidRPr="007423F7">
        <w:rPr>
          <w:lang w:val="fr-FR"/>
        </w:rPr>
        <w:tab/>
      </w:r>
      <w:r w:rsidRPr="007423F7">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5C4275" w:rsidRPr="007423F7" w:rsidRDefault="005C4275" w:rsidP="005C4275">
      <w:pPr>
        <w:pStyle w:val="SingleTxtG"/>
        <w:rPr>
          <w:lang w:val="fr-FR"/>
        </w:rPr>
      </w:pPr>
      <w:r w:rsidRPr="007423F7">
        <w:rPr>
          <w:lang w:val="fr-FR"/>
        </w:rPr>
        <w:t>6.6.4</w:t>
      </w:r>
      <w:r w:rsidRPr="007423F7">
        <w:rPr>
          <w:lang w:val="fr-FR"/>
        </w:rPr>
        <w:tab/>
        <w:t>Modifier le titre pour lire «6.6.4</w:t>
      </w:r>
      <w:r w:rsidRPr="007423F7">
        <w:rPr>
          <w:lang w:val="fr-FR"/>
        </w:rPr>
        <w:tab/>
        <w:t>Prescriptions particulières applicables aux grands emballages».</w:t>
      </w:r>
    </w:p>
    <w:p w:rsidR="00F704B0" w:rsidRPr="00062AEB" w:rsidRDefault="00F704B0" w:rsidP="00F704B0">
      <w:pPr>
        <w:pStyle w:val="SingleTxtG"/>
        <w:rPr>
          <w:lang w:val="fr-FR"/>
        </w:rPr>
      </w:pPr>
      <w:r w:rsidRPr="00062AEB">
        <w:rPr>
          <w:lang w:val="fr-FR"/>
        </w:rPr>
        <w:t>6.6.5.1.7</w:t>
      </w:r>
      <w:r w:rsidRPr="00062AEB">
        <w:rPr>
          <w:lang w:val="fr-FR"/>
        </w:rPr>
        <w:tab/>
      </w:r>
      <w:r w:rsidRPr="007423F7">
        <w:rPr>
          <w:lang w:val="fr-FR"/>
        </w:rPr>
        <w:t>Remplacer «de ce chapitre» par «de la présente section».</w:t>
      </w:r>
    </w:p>
    <w:p w:rsidR="005C4275" w:rsidRPr="007423F7" w:rsidRDefault="00F704B0" w:rsidP="00F704B0">
      <w:pPr>
        <w:pStyle w:val="H1G"/>
      </w:pPr>
      <w:r w:rsidRPr="007423F7">
        <w:tab/>
      </w:r>
      <w:r w:rsidRPr="007423F7">
        <w:tab/>
      </w:r>
      <w:r w:rsidR="005C4275" w:rsidRPr="007423F7">
        <w:t>Chapitre 6.7</w:t>
      </w:r>
    </w:p>
    <w:p w:rsidR="006C62F4" w:rsidRPr="007423F7" w:rsidRDefault="006C62F4" w:rsidP="006C62F4">
      <w:pPr>
        <w:pStyle w:val="SingleTxtG"/>
        <w:rPr>
          <w:lang w:val="fr-FR"/>
        </w:rPr>
      </w:pPr>
      <w:r w:rsidRPr="007423F7">
        <w:rPr>
          <w:lang w:val="fr-FR"/>
        </w:rPr>
        <w:t>6.7.2.1, 6.7.3.1 et 6.7.4.1</w:t>
      </w:r>
      <w:r w:rsidRPr="007423F7">
        <w:rPr>
          <w:lang w:val="fr-FR"/>
        </w:rPr>
        <w:tab/>
        <w:t xml:space="preserve">Dans la définition de </w:t>
      </w:r>
      <w:r w:rsidRPr="007423F7">
        <w:rPr>
          <w:i/>
          <w:lang w:val="fr-FR"/>
        </w:rPr>
        <w:t>Citerne mobile</w:t>
      </w:r>
      <w:r w:rsidRPr="007423F7">
        <w:rPr>
          <w:lang w:val="fr-FR"/>
        </w:rPr>
        <w:t>, remplacer «ou un bateau de navigation maritime ou de navigation intérieure» par «, un navire de mer ou un bateau de navigation intérieure».</w:t>
      </w:r>
    </w:p>
    <w:p w:rsidR="005C4275" w:rsidRPr="007423F7" w:rsidRDefault="005C4275" w:rsidP="005C4275">
      <w:pPr>
        <w:pStyle w:val="SingleTxtG"/>
        <w:rPr>
          <w:lang w:val="fr-FR" w:eastAsia="fr-FR"/>
        </w:rPr>
      </w:pPr>
      <w:r w:rsidRPr="007423F7">
        <w:rPr>
          <w:lang w:val="fr-FR" w:eastAsia="fr-FR"/>
        </w:rPr>
        <w:t>6.7.2.2.1</w:t>
      </w:r>
      <w:r w:rsidRPr="007423F7">
        <w:rPr>
          <w:lang w:val="fr-FR" w:eastAsia="fr-FR"/>
        </w:rPr>
        <w:tab/>
        <w:t>Dans la première phrase, remplacer «</w:t>
      </w:r>
      <w:r w:rsidRPr="007423F7">
        <w:rPr>
          <w:bCs/>
          <w:iCs/>
          <w:lang w:val="fr-FR"/>
        </w:rPr>
        <w:t>code pour récipients à pression</w:t>
      </w:r>
      <w:r w:rsidRPr="007423F7">
        <w:rPr>
          <w:lang w:val="fr-FR"/>
        </w:rPr>
        <w:t xml:space="preserve"> agréé par l'autorité compétente</w:t>
      </w:r>
      <w:r w:rsidRPr="007423F7">
        <w:rPr>
          <w:lang w:val="fr-FR" w:eastAsia="fr-FR"/>
        </w:rPr>
        <w:t>» par «</w:t>
      </w:r>
      <w:r w:rsidRPr="007423F7">
        <w:rPr>
          <w:bCs/>
          <w:iCs/>
          <w:lang w:val="fr-FR"/>
        </w:rPr>
        <w:t>code pour appareils à pression</w:t>
      </w:r>
      <w:r w:rsidRPr="007423F7">
        <w:rPr>
          <w:lang w:val="fr-FR" w:eastAsia="fr-FR"/>
        </w:rPr>
        <w:t xml:space="preserve"> reconnu par l’autorité compétente». Dans la cinquième phrase, remplacer «</w:t>
      </w:r>
      <w:r w:rsidRPr="007423F7">
        <w:rPr>
          <w:lang w:val="fr-FR"/>
        </w:rPr>
        <w:t>Les joints de soudure doivent être faits</w:t>
      </w:r>
      <w:r w:rsidRPr="007423F7">
        <w:rPr>
          <w:lang w:val="fr-FR" w:eastAsia="fr-FR"/>
        </w:rPr>
        <w:t>» par «Les soudures doivent être faites».</w:t>
      </w:r>
    </w:p>
    <w:p w:rsidR="005C4275" w:rsidRPr="007423F7" w:rsidRDefault="005C4275" w:rsidP="005C4275">
      <w:pPr>
        <w:pStyle w:val="SingleTxtG"/>
        <w:rPr>
          <w:lang w:val="fr-FR" w:eastAsia="fr-FR"/>
        </w:rPr>
      </w:pPr>
      <w:r w:rsidRPr="007423F7">
        <w:rPr>
          <w:lang w:val="fr-FR" w:eastAsia="fr-FR"/>
        </w:rPr>
        <w:t>6.7.2.2.7</w:t>
      </w:r>
      <w:r w:rsidRPr="007423F7">
        <w:rPr>
          <w:lang w:val="fr-FR" w:eastAsia="fr-FR"/>
        </w:rPr>
        <w:tab/>
        <w:t>Remplacer «</w:t>
      </w:r>
      <w:r w:rsidRPr="007423F7">
        <w:rPr>
          <w:lang w:val="fr-FR"/>
        </w:rPr>
        <w:t>les matières qui doivent être transportées</w:t>
      </w:r>
      <w:r w:rsidRPr="007423F7">
        <w:rPr>
          <w:lang w:val="fr-FR" w:eastAsia="fr-FR"/>
        </w:rPr>
        <w:t>» par «</w:t>
      </w:r>
      <w:r w:rsidRPr="007423F7">
        <w:rPr>
          <w:lang w:val="fr-FR"/>
        </w:rPr>
        <w:t>les matières destinées à être transportées</w:t>
      </w:r>
      <w:r w:rsidRPr="007423F7">
        <w:rPr>
          <w:lang w:val="fr-FR" w:eastAsia="fr-FR"/>
        </w:rPr>
        <w:t>».</w:t>
      </w:r>
    </w:p>
    <w:p w:rsidR="005C4275" w:rsidRPr="007423F7" w:rsidRDefault="005C4275" w:rsidP="005C4275">
      <w:pPr>
        <w:pStyle w:val="SingleTxtG"/>
        <w:rPr>
          <w:lang w:val="fr-FR" w:eastAsia="fr-FR"/>
        </w:rPr>
      </w:pPr>
      <w:r w:rsidRPr="007423F7">
        <w:rPr>
          <w:lang w:val="fr-FR" w:eastAsia="fr-FR"/>
        </w:rPr>
        <w:t>6.7.2.4.1 b)</w:t>
      </w:r>
      <w:r w:rsidRPr="007423F7">
        <w:rPr>
          <w:lang w:val="fr-FR" w:eastAsia="fr-FR"/>
        </w:rPr>
        <w:tab/>
        <w:t>Modifier pour lire comme suit:</w:t>
      </w:r>
    </w:p>
    <w:p w:rsidR="005C4275" w:rsidRPr="007423F7" w:rsidRDefault="005C4275" w:rsidP="005C4275">
      <w:pPr>
        <w:pStyle w:val="SingleTxtG"/>
        <w:tabs>
          <w:tab w:val="left" w:pos="1854"/>
        </w:tabs>
        <w:rPr>
          <w:lang w:val="fr-FR"/>
        </w:rPr>
      </w:pPr>
      <w:r w:rsidRPr="007423F7">
        <w:rPr>
          <w:lang w:val="fr-FR" w:eastAsia="fr-FR"/>
        </w:rPr>
        <w:lastRenderedPageBreak/>
        <w:t>«b)</w:t>
      </w:r>
      <w:r w:rsidRPr="007423F7">
        <w:rPr>
          <w:lang w:val="fr-FR" w:eastAsia="fr-FR"/>
        </w:rPr>
        <w:tab/>
      </w:r>
      <w:r w:rsidRPr="007423F7">
        <w:rPr>
          <w:lang w:val="fr-FR"/>
        </w:rPr>
        <w:t>l'épaisseur minimale déterminée conformément au code reconnu pour appareils à pression, compte tenu des prescriptions du 6.7.2.3; et».</w:t>
      </w:r>
    </w:p>
    <w:p w:rsidR="006C62F4" w:rsidRPr="007423F7" w:rsidRDefault="006C62F4" w:rsidP="006C62F4">
      <w:pPr>
        <w:pStyle w:val="SingleTxtG"/>
        <w:rPr>
          <w:lang w:val="fr-FR"/>
        </w:rPr>
      </w:pPr>
      <w:r w:rsidRPr="007423F7">
        <w:rPr>
          <w:lang w:val="fr-FR"/>
        </w:rPr>
        <w:t>6.7.2.6.3 c)</w:t>
      </w:r>
      <w:r w:rsidRPr="007423F7">
        <w:rPr>
          <w:lang w:val="fr-FR"/>
        </w:rPr>
        <w:tab/>
        <w:t>Remplacer «</w:t>
      </w:r>
      <w:r w:rsidRPr="007423F7">
        <w:t>une fermeture</w:t>
      </w:r>
      <w:r w:rsidRPr="007423F7">
        <w:rPr>
          <w:lang w:val="fr-FR"/>
        </w:rPr>
        <w:t>» par «un dispositif de fermeture».</w:t>
      </w:r>
    </w:p>
    <w:p w:rsidR="005C4275" w:rsidRPr="007423F7" w:rsidRDefault="005C4275" w:rsidP="005C4275">
      <w:pPr>
        <w:pStyle w:val="SingleTxtG"/>
        <w:rPr>
          <w:lang w:val="fr-FR" w:eastAsia="fr-FR"/>
        </w:rPr>
      </w:pPr>
      <w:r w:rsidRPr="007423F7">
        <w:rPr>
          <w:lang w:val="fr-FR" w:eastAsia="fr-FR"/>
        </w:rPr>
        <w:t>6.7.2.10.1</w:t>
      </w:r>
      <w:r w:rsidRPr="007423F7">
        <w:rPr>
          <w:lang w:val="fr-FR" w:eastAsia="fr-FR"/>
        </w:rPr>
        <w:tab/>
      </w:r>
      <w:r w:rsidRPr="007423F7">
        <w:rPr>
          <w:lang w:val="fr-FR"/>
        </w:rPr>
        <w:t>Remplacer «dans la phase vapeur» par «dans le ciel gazeux».</w:t>
      </w:r>
    </w:p>
    <w:p w:rsidR="005C4275" w:rsidRPr="007423F7" w:rsidRDefault="005C4275" w:rsidP="005C4275">
      <w:pPr>
        <w:pStyle w:val="SingleTxtG"/>
        <w:rPr>
          <w:lang w:val="fr-FR" w:eastAsia="fr-FR"/>
        </w:rPr>
      </w:pPr>
      <w:r w:rsidRPr="007423F7">
        <w:rPr>
          <w:lang w:val="fr-FR" w:eastAsia="fr-FR"/>
        </w:rPr>
        <w:t>6.7.2.15.1</w:t>
      </w:r>
      <w:r w:rsidRPr="007423F7">
        <w:rPr>
          <w:lang w:val="fr-FR" w:eastAsia="fr-FR"/>
        </w:rPr>
        <w:tab/>
        <w:t>Remplacer «dans la phase gazeuse» par «dans le ciel gazeux».</w:t>
      </w:r>
    </w:p>
    <w:p w:rsidR="005C4275" w:rsidRPr="007423F7" w:rsidRDefault="005C4275" w:rsidP="005C4275">
      <w:pPr>
        <w:pStyle w:val="SingleTxtG"/>
        <w:tabs>
          <w:tab w:val="left" w:pos="1854"/>
        </w:tabs>
        <w:rPr>
          <w:lang w:val="fr-FR"/>
        </w:rPr>
      </w:pPr>
      <w:r w:rsidRPr="007423F7">
        <w:rPr>
          <w:lang w:val="fr-FR"/>
        </w:rPr>
        <w:t>6.7.2.18.1</w:t>
      </w:r>
      <w:r w:rsidRPr="007423F7">
        <w:rPr>
          <w:lang w:val="fr-FR"/>
        </w:rPr>
        <w:tab/>
        <w:t>Dans la cinquième phrase, remplacer «c’est-à-dire du symbole des véhicules en circulation internationale prévu par la convention de Vienne sur la circulation routière (1968)» par «indiqué par le signe distinctif utilisé sur les véhicules en circulation routière internationale</w:t>
      </w:r>
      <w:r w:rsidRPr="007423F7">
        <w:rPr>
          <w:b/>
          <w:vertAlign w:val="superscript"/>
          <w:lang w:val="fr-FR"/>
        </w:rPr>
        <w:t>2</w:t>
      </w:r>
      <w:r w:rsidRPr="007423F7">
        <w:rPr>
          <w:lang w:val="fr-FR"/>
        </w:rPr>
        <w:t>»</w:t>
      </w:r>
    </w:p>
    <w:p w:rsidR="005C4275" w:rsidRPr="007423F7" w:rsidRDefault="005C4275" w:rsidP="005C4275">
      <w:pPr>
        <w:pStyle w:val="SingleTxtG"/>
        <w:tabs>
          <w:tab w:val="left" w:pos="1854"/>
        </w:tabs>
        <w:rPr>
          <w:lang w:val="fr-FR"/>
        </w:rPr>
      </w:pPr>
      <w:r w:rsidRPr="007423F7">
        <w:rPr>
          <w:lang w:val="fr-FR"/>
        </w:rPr>
        <w:t>La note de bas de page 2 se lit comme suit:</w:t>
      </w:r>
    </w:p>
    <w:p w:rsidR="005C4275" w:rsidRPr="007423F7" w:rsidRDefault="005C4275" w:rsidP="005C4275">
      <w:pPr>
        <w:pStyle w:val="SingleTxtG"/>
        <w:tabs>
          <w:tab w:val="left" w:pos="1854"/>
        </w:tabs>
        <w:rPr>
          <w:lang w:val="fr-FR"/>
        </w:rPr>
      </w:pPr>
      <w:r w:rsidRPr="007423F7">
        <w:rPr>
          <w:lang w:val="fr-FR"/>
        </w:rPr>
        <w:t>«</w:t>
      </w:r>
      <w:r w:rsidRPr="007423F7">
        <w:rPr>
          <w:b/>
          <w:vertAlign w:val="superscript"/>
          <w:lang w:val="fr-FR"/>
        </w:rPr>
        <w:t>2</w:t>
      </w:r>
      <w:r w:rsidRPr="007423F7">
        <w:rPr>
          <w:lang w:val="fr-FR"/>
        </w:rPr>
        <w:tab/>
      </w:r>
      <w:r w:rsidRPr="007423F7">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6C62F4" w:rsidRPr="007423F7" w:rsidRDefault="006C62F4" w:rsidP="006C62F4">
      <w:pPr>
        <w:pStyle w:val="SingleTxtG"/>
        <w:rPr>
          <w:lang w:val="fr-FR"/>
        </w:rPr>
      </w:pPr>
      <w:r w:rsidRPr="007423F7">
        <w:rPr>
          <w:lang w:val="fr-FR"/>
        </w:rPr>
        <w:t xml:space="preserve">6.7.2.19.9, 6.7.3.15.9 et </w:t>
      </w:r>
      <w:r w:rsidRPr="007423F7">
        <w:t>6.7.4.14.10</w:t>
      </w:r>
      <w:r w:rsidRPr="007423F7">
        <w:rPr>
          <w:lang w:val="fr-FR"/>
        </w:rPr>
        <w:tab/>
        <w:t>Dans la deuxième phrase, remplacer «</w:t>
      </w:r>
      <w:r w:rsidRPr="007423F7">
        <w:t>sur la plaque portée par la citerne mobile</w:t>
      </w:r>
      <w:r w:rsidRPr="007423F7">
        <w:rPr>
          <w:lang w:val="fr-FR"/>
        </w:rPr>
        <w:t>» par «sur la plaque de la citerne mobile».</w:t>
      </w:r>
    </w:p>
    <w:p w:rsidR="005C4275" w:rsidRPr="007423F7" w:rsidRDefault="005C4275" w:rsidP="005C4275">
      <w:pPr>
        <w:pStyle w:val="SingleTxtG"/>
        <w:rPr>
          <w:lang w:val="fr-FR" w:eastAsia="fr-FR"/>
        </w:rPr>
      </w:pPr>
      <w:r w:rsidRPr="007423F7">
        <w:rPr>
          <w:lang w:val="fr-FR" w:eastAsia="fr-FR"/>
        </w:rPr>
        <w:t>6.7.2.19.10</w:t>
      </w:r>
      <w:r w:rsidRPr="007423F7">
        <w:rPr>
          <w:lang w:val="fr-FR" w:eastAsia="fr-FR"/>
        </w:rPr>
        <w:tab/>
        <w:t>Remplacer «</w:t>
      </w:r>
      <w:r w:rsidRPr="007423F7">
        <w:rPr>
          <w:lang w:val="fr-FR"/>
        </w:rPr>
        <w:t>code pour récipients sous pression</w:t>
      </w:r>
      <w:r w:rsidRPr="007423F7">
        <w:rPr>
          <w:lang w:val="fr-FR" w:eastAsia="fr-FR"/>
        </w:rPr>
        <w:t>» par «code pour appareils à pression»</w:t>
      </w:r>
    </w:p>
    <w:p w:rsidR="005C4275" w:rsidRPr="007423F7" w:rsidRDefault="005C4275" w:rsidP="005C4275">
      <w:pPr>
        <w:pStyle w:val="SingleTxtG"/>
        <w:rPr>
          <w:lang w:val="fr-FR" w:eastAsia="fr-FR"/>
        </w:rPr>
      </w:pPr>
      <w:r w:rsidRPr="007423F7">
        <w:rPr>
          <w:lang w:val="fr-FR" w:eastAsia="fr-FR"/>
        </w:rPr>
        <w:t>6.7.2.20.1</w:t>
      </w:r>
      <w:r w:rsidRPr="007423F7">
        <w:rPr>
          <w:lang w:val="fr-FR" w:eastAsia="fr-FR"/>
        </w:rPr>
        <w:tab/>
      </w:r>
      <w:r w:rsidRPr="007423F7">
        <w:rPr>
          <w:lang w:val="fr-FR" w:eastAsia="fr-FR"/>
        </w:rPr>
        <w:tab/>
        <w:t>Dans le paragraphe avant les alinéas et à l’alinéa c) vi), remplacer «</w:t>
      </w:r>
      <w:r w:rsidRPr="007423F7">
        <w:rPr>
          <w:bCs/>
          <w:iCs/>
          <w:lang w:val="fr-FR"/>
        </w:rPr>
        <w:t>code pour récipients à pression</w:t>
      </w:r>
      <w:r w:rsidRPr="007423F7">
        <w:rPr>
          <w:lang w:val="fr-FR" w:eastAsia="fr-FR"/>
        </w:rPr>
        <w:t>» par «code pour appareils à pression».</w:t>
      </w:r>
    </w:p>
    <w:p w:rsidR="005C4275" w:rsidRPr="007423F7" w:rsidRDefault="005C4275" w:rsidP="005C4275">
      <w:pPr>
        <w:pStyle w:val="SingleTxtG"/>
        <w:tabs>
          <w:tab w:val="left" w:pos="1854"/>
        </w:tabs>
        <w:rPr>
          <w:lang w:val="fr-FR" w:eastAsia="fr-FR"/>
        </w:rPr>
      </w:pPr>
      <w:r w:rsidRPr="007423F7">
        <w:rPr>
          <w:lang w:val="fr-FR" w:eastAsia="fr-FR"/>
        </w:rPr>
        <w:t>Figure 6.7.2.20.1</w:t>
      </w:r>
      <w:r w:rsidRPr="007423F7">
        <w:rPr>
          <w:lang w:val="fr-FR" w:eastAsia="fr-FR"/>
        </w:rPr>
        <w:tab/>
      </w:r>
      <w:r w:rsidRPr="007423F7">
        <w:rPr>
          <w:lang w:val="fr-FR" w:eastAsia="fr-FR"/>
        </w:rPr>
        <w:tab/>
        <w:t>Remplacer «</w:t>
      </w:r>
      <w:r w:rsidRPr="007423F7">
        <w:rPr>
          <w:bCs/>
          <w:iCs/>
          <w:lang w:val="fr-FR"/>
        </w:rPr>
        <w:t>code pour récipients à pression</w:t>
      </w:r>
      <w:r w:rsidRPr="007423F7">
        <w:rPr>
          <w:lang w:val="fr-FR" w:eastAsia="fr-FR"/>
        </w:rPr>
        <w:t>» par «code pour appareils à pression».</w:t>
      </w:r>
    </w:p>
    <w:p w:rsidR="00F46746" w:rsidRPr="007423F7" w:rsidRDefault="00F46746">
      <w:pPr>
        <w:pStyle w:val="SingleTxtG"/>
        <w:tabs>
          <w:tab w:val="left" w:pos="1854"/>
        </w:tabs>
        <w:rPr>
          <w:lang w:val="fr-FR"/>
        </w:rPr>
      </w:pPr>
      <w:r w:rsidRPr="007423F7">
        <w:rPr>
          <w:lang w:val="fr-FR"/>
        </w:rPr>
        <w:t>6.7.2.20.1 c)</w:t>
      </w:r>
      <w:r w:rsidR="00DA4290" w:rsidRPr="007423F7">
        <w:rPr>
          <w:lang w:val="fr-FR"/>
        </w:rPr>
        <w:t>,</w:t>
      </w:r>
      <w:r w:rsidRPr="007423F7">
        <w:rPr>
          <w:lang w:val="fr-FR"/>
        </w:rPr>
        <w:t xml:space="preserve"> 6.7.3.16.1 c)</w:t>
      </w:r>
      <w:r w:rsidR="00DA4290" w:rsidRPr="007423F7">
        <w:rPr>
          <w:lang w:val="fr-FR"/>
        </w:rPr>
        <w:t>,</w:t>
      </w:r>
      <w:r w:rsidRPr="007423F7">
        <w:rPr>
          <w:lang w:val="fr-FR"/>
        </w:rPr>
        <w:t xml:space="preserve"> </w:t>
      </w:r>
      <w:r w:rsidR="00DA4290" w:rsidRPr="007423F7">
        <w:rPr>
          <w:lang w:val="fr-FR"/>
        </w:rPr>
        <w:t>6.7.4.15.1 c) et 6.7.5.13.1 c)</w:t>
      </w:r>
      <w:r w:rsidRPr="007423F7">
        <w:rPr>
          <w:lang w:val="fr-FR"/>
        </w:rPr>
        <w:tab/>
      </w:r>
      <w:r w:rsidR="00DA4290" w:rsidRPr="007423F7">
        <w:rPr>
          <w:lang w:val="fr-FR"/>
        </w:rPr>
        <w:tab/>
      </w:r>
      <w:r w:rsidRPr="007423F7">
        <w:rPr>
          <w:lang w:val="fr-FR"/>
        </w:rPr>
        <w:t xml:space="preserve">Supprimer la note de bas de page </w:t>
      </w:r>
      <w:r w:rsidR="00DA4290" w:rsidRPr="007423F7">
        <w:rPr>
          <w:lang w:val="fr-FR"/>
        </w:rPr>
        <w:t>2</w:t>
      </w:r>
      <w:r w:rsidR="00E20835" w:rsidRPr="007423F7">
        <w:rPr>
          <w:lang w:val="fr-FR"/>
        </w:rPr>
        <w:t>.</w:t>
      </w:r>
    </w:p>
    <w:p w:rsidR="005C4275" w:rsidRPr="007423F7" w:rsidRDefault="005C4275" w:rsidP="005C4275">
      <w:pPr>
        <w:pStyle w:val="SingleTxtG"/>
        <w:tabs>
          <w:tab w:val="left" w:pos="1854"/>
        </w:tabs>
        <w:rPr>
          <w:lang w:val="fr-FR" w:eastAsia="fr-FR"/>
        </w:rPr>
      </w:pPr>
      <w:r w:rsidRPr="007423F7">
        <w:rPr>
          <w:lang w:val="fr-FR" w:eastAsia="fr-FR"/>
        </w:rPr>
        <w:t>6.7.3.1</w:t>
      </w:r>
      <w:r w:rsidRPr="007423F7">
        <w:rPr>
          <w:lang w:val="fr-FR" w:eastAsia="fr-FR"/>
        </w:rPr>
        <w:tab/>
        <w:t>Placer les définitions dans l’ordre alphabétique.</w:t>
      </w:r>
    </w:p>
    <w:p w:rsidR="005C4275" w:rsidRPr="007423F7" w:rsidRDefault="005C4275" w:rsidP="005C4275">
      <w:pPr>
        <w:pStyle w:val="SingleTxtG"/>
        <w:rPr>
          <w:lang w:val="fr-FR" w:eastAsia="fr-FR"/>
        </w:rPr>
      </w:pPr>
      <w:r w:rsidRPr="007423F7">
        <w:rPr>
          <w:lang w:val="fr-FR" w:eastAsia="fr-FR"/>
        </w:rPr>
        <w:t>6.7.3.2.1</w:t>
      </w:r>
      <w:r w:rsidRPr="007423F7">
        <w:rPr>
          <w:lang w:val="fr-FR" w:eastAsia="fr-FR"/>
        </w:rPr>
        <w:tab/>
        <w:t>Dans la première phrase, remplacer «</w:t>
      </w:r>
      <w:r w:rsidRPr="007423F7">
        <w:rPr>
          <w:bCs/>
          <w:iCs/>
          <w:lang w:val="fr-FR"/>
        </w:rPr>
        <w:t>code pour récipients à pression</w:t>
      </w:r>
      <w:r w:rsidRPr="007423F7">
        <w:rPr>
          <w:lang w:val="fr-FR"/>
        </w:rPr>
        <w:t xml:space="preserve"> agréé par l'autorité compétente</w:t>
      </w:r>
      <w:r w:rsidRPr="007423F7">
        <w:rPr>
          <w:lang w:val="fr-FR" w:eastAsia="fr-FR"/>
        </w:rPr>
        <w:t>» par «</w:t>
      </w:r>
      <w:r w:rsidRPr="007423F7">
        <w:rPr>
          <w:bCs/>
          <w:iCs/>
          <w:lang w:val="fr-FR"/>
        </w:rPr>
        <w:t>code pour appareils à pression</w:t>
      </w:r>
      <w:r w:rsidRPr="007423F7">
        <w:rPr>
          <w:lang w:val="fr-FR" w:eastAsia="fr-FR"/>
        </w:rPr>
        <w:t xml:space="preserve"> reconnu par l’autorité compétente». Dans la cinquième phrase, remplacer «</w:t>
      </w:r>
      <w:r w:rsidRPr="007423F7">
        <w:rPr>
          <w:lang w:val="fr-FR"/>
        </w:rPr>
        <w:t>Les joints de soudure doivent être faits</w:t>
      </w:r>
      <w:r w:rsidRPr="007423F7">
        <w:rPr>
          <w:lang w:val="fr-FR" w:eastAsia="fr-FR"/>
        </w:rPr>
        <w:t>» par «Les soudures doivent être faites».</w:t>
      </w:r>
    </w:p>
    <w:p w:rsidR="006C62F4" w:rsidRPr="007423F7" w:rsidRDefault="006C62F4" w:rsidP="006C62F4">
      <w:pPr>
        <w:pStyle w:val="SingleTxtG"/>
        <w:rPr>
          <w:lang w:val="fr-FR"/>
        </w:rPr>
      </w:pPr>
      <w:r w:rsidRPr="007423F7">
        <w:rPr>
          <w:lang w:val="fr-FR"/>
        </w:rPr>
        <w:t>6.7.3.2.13</w:t>
      </w:r>
      <w:r w:rsidRPr="007423F7">
        <w:rPr>
          <w:lang w:val="fr-FR"/>
        </w:rPr>
        <w:tab/>
        <w:t>Après «gaz liquéfiés non réfrigérés» ajouter «inflammables».</w:t>
      </w:r>
    </w:p>
    <w:p w:rsidR="005C4275" w:rsidRPr="007423F7" w:rsidRDefault="005C4275" w:rsidP="005C4275">
      <w:pPr>
        <w:pStyle w:val="SingleTxtG"/>
        <w:tabs>
          <w:tab w:val="left" w:pos="1854"/>
        </w:tabs>
        <w:rPr>
          <w:i/>
          <w:lang w:val="fr-FR"/>
        </w:rPr>
      </w:pPr>
      <w:r w:rsidRPr="007423F7">
        <w:rPr>
          <w:lang w:val="fr-FR" w:eastAsia="fr-FR"/>
        </w:rPr>
        <w:t>6.7.3.4.1 b)</w:t>
      </w:r>
      <w:r w:rsidRPr="007423F7">
        <w:rPr>
          <w:lang w:val="fr-FR" w:eastAsia="fr-FR"/>
        </w:rPr>
        <w:tab/>
        <w:t>Remplacer «</w:t>
      </w:r>
      <w:r w:rsidRPr="007423F7">
        <w:rPr>
          <w:lang w:val="fr-FR"/>
        </w:rPr>
        <w:t>au code agréé pour récipients sous pression» par «au code reconnu pour appareils à pression».</w:t>
      </w:r>
      <w:r w:rsidRPr="007423F7">
        <w:rPr>
          <w:i/>
          <w:lang w:val="fr-FR"/>
        </w:rPr>
        <w:t xml:space="preserve"> </w:t>
      </w:r>
    </w:p>
    <w:p w:rsidR="005C4275" w:rsidRPr="007423F7" w:rsidRDefault="005C4275" w:rsidP="005C4275">
      <w:pPr>
        <w:pStyle w:val="SingleTxtG"/>
        <w:rPr>
          <w:lang w:val="fr-FR" w:eastAsia="fr-FR"/>
        </w:rPr>
      </w:pPr>
      <w:r w:rsidRPr="007423F7">
        <w:rPr>
          <w:lang w:val="fr-FR" w:eastAsia="fr-FR"/>
        </w:rPr>
        <w:t>6.7.3.11.1</w:t>
      </w:r>
      <w:r w:rsidRPr="007423F7">
        <w:rPr>
          <w:lang w:val="fr-FR" w:eastAsia="fr-FR"/>
        </w:rPr>
        <w:tab/>
        <w:t>Remplacer «dans la phase gazeuse» par «dans le ciel gazeux».</w:t>
      </w:r>
    </w:p>
    <w:p w:rsidR="005C4275" w:rsidRPr="007423F7" w:rsidRDefault="005C4275" w:rsidP="005C4275">
      <w:pPr>
        <w:pStyle w:val="SingleTxtG"/>
        <w:tabs>
          <w:tab w:val="left" w:pos="1854"/>
        </w:tabs>
        <w:rPr>
          <w:lang w:val="fr-FR"/>
        </w:rPr>
      </w:pPr>
      <w:r w:rsidRPr="007423F7">
        <w:rPr>
          <w:lang w:val="fr-FR"/>
        </w:rPr>
        <w:t>6.7.3.14.1</w:t>
      </w:r>
      <w:r w:rsidRPr="007423F7">
        <w:rPr>
          <w:lang w:val="fr-FR"/>
        </w:rPr>
        <w:tab/>
        <w:t>Dans la cinquième phrase, remplacer «c’est-à-dire du symbole des véhicules en circulation internationale prévu par la convention de Vienne sur la circulation routière (1968)» par «indiqué par le signe distinctif utilisé sur les véhicules en circulation routière internationale</w:t>
      </w:r>
      <w:r w:rsidRPr="007423F7">
        <w:rPr>
          <w:b/>
          <w:vertAlign w:val="superscript"/>
          <w:lang w:val="fr-FR"/>
        </w:rPr>
        <w:t>2</w:t>
      </w:r>
      <w:r w:rsidRPr="007423F7">
        <w:rPr>
          <w:lang w:val="fr-FR"/>
        </w:rPr>
        <w:t>»</w:t>
      </w:r>
    </w:p>
    <w:p w:rsidR="005C4275" w:rsidRPr="007423F7" w:rsidRDefault="005C4275" w:rsidP="005C4275">
      <w:pPr>
        <w:pStyle w:val="SingleTxtG"/>
        <w:tabs>
          <w:tab w:val="left" w:pos="1854"/>
        </w:tabs>
        <w:rPr>
          <w:lang w:val="fr-FR"/>
        </w:rPr>
      </w:pPr>
      <w:r w:rsidRPr="007423F7">
        <w:rPr>
          <w:lang w:val="fr-FR"/>
        </w:rPr>
        <w:t>La note de bas de page 2 se lit comme suit:</w:t>
      </w:r>
    </w:p>
    <w:p w:rsidR="005C4275" w:rsidRPr="007423F7" w:rsidRDefault="005C4275" w:rsidP="005C4275">
      <w:pPr>
        <w:pStyle w:val="SingleTxtG"/>
        <w:tabs>
          <w:tab w:val="left" w:pos="1854"/>
        </w:tabs>
        <w:rPr>
          <w:lang w:val="fr-FR"/>
        </w:rPr>
      </w:pPr>
      <w:r w:rsidRPr="007423F7">
        <w:rPr>
          <w:lang w:val="fr-FR"/>
        </w:rPr>
        <w:t>«</w:t>
      </w:r>
      <w:r w:rsidRPr="007423F7">
        <w:rPr>
          <w:b/>
          <w:vertAlign w:val="superscript"/>
          <w:lang w:val="fr-FR"/>
        </w:rPr>
        <w:t>2</w:t>
      </w:r>
      <w:r w:rsidRPr="007423F7">
        <w:rPr>
          <w:lang w:val="fr-FR"/>
        </w:rPr>
        <w:tab/>
      </w:r>
      <w:r w:rsidRPr="007423F7">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6C62F4" w:rsidRPr="007423F7" w:rsidRDefault="006C62F4" w:rsidP="006C62F4">
      <w:pPr>
        <w:pStyle w:val="SingleTxtG"/>
        <w:rPr>
          <w:lang w:val="fr-FR"/>
        </w:rPr>
      </w:pPr>
      <w:r w:rsidRPr="007423F7">
        <w:rPr>
          <w:lang w:val="fr-FR"/>
        </w:rPr>
        <w:lastRenderedPageBreak/>
        <w:t>6.7.3.15.3</w:t>
      </w:r>
      <w:r w:rsidRPr="007423F7">
        <w:rPr>
          <w:lang w:val="fr-FR"/>
        </w:rPr>
        <w:tab/>
        <w:t>Dans la troisième phrase, remplacer «</w:t>
      </w:r>
      <w:r w:rsidRPr="007423F7">
        <w:t>au contrôle du bon fonctionnement</w:t>
      </w:r>
      <w:r w:rsidRPr="007423F7">
        <w:rPr>
          <w:lang w:val="fr-FR"/>
        </w:rPr>
        <w:t>» par «</w:t>
      </w:r>
      <w:r w:rsidRPr="007423F7">
        <w:t>à la vérification du bon fonctionnement</w:t>
      </w:r>
      <w:r w:rsidRPr="007423F7">
        <w:rPr>
          <w:lang w:val="fr-FR"/>
        </w:rPr>
        <w:t>».</w:t>
      </w:r>
    </w:p>
    <w:p w:rsidR="005C4275" w:rsidRPr="007423F7" w:rsidRDefault="005C4275" w:rsidP="005C4275">
      <w:pPr>
        <w:pStyle w:val="SingleTxtG"/>
        <w:rPr>
          <w:lang w:val="fr-FR" w:eastAsia="fr-FR"/>
        </w:rPr>
      </w:pPr>
      <w:r w:rsidRPr="007423F7">
        <w:rPr>
          <w:lang w:val="fr-FR" w:eastAsia="fr-FR"/>
        </w:rPr>
        <w:t>6.7.3.15.10</w:t>
      </w:r>
      <w:r w:rsidRPr="007423F7">
        <w:rPr>
          <w:lang w:val="fr-FR" w:eastAsia="fr-FR"/>
        </w:rPr>
        <w:tab/>
        <w:t>Remplacer «</w:t>
      </w:r>
      <w:r w:rsidRPr="007423F7">
        <w:rPr>
          <w:lang w:val="fr-FR"/>
        </w:rPr>
        <w:t>code pour récipients sous pression</w:t>
      </w:r>
      <w:r w:rsidRPr="007423F7">
        <w:rPr>
          <w:lang w:val="fr-FR" w:eastAsia="fr-FR"/>
        </w:rPr>
        <w:t>» par «code pour appareils à pression»</w:t>
      </w:r>
    </w:p>
    <w:p w:rsidR="005C4275" w:rsidRPr="007423F7" w:rsidRDefault="005C4275" w:rsidP="005C4275">
      <w:pPr>
        <w:pStyle w:val="SingleTxtG"/>
        <w:rPr>
          <w:lang w:val="fr-FR" w:eastAsia="fr-FR"/>
        </w:rPr>
      </w:pPr>
      <w:r w:rsidRPr="007423F7">
        <w:rPr>
          <w:lang w:val="fr-FR" w:eastAsia="fr-FR"/>
        </w:rPr>
        <w:t>6.7.3.16.1</w:t>
      </w:r>
      <w:r w:rsidRPr="007423F7">
        <w:rPr>
          <w:lang w:val="fr-FR" w:eastAsia="fr-FR"/>
        </w:rPr>
        <w:tab/>
        <w:t>Dans le paragraphe avant les alinéas et à l’alinéa c) vi), remplacer «</w:t>
      </w:r>
      <w:r w:rsidRPr="007423F7">
        <w:rPr>
          <w:bCs/>
          <w:iCs/>
          <w:lang w:val="fr-FR"/>
        </w:rPr>
        <w:t>code pour récipients à pression</w:t>
      </w:r>
      <w:r w:rsidRPr="007423F7">
        <w:rPr>
          <w:lang w:val="fr-FR" w:eastAsia="fr-FR"/>
        </w:rPr>
        <w:t>» par «code pour appareils à pression».</w:t>
      </w:r>
    </w:p>
    <w:p w:rsidR="005C4275" w:rsidRPr="007423F7" w:rsidRDefault="005C4275" w:rsidP="005C4275">
      <w:pPr>
        <w:pStyle w:val="SingleTxtG"/>
        <w:tabs>
          <w:tab w:val="left" w:pos="1854"/>
        </w:tabs>
        <w:rPr>
          <w:lang w:val="fr-FR" w:eastAsia="fr-FR"/>
        </w:rPr>
      </w:pPr>
      <w:r w:rsidRPr="007423F7">
        <w:rPr>
          <w:lang w:val="fr-FR" w:eastAsia="fr-FR"/>
        </w:rPr>
        <w:t>Figure 6.7.3.16.1 Remplacer «</w:t>
      </w:r>
      <w:r w:rsidRPr="007423F7">
        <w:rPr>
          <w:bCs/>
          <w:iCs/>
          <w:lang w:val="fr-FR"/>
        </w:rPr>
        <w:t>code pour récipients à pression</w:t>
      </w:r>
      <w:r w:rsidRPr="007423F7">
        <w:rPr>
          <w:lang w:val="fr-FR" w:eastAsia="fr-FR"/>
        </w:rPr>
        <w:t>» par «code pour appareils à pression».</w:t>
      </w:r>
    </w:p>
    <w:p w:rsidR="005C4275" w:rsidRPr="007423F7" w:rsidRDefault="005C4275" w:rsidP="005C4275">
      <w:pPr>
        <w:pStyle w:val="SingleTxtG"/>
        <w:tabs>
          <w:tab w:val="left" w:pos="1854"/>
        </w:tabs>
        <w:rPr>
          <w:lang w:val="fr-FR" w:eastAsia="fr-FR"/>
        </w:rPr>
      </w:pPr>
      <w:r w:rsidRPr="007423F7">
        <w:rPr>
          <w:lang w:val="fr-FR" w:eastAsia="fr-FR"/>
        </w:rPr>
        <w:t>6.7.4.1</w:t>
      </w:r>
      <w:r w:rsidRPr="007423F7">
        <w:rPr>
          <w:lang w:val="fr-FR" w:eastAsia="fr-FR"/>
        </w:rPr>
        <w:tab/>
        <w:t>Placer les définitions dans l’ordre alphabétique.</w:t>
      </w:r>
    </w:p>
    <w:p w:rsidR="005C4275" w:rsidRPr="007423F7" w:rsidRDefault="005C4275" w:rsidP="005C4275">
      <w:pPr>
        <w:pStyle w:val="SingleTxtG"/>
        <w:tabs>
          <w:tab w:val="left" w:pos="1854"/>
        </w:tabs>
        <w:rPr>
          <w:lang w:val="fr-FR" w:eastAsia="fr-FR"/>
        </w:rPr>
      </w:pPr>
      <w:r w:rsidRPr="007423F7">
        <w:rPr>
          <w:lang w:val="fr-FR" w:eastAsia="fr-FR"/>
        </w:rPr>
        <w:t>6.7.4.2.1</w:t>
      </w:r>
      <w:r w:rsidRPr="007423F7">
        <w:rPr>
          <w:lang w:val="fr-FR" w:eastAsia="fr-FR"/>
        </w:rPr>
        <w:tab/>
      </w:r>
      <w:r w:rsidR="00F704B0" w:rsidRPr="007423F7">
        <w:rPr>
          <w:lang w:val="fr-FR" w:eastAsia="fr-FR"/>
        </w:rPr>
        <w:tab/>
      </w:r>
      <w:r w:rsidRPr="007423F7">
        <w:rPr>
          <w:lang w:val="fr-FR" w:eastAsia="fr-FR"/>
        </w:rPr>
        <w:t>Dans la première phrase, remplacer «</w:t>
      </w:r>
      <w:r w:rsidRPr="007423F7">
        <w:rPr>
          <w:lang w:val="fr-FR"/>
        </w:rPr>
        <w:t>code pour récipients sous pression agréé par l'autorité compétente</w:t>
      </w:r>
      <w:r w:rsidRPr="007423F7">
        <w:rPr>
          <w:lang w:val="fr-FR" w:eastAsia="fr-FR"/>
        </w:rPr>
        <w:t>» par «code pour appareils à pression reconnu par l’autorité compétente». Dans la septième phrase, remplacer «</w:t>
      </w:r>
      <w:r w:rsidRPr="007423F7">
        <w:rPr>
          <w:lang w:val="fr-FR"/>
        </w:rPr>
        <w:t>Les joints de soudure doivent être faits</w:t>
      </w:r>
      <w:r w:rsidRPr="007423F7">
        <w:rPr>
          <w:lang w:val="fr-FR" w:eastAsia="fr-FR"/>
        </w:rPr>
        <w:t>» par «Les soudures doivent être faites».</w:t>
      </w:r>
    </w:p>
    <w:p w:rsidR="005C4275" w:rsidRPr="007423F7" w:rsidRDefault="005C4275" w:rsidP="005C4275">
      <w:pPr>
        <w:pStyle w:val="SingleTxtG"/>
        <w:tabs>
          <w:tab w:val="left" w:pos="1854"/>
        </w:tabs>
        <w:rPr>
          <w:i/>
          <w:lang w:val="fr-FR"/>
        </w:rPr>
      </w:pPr>
      <w:r w:rsidRPr="007423F7">
        <w:rPr>
          <w:lang w:val="fr-FR" w:eastAsia="fr-FR"/>
        </w:rPr>
        <w:t>6.7.4.4.1 b)</w:t>
      </w:r>
      <w:r w:rsidRPr="007423F7">
        <w:rPr>
          <w:lang w:val="fr-FR" w:eastAsia="fr-FR"/>
        </w:rPr>
        <w:tab/>
        <w:t>Remplacer «</w:t>
      </w:r>
      <w:r w:rsidRPr="007423F7">
        <w:rPr>
          <w:lang w:val="fr-FR"/>
        </w:rPr>
        <w:t>au code agréé pour récipients sous pression» par «au code reconnu pour appareils à pression».</w:t>
      </w:r>
      <w:r w:rsidRPr="007423F7">
        <w:rPr>
          <w:i/>
          <w:lang w:val="fr-FR"/>
        </w:rPr>
        <w:t xml:space="preserve"> </w:t>
      </w:r>
    </w:p>
    <w:p w:rsidR="00CD6B5F" w:rsidRPr="007423F7" w:rsidRDefault="00CD6B5F" w:rsidP="00CD6B5F">
      <w:pPr>
        <w:pStyle w:val="SingleTxtG"/>
        <w:rPr>
          <w:lang w:val="fr-FR"/>
        </w:rPr>
      </w:pPr>
      <w:r w:rsidRPr="007423F7">
        <w:rPr>
          <w:lang w:val="fr-FR"/>
        </w:rPr>
        <w:t>6.7.4.5.12</w:t>
      </w:r>
      <w:r w:rsidRPr="007423F7">
        <w:rPr>
          <w:lang w:val="fr-FR"/>
        </w:rPr>
        <w:tab/>
        <w:t>Remplacer «Les matériaux de construction» par «Les matériaux utilisés pour la construction».</w:t>
      </w:r>
    </w:p>
    <w:p w:rsidR="005C4275" w:rsidRPr="007423F7" w:rsidRDefault="005C4275" w:rsidP="005C4275">
      <w:pPr>
        <w:pStyle w:val="SingleTxtG"/>
        <w:rPr>
          <w:lang w:val="fr-FR" w:eastAsia="fr-FR"/>
        </w:rPr>
      </w:pPr>
      <w:r w:rsidRPr="007423F7">
        <w:rPr>
          <w:lang w:val="fr-FR" w:eastAsia="fr-FR"/>
        </w:rPr>
        <w:t>6.7.4.10.1</w:t>
      </w:r>
      <w:r w:rsidRPr="007423F7">
        <w:rPr>
          <w:lang w:val="fr-FR" w:eastAsia="fr-FR"/>
        </w:rPr>
        <w:tab/>
        <w:t>Remplacer «dans la phase gazeuse» par «dans le ciel gazeux».</w:t>
      </w:r>
    </w:p>
    <w:p w:rsidR="005C4275" w:rsidRPr="007423F7" w:rsidRDefault="005C4275" w:rsidP="005C4275">
      <w:pPr>
        <w:pStyle w:val="SingleTxtG"/>
        <w:tabs>
          <w:tab w:val="left" w:pos="1854"/>
        </w:tabs>
        <w:rPr>
          <w:lang w:val="fr-FR"/>
        </w:rPr>
      </w:pPr>
      <w:r w:rsidRPr="007423F7">
        <w:rPr>
          <w:lang w:val="fr-FR"/>
        </w:rPr>
        <w:t>6.7.4.13.1</w:t>
      </w:r>
      <w:r w:rsidRPr="007423F7">
        <w:rPr>
          <w:lang w:val="fr-FR"/>
        </w:rPr>
        <w:tab/>
        <w:t>Dans la cinquième phrase, remplacer «c’est-à-dire du symbole des véhicules en circulation internationale prévu par la convention de Vienne sur la circulation routière (1968)» par «indiqué par le signe distinctif utilisé sur les véhicules en circulation routière internationale</w:t>
      </w:r>
      <w:r w:rsidRPr="007423F7">
        <w:rPr>
          <w:b/>
          <w:vertAlign w:val="superscript"/>
          <w:lang w:val="fr-FR"/>
        </w:rPr>
        <w:t>2</w:t>
      </w:r>
      <w:r w:rsidRPr="007423F7">
        <w:rPr>
          <w:lang w:val="fr-FR"/>
        </w:rPr>
        <w:t>»</w:t>
      </w:r>
    </w:p>
    <w:p w:rsidR="005C4275" w:rsidRPr="007423F7" w:rsidRDefault="005C4275" w:rsidP="005C4275">
      <w:pPr>
        <w:pStyle w:val="SingleTxtG"/>
        <w:tabs>
          <w:tab w:val="left" w:pos="1854"/>
        </w:tabs>
        <w:rPr>
          <w:lang w:val="fr-FR"/>
        </w:rPr>
      </w:pPr>
      <w:r w:rsidRPr="007423F7">
        <w:rPr>
          <w:lang w:val="fr-FR"/>
        </w:rPr>
        <w:t>La note de bas de page 2 se lit comme suit:</w:t>
      </w:r>
    </w:p>
    <w:p w:rsidR="005C4275" w:rsidRPr="007423F7" w:rsidRDefault="005C4275" w:rsidP="005C4275">
      <w:pPr>
        <w:pStyle w:val="SingleTxtG"/>
        <w:tabs>
          <w:tab w:val="left" w:pos="1854"/>
        </w:tabs>
        <w:rPr>
          <w:lang w:val="fr-FR"/>
        </w:rPr>
      </w:pPr>
      <w:r w:rsidRPr="007423F7">
        <w:rPr>
          <w:lang w:val="fr-FR"/>
        </w:rPr>
        <w:t>«</w:t>
      </w:r>
      <w:r w:rsidRPr="007423F7">
        <w:rPr>
          <w:b/>
          <w:vertAlign w:val="superscript"/>
          <w:lang w:val="fr-FR"/>
        </w:rPr>
        <w:t>2</w:t>
      </w:r>
      <w:r w:rsidRPr="007423F7">
        <w:rPr>
          <w:lang w:val="fr-FR"/>
        </w:rPr>
        <w:tab/>
      </w:r>
      <w:r w:rsidRPr="007423F7">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CD6B5F" w:rsidRPr="007423F7" w:rsidRDefault="00CD6B5F" w:rsidP="00CD6B5F">
      <w:pPr>
        <w:pStyle w:val="SingleTxtG"/>
        <w:rPr>
          <w:lang w:val="fr-FR"/>
        </w:rPr>
      </w:pPr>
      <w:r w:rsidRPr="007423F7">
        <w:rPr>
          <w:lang w:val="fr-FR"/>
        </w:rPr>
        <w:t>6.7.4.14.8</w:t>
      </w:r>
      <w:r w:rsidRPr="007423F7">
        <w:rPr>
          <w:lang w:val="fr-FR"/>
        </w:rPr>
        <w:tab/>
        <w:t>Au début, remplacer «</w:t>
      </w:r>
      <w:r w:rsidRPr="007423F7">
        <w:t>L'examen intérieur de la citerne mobile</w:t>
      </w:r>
      <w:r w:rsidRPr="007423F7">
        <w:rPr>
          <w:lang w:val="fr-FR"/>
        </w:rPr>
        <w:t>» par «L’examen intérieur».</w:t>
      </w:r>
    </w:p>
    <w:p w:rsidR="00CD6B5F" w:rsidRPr="007423F7" w:rsidRDefault="00CD6B5F" w:rsidP="00CD6B5F">
      <w:pPr>
        <w:pStyle w:val="SingleTxtG"/>
        <w:rPr>
          <w:lang w:val="fr-FR"/>
        </w:rPr>
      </w:pPr>
      <w:r w:rsidRPr="007423F7">
        <w:t>6.7.4.14.9</w:t>
      </w:r>
      <w:r w:rsidRPr="007423F7">
        <w:tab/>
      </w:r>
      <w:r w:rsidRPr="007423F7">
        <w:rPr>
          <w:lang w:val="fr-FR"/>
        </w:rPr>
        <w:t>Au début, remplacer</w:t>
      </w:r>
      <w:r w:rsidRPr="007423F7">
        <w:t xml:space="preserve"> «L'examen extérieur de la citerne mobile» </w:t>
      </w:r>
      <w:r w:rsidRPr="007423F7">
        <w:rPr>
          <w:lang w:val="fr-FR"/>
        </w:rPr>
        <w:t>par «L’examen extérieur».</w:t>
      </w:r>
    </w:p>
    <w:p w:rsidR="005C4275" w:rsidRPr="007423F7" w:rsidRDefault="005C4275" w:rsidP="005C4275">
      <w:pPr>
        <w:pStyle w:val="SingleTxtG"/>
        <w:rPr>
          <w:lang w:val="fr-FR" w:eastAsia="fr-FR"/>
        </w:rPr>
      </w:pPr>
      <w:r w:rsidRPr="007423F7">
        <w:rPr>
          <w:lang w:val="fr-FR" w:eastAsia="fr-FR"/>
        </w:rPr>
        <w:t>6.7.4.14.11</w:t>
      </w:r>
      <w:r w:rsidRPr="007423F7">
        <w:rPr>
          <w:lang w:val="fr-FR" w:eastAsia="fr-FR"/>
        </w:rPr>
        <w:tab/>
        <w:t>Remplacer «</w:t>
      </w:r>
      <w:r w:rsidRPr="007423F7">
        <w:rPr>
          <w:lang w:val="fr-FR"/>
        </w:rPr>
        <w:t>code pour récipients sous pression</w:t>
      </w:r>
      <w:r w:rsidRPr="007423F7">
        <w:rPr>
          <w:lang w:val="fr-FR" w:eastAsia="fr-FR"/>
        </w:rPr>
        <w:t>» par «code pour appareils à pression»</w:t>
      </w:r>
    </w:p>
    <w:p w:rsidR="005C4275" w:rsidRPr="007423F7" w:rsidRDefault="005C4275" w:rsidP="005C4275">
      <w:pPr>
        <w:pStyle w:val="SingleTxtG"/>
        <w:rPr>
          <w:lang w:val="fr-FR" w:eastAsia="fr-FR"/>
        </w:rPr>
      </w:pPr>
      <w:r w:rsidRPr="007423F7">
        <w:rPr>
          <w:lang w:val="fr-FR" w:eastAsia="fr-FR"/>
        </w:rPr>
        <w:t>6.7.4.15.1</w:t>
      </w:r>
      <w:r w:rsidRPr="007423F7">
        <w:rPr>
          <w:lang w:val="fr-FR" w:eastAsia="fr-FR"/>
        </w:rPr>
        <w:tab/>
      </w:r>
      <w:r w:rsidRPr="007423F7">
        <w:rPr>
          <w:lang w:val="fr-FR" w:eastAsia="fr-FR"/>
        </w:rPr>
        <w:tab/>
        <w:t>Dans le paragraphe avant les alinéas et à l’alinéa c) vi), remplacer «</w:t>
      </w:r>
      <w:r w:rsidRPr="007423F7">
        <w:rPr>
          <w:bCs/>
          <w:iCs/>
          <w:lang w:val="fr-FR"/>
        </w:rPr>
        <w:t>code pour récipients à pression</w:t>
      </w:r>
      <w:r w:rsidRPr="007423F7">
        <w:rPr>
          <w:lang w:val="fr-FR" w:eastAsia="fr-FR"/>
        </w:rPr>
        <w:t>» par «code pour appareils à pression».</w:t>
      </w:r>
    </w:p>
    <w:p w:rsidR="005C4275" w:rsidRPr="007423F7" w:rsidRDefault="005C4275" w:rsidP="005C4275">
      <w:pPr>
        <w:pStyle w:val="SingleTxtG"/>
        <w:tabs>
          <w:tab w:val="left" w:pos="1854"/>
        </w:tabs>
        <w:rPr>
          <w:lang w:val="fr-FR" w:eastAsia="fr-FR"/>
        </w:rPr>
      </w:pPr>
      <w:r w:rsidRPr="007423F7">
        <w:rPr>
          <w:lang w:val="fr-FR" w:eastAsia="fr-FR"/>
        </w:rPr>
        <w:t>Figure 6.7.4.15.1</w:t>
      </w:r>
      <w:r w:rsidRPr="007423F7">
        <w:rPr>
          <w:lang w:val="fr-FR" w:eastAsia="fr-FR"/>
        </w:rPr>
        <w:tab/>
      </w:r>
      <w:r w:rsidRPr="007423F7">
        <w:rPr>
          <w:lang w:val="fr-FR" w:eastAsia="fr-FR"/>
        </w:rPr>
        <w:tab/>
        <w:t>Remplacer «</w:t>
      </w:r>
      <w:r w:rsidRPr="007423F7">
        <w:rPr>
          <w:bCs/>
          <w:iCs/>
          <w:lang w:val="fr-FR"/>
        </w:rPr>
        <w:t>code pour récipients à pression</w:t>
      </w:r>
      <w:r w:rsidRPr="007423F7">
        <w:rPr>
          <w:lang w:val="fr-FR" w:eastAsia="fr-FR"/>
        </w:rPr>
        <w:t>» par «code pour appareils à pression».</w:t>
      </w:r>
    </w:p>
    <w:p w:rsidR="005C4275" w:rsidRPr="007423F7" w:rsidRDefault="005C4275" w:rsidP="005C4275">
      <w:pPr>
        <w:pStyle w:val="SingleTxtG"/>
        <w:rPr>
          <w:lang w:val="fr-FR"/>
        </w:rPr>
      </w:pPr>
      <w:r w:rsidRPr="007423F7">
        <w:rPr>
          <w:lang w:val="fr-FR"/>
        </w:rPr>
        <w:t>6.7.5.2.1</w:t>
      </w:r>
      <w:r w:rsidRPr="007423F7">
        <w:rPr>
          <w:lang w:val="fr-FR"/>
        </w:rPr>
        <w:tab/>
        <w:t>Remplacer «ou sur un navire de navigation maritime ou de navigation intérieure» par «, un navire de mer ou un bateau de navigation intérieure».</w:t>
      </w:r>
    </w:p>
    <w:p w:rsidR="005C4275" w:rsidRPr="007423F7" w:rsidRDefault="005C4275" w:rsidP="005C4275">
      <w:pPr>
        <w:pStyle w:val="SingleTxtG"/>
        <w:tabs>
          <w:tab w:val="left" w:pos="1854"/>
        </w:tabs>
        <w:rPr>
          <w:lang w:val="fr-FR" w:eastAsia="fr-FR"/>
        </w:rPr>
      </w:pPr>
      <w:r w:rsidRPr="007423F7">
        <w:rPr>
          <w:lang w:val="fr-FR" w:eastAsia="fr-FR"/>
        </w:rPr>
        <w:t>6.7.5.3.2</w:t>
      </w:r>
      <w:r w:rsidRPr="007423F7">
        <w:rPr>
          <w:lang w:val="fr-FR" w:eastAsia="fr-FR"/>
        </w:rPr>
        <w:tab/>
      </w:r>
      <w:r w:rsidRPr="007423F7">
        <w:rPr>
          <w:lang w:val="fr-FR" w:eastAsia="fr-FR"/>
        </w:rPr>
        <w:tab/>
        <w:t>Modifier la première phrase pour lire comme suit: «</w:t>
      </w:r>
      <w:r w:rsidRPr="007423F7">
        <w:rPr>
          <w:lang w:val="fr-FR"/>
        </w:rPr>
        <w:t>Chaque élément conçu pour le transport de gaz toxiques (gaz des groupes T, TF, TC, TO TFC et TOC) doit être équipé d’un robinet.</w:t>
      </w:r>
      <w:r w:rsidRPr="007423F7">
        <w:rPr>
          <w:lang w:val="fr-FR" w:eastAsia="fr-FR"/>
        </w:rPr>
        <w:t>».</w:t>
      </w:r>
    </w:p>
    <w:p w:rsidR="005C4275" w:rsidRPr="007423F7" w:rsidRDefault="005C4275" w:rsidP="005C4275">
      <w:pPr>
        <w:pStyle w:val="SingleTxtG"/>
        <w:rPr>
          <w:lang w:val="fr-FR"/>
        </w:rPr>
      </w:pPr>
      <w:r w:rsidRPr="007423F7">
        <w:rPr>
          <w:lang w:val="fr-FR"/>
        </w:rPr>
        <w:t>6.7.5.3.3</w:t>
      </w:r>
      <w:r w:rsidRPr="007423F7">
        <w:rPr>
          <w:lang w:val="fr-FR"/>
        </w:rPr>
        <w:tab/>
        <w:t>Dans la quatrième phrase du premier paragraphe, remplacer «</w:t>
      </w:r>
      <w:r w:rsidRPr="007423F7">
        <w:t>une soupape de sécurité peut être prévue</w:t>
      </w:r>
      <w:r w:rsidRPr="007423F7">
        <w:rPr>
          <w:lang w:val="fr-FR"/>
        </w:rPr>
        <w:t>» par «</w:t>
      </w:r>
      <w:r w:rsidRPr="007423F7">
        <w:t>une soupape de sécurité doit être prévue</w:t>
      </w:r>
      <w:r w:rsidRPr="007423F7">
        <w:rPr>
          <w:lang w:val="fr-FR"/>
        </w:rPr>
        <w:t>».</w:t>
      </w:r>
    </w:p>
    <w:p w:rsidR="005C4275" w:rsidRPr="007423F7" w:rsidRDefault="005C4275" w:rsidP="005C4275">
      <w:pPr>
        <w:pStyle w:val="SingleTxtG"/>
        <w:tabs>
          <w:tab w:val="left" w:pos="1854"/>
        </w:tabs>
        <w:rPr>
          <w:lang w:val="fr-FR"/>
        </w:rPr>
      </w:pPr>
      <w:r w:rsidRPr="007423F7">
        <w:rPr>
          <w:lang w:val="fr-FR"/>
        </w:rPr>
        <w:lastRenderedPageBreak/>
        <w:t>6.7.5.8.1</w:t>
      </w:r>
      <w:r w:rsidRPr="007423F7">
        <w:rPr>
          <w:lang w:val="fr-FR"/>
        </w:rPr>
        <w:tab/>
      </w:r>
      <w:r w:rsidRPr="007423F7">
        <w:rPr>
          <w:lang w:val="fr-FR"/>
        </w:rPr>
        <w:tab/>
        <w:t>Remplacer «l’espace vapeur» par «le ciel gazeux».</w:t>
      </w:r>
    </w:p>
    <w:p w:rsidR="005C4275" w:rsidRPr="007423F7" w:rsidRDefault="005C4275" w:rsidP="005C4275">
      <w:pPr>
        <w:pStyle w:val="SingleTxtG"/>
        <w:tabs>
          <w:tab w:val="left" w:pos="1854"/>
        </w:tabs>
        <w:rPr>
          <w:lang w:val="fr-FR"/>
        </w:rPr>
      </w:pPr>
      <w:r w:rsidRPr="007423F7">
        <w:rPr>
          <w:lang w:val="fr-FR"/>
        </w:rPr>
        <w:t>6.7.5.11.1</w:t>
      </w:r>
      <w:r w:rsidRPr="007423F7">
        <w:rPr>
          <w:lang w:val="fr-FR"/>
        </w:rPr>
        <w:tab/>
        <w:t>Dans la cinquième phrase, remplacer «c’est-à-dire du symbole des véhicules en circulation routière internationale prévu par la Convention de Vienne sur la circulation routière (Vienne 1968)» par «indiqué par le signe distinctif utilisé sur les véhicules en circulation routière internationale</w:t>
      </w:r>
      <w:r w:rsidRPr="007423F7">
        <w:rPr>
          <w:b/>
          <w:vertAlign w:val="superscript"/>
          <w:lang w:val="fr-FR"/>
        </w:rPr>
        <w:t>2</w:t>
      </w:r>
      <w:r w:rsidRPr="007423F7">
        <w:rPr>
          <w:lang w:val="fr-FR"/>
        </w:rPr>
        <w:t>»</w:t>
      </w:r>
    </w:p>
    <w:p w:rsidR="005C4275" w:rsidRPr="007423F7" w:rsidRDefault="005C4275" w:rsidP="005C4275">
      <w:pPr>
        <w:pStyle w:val="SingleTxtG"/>
        <w:tabs>
          <w:tab w:val="left" w:pos="1854"/>
        </w:tabs>
        <w:rPr>
          <w:lang w:val="fr-FR"/>
        </w:rPr>
      </w:pPr>
      <w:r w:rsidRPr="007423F7">
        <w:rPr>
          <w:lang w:val="fr-FR"/>
        </w:rPr>
        <w:t>La note de bas de page 2 se lit comme suit:</w:t>
      </w:r>
    </w:p>
    <w:p w:rsidR="005C4275" w:rsidRPr="007423F7" w:rsidRDefault="005C4275" w:rsidP="005C4275">
      <w:pPr>
        <w:pStyle w:val="SingleTxtG"/>
        <w:tabs>
          <w:tab w:val="left" w:pos="1854"/>
        </w:tabs>
        <w:rPr>
          <w:lang w:val="fr-FR"/>
        </w:rPr>
      </w:pPr>
      <w:r w:rsidRPr="007423F7">
        <w:rPr>
          <w:lang w:val="fr-FR"/>
        </w:rPr>
        <w:t>«</w:t>
      </w:r>
      <w:r w:rsidRPr="007423F7">
        <w:rPr>
          <w:b/>
          <w:vertAlign w:val="superscript"/>
          <w:lang w:val="fr-FR"/>
        </w:rPr>
        <w:t>2</w:t>
      </w:r>
      <w:r w:rsidRPr="007423F7">
        <w:rPr>
          <w:lang w:val="fr-FR"/>
        </w:rPr>
        <w:tab/>
      </w:r>
      <w:r w:rsidRPr="007423F7">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r w:rsidRPr="007423F7">
        <w:rPr>
          <w:lang w:val="fr-FR"/>
        </w:rPr>
        <w:t xml:space="preserve"> </w:t>
      </w:r>
    </w:p>
    <w:p w:rsidR="005C4275" w:rsidRPr="007423F7" w:rsidRDefault="0096559D" w:rsidP="0096559D">
      <w:pPr>
        <w:pStyle w:val="H1G"/>
      </w:pPr>
      <w:r w:rsidRPr="007423F7">
        <w:tab/>
      </w:r>
      <w:r w:rsidRPr="007423F7">
        <w:tab/>
      </w:r>
      <w:r w:rsidR="005C4275" w:rsidRPr="007423F7">
        <w:t>Chapitre 6.8</w:t>
      </w:r>
    </w:p>
    <w:p w:rsidR="005C4275" w:rsidRPr="007423F7" w:rsidRDefault="005C4275" w:rsidP="005C4275">
      <w:pPr>
        <w:pStyle w:val="SingleTxtG"/>
        <w:rPr>
          <w:lang w:val="fr-FR"/>
        </w:rPr>
      </w:pPr>
      <w:r w:rsidRPr="007423F7">
        <w:rPr>
          <w:lang w:val="fr-FR"/>
        </w:rPr>
        <w:t>6.8.2.1.23</w:t>
      </w:r>
      <w:r w:rsidRPr="007423F7">
        <w:rPr>
          <w:lang w:val="fr-FR"/>
        </w:rPr>
        <w:tab/>
        <w:t>Modifier pour lire comme suit:</w:t>
      </w:r>
    </w:p>
    <w:p w:rsidR="005C4275" w:rsidRPr="007423F7" w:rsidRDefault="005C4275" w:rsidP="005C4275">
      <w:pPr>
        <w:pStyle w:val="SingleTxtG"/>
        <w:rPr>
          <w:lang w:val="fr-FR"/>
        </w:rPr>
      </w:pPr>
      <w:r w:rsidRPr="007423F7">
        <w:rPr>
          <w:lang w:val="fr-FR"/>
        </w:rPr>
        <w:t>«6.8.2.1.23</w:t>
      </w:r>
      <w:r w:rsidRPr="007423F7">
        <w:rPr>
          <w:lang w:val="fr-FR"/>
        </w:rPr>
        <w:tab/>
        <w:t>L'aptitude du constructeur à réaliser des travaux de soudure doit être vérifiée et confirmée par l'autorité compétente ou par l’organisme désigné par elle, qui délivre l’agrément de type. Un système d’assurance qualité du soudage doit être mis en place par le constructeur. Les travaux de soudage doivent être exécutés par des soudeurs qualifiés utilisant des modes opératoires de soudage qualifiés, dont l’efficacité (y compris les traitements thermiques qui pourraient être nécessaires) a été démontrée par des essais. Des contrôles non destructifs doivent être effectués par radiographie ou par ultrasons et doivent confirmer que la qualité des soudures correspond aux sollicitations.</w:t>
      </w:r>
    </w:p>
    <w:p w:rsidR="005C4275" w:rsidRPr="007423F7" w:rsidRDefault="0096559D" w:rsidP="005C4275">
      <w:pPr>
        <w:pStyle w:val="SingleTxtG"/>
        <w:rPr>
          <w:lang w:val="fr-FR"/>
        </w:rPr>
      </w:pPr>
      <w:r w:rsidRPr="007423F7">
        <w:rPr>
          <w:lang w:val="fr-FR"/>
        </w:rPr>
        <w:tab/>
      </w:r>
      <w:r w:rsidRPr="007423F7">
        <w:rPr>
          <w:lang w:val="fr-FR"/>
        </w:rPr>
        <w:tab/>
      </w:r>
      <w:r w:rsidR="005C4275" w:rsidRPr="007423F7">
        <w:rPr>
          <w:lang w:val="fr-FR"/>
        </w:rPr>
        <w:t xml:space="preserve">Les contrôles suivants doivent être effectués pour les soudures réalisées selon chaque mode opératoire de soudage utilisé par le constructeur, en tenant compte de la valeur du coefficient </w:t>
      </w:r>
      <w:r w:rsidR="005C4275" w:rsidRPr="007423F7">
        <w:rPr>
          <w:lang w:val="fr-FR"/>
        </w:rPr>
        <w:sym w:font="Symbol" w:char="F06C"/>
      </w:r>
      <w:r w:rsidR="005C4275" w:rsidRPr="007423F7">
        <w:rPr>
          <w:lang w:val="fr-FR"/>
        </w:rPr>
        <w:t xml:space="preserve"> utilisée pour la détermination de l'épaisseur du réservoir au 6.8.2.1.17 :</w:t>
      </w:r>
    </w:p>
    <w:p w:rsidR="005C4275" w:rsidRPr="007423F7" w:rsidRDefault="005C4275" w:rsidP="0096559D">
      <w:pPr>
        <w:pStyle w:val="SingleTxtG"/>
        <w:ind w:left="3119" w:hanging="851"/>
        <w:rPr>
          <w:lang w:val="fr-FR"/>
        </w:rPr>
      </w:pPr>
      <w:r w:rsidRPr="007423F7">
        <w:rPr>
          <w:lang w:val="fr-FR"/>
        </w:rPr>
        <w:sym w:font="Symbol" w:char="F06C"/>
      </w:r>
      <w:r w:rsidRPr="007423F7">
        <w:rPr>
          <w:lang w:val="fr-FR"/>
        </w:rPr>
        <w:t xml:space="preserve"> = 0,8:</w:t>
      </w:r>
      <w:r w:rsidRPr="007423F7">
        <w:rPr>
          <w:lang w:val="fr-FR"/>
        </w:rPr>
        <w:tab/>
        <w:t>tous les cordons de soudure doivent être vérifiés autant que possible visuellement sur les deux faces et doivent être soumis à des contrôles non destructifs. Les contrôles non destructifs doivent comprendre tous les nœuds de soudure en «T» et les inserts utilisés pour éviter des soudures en croix. La longueur totale de cordons à contrôler ne doit pas être inférieure à:</w:t>
      </w:r>
    </w:p>
    <w:p w:rsidR="005C4275" w:rsidRPr="007423F7" w:rsidRDefault="005C4275" w:rsidP="0096559D">
      <w:pPr>
        <w:pStyle w:val="SingleTxtG"/>
        <w:ind w:left="3119" w:hanging="851"/>
        <w:rPr>
          <w:lang w:val="fr-FR"/>
        </w:rPr>
      </w:pPr>
      <w:r w:rsidRPr="007423F7">
        <w:rPr>
          <w:lang w:val="fr-FR"/>
        </w:rPr>
        <w:tab/>
        <w:t>10% de la longueur de toutes les soudures longitudinales,</w:t>
      </w:r>
    </w:p>
    <w:p w:rsidR="005C4275" w:rsidRPr="007423F7" w:rsidRDefault="005C4275" w:rsidP="0096559D">
      <w:pPr>
        <w:pStyle w:val="SingleTxtG"/>
        <w:ind w:left="3119" w:hanging="851"/>
        <w:rPr>
          <w:lang w:val="fr-FR"/>
        </w:rPr>
      </w:pPr>
      <w:r w:rsidRPr="007423F7">
        <w:rPr>
          <w:lang w:val="fr-FR"/>
        </w:rPr>
        <w:tab/>
        <w:t xml:space="preserve">10% de la longueur de toutes les soudures circulaires, </w:t>
      </w:r>
    </w:p>
    <w:p w:rsidR="005C4275" w:rsidRPr="007423F7" w:rsidRDefault="005C4275" w:rsidP="0096559D">
      <w:pPr>
        <w:pStyle w:val="SingleTxtG"/>
        <w:ind w:left="3119" w:hanging="851"/>
        <w:rPr>
          <w:lang w:val="fr-FR"/>
        </w:rPr>
      </w:pPr>
      <w:r w:rsidRPr="007423F7">
        <w:rPr>
          <w:lang w:val="fr-FR"/>
        </w:rPr>
        <w:tab/>
        <w:t>10% de la longueur de toutes les soudures circulaires dans les fonds de la citerne; et</w:t>
      </w:r>
    </w:p>
    <w:p w:rsidR="005C4275" w:rsidRPr="007423F7" w:rsidRDefault="005C4275" w:rsidP="0096559D">
      <w:pPr>
        <w:pStyle w:val="SingleTxtG"/>
        <w:ind w:left="3119" w:hanging="851"/>
        <w:rPr>
          <w:lang w:val="fr-FR"/>
        </w:rPr>
      </w:pPr>
      <w:r w:rsidRPr="007423F7">
        <w:rPr>
          <w:lang w:val="fr-FR"/>
        </w:rPr>
        <w:tab/>
        <w:t>10% de la longueur de toutes les soudures radiales dans les fonds de la citerne.</w:t>
      </w:r>
    </w:p>
    <w:p w:rsidR="005C4275" w:rsidRPr="007423F7" w:rsidRDefault="005C4275" w:rsidP="0096559D">
      <w:pPr>
        <w:pStyle w:val="SingleTxtG"/>
        <w:ind w:left="3119" w:hanging="851"/>
        <w:rPr>
          <w:lang w:val="fr-FR"/>
        </w:rPr>
      </w:pPr>
      <w:r w:rsidRPr="007423F7">
        <w:rPr>
          <w:lang w:val="fr-FR"/>
        </w:rPr>
        <w:sym w:font="Symbol" w:char="F06C"/>
      </w:r>
      <w:r w:rsidRPr="007423F7">
        <w:rPr>
          <w:lang w:val="fr-FR"/>
        </w:rPr>
        <w:t xml:space="preserve"> = 0,9:</w:t>
      </w:r>
      <w:r w:rsidRPr="007423F7">
        <w:rPr>
          <w:lang w:val="fr-FR"/>
        </w:rPr>
        <w:tab/>
        <w:t>tous les cordons de soudure doivent être vérifiés autant que possible visuellement sur les deux faces et doivent être soumis à des contrôles non destructifs. Les contrôles non destructifs doivent comprendre tous les nœuds de soudure, les inserts utilisés pour éviter des soudures en croix et les soudures d'assemblage d'équipements de diamètre important. La longueur totale de cordon à contrôler ne doit pas être inférieure à:</w:t>
      </w:r>
    </w:p>
    <w:p w:rsidR="005C4275" w:rsidRPr="007423F7" w:rsidRDefault="005C4275" w:rsidP="0096559D">
      <w:pPr>
        <w:pStyle w:val="SingleTxtG"/>
        <w:ind w:left="3119" w:hanging="851"/>
        <w:rPr>
          <w:lang w:val="fr-FR"/>
        </w:rPr>
      </w:pPr>
      <w:r w:rsidRPr="007423F7">
        <w:rPr>
          <w:lang w:val="fr-FR"/>
        </w:rPr>
        <w:tab/>
        <w:t>100% de la longueur de toutes les soudures longitudinales,</w:t>
      </w:r>
    </w:p>
    <w:p w:rsidR="005C4275" w:rsidRPr="007423F7" w:rsidRDefault="005C4275" w:rsidP="0096559D">
      <w:pPr>
        <w:pStyle w:val="SingleTxtG"/>
        <w:ind w:left="3119" w:hanging="851"/>
        <w:rPr>
          <w:lang w:val="fr-FR"/>
        </w:rPr>
      </w:pPr>
      <w:r w:rsidRPr="007423F7">
        <w:rPr>
          <w:lang w:val="fr-FR"/>
        </w:rPr>
        <w:lastRenderedPageBreak/>
        <w:tab/>
        <w:t xml:space="preserve">25% de la longueur de toutes les soudures circulaires, </w:t>
      </w:r>
    </w:p>
    <w:p w:rsidR="005C4275" w:rsidRPr="007423F7" w:rsidRDefault="005C4275" w:rsidP="0096559D">
      <w:pPr>
        <w:pStyle w:val="SingleTxtG"/>
        <w:ind w:left="3119" w:hanging="851"/>
        <w:rPr>
          <w:lang w:val="fr-FR"/>
        </w:rPr>
      </w:pPr>
      <w:r w:rsidRPr="007423F7">
        <w:rPr>
          <w:lang w:val="fr-FR"/>
        </w:rPr>
        <w:tab/>
        <w:t>25% de la longueur de toutes les soudures circulaires dans les fonds de la citerne; et</w:t>
      </w:r>
    </w:p>
    <w:p w:rsidR="005C4275" w:rsidRPr="007423F7" w:rsidRDefault="005C4275" w:rsidP="0096559D">
      <w:pPr>
        <w:pStyle w:val="SingleTxtG"/>
        <w:ind w:left="3119" w:hanging="851"/>
        <w:rPr>
          <w:lang w:val="fr-FR"/>
        </w:rPr>
      </w:pPr>
      <w:r w:rsidRPr="007423F7">
        <w:rPr>
          <w:lang w:val="fr-FR"/>
        </w:rPr>
        <w:tab/>
        <w:t>25% de la longueur de toutes les soudures radiales dans les fonds de la citerne.</w:t>
      </w:r>
    </w:p>
    <w:p w:rsidR="005C4275" w:rsidRPr="007423F7" w:rsidRDefault="005C4275" w:rsidP="0096559D">
      <w:pPr>
        <w:pStyle w:val="SingleTxtG"/>
        <w:ind w:left="3119" w:hanging="851"/>
        <w:rPr>
          <w:lang w:val="fr-FR"/>
        </w:rPr>
      </w:pPr>
      <w:r w:rsidRPr="007423F7">
        <w:rPr>
          <w:lang w:val="fr-FR"/>
        </w:rPr>
        <w:sym w:font="Symbol" w:char="F06C"/>
      </w:r>
      <w:r w:rsidRPr="007423F7">
        <w:rPr>
          <w:lang w:val="fr-FR"/>
        </w:rPr>
        <w:t xml:space="preserve"> = 1:</w:t>
      </w:r>
      <w:r w:rsidRPr="007423F7">
        <w:rPr>
          <w:lang w:val="fr-FR"/>
        </w:rPr>
        <w:tab/>
        <w:t>tous les cordons de soudure sur toute leur longueur doivent être l'objet de contrôles non destructifs et doivent être vérifiés autant que possible visuellement sur les deux faces. Un prélèvement d'éprouvette de soudure doit être effectué.</w:t>
      </w:r>
    </w:p>
    <w:p w:rsidR="005C4275" w:rsidRPr="007423F7" w:rsidRDefault="0096559D" w:rsidP="005C4275">
      <w:pPr>
        <w:pStyle w:val="SingleTxtG"/>
        <w:rPr>
          <w:lang w:val="fr-FR"/>
        </w:rPr>
      </w:pPr>
      <w:r w:rsidRPr="007423F7">
        <w:rPr>
          <w:lang w:val="fr-FR"/>
        </w:rPr>
        <w:tab/>
      </w:r>
      <w:r w:rsidRPr="007423F7">
        <w:rPr>
          <w:lang w:val="fr-FR"/>
        </w:rPr>
        <w:tab/>
      </w:r>
      <w:r w:rsidR="005C4275" w:rsidRPr="007423F7">
        <w:rPr>
          <w:lang w:val="fr-FR"/>
        </w:rPr>
        <w:t xml:space="preserve">Dans le cas des coefficients </w:t>
      </w:r>
      <w:r w:rsidR="005C4275" w:rsidRPr="007423F7">
        <w:rPr>
          <w:lang w:val="fr-FR"/>
        </w:rPr>
        <w:sym w:font="Symbol" w:char="F06C"/>
      </w:r>
      <w:r w:rsidR="005C4275" w:rsidRPr="007423F7">
        <w:rPr>
          <w:lang w:val="fr-FR"/>
        </w:rPr>
        <w:t xml:space="preserve"> = 0,8 ou </w:t>
      </w:r>
      <w:r w:rsidR="005C4275" w:rsidRPr="007423F7">
        <w:rPr>
          <w:lang w:val="fr-FR"/>
        </w:rPr>
        <w:sym w:font="Symbol" w:char="F06C"/>
      </w:r>
      <w:r w:rsidR="005C4275" w:rsidRPr="007423F7">
        <w:rPr>
          <w:lang w:val="fr-FR"/>
        </w:rPr>
        <w:t xml:space="preserve"> = 0,9, lorsque la présence d’un défaut inacceptable est constatée dans une partie d’une soudure le contrôle doit être étendu à une partie de la soudure de longueur au moins égale de chaque côté de celle qui contient un défaut. Si ce contrôle non destructif donne lieu à l’observation d’un nouveau défaut inacceptable, le contrôle doit être étendu à la totalité des soudures du même mode opératoire de soudage.</w:t>
      </w:r>
    </w:p>
    <w:p w:rsidR="005C4275" w:rsidRPr="007423F7" w:rsidRDefault="0096559D" w:rsidP="005C4275">
      <w:pPr>
        <w:pStyle w:val="SingleTxtG"/>
        <w:rPr>
          <w:lang w:val="fr-FR"/>
        </w:rPr>
      </w:pPr>
      <w:r w:rsidRPr="007423F7">
        <w:rPr>
          <w:lang w:val="fr-FR"/>
        </w:rPr>
        <w:tab/>
      </w:r>
      <w:r w:rsidRPr="007423F7">
        <w:rPr>
          <w:lang w:val="fr-FR"/>
        </w:rPr>
        <w:tab/>
      </w:r>
      <w:r w:rsidR="005C4275" w:rsidRPr="007423F7">
        <w:rPr>
          <w:lang w:val="fr-FR"/>
        </w:rPr>
        <w:t>Lorsque l'autorité compétente ou l’organisme désigné par elle, a des doutes sur la qualité des soudures, y compris les soudures faites pour réparer tout défaut révélé par des contrôles non destructifs, elle ou il peut ordonner des contrôles supplémentaires.».</w:t>
      </w:r>
    </w:p>
    <w:p w:rsidR="005C4275" w:rsidRPr="007423F7" w:rsidRDefault="005C4275" w:rsidP="005C4275">
      <w:pPr>
        <w:pStyle w:val="SingleTxtG"/>
        <w:tabs>
          <w:tab w:val="left" w:pos="1854"/>
        </w:tabs>
        <w:rPr>
          <w:lang w:val="fr-FR"/>
        </w:rPr>
      </w:pPr>
      <w:r w:rsidRPr="007423F7">
        <w:rPr>
          <w:lang w:val="fr-FR"/>
        </w:rPr>
        <w:t>6.8.2.3.1</w:t>
      </w:r>
      <w:r w:rsidRPr="007423F7">
        <w:rPr>
          <w:lang w:val="fr-FR"/>
        </w:rPr>
        <w:tab/>
      </w:r>
      <w:r w:rsidRPr="007423F7">
        <w:rPr>
          <w:lang w:val="fr-FR"/>
        </w:rPr>
        <w:tab/>
        <w:t>Au deuxième tiret, dans la colonne de droite, remplacer «sigle distinctif</w:t>
      </w:r>
      <w:r w:rsidRPr="007423F7">
        <w:rPr>
          <w:b/>
          <w:vertAlign w:val="superscript"/>
          <w:lang w:val="fr-FR"/>
        </w:rPr>
        <w:t>8</w:t>
      </w:r>
      <w:r w:rsidRPr="007423F7">
        <w:rPr>
          <w:lang w:val="fr-FR"/>
        </w:rPr>
        <w:t xml:space="preserve"> de l’Etat» par «signe distinctif utilisé sur les véhicules en circulation routière internationale</w:t>
      </w:r>
      <w:r w:rsidRPr="007423F7">
        <w:rPr>
          <w:b/>
          <w:vertAlign w:val="superscript"/>
          <w:lang w:val="fr-FR"/>
        </w:rPr>
        <w:t>8</w:t>
      </w:r>
      <w:r w:rsidRPr="007423F7">
        <w:rPr>
          <w:lang w:val="fr-FR"/>
        </w:rPr>
        <w:t xml:space="preserve"> pour l’Etat».</w:t>
      </w:r>
    </w:p>
    <w:p w:rsidR="005C4275" w:rsidRPr="007423F7" w:rsidRDefault="005C4275" w:rsidP="005C4275">
      <w:pPr>
        <w:pStyle w:val="SingleTxtG"/>
        <w:tabs>
          <w:tab w:val="left" w:pos="1854"/>
        </w:tabs>
        <w:rPr>
          <w:lang w:val="fr-FR"/>
        </w:rPr>
      </w:pPr>
      <w:r w:rsidRPr="007423F7">
        <w:rPr>
          <w:lang w:val="fr-FR"/>
        </w:rPr>
        <w:t>Modifier la note de bas de page 8 pour lire:</w:t>
      </w:r>
    </w:p>
    <w:p w:rsidR="005C4275" w:rsidRPr="007423F7" w:rsidRDefault="005C4275" w:rsidP="005C4275">
      <w:pPr>
        <w:pStyle w:val="SingleTxtG"/>
      </w:pPr>
      <w:r w:rsidRPr="007423F7">
        <w:rPr>
          <w:lang w:val="fr-FR"/>
        </w:rPr>
        <w:t>«</w:t>
      </w:r>
      <w:r w:rsidRPr="007423F7">
        <w:rPr>
          <w:b/>
          <w:vertAlign w:val="superscript"/>
          <w:lang w:val="fr-FR"/>
        </w:rPr>
        <w:t>8</w:t>
      </w:r>
      <w:r w:rsidRPr="007423F7">
        <w:rPr>
          <w:lang w:val="fr-FR"/>
        </w:rPr>
        <w:tab/>
      </w:r>
      <w:r w:rsidRPr="007423F7">
        <w:rPr>
          <w:i/>
          <w:lang w:val="fr-FR"/>
        </w:rPr>
        <w:t>Signe distinctif de l’Etat d’immatriculation utilisé sur les automobiles et les remorques en circulation routière internationale, par exemple en vertu de la Convention de Genève sur la circulation routière de 1949 ou de la Convention de Vienne sur la circulation routière de 1968.».</w:t>
      </w:r>
    </w:p>
    <w:p w:rsidR="005C4275" w:rsidRPr="007423F7" w:rsidRDefault="005C4275" w:rsidP="005C4275">
      <w:pPr>
        <w:pStyle w:val="SingleTxtG"/>
        <w:rPr>
          <w:lang w:val="fr-FR"/>
        </w:rPr>
      </w:pPr>
      <w:r w:rsidRPr="007423F7">
        <w:rPr>
          <w:lang w:val="fr-FR"/>
        </w:rPr>
        <w:t>6.8.2.4.1</w:t>
      </w:r>
      <w:r w:rsidRPr="007423F7">
        <w:rPr>
          <w:lang w:val="fr-FR"/>
        </w:rPr>
        <w:tab/>
        <w:t>Modifier le paragraphe figurant en colonne de gauche comme suit:</w:t>
      </w:r>
    </w:p>
    <w:tbl>
      <w:tblPr>
        <w:tblW w:w="0" w:type="auto"/>
        <w:tblInd w:w="1134" w:type="dxa"/>
        <w:tblLook w:val="04A0"/>
      </w:tblPr>
      <w:tblGrid>
        <w:gridCol w:w="4220"/>
        <w:gridCol w:w="4001"/>
      </w:tblGrid>
      <w:tr w:rsidR="005C4275" w:rsidRPr="007423F7" w:rsidTr="008A638C">
        <w:tc>
          <w:tcPr>
            <w:tcW w:w="4220" w:type="dxa"/>
            <w:tcBorders>
              <w:top w:val="nil"/>
              <w:left w:val="nil"/>
              <w:bottom w:val="nil"/>
              <w:right w:val="single" w:sz="4" w:space="0" w:color="auto"/>
            </w:tcBorders>
            <w:hideMark/>
          </w:tcPr>
          <w:p w:rsidR="005C4275" w:rsidRPr="007423F7" w:rsidRDefault="005C4275" w:rsidP="008A638C">
            <w:pPr>
              <w:tabs>
                <w:tab w:val="left" w:pos="284"/>
                <w:tab w:val="left" w:pos="1418"/>
                <w:tab w:val="left" w:pos="1843"/>
              </w:tabs>
              <w:rPr>
                <w:lang w:val="fr-FR"/>
              </w:rPr>
            </w:pPr>
            <w:r w:rsidRPr="007423F7">
              <w:rPr>
                <w:lang w:val="fr-FR"/>
              </w:rPr>
              <w:t>«L'épreuve doit être effectuée sur chaque compartiment à une pression au moins égale à:</w:t>
            </w:r>
          </w:p>
          <w:p w:rsidR="005C4275" w:rsidRPr="007423F7" w:rsidRDefault="005C4275" w:rsidP="008A638C">
            <w:pPr>
              <w:tabs>
                <w:tab w:val="left" w:pos="284"/>
                <w:tab w:val="left" w:pos="1418"/>
                <w:tab w:val="left" w:pos="1843"/>
              </w:tabs>
              <w:rPr>
                <w:lang w:val="fr-FR"/>
              </w:rPr>
            </w:pPr>
            <w:r w:rsidRPr="007423F7">
              <w:rPr>
                <w:lang w:val="fr-FR"/>
              </w:rPr>
              <w:t xml:space="preserve">- </w:t>
            </w:r>
            <w:r w:rsidRPr="007423F7">
              <w:rPr>
                <w:lang w:val="fr-FR"/>
              </w:rPr>
              <w:tab/>
              <w:t>1,3 fois la pression maximale de service; ou</w:t>
            </w:r>
          </w:p>
          <w:p w:rsidR="005C4275" w:rsidRPr="007423F7" w:rsidRDefault="005C4275" w:rsidP="008A638C">
            <w:pPr>
              <w:tabs>
                <w:tab w:val="left" w:pos="1418"/>
                <w:tab w:val="left" w:pos="1843"/>
              </w:tabs>
              <w:ind w:left="284" w:hanging="284"/>
              <w:rPr>
                <w:lang w:val="fr-FR"/>
              </w:rPr>
            </w:pPr>
            <w:r w:rsidRPr="007423F7">
              <w:rPr>
                <w:lang w:val="fr-FR"/>
              </w:rPr>
              <w:t xml:space="preserve">- </w:t>
            </w:r>
            <w:r w:rsidRPr="007423F7">
              <w:rPr>
                <w:lang w:val="fr-FR"/>
              </w:rPr>
              <w:tab/>
              <w:t>1,3 fois la pression statique de la matière à transporter sans être inférieure à 1,3 fois la pression statique de l’eau, avec un minimum de 20 kPa (0,2 bar), pour les citernes à vidange gravitaire selon le 6.8.2.1.14 a).».</w:t>
            </w:r>
          </w:p>
        </w:tc>
        <w:tc>
          <w:tcPr>
            <w:tcW w:w="4001" w:type="dxa"/>
            <w:tcBorders>
              <w:top w:val="nil"/>
              <w:left w:val="single" w:sz="4" w:space="0" w:color="auto"/>
              <w:bottom w:val="nil"/>
              <w:right w:val="nil"/>
            </w:tcBorders>
          </w:tcPr>
          <w:p w:rsidR="005C4275" w:rsidRPr="007423F7" w:rsidRDefault="005C4275" w:rsidP="008A638C">
            <w:pPr>
              <w:tabs>
                <w:tab w:val="left" w:pos="1418"/>
                <w:tab w:val="left" w:pos="1843"/>
              </w:tabs>
              <w:rPr>
                <w:lang w:val="fr-FR"/>
              </w:rPr>
            </w:pPr>
          </w:p>
        </w:tc>
      </w:tr>
    </w:tbl>
    <w:p w:rsidR="005C4275" w:rsidRPr="007423F7" w:rsidRDefault="005C4275" w:rsidP="005C4275">
      <w:pPr>
        <w:pStyle w:val="SingleTxtG"/>
        <w:spacing w:after="0"/>
      </w:pPr>
    </w:p>
    <w:p w:rsidR="005C4275" w:rsidRPr="007423F7" w:rsidRDefault="005C4275" w:rsidP="005C4275">
      <w:pPr>
        <w:tabs>
          <w:tab w:val="left" w:pos="1418"/>
        </w:tabs>
        <w:spacing w:before="120" w:after="120"/>
        <w:ind w:left="1134" w:right="1134"/>
        <w:jc w:val="both"/>
        <w:rPr>
          <w:lang w:val="fr-FR"/>
        </w:rPr>
      </w:pPr>
      <w:r w:rsidRPr="007423F7">
        <w:rPr>
          <w:lang w:val="fr-FR"/>
        </w:rPr>
        <w:t>6.8.2.4.3</w:t>
      </w:r>
      <w:r w:rsidRPr="007423F7">
        <w:rPr>
          <w:lang w:val="fr-FR"/>
        </w:rPr>
        <w:tab/>
        <w:t>Remplacer l’avant-dernier paragraphe par le suivant:</w:t>
      </w:r>
    </w:p>
    <w:p w:rsidR="005C4275" w:rsidRPr="007423F7" w:rsidRDefault="005C4275" w:rsidP="005C4275">
      <w:pPr>
        <w:tabs>
          <w:tab w:val="left" w:pos="1418"/>
        </w:tabs>
        <w:spacing w:before="120" w:after="120"/>
        <w:ind w:left="1134" w:right="1134"/>
        <w:jc w:val="both"/>
        <w:rPr>
          <w:lang w:val="fr-FR"/>
        </w:rPr>
      </w:pPr>
      <w:r w:rsidRPr="007423F7">
        <w:rPr>
          <w:lang w:val="fr-FR"/>
        </w:rPr>
        <w:t>«Pour les citernes munies de dispositifs de respiration et d’un dispositif propre à empêcher que le contenu ne se répande au-dehors si la citerne se renverse, l’épreuve d’étanchéité doit être effectuée à une pression au moins égale à la valeur la plus élevée des valeurs parmi la pression statique de la matière à transporter la plus dense, 1,3 fois la pression statique de l’eau et 20 kPa (0,2 bar).».</w:t>
      </w:r>
    </w:p>
    <w:p w:rsidR="005C4275" w:rsidRPr="007423F7" w:rsidRDefault="005C4275" w:rsidP="005C4275">
      <w:pPr>
        <w:tabs>
          <w:tab w:val="left" w:pos="1418"/>
        </w:tabs>
        <w:spacing w:before="120" w:after="120"/>
        <w:ind w:left="1134" w:right="1134"/>
        <w:jc w:val="both"/>
        <w:rPr>
          <w:lang w:val="fr-FR"/>
        </w:rPr>
      </w:pPr>
      <w:r w:rsidRPr="007423F7">
        <w:rPr>
          <w:lang w:val="fr-FR"/>
        </w:rPr>
        <w:t>6.8.2.6.1</w:t>
      </w:r>
      <w:r w:rsidRPr="007423F7">
        <w:rPr>
          <w:lang w:val="fr-FR"/>
        </w:rPr>
        <w:tab/>
      </w:r>
      <w:r w:rsidRPr="007423F7">
        <w:rPr>
          <w:rFonts w:cs="Arial"/>
          <w:szCs w:val="22"/>
          <w:lang w:val="fr-FR"/>
        </w:rPr>
        <w:t>Dans</w:t>
      </w:r>
      <w:r w:rsidRPr="007423F7">
        <w:rPr>
          <w:lang w:val="fr-FR"/>
        </w:rPr>
        <w:t xml:space="preserve"> le tableau:</w:t>
      </w:r>
    </w:p>
    <w:p w:rsidR="005C4275" w:rsidRPr="007423F7" w:rsidRDefault="005C4275" w:rsidP="000A0F12">
      <w:pPr>
        <w:tabs>
          <w:tab w:val="left" w:pos="1418"/>
        </w:tabs>
        <w:spacing w:before="120" w:after="120"/>
        <w:ind w:left="1134" w:right="1134"/>
        <w:jc w:val="both"/>
        <w:rPr>
          <w:lang w:val="fr-FR"/>
        </w:rPr>
      </w:pPr>
      <w:r w:rsidRPr="007423F7">
        <w:rPr>
          <w:lang w:val="fr-FR"/>
        </w:rPr>
        <w:t>–</w:t>
      </w:r>
      <w:r w:rsidRPr="007423F7">
        <w:rPr>
          <w:lang w:val="fr-FR"/>
        </w:rPr>
        <w:tab/>
        <w:t>Pour la norme «EN 14025:2013», dans la colonne (4), remplacer «Jusqu’à nouvel ordre» par «Entre le 1er janvier 2015 et le 31 décembre 2018».</w:t>
      </w:r>
    </w:p>
    <w:p w:rsidR="005C4275" w:rsidRPr="000A0F12" w:rsidRDefault="005C4275" w:rsidP="000A0F12">
      <w:pPr>
        <w:tabs>
          <w:tab w:val="left" w:pos="1418"/>
        </w:tabs>
        <w:spacing w:before="120" w:after="120"/>
        <w:ind w:left="1134" w:right="1134"/>
        <w:jc w:val="both"/>
        <w:rPr>
          <w:lang w:val="fr-FR"/>
        </w:rPr>
      </w:pPr>
      <w:r w:rsidRPr="007423F7">
        <w:rPr>
          <w:lang w:val="fr-FR"/>
        </w:rPr>
        <w:t>–</w:t>
      </w:r>
      <w:r w:rsidRPr="007423F7">
        <w:rPr>
          <w:lang w:val="fr-FR"/>
        </w:rPr>
        <w:tab/>
        <w:t>Après la norme «EN 14025:2013», insérer la nouvelle norme suivante:</w:t>
      </w:r>
    </w:p>
    <w:tbl>
      <w:tblPr>
        <w:tblW w:w="858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3969"/>
        <w:gridCol w:w="1012"/>
        <w:gridCol w:w="956"/>
        <w:gridCol w:w="664"/>
      </w:tblGrid>
      <w:tr w:rsidR="005C4275" w:rsidRPr="007423F7" w:rsidTr="000A0F12">
        <w:tc>
          <w:tcPr>
            <w:tcW w:w="1985" w:type="dxa"/>
            <w:tcBorders>
              <w:top w:val="single" w:sz="4" w:space="0" w:color="auto"/>
              <w:left w:val="single" w:sz="4" w:space="0" w:color="auto"/>
              <w:bottom w:val="single" w:sz="4" w:space="0" w:color="auto"/>
              <w:right w:val="single" w:sz="4" w:space="0" w:color="auto"/>
            </w:tcBorders>
            <w:hideMark/>
          </w:tcPr>
          <w:p w:rsidR="005C4275" w:rsidRPr="007423F7" w:rsidRDefault="005C4275" w:rsidP="008A638C">
            <w:pPr>
              <w:tabs>
                <w:tab w:val="left" w:pos="1418"/>
              </w:tabs>
              <w:rPr>
                <w:rFonts w:cs="Arial"/>
                <w:lang w:val="fr-FR"/>
              </w:rPr>
            </w:pPr>
            <w:r w:rsidRPr="007423F7">
              <w:rPr>
                <w:rFonts w:cs="Arial"/>
                <w:lang w:val="fr-FR"/>
              </w:rPr>
              <w:lastRenderedPageBreak/>
              <w:t>EN </w:t>
            </w:r>
            <w:r w:rsidRPr="007423F7">
              <w:rPr>
                <w:rFonts w:cs="Arial"/>
                <w:bCs/>
                <w:szCs w:val="22"/>
                <w:lang w:val="fr-FR"/>
              </w:rPr>
              <w:t>14025:</w:t>
            </w:r>
            <w:r w:rsidRPr="007423F7">
              <w:rPr>
                <w:rFonts w:cs="Arial"/>
                <w:szCs w:val="22"/>
                <w:lang w:val="fr-FR"/>
              </w:rPr>
              <w:t>2013+</w:t>
            </w:r>
            <w:r w:rsidRPr="007423F7">
              <w:rPr>
                <w:rFonts w:cs="Arial"/>
                <w:szCs w:val="22"/>
                <w:lang w:val="fr-FR"/>
              </w:rPr>
              <w:br/>
              <w:t>A1:2016 (sauf annexe B)</w:t>
            </w:r>
          </w:p>
        </w:tc>
        <w:tc>
          <w:tcPr>
            <w:tcW w:w="3969" w:type="dxa"/>
            <w:tcBorders>
              <w:top w:val="single" w:sz="4" w:space="0" w:color="auto"/>
              <w:left w:val="single" w:sz="4" w:space="0" w:color="auto"/>
              <w:bottom w:val="single" w:sz="4" w:space="0" w:color="auto"/>
              <w:right w:val="single" w:sz="4" w:space="0" w:color="auto"/>
            </w:tcBorders>
            <w:vAlign w:val="center"/>
            <w:hideMark/>
          </w:tcPr>
          <w:p w:rsidR="005C4275" w:rsidRPr="007423F7" w:rsidRDefault="005C4275" w:rsidP="008A638C">
            <w:pPr>
              <w:rPr>
                <w:rFonts w:cs="Arial"/>
                <w:lang w:val="fr-FR"/>
              </w:rPr>
            </w:pPr>
            <w:r w:rsidRPr="007423F7">
              <w:rPr>
                <w:rFonts w:cs="Arial"/>
                <w:lang w:val="fr-FR"/>
              </w:rPr>
              <w:t>Citernes destinées au transport de matières dangereuses – citernes métalliques sous pression – conception et fabrication</w:t>
            </w:r>
          </w:p>
        </w:tc>
        <w:tc>
          <w:tcPr>
            <w:tcW w:w="1012" w:type="dxa"/>
            <w:tcBorders>
              <w:top w:val="single" w:sz="4" w:space="0" w:color="auto"/>
              <w:left w:val="single" w:sz="4" w:space="0" w:color="auto"/>
              <w:bottom w:val="single" w:sz="4" w:space="0" w:color="auto"/>
              <w:right w:val="single" w:sz="4" w:space="0" w:color="auto"/>
            </w:tcBorders>
            <w:vAlign w:val="center"/>
            <w:hideMark/>
          </w:tcPr>
          <w:p w:rsidR="005C4275" w:rsidRPr="007423F7" w:rsidRDefault="005C4275" w:rsidP="008A638C">
            <w:pPr>
              <w:rPr>
                <w:rFonts w:cs="Arial"/>
                <w:lang w:val="fr-FR"/>
              </w:rPr>
            </w:pPr>
            <w:r w:rsidRPr="007423F7">
              <w:rPr>
                <w:rFonts w:cs="Arial"/>
                <w:lang w:val="fr-FR"/>
              </w:rPr>
              <w:t>6.8.2.1 et 6.8.3.1</w:t>
            </w:r>
          </w:p>
        </w:tc>
        <w:tc>
          <w:tcPr>
            <w:tcW w:w="956" w:type="dxa"/>
            <w:tcBorders>
              <w:top w:val="single" w:sz="4" w:space="0" w:color="auto"/>
              <w:left w:val="single" w:sz="4" w:space="0" w:color="auto"/>
              <w:bottom w:val="single" w:sz="4" w:space="0" w:color="auto"/>
              <w:right w:val="single" w:sz="4" w:space="0" w:color="auto"/>
            </w:tcBorders>
            <w:vAlign w:val="center"/>
            <w:hideMark/>
          </w:tcPr>
          <w:p w:rsidR="005C4275" w:rsidRPr="007423F7" w:rsidRDefault="005C4275" w:rsidP="008A638C">
            <w:pPr>
              <w:jc w:val="center"/>
              <w:rPr>
                <w:rFonts w:cs="Arial"/>
                <w:lang w:val="fr-FR"/>
              </w:rPr>
            </w:pPr>
            <w:r w:rsidRPr="007423F7">
              <w:rPr>
                <w:rFonts w:cs="Arial"/>
                <w:bCs/>
                <w:lang w:val="fr-FR"/>
              </w:rPr>
              <w:t>Jusqu’à nouvel ordre</w:t>
            </w:r>
          </w:p>
        </w:tc>
        <w:tc>
          <w:tcPr>
            <w:tcW w:w="664" w:type="dxa"/>
            <w:tcBorders>
              <w:top w:val="single" w:sz="4" w:space="0" w:color="auto"/>
              <w:left w:val="single" w:sz="4" w:space="0" w:color="auto"/>
              <w:bottom w:val="single" w:sz="4" w:space="0" w:color="auto"/>
              <w:right w:val="single" w:sz="4" w:space="0" w:color="auto"/>
            </w:tcBorders>
            <w:vAlign w:val="center"/>
          </w:tcPr>
          <w:p w:rsidR="005C4275" w:rsidRPr="007423F7" w:rsidRDefault="005C4275" w:rsidP="008A638C">
            <w:pPr>
              <w:widowControl w:val="0"/>
              <w:rPr>
                <w:rFonts w:cs="Arial"/>
                <w:sz w:val="18"/>
                <w:szCs w:val="18"/>
                <w:lang w:val="fr-FR"/>
              </w:rPr>
            </w:pPr>
          </w:p>
        </w:tc>
      </w:tr>
    </w:tbl>
    <w:p w:rsidR="005C4275" w:rsidRPr="007423F7" w:rsidRDefault="005C4275" w:rsidP="005C4275">
      <w:pPr>
        <w:tabs>
          <w:tab w:val="left" w:pos="1418"/>
          <w:tab w:val="left" w:pos="1843"/>
        </w:tabs>
        <w:spacing w:before="120" w:after="120"/>
        <w:ind w:left="1134" w:right="1134"/>
        <w:jc w:val="both"/>
        <w:rPr>
          <w:lang w:val="fr-FR"/>
        </w:rPr>
      </w:pPr>
      <w:r w:rsidRPr="007423F7">
        <w:t>6.8.3.1.5</w:t>
      </w:r>
      <w:r w:rsidRPr="007423F7">
        <w:tab/>
      </w:r>
      <w:r w:rsidRPr="007423F7">
        <w:tab/>
      </w:r>
      <w:r w:rsidRPr="007423F7">
        <w:rPr>
          <w:lang w:val="fr-FR"/>
        </w:rPr>
        <w:t>Modifier la première phrase pour lire comme suit:</w:t>
      </w:r>
    </w:p>
    <w:p w:rsidR="005C4275" w:rsidRPr="007423F7" w:rsidRDefault="005C4275" w:rsidP="005C4275">
      <w:pPr>
        <w:tabs>
          <w:tab w:val="left" w:pos="1418"/>
          <w:tab w:val="left" w:pos="1843"/>
        </w:tabs>
        <w:spacing w:before="120" w:after="120"/>
        <w:ind w:left="1134" w:right="1134"/>
        <w:jc w:val="both"/>
        <w:rPr>
          <w:lang w:val="fr-FR"/>
        </w:rPr>
      </w:pPr>
      <w:r w:rsidRPr="007423F7">
        <w:rPr>
          <w:lang w:val="fr-FR"/>
        </w:rPr>
        <w:t>«Les éléments</w:t>
      </w:r>
    </w:p>
    <w:tbl>
      <w:tblPr>
        <w:tblW w:w="0" w:type="auto"/>
        <w:tblInd w:w="1134" w:type="dxa"/>
        <w:tblLook w:val="04A0"/>
      </w:tblPr>
      <w:tblGrid>
        <w:gridCol w:w="4220"/>
        <w:gridCol w:w="4001"/>
      </w:tblGrid>
      <w:tr w:rsidR="005C4275" w:rsidRPr="007423F7" w:rsidTr="008A638C">
        <w:tc>
          <w:tcPr>
            <w:tcW w:w="4220" w:type="dxa"/>
            <w:tcBorders>
              <w:top w:val="nil"/>
              <w:left w:val="nil"/>
              <w:bottom w:val="nil"/>
              <w:right w:val="single" w:sz="4" w:space="0" w:color="auto"/>
            </w:tcBorders>
            <w:hideMark/>
          </w:tcPr>
          <w:p w:rsidR="005C4275" w:rsidRPr="007423F7" w:rsidRDefault="005C4275" w:rsidP="001650E6">
            <w:pPr>
              <w:tabs>
                <w:tab w:val="left" w:pos="1418"/>
                <w:tab w:val="left" w:pos="1843"/>
              </w:tabs>
              <w:rPr>
                <w:lang w:val="fr-FR"/>
              </w:rPr>
            </w:pPr>
            <w:r w:rsidRPr="007423F7">
              <w:rPr>
                <w:lang w:val="fr-FR"/>
              </w:rPr>
              <w:t>des véhicules-batteries et leurs moyens de fixation</w:t>
            </w:r>
          </w:p>
        </w:tc>
        <w:tc>
          <w:tcPr>
            <w:tcW w:w="4001" w:type="dxa"/>
            <w:tcBorders>
              <w:top w:val="nil"/>
              <w:left w:val="single" w:sz="4" w:space="0" w:color="auto"/>
              <w:bottom w:val="nil"/>
              <w:right w:val="nil"/>
            </w:tcBorders>
            <w:hideMark/>
          </w:tcPr>
          <w:p w:rsidR="005C4275" w:rsidRPr="007423F7" w:rsidRDefault="005C4275" w:rsidP="008A638C">
            <w:pPr>
              <w:tabs>
                <w:tab w:val="left" w:pos="1418"/>
                <w:tab w:val="left" w:pos="1843"/>
              </w:tabs>
              <w:rPr>
                <w:lang w:val="fr-FR"/>
              </w:rPr>
            </w:pPr>
            <w:r w:rsidRPr="007423F7">
              <w:rPr>
                <w:lang w:val="fr-FR"/>
              </w:rPr>
              <w:t>des CGEM et leurs moyens de fixation, ainsi que le cadre des CGEM</w:t>
            </w:r>
          </w:p>
        </w:tc>
      </w:tr>
    </w:tbl>
    <w:p w:rsidR="005C4275" w:rsidRPr="007423F7" w:rsidRDefault="005C4275" w:rsidP="005C4275">
      <w:pPr>
        <w:tabs>
          <w:tab w:val="left" w:pos="1418"/>
          <w:tab w:val="left" w:pos="1843"/>
        </w:tabs>
        <w:spacing w:before="120" w:after="120"/>
        <w:ind w:left="1134" w:right="1134"/>
        <w:jc w:val="both"/>
        <w:rPr>
          <w:lang w:val="fr-FR"/>
        </w:rPr>
      </w:pPr>
      <w:r w:rsidRPr="007423F7">
        <w:rPr>
          <w:lang w:val="fr-FR"/>
        </w:rPr>
        <w:t>doivent pouvoir absorber, dans les conditions du chargement maximal autorisé, les forces définies au 6.8.2.1.2. ».</w:t>
      </w:r>
    </w:p>
    <w:p w:rsidR="005C4275" w:rsidRPr="007423F7" w:rsidRDefault="005C4275" w:rsidP="005C4275">
      <w:pPr>
        <w:pStyle w:val="SingleTxtG"/>
        <w:rPr>
          <w:lang w:val="fr-FR"/>
        </w:rPr>
      </w:pPr>
      <w:r w:rsidRPr="007423F7">
        <w:rPr>
          <w:lang w:val="fr-FR"/>
        </w:rPr>
        <w:t>6.8.3.2.9</w:t>
      </w:r>
      <w:r w:rsidRPr="007423F7">
        <w:rPr>
          <w:lang w:val="fr-FR"/>
        </w:rPr>
        <w:tab/>
        <w:t>Dans la première phrase, remplacer «comprimés liquéfiés» par «comprimés ou liquéfiés».</w:t>
      </w:r>
    </w:p>
    <w:p w:rsidR="0094428E" w:rsidRDefault="0094428E" w:rsidP="0094428E">
      <w:pPr>
        <w:tabs>
          <w:tab w:val="left" w:pos="1418"/>
          <w:tab w:val="left" w:pos="1843"/>
        </w:tabs>
        <w:spacing w:before="120" w:after="120"/>
        <w:ind w:left="1134" w:right="1134"/>
        <w:jc w:val="both"/>
        <w:rPr>
          <w:lang w:val="fr-FR"/>
        </w:rPr>
      </w:pPr>
      <w:r>
        <w:rPr>
          <w:lang w:val="fr-FR"/>
        </w:rPr>
        <w:t>6.8.3.4</w:t>
      </w:r>
      <w:r>
        <w:rPr>
          <w:lang w:val="fr-FR"/>
        </w:rPr>
        <w:tab/>
        <w:t>Dans le titre avant 6.8.3.4.10, ajouter «réfrigérés» à la fin</w:t>
      </w:r>
    </w:p>
    <w:p w:rsidR="0023665A" w:rsidRDefault="0023665A" w:rsidP="005C4275">
      <w:pPr>
        <w:tabs>
          <w:tab w:val="left" w:pos="1418"/>
          <w:tab w:val="left" w:pos="1843"/>
        </w:tabs>
        <w:spacing w:before="120" w:after="120"/>
        <w:ind w:left="1134" w:right="1134"/>
        <w:jc w:val="both"/>
        <w:rPr>
          <w:lang w:val="fr-FR"/>
        </w:rPr>
      </w:pPr>
      <w:r>
        <w:rPr>
          <w:lang w:val="fr-FR"/>
        </w:rPr>
        <w:t>6.8.3.5.4</w:t>
      </w:r>
      <w:r>
        <w:rPr>
          <w:lang w:val="fr-FR"/>
        </w:rPr>
        <w:tab/>
      </w:r>
      <w:r>
        <w:rPr>
          <w:lang w:val="fr-FR"/>
        </w:rPr>
        <w:tab/>
        <w:t>Au début du paragraphe, tel que modifié</w:t>
      </w:r>
      <w:r w:rsidRPr="007423F7">
        <w:rPr>
          <w:lang w:val="fr-FR"/>
        </w:rPr>
        <w:t xml:space="preserve"> dans le document ECE/TRANS/WP.15/231</w:t>
      </w:r>
      <w:r>
        <w:rPr>
          <w:lang w:val="fr-FR"/>
        </w:rPr>
        <w:t>, remplacer «Sur les citernes» par «En ce qui concerne les citernes».</w:t>
      </w:r>
    </w:p>
    <w:p w:rsidR="005C4275" w:rsidRPr="007423F7" w:rsidRDefault="005C4275" w:rsidP="005C4275">
      <w:pPr>
        <w:tabs>
          <w:tab w:val="left" w:pos="1418"/>
          <w:tab w:val="left" w:pos="1843"/>
        </w:tabs>
        <w:spacing w:before="120" w:after="120"/>
        <w:ind w:left="1134" w:right="1134"/>
        <w:jc w:val="both"/>
        <w:rPr>
          <w:lang w:val="fr-FR"/>
        </w:rPr>
      </w:pPr>
      <w:r w:rsidRPr="007423F7">
        <w:rPr>
          <w:lang w:val="fr-FR"/>
        </w:rPr>
        <w:t>6.8.4, disposition spéciale TT11</w:t>
      </w:r>
      <w:r w:rsidRPr="007423F7">
        <w:rPr>
          <w:lang w:val="fr-FR"/>
        </w:rPr>
        <w:tab/>
        <w:t>Dans le paragraphe sous le tableau, remplacer «EN 14025:2013» par «EN 14025:2013+A1:2016».</w:t>
      </w:r>
    </w:p>
    <w:p w:rsidR="005C4275" w:rsidRPr="007423F7" w:rsidRDefault="005C4275" w:rsidP="005C4275">
      <w:pPr>
        <w:pStyle w:val="SingleTxtG"/>
        <w:rPr>
          <w:b/>
          <w:bCs/>
          <w:lang w:val="fr-FR"/>
        </w:rPr>
      </w:pPr>
      <w:r w:rsidRPr="007423F7">
        <w:rPr>
          <w:b/>
          <w:bCs/>
          <w:lang w:val="fr-FR"/>
        </w:rPr>
        <w:t>Chapitre 7.1</w:t>
      </w:r>
    </w:p>
    <w:p w:rsidR="005C4275" w:rsidRPr="007423F7" w:rsidRDefault="005C4275" w:rsidP="005C4275">
      <w:pPr>
        <w:pStyle w:val="SingleTxtG"/>
        <w:rPr>
          <w:lang w:val="fr-FR"/>
        </w:rPr>
      </w:pPr>
      <w:r w:rsidRPr="007423F7">
        <w:rPr>
          <w:bCs/>
          <w:lang w:val="fr-FR"/>
        </w:rPr>
        <w:t>7.1.3</w:t>
      </w:r>
      <w:r w:rsidRPr="007423F7">
        <w:rPr>
          <w:bCs/>
          <w:lang w:val="fr-FR"/>
        </w:rPr>
        <w:tab/>
      </w:r>
      <w:r w:rsidRPr="007423F7">
        <w:rPr>
          <w:lang w:val="fr-FR"/>
        </w:rPr>
        <w:t>Au début du paragraphe, après «les citernes mobiles», insérer «, les CGEM». Remplacer «</w:t>
      </w:r>
      <w:r w:rsidR="00741CF7" w:rsidRPr="007423F7">
        <w:rPr>
          <w:lang w:val="fr-FR"/>
        </w:rPr>
        <w:t xml:space="preserve">le cadre </w:t>
      </w:r>
      <w:r w:rsidRPr="007423F7">
        <w:rPr>
          <w:lang w:val="fr-FR"/>
        </w:rPr>
        <w:t>de la citerne mobile» par «le cadre de la citerne mobile, du CGEM».</w:t>
      </w:r>
    </w:p>
    <w:p w:rsidR="005C4275" w:rsidRPr="007423F7" w:rsidRDefault="005C4275" w:rsidP="005C4275">
      <w:pPr>
        <w:pStyle w:val="SingleTxtG"/>
        <w:rPr>
          <w:b/>
          <w:bCs/>
          <w:iCs/>
        </w:rPr>
      </w:pPr>
      <w:r w:rsidRPr="007423F7">
        <w:rPr>
          <w:b/>
          <w:bCs/>
          <w:iCs/>
          <w:lang w:val="fr-FR"/>
        </w:rPr>
        <w:t>Chapitre 8.2</w:t>
      </w:r>
    </w:p>
    <w:p w:rsidR="005C4275" w:rsidRPr="007423F7" w:rsidRDefault="005C4275" w:rsidP="005C4275">
      <w:pPr>
        <w:pStyle w:val="ParNoG"/>
        <w:numPr>
          <w:ilvl w:val="0"/>
          <w:numId w:val="0"/>
        </w:numPr>
        <w:ind w:left="1134"/>
      </w:pPr>
      <w:r w:rsidRPr="007423F7">
        <w:t xml:space="preserve">8.2.2.7.1.5 </w:t>
      </w:r>
      <w:r w:rsidR="00D020F2" w:rsidRPr="007423F7">
        <w:tab/>
      </w:r>
      <w:r w:rsidRPr="007423F7">
        <w:t xml:space="preserve">Modifier le paragraphe existant comme suit : </w:t>
      </w:r>
      <w:r w:rsidR="00D020F2" w:rsidRPr="007423F7">
        <w:t>«</w:t>
      </w:r>
      <w:r w:rsidRPr="007423F7">
        <w:t>Chaque autorité compétente doit superviser les modalités de l’examen; y compris, le cas échéant, l’infrastructure et l’organisation des examens électroniques conformément au paragraphe 8.2.2.7.1.8</w:t>
      </w:r>
      <w:r w:rsidR="00D020F2" w:rsidRPr="007423F7">
        <w:t>, s’ils doivent être effectués.</w:t>
      </w:r>
      <w:r w:rsidRPr="007423F7">
        <w:t>».</w:t>
      </w:r>
    </w:p>
    <w:p w:rsidR="005C4275" w:rsidRPr="007423F7" w:rsidRDefault="005C4275" w:rsidP="005C4275">
      <w:pPr>
        <w:pStyle w:val="ParNoG"/>
        <w:numPr>
          <w:ilvl w:val="0"/>
          <w:numId w:val="0"/>
        </w:numPr>
        <w:ind w:left="1134"/>
      </w:pPr>
      <w:r w:rsidRPr="007423F7">
        <w:t>8.2.2.7.1.6 Après le paragraphe 8.2.2.7.1.6 ajouter les deux nouveaux paragraphes 8.2.2.7.1.7 et 8.2.2.7.1.8 ainsi conçus :</w:t>
      </w:r>
    </w:p>
    <w:p w:rsidR="005C4275" w:rsidRPr="007423F7" w:rsidRDefault="005C4275" w:rsidP="00520D46">
      <w:pPr>
        <w:pStyle w:val="ParNoG"/>
        <w:numPr>
          <w:ilvl w:val="0"/>
          <w:numId w:val="0"/>
        </w:numPr>
        <w:ind w:left="1134"/>
      </w:pPr>
      <w:r w:rsidRPr="007423F7">
        <w:t>«8.2.2.7.1.7</w:t>
      </w:r>
      <w:r w:rsidRPr="007423F7">
        <w:tab/>
        <w:t>Les examens doivent être surveillés. Toute possibilité de manipulation ou de fraude doit être exclue autant que possible. L’authentification du candidat doit être assurée. Tous les documents d’examen doivent être enregistrés et conservés sous forme imprimée ou dans un fichier électronique.</w:t>
      </w:r>
    </w:p>
    <w:p w:rsidR="005C4275" w:rsidRPr="007423F7" w:rsidRDefault="005C4275" w:rsidP="00520D46">
      <w:pPr>
        <w:pStyle w:val="ParNoG"/>
        <w:numPr>
          <w:ilvl w:val="0"/>
          <w:numId w:val="0"/>
        </w:numPr>
        <w:ind w:left="1134"/>
      </w:pPr>
      <w:r w:rsidRPr="007423F7">
        <w:t>8.2.2.7.1.8</w:t>
      </w:r>
      <w:r w:rsidRPr="007423F7">
        <w:tab/>
        <w:t>Les examens écrits peuvent être effectués, en tout ou partie, sous forme d’examens électroniques, les réponses étant enregistrées et évaluées à l’aide de techniques électroniques de traitement des données, pour autant que les conditions suivantes soient remplies:</w:t>
      </w:r>
    </w:p>
    <w:p w:rsidR="005C4275" w:rsidRPr="007423F7" w:rsidRDefault="005C4275" w:rsidP="00520D46">
      <w:pPr>
        <w:pStyle w:val="ParNoG"/>
        <w:numPr>
          <w:ilvl w:val="0"/>
          <w:numId w:val="0"/>
        </w:numPr>
        <w:ind w:left="1134" w:firstLine="709"/>
      </w:pPr>
      <w:r w:rsidRPr="007423F7">
        <w:t>a)</w:t>
      </w:r>
      <w:r w:rsidRPr="007423F7">
        <w:tab/>
        <w:t>Le matériel informatique et le logiciel doivent être vérifiés et acceptés par l’autorité compétente;</w:t>
      </w:r>
    </w:p>
    <w:p w:rsidR="005C4275" w:rsidRPr="007423F7" w:rsidRDefault="005C4275" w:rsidP="00520D46">
      <w:pPr>
        <w:pStyle w:val="ParNoG"/>
        <w:numPr>
          <w:ilvl w:val="0"/>
          <w:numId w:val="0"/>
        </w:numPr>
        <w:ind w:left="1134" w:firstLine="709"/>
      </w:pPr>
      <w:r w:rsidRPr="007423F7">
        <w:t>b)</w:t>
      </w:r>
      <w:r w:rsidRPr="007423F7">
        <w:tab/>
        <w:t>Le bon fonctionnement technique doit être assuré. Des dispositions doivent être prises en ce qui concerne les modalités de poursuite de l’examen en cas de dysfonctionnement des dispositifs et applications. Les périphériques de saisie ne doivent disposer d’aucun système d’assistance (comme par exemple une fonction de recherche électronique); l’équipement fourni ne doit pas permettre aux candidats de communiquer avec tout autre appareil pendant l’examen;</w:t>
      </w:r>
    </w:p>
    <w:p w:rsidR="005C4275" w:rsidRPr="007423F7" w:rsidRDefault="005C4275" w:rsidP="00520D46">
      <w:pPr>
        <w:pStyle w:val="ParNoG"/>
        <w:numPr>
          <w:ilvl w:val="0"/>
          <w:numId w:val="0"/>
        </w:numPr>
        <w:ind w:left="1134" w:firstLine="709"/>
      </w:pPr>
      <w:r w:rsidRPr="007423F7">
        <w:lastRenderedPageBreak/>
        <w:t>c)</w:t>
      </w:r>
      <w:r w:rsidRPr="007423F7">
        <w:tab/>
        <w:t>Les contributions finales de chaque candidat doivent être enregistrées. La détermination des résultats doit être transparente;</w:t>
      </w:r>
    </w:p>
    <w:p w:rsidR="005C4275" w:rsidRPr="007423F7" w:rsidRDefault="005C4275" w:rsidP="00520D46">
      <w:pPr>
        <w:pStyle w:val="ParNoG"/>
        <w:numPr>
          <w:ilvl w:val="0"/>
          <w:numId w:val="0"/>
        </w:numPr>
        <w:ind w:left="1134" w:firstLine="709"/>
      </w:pPr>
      <w:r w:rsidRPr="007423F7">
        <w:t>d)</w:t>
      </w:r>
      <w:r w:rsidRPr="007423F7">
        <w:tab/>
        <w:t>Des dispositifs électroniques ne peuvent être utilisés que s’ils sont fournis par l’organisme examinateur. Le candidat ne pourra en aucun cas introduire des données supplémentaires dans le dispositif électronique fourni; il ne pourra que répondre aux questions posées.».</w:t>
      </w:r>
    </w:p>
    <w:p w:rsidR="00BF06B0" w:rsidRPr="004741E6" w:rsidRDefault="005C4275" w:rsidP="00B6074C">
      <w:pPr>
        <w:spacing w:before="240"/>
        <w:ind w:left="1134" w:right="1134"/>
        <w:jc w:val="center"/>
      </w:pPr>
      <w:r>
        <w:rPr>
          <w:u w:val="single"/>
          <w:lang w:val="fr-FR"/>
        </w:rPr>
        <w:tab/>
      </w:r>
      <w:r>
        <w:rPr>
          <w:u w:val="single"/>
          <w:lang w:val="fr-FR"/>
        </w:rPr>
        <w:tab/>
      </w:r>
      <w:r>
        <w:rPr>
          <w:u w:val="single"/>
          <w:lang w:val="fr-FR"/>
        </w:rPr>
        <w:tab/>
      </w:r>
    </w:p>
    <w:sectPr w:rsidR="00BF06B0" w:rsidRPr="004741E6" w:rsidSect="004741E6">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46C" w:rsidRDefault="001D746C"/>
  </w:endnote>
  <w:endnote w:type="continuationSeparator" w:id="0">
    <w:p w:rsidR="001D746C" w:rsidRDefault="001D746C"/>
  </w:endnote>
  <w:endnote w:type="continuationNotice" w:id="1">
    <w:p w:rsidR="001D746C" w:rsidRDefault="001D746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EE" w:rsidRPr="004741E6" w:rsidRDefault="00925934" w:rsidP="004741E6">
    <w:pPr>
      <w:pStyle w:val="Pieddepage"/>
      <w:tabs>
        <w:tab w:val="right" w:pos="9638"/>
      </w:tabs>
      <w:rPr>
        <w:sz w:val="18"/>
      </w:rPr>
    </w:pPr>
    <w:r w:rsidRPr="004741E6">
      <w:rPr>
        <w:b/>
        <w:sz w:val="18"/>
      </w:rPr>
      <w:fldChar w:fldCharType="begin"/>
    </w:r>
    <w:r w:rsidR="00896BEE" w:rsidRPr="004741E6">
      <w:rPr>
        <w:b/>
        <w:sz w:val="18"/>
      </w:rPr>
      <w:instrText xml:space="preserve"> PAGE  \* MERGEFORMAT </w:instrText>
    </w:r>
    <w:r w:rsidRPr="004741E6">
      <w:rPr>
        <w:b/>
        <w:sz w:val="18"/>
      </w:rPr>
      <w:fldChar w:fldCharType="separate"/>
    </w:r>
    <w:r w:rsidR="00E33EA2">
      <w:rPr>
        <w:b/>
        <w:noProof/>
        <w:sz w:val="18"/>
      </w:rPr>
      <w:t>20</w:t>
    </w:r>
    <w:r w:rsidRPr="004741E6">
      <w:rPr>
        <w:b/>
        <w:sz w:val="18"/>
      </w:rPr>
      <w:fldChar w:fldCharType="end"/>
    </w:r>
    <w:r w:rsidR="00896BEE">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EE" w:rsidRPr="004741E6" w:rsidRDefault="00896BEE" w:rsidP="004741E6">
    <w:pPr>
      <w:pStyle w:val="Pieddepage"/>
      <w:tabs>
        <w:tab w:val="right" w:pos="9638"/>
      </w:tabs>
      <w:rPr>
        <w:sz w:val="18"/>
      </w:rPr>
    </w:pPr>
    <w:r>
      <w:tab/>
    </w:r>
    <w:r w:rsidR="00925934" w:rsidRPr="004741E6">
      <w:rPr>
        <w:b/>
        <w:sz w:val="18"/>
      </w:rPr>
      <w:fldChar w:fldCharType="begin"/>
    </w:r>
    <w:r w:rsidRPr="004741E6">
      <w:rPr>
        <w:b/>
        <w:sz w:val="18"/>
      </w:rPr>
      <w:instrText xml:space="preserve"> PAGE  \* MERGEFORMAT </w:instrText>
    </w:r>
    <w:r w:rsidR="00925934" w:rsidRPr="004741E6">
      <w:rPr>
        <w:b/>
        <w:sz w:val="18"/>
      </w:rPr>
      <w:fldChar w:fldCharType="separate"/>
    </w:r>
    <w:r w:rsidR="00E33EA2">
      <w:rPr>
        <w:b/>
        <w:noProof/>
        <w:sz w:val="18"/>
      </w:rPr>
      <w:t>21</w:t>
    </w:r>
    <w:r w:rsidR="00925934" w:rsidRPr="004741E6">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EE" w:rsidRPr="004741E6" w:rsidRDefault="00896BEE">
    <w:pPr>
      <w:pStyle w:val="Pieddepage"/>
      <w:rPr>
        <w:sz w:val="20"/>
      </w:rPr>
    </w:pPr>
    <w:r>
      <w:rPr>
        <w:sz w:val="20"/>
      </w:rPr>
      <w:t>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46C" w:rsidRPr="00D27D5E" w:rsidRDefault="001D746C" w:rsidP="00D27D5E">
      <w:pPr>
        <w:tabs>
          <w:tab w:val="right" w:pos="2155"/>
        </w:tabs>
        <w:spacing w:after="80"/>
        <w:ind w:left="680"/>
        <w:rPr>
          <w:u w:val="single"/>
        </w:rPr>
      </w:pPr>
      <w:r>
        <w:rPr>
          <w:u w:val="single"/>
        </w:rPr>
        <w:tab/>
      </w:r>
    </w:p>
  </w:footnote>
  <w:footnote w:type="continuationSeparator" w:id="0">
    <w:p w:rsidR="001D746C" w:rsidRPr="00A80554" w:rsidRDefault="001D746C" w:rsidP="00A80554">
      <w:pPr>
        <w:tabs>
          <w:tab w:val="left" w:pos="2155"/>
        </w:tabs>
        <w:spacing w:after="80"/>
        <w:ind w:left="680"/>
        <w:rPr>
          <w:u w:val="single"/>
        </w:rPr>
      </w:pPr>
      <w:r w:rsidRPr="00A80554">
        <w:rPr>
          <w:u w:val="single"/>
        </w:rPr>
        <w:tab/>
      </w:r>
    </w:p>
  </w:footnote>
  <w:footnote w:type="continuationNotice" w:id="1">
    <w:p w:rsidR="001D746C" w:rsidRDefault="001D74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EE" w:rsidRPr="004741E6" w:rsidRDefault="00896BEE">
    <w:pPr>
      <w:pStyle w:val="En-tte"/>
    </w:pPr>
    <w:r>
      <w:t>ECE/TRANS/WP.15/231/Add.1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BEE" w:rsidRPr="004741E6" w:rsidRDefault="00896BEE" w:rsidP="004741E6">
    <w:pPr>
      <w:pStyle w:val="En-tte"/>
      <w:jc w:val="right"/>
    </w:pPr>
    <w:r>
      <w:t>ECE/TRANS/WP.15/231/Add.1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2A548ED"/>
    <w:multiLevelType w:val="hybridMultilevel"/>
    <w:tmpl w:val="FE76BCB6"/>
    <w:lvl w:ilvl="0" w:tplc="93D00054">
      <w:start w:val="6"/>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52D90B07"/>
    <w:multiLevelType w:val="hybridMultilevel"/>
    <w:tmpl w:val="7616BEA8"/>
    <w:lvl w:ilvl="0" w:tplc="669CEB4C">
      <w:start w:val="6"/>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nsid w:val="57245529"/>
    <w:multiLevelType w:val="hybridMultilevel"/>
    <w:tmpl w:val="4670859C"/>
    <w:lvl w:ilvl="0" w:tplc="6AC8F96C">
      <w:start w:val="6"/>
      <w:numFmt w:val="bullet"/>
      <w:lvlText w:val="–"/>
      <w:lvlJc w:val="left"/>
      <w:pPr>
        <w:ind w:left="2619" w:hanging="360"/>
      </w:pPr>
      <w:rPr>
        <w:rFonts w:ascii="Times New Roman" w:eastAsia="Times New Roman" w:hAnsi="Times New Roman" w:cs="Times New Roman" w:hint="default"/>
      </w:rPr>
    </w:lvl>
    <w:lvl w:ilvl="1" w:tplc="04090003" w:tentative="1">
      <w:start w:val="1"/>
      <w:numFmt w:val="bullet"/>
      <w:lvlText w:val="o"/>
      <w:lvlJc w:val="left"/>
      <w:pPr>
        <w:ind w:left="3339" w:hanging="360"/>
      </w:pPr>
      <w:rPr>
        <w:rFonts w:ascii="Courier New" w:hAnsi="Courier New" w:cs="Courier New" w:hint="default"/>
      </w:rPr>
    </w:lvl>
    <w:lvl w:ilvl="2" w:tplc="04090005" w:tentative="1">
      <w:start w:val="1"/>
      <w:numFmt w:val="bullet"/>
      <w:lvlText w:val=""/>
      <w:lvlJc w:val="left"/>
      <w:pPr>
        <w:ind w:left="4059" w:hanging="360"/>
      </w:pPr>
      <w:rPr>
        <w:rFonts w:ascii="Wingdings" w:hAnsi="Wingdings" w:hint="default"/>
      </w:rPr>
    </w:lvl>
    <w:lvl w:ilvl="3" w:tplc="04090001" w:tentative="1">
      <w:start w:val="1"/>
      <w:numFmt w:val="bullet"/>
      <w:lvlText w:val=""/>
      <w:lvlJc w:val="left"/>
      <w:pPr>
        <w:ind w:left="4779" w:hanging="360"/>
      </w:pPr>
      <w:rPr>
        <w:rFonts w:ascii="Symbol" w:hAnsi="Symbol" w:hint="default"/>
      </w:rPr>
    </w:lvl>
    <w:lvl w:ilvl="4" w:tplc="04090003" w:tentative="1">
      <w:start w:val="1"/>
      <w:numFmt w:val="bullet"/>
      <w:lvlText w:val="o"/>
      <w:lvlJc w:val="left"/>
      <w:pPr>
        <w:ind w:left="5499" w:hanging="360"/>
      </w:pPr>
      <w:rPr>
        <w:rFonts w:ascii="Courier New" w:hAnsi="Courier New" w:cs="Courier New" w:hint="default"/>
      </w:rPr>
    </w:lvl>
    <w:lvl w:ilvl="5" w:tplc="04090005" w:tentative="1">
      <w:start w:val="1"/>
      <w:numFmt w:val="bullet"/>
      <w:lvlText w:val=""/>
      <w:lvlJc w:val="left"/>
      <w:pPr>
        <w:ind w:left="6219" w:hanging="360"/>
      </w:pPr>
      <w:rPr>
        <w:rFonts w:ascii="Wingdings" w:hAnsi="Wingdings" w:hint="default"/>
      </w:rPr>
    </w:lvl>
    <w:lvl w:ilvl="6" w:tplc="04090001" w:tentative="1">
      <w:start w:val="1"/>
      <w:numFmt w:val="bullet"/>
      <w:lvlText w:val=""/>
      <w:lvlJc w:val="left"/>
      <w:pPr>
        <w:ind w:left="6939" w:hanging="360"/>
      </w:pPr>
      <w:rPr>
        <w:rFonts w:ascii="Symbol" w:hAnsi="Symbol" w:hint="default"/>
      </w:rPr>
    </w:lvl>
    <w:lvl w:ilvl="7" w:tplc="04090003" w:tentative="1">
      <w:start w:val="1"/>
      <w:numFmt w:val="bullet"/>
      <w:lvlText w:val="o"/>
      <w:lvlJc w:val="left"/>
      <w:pPr>
        <w:ind w:left="7659" w:hanging="360"/>
      </w:pPr>
      <w:rPr>
        <w:rFonts w:ascii="Courier New" w:hAnsi="Courier New" w:cs="Courier New" w:hint="default"/>
      </w:rPr>
    </w:lvl>
    <w:lvl w:ilvl="8" w:tplc="04090005" w:tentative="1">
      <w:start w:val="1"/>
      <w:numFmt w:val="bullet"/>
      <w:lvlText w:val=""/>
      <w:lvlJc w:val="left"/>
      <w:pPr>
        <w:ind w:left="8379" w:hanging="360"/>
      </w:pPr>
      <w:rPr>
        <w:rFonts w:ascii="Wingdings" w:hAnsi="Wingdings" w:hint="default"/>
      </w:rPr>
    </w:lvl>
  </w:abstractNum>
  <w:abstractNum w:abstractNumId="6">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1"/>
  </w:num>
  <w:num w:numId="6">
    <w:abstractNumId w:val="5"/>
  </w:num>
  <w:num w:numId="7">
    <w:abstractNumId w:val="4"/>
  </w:num>
  <w:num w:numId="8">
    <w:abstractNumId w:val="2"/>
  </w:num>
  <w:num w:numId="9">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001"/>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 w:id="1"/>
  </w:footnotePr>
  <w:endnotePr>
    <w:numFmt w:val="decimal"/>
    <w:endnote w:id="-1"/>
    <w:endnote w:id="0"/>
    <w:endnote w:id="1"/>
  </w:endnotePr>
  <w:compat/>
  <w:rsids>
    <w:rsidRoot w:val="004741E6"/>
    <w:rsid w:val="00016AC5"/>
    <w:rsid w:val="00030ADE"/>
    <w:rsid w:val="000312C0"/>
    <w:rsid w:val="000442BE"/>
    <w:rsid w:val="00062AEB"/>
    <w:rsid w:val="00067110"/>
    <w:rsid w:val="0007509E"/>
    <w:rsid w:val="00080A1A"/>
    <w:rsid w:val="0008260F"/>
    <w:rsid w:val="00084384"/>
    <w:rsid w:val="00087E95"/>
    <w:rsid w:val="00090DBA"/>
    <w:rsid w:val="00093480"/>
    <w:rsid w:val="000943F8"/>
    <w:rsid w:val="000964C7"/>
    <w:rsid w:val="000A0F12"/>
    <w:rsid w:val="000B34CA"/>
    <w:rsid w:val="000E4066"/>
    <w:rsid w:val="000F41F2"/>
    <w:rsid w:val="001121EC"/>
    <w:rsid w:val="001322D1"/>
    <w:rsid w:val="00135C0D"/>
    <w:rsid w:val="00141028"/>
    <w:rsid w:val="00150C14"/>
    <w:rsid w:val="00154636"/>
    <w:rsid w:val="00160540"/>
    <w:rsid w:val="0016236D"/>
    <w:rsid w:val="00164A65"/>
    <w:rsid w:val="001650E6"/>
    <w:rsid w:val="0017182C"/>
    <w:rsid w:val="00177007"/>
    <w:rsid w:val="00182442"/>
    <w:rsid w:val="00184CD8"/>
    <w:rsid w:val="00186EE9"/>
    <w:rsid w:val="00192EEB"/>
    <w:rsid w:val="001A0345"/>
    <w:rsid w:val="001A20FB"/>
    <w:rsid w:val="001B25BB"/>
    <w:rsid w:val="001B5A49"/>
    <w:rsid w:val="001B6F40"/>
    <w:rsid w:val="001C59B7"/>
    <w:rsid w:val="001D746C"/>
    <w:rsid w:val="001D7F8A"/>
    <w:rsid w:val="001E3FEB"/>
    <w:rsid w:val="001E4A02"/>
    <w:rsid w:val="001F351B"/>
    <w:rsid w:val="00223B89"/>
    <w:rsid w:val="00225A8C"/>
    <w:rsid w:val="00226B3E"/>
    <w:rsid w:val="002315C9"/>
    <w:rsid w:val="00232C61"/>
    <w:rsid w:val="0023665A"/>
    <w:rsid w:val="0026313D"/>
    <w:rsid w:val="0026579A"/>
    <w:rsid w:val="002659F1"/>
    <w:rsid w:val="00271C7C"/>
    <w:rsid w:val="00287E79"/>
    <w:rsid w:val="002928F9"/>
    <w:rsid w:val="002A2F7A"/>
    <w:rsid w:val="002A5D07"/>
    <w:rsid w:val="002E3233"/>
    <w:rsid w:val="0030158F"/>
    <w:rsid w:val="003016B7"/>
    <w:rsid w:val="00306C8F"/>
    <w:rsid w:val="0032750C"/>
    <w:rsid w:val="00330F9C"/>
    <w:rsid w:val="00340C35"/>
    <w:rsid w:val="003463A8"/>
    <w:rsid w:val="003515AA"/>
    <w:rsid w:val="00352E12"/>
    <w:rsid w:val="0036790D"/>
    <w:rsid w:val="00367E6A"/>
    <w:rsid w:val="00370E0F"/>
    <w:rsid w:val="003723D7"/>
    <w:rsid w:val="00374106"/>
    <w:rsid w:val="00383C96"/>
    <w:rsid w:val="003976D5"/>
    <w:rsid w:val="003A05C1"/>
    <w:rsid w:val="003C6763"/>
    <w:rsid w:val="003D1DF3"/>
    <w:rsid w:val="003D46A7"/>
    <w:rsid w:val="003D6C68"/>
    <w:rsid w:val="003D76E4"/>
    <w:rsid w:val="00414425"/>
    <w:rsid w:val="004159D0"/>
    <w:rsid w:val="004249E7"/>
    <w:rsid w:val="00426DA1"/>
    <w:rsid w:val="00427092"/>
    <w:rsid w:val="00430B7B"/>
    <w:rsid w:val="0043178D"/>
    <w:rsid w:val="00434168"/>
    <w:rsid w:val="0044335F"/>
    <w:rsid w:val="004569DA"/>
    <w:rsid w:val="0045723C"/>
    <w:rsid w:val="00461039"/>
    <w:rsid w:val="004741E6"/>
    <w:rsid w:val="004832A5"/>
    <w:rsid w:val="00497A70"/>
    <w:rsid w:val="004A1827"/>
    <w:rsid w:val="004A7AF8"/>
    <w:rsid w:val="004A7E73"/>
    <w:rsid w:val="004B154D"/>
    <w:rsid w:val="004D53B7"/>
    <w:rsid w:val="004F1235"/>
    <w:rsid w:val="004F5F23"/>
    <w:rsid w:val="00520020"/>
    <w:rsid w:val="00520D46"/>
    <w:rsid w:val="00543D5E"/>
    <w:rsid w:val="00571F41"/>
    <w:rsid w:val="005911C0"/>
    <w:rsid w:val="0059410B"/>
    <w:rsid w:val="00595BE4"/>
    <w:rsid w:val="005B28D1"/>
    <w:rsid w:val="005B738F"/>
    <w:rsid w:val="005B76A3"/>
    <w:rsid w:val="005C4275"/>
    <w:rsid w:val="005C4A5B"/>
    <w:rsid w:val="005C774F"/>
    <w:rsid w:val="005E396D"/>
    <w:rsid w:val="005E5D1F"/>
    <w:rsid w:val="00603391"/>
    <w:rsid w:val="006049FD"/>
    <w:rsid w:val="00611D43"/>
    <w:rsid w:val="00612D48"/>
    <w:rsid w:val="00616B45"/>
    <w:rsid w:val="00630D9B"/>
    <w:rsid w:val="00631953"/>
    <w:rsid w:val="00631B95"/>
    <w:rsid w:val="006439EC"/>
    <w:rsid w:val="006630C5"/>
    <w:rsid w:val="00680A96"/>
    <w:rsid w:val="00691827"/>
    <w:rsid w:val="006963E1"/>
    <w:rsid w:val="006A047B"/>
    <w:rsid w:val="006A6120"/>
    <w:rsid w:val="006B4590"/>
    <w:rsid w:val="006C340C"/>
    <w:rsid w:val="006C62F4"/>
    <w:rsid w:val="006E5FC7"/>
    <w:rsid w:val="006F40CE"/>
    <w:rsid w:val="0070347C"/>
    <w:rsid w:val="007176C1"/>
    <w:rsid w:val="007361A8"/>
    <w:rsid w:val="00741CF7"/>
    <w:rsid w:val="007423F7"/>
    <w:rsid w:val="007607A2"/>
    <w:rsid w:val="0076278C"/>
    <w:rsid w:val="00770908"/>
    <w:rsid w:val="00783F37"/>
    <w:rsid w:val="00790F2F"/>
    <w:rsid w:val="007A6076"/>
    <w:rsid w:val="007F55CB"/>
    <w:rsid w:val="00805661"/>
    <w:rsid w:val="00812730"/>
    <w:rsid w:val="00812C1A"/>
    <w:rsid w:val="008317F6"/>
    <w:rsid w:val="00842F17"/>
    <w:rsid w:val="00844750"/>
    <w:rsid w:val="00874B3A"/>
    <w:rsid w:val="008832EF"/>
    <w:rsid w:val="008963FD"/>
    <w:rsid w:val="00896BEE"/>
    <w:rsid w:val="008A638C"/>
    <w:rsid w:val="008B3378"/>
    <w:rsid w:val="008B44C4"/>
    <w:rsid w:val="008B7879"/>
    <w:rsid w:val="008C2211"/>
    <w:rsid w:val="008C2B04"/>
    <w:rsid w:val="008D3919"/>
    <w:rsid w:val="008E7FAE"/>
    <w:rsid w:val="008F2A0E"/>
    <w:rsid w:val="008F39ED"/>
    <w:rsid w:val="008F54DE"/>
    <w:rsid w:val="009116CF"/>
    <w:rsid w:val="00911BF7"/>
    <w:rsid w:val="00911ED9"/>
    <w:rsid w:val="009163C3"/>
    <w:rsid w:val="00925934"/>
    <w:rsid w:val="00926E87"/>
    <w:rsid w:val="0094428E"/>
    <w:rsid w:val="00952FDB"/>
    <w:rsid w:val="009540C9"/>
    <w:rsid w:val="0096559D"/>
    <w:rsid w:val="00966C56"/>
    <w:rsid w:val="00977EC8"/>
    <w:rsid w:val="009978D6"/>
    <w:rsid w:val="009B18A3"/>
    <w:rsid w:val="009B69E9"/>
    <w:rsid w:val="009D3A8C"/>
    <w:rsid w:val="009D616A"/>
    <w:rsid w:val="009D6189"/>
    <w:rsid w:val="009E01B8"/>
    <w:rsid w:val="009E440C"/>
    <w:rsid w:val="009E7956"/>
    <w:rsid w:val="00A1097A"/>
    <w:rsid w:val="00A1547F"/>
    <w:rsid w:val="00A17A98"/>
    <w:rsid w:val="00A24382"/>
    <w:rsid w:val="00A2492E"/>
    <w:rsid w:val="00A27D31"/>
    <w:rsid w:val="00A31F07"/>
    <w:rsid w:val="00A41235"/>
    <w:rsid w:val="00A60B90"/>
    <w:rsid w:val="00A70163"/>
    <w:rsid w:val="00A735FC"/>
    <w:rsid w:val="00A80554"/>
    <w:rsid w:val="00A82D75"/>
    <w:rsid w:val="00A904D4"/>
    <w:rsid w:val="00A90D97"/>
    <w:rsid w:val="00AA331F"/>
    <w:rsid w:val="00AA72C3"/>
    <w:rsid w:val="00AC67A1"/>
    <w:rsid w:val="00AC7977"/>
    <w:rsid w:val="00AD3A0B"/>
    <w:rsid w:val="00AE0006"/>
    <w:rsid w:val="00AE352C"/>
    <w:rsid w:val="00AF6757"/>
    <w:rsid w:val="00AF7134"/>
    <w:rsid w:val="00B166F0"/>
    <w:rsid w:val="00B32E2D"/>
    <w:rsid w:val="00B32F68"/>
    <w:rsid w:val="00B4466B"/>
    <w:rsid w:val="00B46846"/>
    <w:rsid w:val="00B523FE"/>
    <w:rsid w:val="00B57848"/>
    <w:rsid w:val="00B6074C"/>
    <w:rsid w:val="00B61990"/>
    <w:rsid w:val="00B6602A"/>
    <w:rsid w:val="00B7069D"/>
    <w:rsid w:val="00B83FFB"/>
    <w:rsid w:val="00B858A8"/>
    <w:rsid w:val="00B85D99"/>
    <w:rsid w:val="00B93E72"/>
    <w:rsid w:val="00B94939"/>
    <w:rsid w:val="00BB3233"/>
    <w:rsid w:val="00BB5A0E"/>
    <w:rsid w:val="00BB6C37"/>
    <w:rsid w:val="00BC75A1"/>
    <w:rsid w:val="00BC7BF5"/>
    <w:rsid w:val="00BD2AA6"/>
    <w:rsid w:val="00BF0556"/>
    <w:rsid w:val="00BF06B0"/>
    <w:rsid w:val="00C06099"/>
    <w:rsid w:val="00C17D10"/>
    <w:rsid w:val="00C24B53"/>
    <w:rsid w:val="00C261F8"/>
    <w:rsid w:val="00C33100"/>
    <w:rsid w:val="00C3511F"/>
    <w:rsid w:val="00C4524E"/>
    <w:rsid w:val="00C53FB9"/>
    <w:rsid w:val="00C60359"/>
    <w:rsid w:val="00C940E9"/>
    <w:rsid w:val="00CA3D81"/>
    <w:rsid w:val="00CB0832"/>
    <w:rsid w:val="00CB6267"/>
    <w:rsid w:val="00CC58D5"/>
    <w:rsid w:val="00CC6D76"/>
    <w:rsid w:val="00CD06BF"/>
    <w:rsid w:val="00CD1A71"/>
    <w:rsid w:val="00CD1FBB"/>
    <w:rsid w:val="00CD6B5F"/>
    <w:rsid w:val="00CE5B90"/>
    <w:rsid w:val="00D016B5"/>
    <w:rsid w:val="00D020F2"/>
    <w:rsid w:val="00D034F1"/>
    <w:rsid w:val="00D11B17"/>
    <w:rsid w:val="00D2748F"/>
    <w:rsid w:val="00D27D5E"/>
    <w:rsid w:val="00D60301"/>
    <w:rsid w:val="00DA4290"/>
    <w:rsid w:val="00DA57D4"/>
    <w:rsid w:val="00DB4793"/>
    <w:rsid w:val="00DE01E3"/>
    <w:rsid w:val="00DE06D2"/>
    <w:rsid w:val="00DE6D90"/>
    <w:rsid w:val="00DF002F"/>
    <w:rsid w:val="00DF542D"/>
    <w:rsid w:val="00E0244D"/>
    <w:rsid w:val="00E20835"/>
    <w:rsid w:val="00E33EA2"/>
    <w:rsid w:val="00E46C2A"/>
    <w:rsid w:val="00E471D0"/>
    <w:rsid w:val="00E53469"/>
    <w:rsid w:val="00E55D71"/>
    <w:rsid w:val="00E56A9A"/>
    <w:rsid w:val="00E6235A"/>
    <w:rsid w:val="00E71412"/>
    <w:rsid w:val="00E75818"/>
    <w:rsid w:val="00E81E94"/>
    <w:rsid w:val="00E82607"/>
    <w:rsid w:val="00E937E5"/>
    <w:rsid w:val="00EA31C2"/>
    <w:rsid w:val="00EA4457"/>
    <w:rsid w:val="00EC3D14"/>
    <w:rsid w:val="00ED5364"/>
    <w:rsid w:val="00EE27C5"/>
    <w:rsid w:val="00EE2EA3"/>
    <w:rsid w:val="00F004CA"/>
    <w:rsid w:val="00F01516"/>
    <w:rsid w:val="00F01720"/>
    <w:rsid w:val="00F1521F"/>
    <w:rsid w:val="00F21B1D"/>
    <w:rsid w:val="00F23D51"/>
    <w:rsid w:val="00F36719"/>
    <w:rsid w:val="00F42BD2"/>
    <w:rsid w:val="00F46148"/>
    <w:rsid w:val="00F46746"/>
    <w:rsid w:val="00F57129"/>
    <w:rsid w:val="00F660B4"/>
    <w:rsid w:val="00F704B0"/>
    <w:rsid w:val="00FA5A79"/>
    <w:rsid w:val="00FA6422"/>
    <w:rsid w:val="00FB00CB"/>
    <w:rsid w:val="00FB0BFE"/>
    <w:rsid w:val="00FB4C51"/>
    <w:rsid w:val="00FE0740"/>
    <w:rsid w:val="00FF0466"/>
    <w:rsid w:val="00FF1D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C7"/>
    <w:pPr>
      <w:suppressAutoHyphens/>
      <w:spacing w:line="240" w:lineRule="atLeast"/>
    </w:pPr>
    <w:rPr>
      <w:lang w:val="fr-CH" w:eastAsia="en-US"/>
    </w:rPr>
  </w:style>
  <w:style w:type="paragraph" w:styleId="Titre1">
    <w:name w:val="heading 1"/>
    <w:aliases w:val="Table_G"/>
    <w:basedOn w:val="SingleTxtG"/>
    <w:next w:val="SingleTxtG"/>
    <w:link w:val="Titre1Car"/>
    <w:qFormat/>
    <w:rsid w:val="000964C7"/>
    <w:pPr>
      <w:keepNext/>
      <w:keepLines/>
      <w:spacing w:after="0" w:line="240" w:lineRule="auto"/>
      <w:ind w:right="0"/>
      <w:jc w:val="left"/>
      <w:outlineLvl w:val="0"/>
    </w:pPr>
  </w:style>
  <w:style w:type="paragraph" w:styleId="Titre2">
    <w:name w:val="heading 2"/>
    <w:basedOn w:val="Normal"/>
    <w:next w:val="Normal"/>
    <w:link w:val="Titre2Car"/>
    <w:qFormat/>
    <w:rsid w:val="000964C7"/>
    <w:pPr>
      <w:outlineLvl w:val="1"/>
    </w:pPr>
  </w:style>
  <w:style w:type="paragraph" w:styleId="Titre3">
    <w:name w:val="heading 3"/>
    <w:basedOn w:val="Normal"/>
    <w:next w:val="Normal"/>
    <w:link w:val="Titre3Car"/>
    <w:qFormat/>
    <w:rsid w:val="000964C7"/>
    <w:pPr>
      <w:outlineLvl w:val="2"/>
    </w:pPr>
  </w:style>
  <w:style w:type="paragraph" w:styleId="Titre4">
    <w:name w:val="heading 4"/>
    <w:basedOn w:val="Normal"/>
    <w:next w:val="Normal"/>
    <w:link w:val="Titre4Car"/>
    <w:qFormat/>
    <w:rsid w:val="000964C7"/>
    <w:pPr>
      <w:outlineLvl w:val="3"/>
    </w:pPr>
  </w:style>
  <w:style w:type="paragraph" w:styleId="Titre5">
    <w:name w:val="heading 5"/>
    <w:basedOn w:val="Normal"/>
    <w:next w:val="Normal"/>
    <w:link w:val="Titre5Car"/>
    <w:qFormat/>
    <w:rsid w:val="000964C7"/>
    <w:pPr>
      <w:outlineLvl w:val="4"/>
    </w:pPr>
  </w:style>
  <w:style w:type="paragraph" w:styleId="Titre6">
    <w:name w:val="heading 6"/>
    <w:basedOn w:val="Normal"/>
    <w:next w:val="Normal"/>
    <w:link w:val="Titre6Car"/>
    <w:qFormat/>
    <w:rsid w:val="000964C7"/>
    <w:pPr>
      <w:outlineLvl w:val="5"/>
    </w:pPr>
  </w:style>
  <w:style w:type="paragraph" w:styleId="Titre7">
    <w:name w:val="heading 7"/>
    <w:basedOn w:val="Normal"/>
    <w:next w:val="Normal"/>
    <w:link w:val="Titre7Car"/>
    <w:qFormat/>
    <w:rsid w:val="000964C7"/>
    <w:pPr>
      <w:outlineLvl w:val="6"/>
    </w:pPr>
  </w:style>
  <w:style w:type="paragraph" w:styleId="Titre8">
    <w:name w:val="heading 8"/>
    <w:basedOn w:val="Normal"/>
    <w:next w:val="Normal"/>
    <w:link w:val="Titre8Car"/>
    <w:qFormat/>
    <w:rsid w:val="000964C7"/>
    <w:pPr>
      <w:outlineLvl w:val="7"/>
    </w:pPr>
  </w:style>
  <w:style w:type="paragraph" w:styleId="Titre9">
    <w:name w:val="heading 9"/>
    <w:basedOn w:val="Normal"/>
    <w:next w:val="Normal"/>
    <w:link w:val="Titre9Car"/>
    <w:qFormat/>
    <w:rsid w:val="000964C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Appelnotedebasdep">
    <w:name w:val="footnote reference"/>
    <w:aliases w:val="4_G"/>
    <w:basedOn w:val="Policepardfaut"/>
    <w:rsid w:val="000964C7"/>
    <w:rPr>
      <w:rFonts w:ascii="Times New Roman" w:hAnsi="Times New Roman"/>
      <w:sz w:val="18"/>
      <w:vertAlign w:val="superscript"/>
      <w:lang w:val="fr-CH"/>
    </w:rPr>
  </w:style>
  <w:style w:type="character" w:styleId="Appeldenotedefin">
    <w:name w:val="endnote reference"/>
    <w:aliases w:val="1_G"/>
    <w:basedOn w:val="Appelnotedebasdep"/>
    <w:rsid w:val="000964C7"/>
    <w:rPr>
      <w:rFonts w:ascii="Times New Roman" w:hAnsi="Times New Roman"/>
      <w:sz w:val="18"/>
      <w:vertAlign w:val="superscript"/>
      <w:lang w:val="fr-CH"/>
    </w:rPr>
  </w:style>
  <w:style w:type="paragraph" w:styleId="En-tte">
    <w:name w:val="header"/>
    <w:aliases w:val="6_G"/>
    <w:basedOn w:val="Normal"/>
    <w:next w:val="Normal"/>
    <w:link w:val="En-tteCar"/>
    <w:rsid w:val="000964C7"/>
    <w:pPr>
      <w:pBdr>
        <w:bottom w:val="single" w:sz="4" w:space="4" w:color="auto"/>
      </w:pBdr>
      <w:spacing w:line="240" w:lineRule="auto"/>
    </w:pPr>
    <w:rPr>
      <w:b/>
      <w:sz w:val="18"/>
    </w:rPr>
  </w:style>
  <w:style w:type="paragraph" w:styleId="Notedebasdepage">
    <w:name w:val="footnote text"/>
    <w:aliases w:val="5_G"/>
    <w:basedOn w:val="Normal"/>
    <w:link w:val="NotedebasdepageCar"/>
    <w:rsid w:val="000964C7"/>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rsid w:val="000964C7"/>
  </w:style>
  <w:style w:type="character" w:styleId="Numrodepage">
    <w:name w:val="page number"/>
    <w:aliases w:val="7_G"/>
    <w:basedOn w:val="Policepardfaut"/>
    <w:rsid w:val="000964C7"/>
    <w:rPr>
      <w:rFonts w:ascii="Times New Roman" w:hAnsi="Times New Roman"/>
      <w:b/>
      <w:sz w:val="18"/>
      <w:lang w:val="fr-CH"/>
    </w:rPr>
  </w:style>
  <w:style w:type="paragraph" w:styleId="Pieddepage">
    <w:name w:val="footer"/>
    <w:aliases w:val="3_G"/>
    <w:basedOn w:val="Normal"/>
    <w:next w:val="Normal"/>
    <w:link w:val="PieddepageCar"/>
    <w:uiPriority w:val="99"/>
    <w:rsid w:val="000964C7"/>
    <w:pPr>
      <w:spacing w:line="240" w:lineRule="auto"/>
    </w:pPr>
    <w:rPr>
      <w:sz w:val="16"/>
    </w:rPr>
  </w:style>
  <w:style w:type="table" w:styleId="Grille1">
    <w:name w:val="Table Grid 1"/>
    <w:basedOn w:val="Tableau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semiHidden/>
    <w:rsid w:val="000964C7"/>
    <w:rPr>
      <w:color w:val="auto"/>
      <w:u w:val="none"/>
    </w:rPr>
  </w:style>
  <w:style w:type="character" w:styleId="Lienhypertextesuivivisit">
    <w:name w:val="FollowedHyperlink"/>
    <w:basedOn w:val="Policepardfaut"/>
    <w:semiHidden/>
    <w:rsid w:val="000964C7"/>
    <w:rPr>
      <w:color w:val="auto"/>
      <w:u w:val="none"/>
    </w:rPr>
  </w:style>
  <w:style w:type="character" w:customStyle="1" w:styleId="Titre1Car">
    <w:name w:val="Titre 1 Car"/>
    <w:aliases w:val="Table_G Car"/>
    <w:basedOn w:val="Policepardfaut"/>
    <w:link w:val="Titre1"/>
    <w:rsid w:val="005C4275"/>
    <w:rPr>
      <w:lang w:val="fr-CH" w:eastAsia="en-US"/>
    </w:rPr>
  </w:style>
  <w:style w:type="character" w:customStyle="1" w:styleId="Titre2Car">
    <w:name w:val="Titre 2 Car"/>
    <w:basedOn w:val="Policepardfaut"/>
    <w:link w:val="Titre2"/>
    <w:rsid w:val="005C4275"/>
    <w:rPr>
      <w:lang w:val="fr-CH" w:eastAsia="en-US"/>
    </w:rPr>
  </w:style>
  <w:style w:type="character" w:customStyle="1" w:styleId="Titre3Car">
    <w:name w:val="Titre 3 Car"/>
    <w:basedOn w:val="Policepardfaut"/>
    <w:link w:val="Titre3"/>
    <w:rsid w:val="005C4275"/>
    <w:rPr>
      <w:lang w:val="fr-CH" w:eastAsia="en-US"/>
    </w:rPr>
  </w:style>
  <w:style w:type="character" w:customStyle="1" w:styleId="Titre4Car">
    <w:name w:val="Titre 4 Car"/>
    <w:basedOn w:val="Policepardfaut"/>
    <w:link w:val="Titre4"/>
    <w:rsid w:val="005C4275"/>
    <w:rPr>
      <w:lang w:val="fr-CH" w:eastAsia="en-US"/>
    </w:rPr>
  </w:style>
  <w:style w:type="character" w:customStyle="1" w:styleId="Titre5Car">
    <w:name w:val="Titre 5 Car"/>
    <w:basedOn w:val="Policepardfaut"/>
    <w:link w:val="Titre5"/>
    <w:rsid w:val="005C4275"/>
    <w:rPr>
      <w:lang w:val="fr-CH" w:eastAsia="en-US"/>
    </w:rPr>
  </w:style>
  <w:style w:type="character" w:customStyle="1" w:styleId="Titre6Car">
    <w:name w:val="Titre 6 Car"/>
    <w:basedOn w:val="Policepardfaut"/>
    <w:link w:val="Titre6"/>
    <w:rsid w:val="005C4275"/>
    <w:rPr>
      <w:lang w:val="fr-CH" w:eastAsia="en-US"/>
    </w:rPr>
  </w:style>
  <w:style w:type="character" w:customStyle="1" w:styleId="Titre7Car">
    <w:name w:val="Titre 7 Car"/>
    <w:basedOn w:val="Policepardfaut"/>
    <w:link w:val="Titre7"/>
    <w:rsid w:val="005C4275"/>
    <w:rPr>
      <w:lang w:val="fr-CH" w:eastAsia="en-US"/>
    </w:rPr>
  </w:style>
  <w:style w:type="character" w:customStyle="1" w:styleId="Titre8Car">
    <w:name w:val="Titre 8 Car"/>
    <w:basedOn w:val="Policepardfaut"/>
    <w:link w:val="Titre8"/>
    <w:rsid w:val="005C4275"/>
    <w:rPr>
      <w:lang w:val="fr-CH" w:eastAsia="en-US"/>
    </w:rPr>
  </w:style>
  <w:style w:type="character" w:customStyle="1" w:styleId="Titre9Car">
    <w:name w:val="Titre 9 Car"/>
    <w:basedOn w:val="Policepardfaut"/>
    <w:link w:val="Titre9"/>
    <w:rsid w:val="005C4275"/>
    <w:rPr>
      <w:lang w:val="fr-CH" w:eastAsia="en-US"/>
    </w:rPr>
  </w:style>
  <w:style w:type="character" w:customStyle="1" w:styleId="En-tteCar">
    <w:name w:val="En-tête Car"/>
    <w:aliases w:val="6_G Car"/>
    <w:basedOn w:val="Policepardfaut"/>
    <w:link w:val="En-tte"/>
    <w:rsid w:val="005C4275"/>
    <w:rPr>
      <w:b/>
      <w:sz w:val="18"/>
      <w:lang w:val="fr-CH" w:eastAsia="en-US"/>
    </w:rPr>
  </w:style>
  <w:style w:type="character" w:customStyle="1" w:styleId="NotedebasdepageCar">
    <w:name w:val="Note de bas de page Car"/>
    <w:aliases w:val="5_G Car"/>
    <w:basedOn w:val="Policepardfaut"/>
    <w:link w:val="Notedebasdepage"/>
    <w:rsid w:val="005C4275"/>
    <w:rPr>
      <w:sz w:val="18"/>
      <w:lang w:val="fr-CH" w:eastAsia="en-US"/>
    </w:rPr>
  </w:style>
  <w:style w:type="character" w:customStyle="1" w:styleId="NotedefinCar">
    <w:name w:val="Note de fin Car"/>
    <w:aliases w:val="2_G Car"/>
    <w:basedOn w:val="Policepardfaut"/>
    <w:link w:val="Notedefin"/>
    <w:rsid w:val="005C4275"/>
    <w:rPr>
      <w:sz w:val="18"/>
      <w:lang w:val="fr-CH" w:eastAsia="en-US"/>
    </w:rPr>
  </w:style>
  <w:style w:type="character" w:customStyle="1" w:styleId="PieddepageCar">
    <w:name w:val="Pied de page Car"/>
    <w:aliases w:val="3_G Car"/>
    <w:basedOn w:val="Policepardfaut"/>
    <w:link w:val="Pieddepage"/>
    <w:uiPriority w:val="99"/>
    <w:rsid w:val="005C4275"/>
    <w:rPr>
      <w:sz w:val="16"/>
      <w:lang w:val="fr-CH" w:eastAsia="en-US"/>
    </w:rPr>
  </w:style>
  <w:style w:type="character" w:customStyle="1" w:styleId="H1GChar">
    <w:name w:val="_ H_1_G Char"/>
    <w:link w:val="H1G"/>
    <w:rsid w:val="005C4275"/>
    <w:rPr>
      <w:b/>
      <w:sz w:val="24"/>
      <w:lang w:val="fr-CH" w:eastAsia="en-US"/>
    </w:rPr>
  </w:style>
  <w:style w:type="character" w:customStyle="1" w:styleId="HChGChar">
    <w:name w:val="_ H _Ch_G Char"/>
    <w:link w:val="HChG"/>
    <w:rsid w:val="005C4275"/>
    <w:rPr>
      <w:b/>
      <w:sz w:val="28"/>
      <w:lang w:val="fr-CH" w:eastAsia="en-US"/>
    </w:rPr>
  </w:style>
  <w:style w:type="character" w:customStyle="1" w:styleId="SingleTxtGChar">
    <w:name w:val="_ Single Txt_G Char"/>
    <w:link w:val="SingleTxtG"/>
    <w:qFormat/>
    <w:rsid w:val="005C4275"/>
    <w:rPr>
      <w:lang w:val="fr-CH" w:eastAsia="en-US"/>
    </w:rPr>
  </w:style>
  <w:style w:type="character" w:customStyle="1" w:styleId="H23GChar">
    <w:name w:val="_ H_2/3_G Char"/>
    <w:link w:val="H23G"/>
    <w:locked/>
    <w:rsid w:val="005C4275"/>
    <w:rPr>
      <w:b/>
      <w:lang w:val="fr-CH" w:eastAsia="en-US"/>
    </w:rPr>
  </w:style>
  <w:style w:type="character" w:customStyle="1" w:styleId="SingleTxtGCar">
    <w:name w:val="_ Single Txt_G Car"/>
    <w:locked/>
    <w:rsid w:val="005C4275"/>
    <w:rPr>
      <w:lang w:val="fr-CH"/>
    </w:rPr>
  </w:style>
  <w:style w:type="paragraph" w:customStyle="1" w:styleId="ParNoG">
    <w:name w:val="_ParNo_G"/>
    <w:basedOn w:val="Normal"/>
    <w:qFormat/>
    <w:rsid w:val="005C4275"/>
    <w:pPr>
      <w:numPr>
        <w:numId w:val="5"/>
      </w:numPr>
      <w:kinsoku w:val="0"/>
      <w:overflowPunct w:val="0"/>
      <w:autoSpaceDE w:val="0"/>
      <w:autoSpaceDN w:val="0"/>
      <w:adjustRightInd w:val="0"/>
      <w:snapToGrid w:val="0"/>
      <w:spacing w:after="120"/>
      <w:ind w:right="1134"/>
      <w:jc w:val="both"/>
    </w:pPr>
  </w:style>
  <w:style w:type="paragraph" w:styleId="NormalWeb">
    <w:name w:val="Normal (Web)"/>
    <w:basedOn w:val="Normal"/>
    <w:uiPriority w:val="99"/>
    <w:rsid w:val="005C4275"/>
    <w:rPr>
      <w:sz w:val="24"/>
      <w:szCs w:val="24"/>
    </w:rPr>
  </w:style>
  <w:style w:type="paragraph" w:styleId="Paragraphedeliste">
    <w:name w:val="List Paragraph"/>
    <w:basedOn w:val="Normal"/>
    <w:uiPriority w:val="34"/>
    <w:qFormat/>
    <w:rsid w:val="005C4275"/>
    <w:pPr>
      <w:ind w:left="720"/>
      <w:contextualSpacing/>
    </w:pPr>
    <w:rPr>
      <w:lang w:val="en-GB"/>
    </w:rPr>
  </w:style>
  <w:style w:type="paragraph" w:styleId="Textedebulles">
    <w:name w:val="Balloon Text"/>
    <w:basedOn w:val="Normal"/>
    <w:link w:val="TextedebullesCar"/>
    <w:rsid w:val="005C4275"/>
    <w:pPr>
      <w:spacing w:line="240" w:lineRule="auto"/>
    </w:pPr>
    <w:rPr>
      <w:rFonts w:ascii="Tahoma" w:hAnsi="Tahoma" w:cs="Tahoma"/>
      <w:sz w:val="16"/>
      <w:szCs w:val="16"/>
      <w:lang w:val="en-GB"/>
    </w:rPr>
  </w:style>
  <w:style w:type="character" w:customStyle="1" w:styleId="TextedebullesCar">
    <w:name w:val="Texte de bulles Car"/>
    <w:basedOn w:val="Policepardfaut"/>
    <w:link w:val="Textedebulles"/>
    <w:rsid w:val="005C4275"/>
    <w:rPr>
      <w:rFonts w:ascii="Tahoma" w:hAnsi="Tahoma" w:cs="Tahoma"/>
      <w:sz w:val="16"/>
      <w:szCs w:val="16"/>
      <w:lang w:eastAsia="en-US"/>
    </w:rPr>
  </w:style>
  <w:style w:type="character" w:styleId="Marquedecommentaire">
    <w:name w:val="annotation reference"/>
    <w:basedOn w:val="Policepardfaut"/>
    <w:uiPriority w:val="99"/>
    <w:rsid w:val="008832EF"/>
    <w:rPr>
      <w:sz w:val="16"/>
      <w:szCs w:val="16"/>
    </w:rPr>
  </w:style>
  <w:style w:type="paragraph" w:styleId="Commentaire">
    <w:name w:val="annotation text"/>
    <w:basedOn w:val="Normal"/>
    <w:link w:val="CommentaireCar"/>
    <w:uiPriority w:val="99"/>
    <w:rsid w:val="008832EF"/>
    <w:pPr>
      <w:spacing w:line="240" w:lineRule="auto"/>
    </w:pPr>
  </w:style>
  <w:style w:type="character" w:customStyle="1" w:styleId="CommentaireCar">
    <w:name w:val="Commentaire Car"/>
    <w:basedOn w:val="Policepardfaut"/>
    <w:link w:val="Commentaire"/>
    <w:uiPriority w:val="99"/>
    <w:rsid w:val="008832EF"/>
    <w:rPr>
      <w:lang w:val="fr-CH" w:eastAsia="en-US"/>
    </w:rPr>
  </w:style>
  <w:style w:type="paragraph" w:styleId="Objetducommentaire">
    <w:name w:val="annotation subject"/>
    <w:basedOn w:val="Commentaire"/>
    <w:next w:val="Commentaire"/>
    <w:link w:val="ObjetducommentaireCar"/>
    <w:rsid w:val="008832EF"/>
    <w:rPr>
      <w:b/>
      <w:bCs/>
    </w:rPr>
  </w:style>
  <w:style w:type="character" w:customStyle="1" w:styleId="ObjetducommentaireCar">
    <w:name w:val="Objet du commentaire Car"/>
    <w:basedOn w:val="CommentaireCar"/>
    <w:link w:val="Objetducommentaire"/>
    <w:rsid w:val="008832EF"/>
    <w:rPr>
      <w:b/>
      <w:bCs/>
      <w:lang w:val="fr-CH" w:eastAsia="en-US"/>
    </w:rPr>
  </w:style>
  <w:style w:type="paragraph" w:styleId="Rvision">
    <w:name w:val="Revision"/>
    <w:hidden/>
    <w:uiPriority w:val="99"/>
    <w:semiHidden/>
    <w:rsid w:val="008832EF"/>
    <w:rPr>
      <w:lang w:val="fr-CH" w:eastAsia="en-US"/>
    </w:rPr>
  </w:style>
  <w:style w:type="paragraph" w:styleId="Corpsdetexte">
    <w:name w:val="Body Text"/>
    <w:basedOn w:val="Normal"/>
    <w:next w:val="Normal"/>
    <w:link w:val="CorpsdetexteCar"/>
    <w:rsid w:val="00A17A98"/>
    <w:rPr>
      <w:lang w:val="en-GB"/>
    </w:rPr>
  </w:style>
  <w:style w:type="character" w:customStyle="1" w:styleId="CorpsdetexteCar">
    <w:name w:val="Corps de texte Car"/>
    <w:basedOn w:val="Policepardfaut"/>
    <w:link w:val="Corpsdetexte"/>
    <w:rsid w:val="00A17A9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C7"/>
    <w:pPr>
      <w:suppressAutoHyphens/>
      <w:spacing w:line="240" w:lineRule="atLeast"/>
    </w:pPr>
    <w:rPr>
      <w:lang w:val="fr-CH" w:eastAsia="en-US"/>
    </w:rPr>
  </w:style>
  <w:style w:type="paragraph" w:styleId="Titre1">
    <w:name w:val="heading 1"/>
    <w:aliases w:val="Table_G"/>
    <w:basedOn w:val="SingleTxtG"/>
    <w:next w:val="SingleTxtG"/>
    <w:link w:val="Titre1Car"/>
    <w:qFormat/>
    <w:rsid w:val="000964C7"/>
    <w:pPr>
      <w:keepNext/>
      <w:keepLines/>
      <w:spacing w:after="0" w:line="240" w:lineRule="auto"/>
      <w:ind w:right="0"/>
      <w:jc w:val="left"/>
      <w:outlineLvl w:val="0"/>
    </w:pPr>
  </w:style>
  <w:style w:type="paragraph" w:styleId="Titre2">
    <w:name w:val="heading 2"/>
    <w:basedOn w:val="Normal"/>
    <w:next w:val="Normal"/>
    <w:link w:val="Titre2Car"/>
    <w:qFormat/>
    <w:rsid w:val="000964C7"/>
    <w:pPr>
      <w:outlineLvl w:val="1"/>
    </w:pPr>
  </w:style>
  <w:style w:type="paragraph" w:styleId="Titre3">
    <w:name w:val="heading 3"/>
    <w:basedOn w:val="Normal"/>
    <w:next w:val="Normal"/>
    <w:link w:val="Titre3Car"/>
    <w:qFormat/>
    <w:rsid w:val="000964C7"/>
    <w:pPr>
      <w:outlineLvl w:val="2"/>
    </w:pPr>
  </w:style>
  <w:style w:type="paragraph" w:styleId="Titre4">
    <w:name w:val="heading 4"/>
    <w:basedOn w:val="Normal"/>
    <w:next w:val="Normal"/>
    <w:link w:val="Titre4Car"/>
    <w:qFormat/>
    <w:rsid w:val="000964C7"/>
    <w:pPr>
      <w:outlineLvl w:val="3"/>
    </w:pPr>
  </w:style>
  <w:style w:type="paragraph" w:styleId="Titre5">
    <w:name w:val="heading 5"/>
    <w:basedOn w:val="Normal"/>
    <w:next w:val="Normal"/>
    <w:link w:val="Titre5Car"/>
    <w:qFormat/>
    <w:rsid w:val="000964C7"/>
    <w:pPr>
      <w:outlineLvl w:val="4"/>
    </w:pPr>
  </w:style>
  <w:style w:type="paragraph" w:styleId="Titre6">
    <w:name w:val="heading 6"/>
    <w:basedOn w:val="Normal"/>
    <w:next w:val="Normal"/>
    <w:link w:val="Titre6Car"/>
    <w:qFormat/>
    <w:rsid w:val="000964C7"/>
    <w:pPr>
      <w:outlineLvl w:val="5"/>
    </w:pPr>
  </w:style>
  <w:style w:type="paragraph" w:styleId="Titre7">
    <w:name w:val="heading 7"/>
    <w:basedOn w:val="Normal"/>
    <w:next w:val="Normal"/>
    <w:link w:val="Titre7Car"/>
    <w:qFormat/>
    <w:rsid w:val="000964C7"/>
    <w:pPr>
      <w:outlineLvl w:val="6"/>
    </w:pPr>
  </w:style>
  <w:style w:type="paragraph" w:styleId="Titre8">
    <w:name w:val="heading 8"/>
    <w:basedOn w:val="Normal"/>
    <w:next w:val="Normal"/>
    <w:link w:val="Titre8Car"/>
    <w:qFormat/>
    <w:rsid w:val="000964C7"/>
    <w:pPr>
      <w:outlineLvl w:val="7"/>
    </w:pPr>
  </w:style>
  <w:style w:type="paragraph" w:styleId="Titre9">
    <w:name w:val="heading 9"/>
    <w:basedOn w:val="Normal"/>
    <w:next w:val="Normal"/>
    <w:link w:val="Titre9Car"/>
    <w:qFormat/>
    <w:rsid w:val="000964C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Appelnotedebasdep">
    <w:name w:val="footnote reference"/>
    <w:aliases w:val="4_G"/>
    <w:basedOn w:val="Policepardfaut"/>
    <w:rsid w:val="000964C7"/>
    <w:rPr>
      <w:rFonts w:ascii="Times New Roman" w:hAnsi="Times New Roman"/>
      <w:sz w:val="18"/>
      <w:vertAlign w:val="superscript"/>
      <w:lang w:val="fr-CH"/>
    </w:rPr>
  </w:style>
  <w:style w:type="character" w:styleId="Appeldenotedefin">
    <w:name w:val="endnote reference"/>
    <w:aliases w:val="1_G"/>
    <w:basedOn w:val="Appelnotedebasdep"/>
    <w:rsid w:val="000964C7"/>
    <w:rPr>
      <w:rFonts w:ascii="Times New Roman" w:hAnsi="Times New Roman"/>
      <w:sz w:val="18"/>
      <w:vertAlign w:val="superscript"/>
      <w:lang w:val="fr-CH"/>
    </w:rPr>
  </w:style>
  <w:style w:type="paragraph" w:styleId="En-tte">
    <w:name w:val="header"/>
    <w:aliases w:val="6_G"/>
    <w:basedOn w:val="Normal"/>
    <w:next w:val="Normal"/>
    <w:link w:val="En-tteCar"/>
    <w:rsid w:val="000964C7"/>
    <w:pPr>
      <w:pBdr>
        <w:bottom w:val="single" w:sz="4" w:space="4" w:color="auto"/>
      </w:pBdr>
      <w:spacing w:line="240" w:lineRule="auto"/>
    </w:pPr>
    <w:rPr>
      <w:b/>
      <w:sz w:val="18"/>
    </w:rPr>
  </w:style>
  <w:style w:type="paragraph" w:styleId="Notedebasdepage">
    <w:name w:val="footnote text"/>
    <w:aliases w:val="5_G"/>
    <w:basedOn w:val="Normal"/>
    <w:link w:val="NotedebasdepageCar"/>
    <w:rsid w:val="000964C7"/>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rsid w:val="000964C7"/>
  </w:style>
  <w:style w:type="character" w:styleId="Numrodepage">
    <w:name w:val="page number"/>
    <w:aliases w:val="7_G"/>
    <w:basedOn w:val="Policepardfaut"/>
    <w:rsid w:val="000964C7"/>
    <w:rPr>
      <w:rFonts w:ascii="Times New Roman" w:hAnsi="Times New Roman"/>
      <w:b/>
      <w:sz w:val="18"/>
      <w:lang w:val="fr-CH"/>
    </w:rPr>
  </w:style>
  <w:style w:type="paragraph" w:styleId="Pieddepage">
    <w:name w:val="footer"/>
    <w:aliases w:val="3_G"/>
    <w:basedOn w:val="Normal"/>
    <w:next w:val="Normal"/>
    <w:link w:val="PieddepageCar"/>
    <w:uiPriority w:val="99"/>
    <w:rsid w:val="000964C7"/>
    <w:pPr>
      <w:spacing w:line="240" w:lineRule="auto"/>
    </w:pPr>
    <w:rPr>
      <w:sz w:val="16"/>
    </w:rPr>
  </w:style>
  <w:style w:type="table" w:styleId="Grilledetableau1">
    <w:name w:val="Table Grid 1"/>
    <w:basedOn w:val="Tableau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semiHidden/>
    <w:rsid w:val="000964C7"/>
    <w:rPr>
      <w:color w:val="auto"/>
      <w:u w:val="none"/>
    </w:rPr>
  </w:style>
  <w:style w:type="character" w:styleId="Lienhypertextesuivivisit">
    <w:name w:val="FollowedHyperlink"/>
    <w:basedOn w:val="Policepardfaut"/>
    <w:semiHidden/>
    <w:rsid w:val="000964C7"/>
    <w:rPr>
      <w:color w:val="auto"/>
      <w:u w:val="none"/>
    </w:rPr>
  </w:style>
  <w:style w:type="character" w:customStyle="1" w:styleId="Titre1Car">
    <w:name w:val="Titre 1 Car"/>
    <w:aliases w:val="Table_G Car"/>
    <w:basedOn w:val="Policepardfaut"/>
    <w:link w:val="Titre1"/>
    <w:rsid w:val="005C4275"/>
    <w:rPr>
      <w:lang w:val="fr-CH" w:eastAsia="en-US"/>
    </w:rPr>
  </w:style>
  <w:style w:type="character" w:customStyle="1" w:styleId="Titre2Car">
    <w:name w:val="Titre 2 Car"/>
    <w:basedOn w:val="Policepardfaut"/>
    <w:link w:val="Titre2"/>
    <w:rsid w:val="005C4275"/>
    <w:rPr>
      <w:lang w:val="fr-CH" w:eastAsia="en-US"/>
    </w:rPr>
  </w:style>
  <w:style w:type="character" w:customStyle="1" w:styleId="Titre3Car">
    <w:name w:val="Titre 3 Car"/>
    <w:basedOn w:val="Policepardfaut"/>
    <w:link w:val="Titre3"/>
    <w:rsid w:val="005C4275"/>
    <w:rPr>
      <w:lang w:val="fr-CH" w:eastAsia="en-US"/>
    </w:rPr>
  </w:style>
  <w:style w:type="character" w:customStyle="1" w:styleId="Titre4Car">
    <w:name w:val="Titre 4 Car"/>
    <w:basedOn w:val="Policepardfaut"/>
    <w:link w:val="Titre4"/>
    <w:rsid w:val="005C4275"/>
    <w:rPr>
      <w:lang w:val="fr-CH" w:eastAsia="en-US"/>
    </w:rPr>
  </w:style>
  <w:style w:type="character" w:customStyle="1" w:styleId="Titre5Car">
    <w:name w:val="Titre 5 Car"/>
    <w:basedOn w:val="Policepardfaut"/>
    <w:link w:val="Titre5"/>
    <w:rsid w:val="005C4275"/>
    <w:rPr>
      <w:lang w:val="fr-CH" w:eastAsia="en-US"/>
    </w:rPr>
  </w:style>
  <w:style w:type="character" w:customStyle="1" w:styleId="Titre6Car">
    <w:name w:val="Titre 6 Car"/>
    <w:basedOn w:val="Policepardfaut"/>
    <w:link w:val="Titre6"/>
    <w:rsid w:val="005C4275"/>
    <w:rPr>
      <w:lang w:val="fr-CH" w:eastAsia="en-US"/>
    </w:rPr>
  </w:style>
  <w:style w:type="character" w:customStyle="1" w:styleId="Titre7Car">
    <w:name w:val="Titre 7 Car"/>
    <w:basedOn w:val="Policepardfaut"/>
    <w:link w:val="Titre7"/>
    <w:rsid w:val="005C4275"/>
    <w:rPr>
      <w:lang w:val="fr-CH" w:eastAsia="en-US"/>
    </w:rPr>
  </w:style>
  <w:style w:type="character" w:customStyle="1" w:styleId="Titre8Car">
    <w:name w:val="Titre 8 Car"/>
    <w:basedOn w:val="Policepardfaut"/>
    <w:link w:val="Titre8"/>
    <w:rsid w:val="005C4275"/>
    <w:rPr>
      <w:lang w:val="fr-CH" w:eastAsia="en-US"/>
    </w:rPr>
  </w:style>
  <w:style w:type="character" w:customStyle="1" w:styleId="Titre9Car">
    <w:name w:val="Titre 9 Car"/>
    <w:basedOn w:val="Policepardfaut"/>
    <w:link w:val="Titre9"/>
    <w:rsid w:val="005C4275"/>
    <w:rPr>
      <w:lang w:val="fr-CH" w:eastAsia="en-US"/>
    </w:rPr>
  </w:style>
  <w:style w:type="character" w:customStyle="1" w:styleId="En-tteCar">
    <w:name w:val="En-tête Car"/>
    <w:aliases w:val="6_G Car"/>
    <w:basedOn w:val="Policepardfaut"/>
    <w:link w:val="En-tte"/>
    <w:rsid w:val="005C4275"/>
    <w:rPr>
      <w:b/>
      <w:sz w:val="18"/>
      <w:lang w:val="fr-CH" w:eastAsia="en-US"/>
    </w:rPr>
  </w:style>
  <w:style w:type="character" w:customStyle="1" w:styleId="NotedebasdepageCar">
    <w:name w:val="Note de bas de page Car"/>
    <w:aliases w:val="5_G Car"/>
    <w:basedOn w:val="Policepardfaut"/>
    <w:link w:val="Notedebasdepage"/>
    <w:rsid w:val="005C4275"/>
    <w:rPr>
      <w:sz w:val="18"/>
      <w:lang w:val="fr-CH" w:eastAsia="en-US"/>
    </w:rPr>
  </w:style>
  <w:style w:type="character" w:customStyle="1" w:styleId="NotedefinCar">
    <w:name w:val="Note de fin Car"/>
    <w:aliases w:val="2_G Car"/>
    <w:basedOn w:val="Policepardfaut"/>
    <w:link w:val="Notedefin"/>
    <w:rsid w:val="005C4275"/>
    <w:rPr>
      <w:sz w:val="18"/>
      <w:lang w:val="fr-CH" w:eastAsia="en-US"/>
    </w:rPr>
  </w:style>
  <w:style w:type="character" w:customStyle="1" w:styleId="PieddepageCar">
    <w:name w:val="Pied de page Car"/>
    <w:aliases w:val="3_G Car"/>
    <w:basedOn w:val="Policepardfaut"/>
    <w:link w:val="Pieddepage"/>
    <w:uiPriority w:val="99"/>
    <w:rsid w:val="005C4275"/>
    <w:rPr>
      <w:sz w:val="16"/>
      <w:lang w:val="fr-CH" w:eastAsia="en-US"/>
    </w:rPr>
  </w:style>
  <w:style w:type="character" w:customStyle="1" w:styleId="H1GChar">
    <w:name w:val="_ H_1_G Char"/>
    <w:link w:val="H1G"/>
    <w:rsid w:val="005C4275"/>
    <w:rPr>
      <w:b/>
      <w:sz w:val="24"/>
      <w:lang w:val="fr-CH" w:eastAsia="en-US"/>
    </w:rPr>
  </w:style>
  <w:style w:type="character" w:customStyle="1" w:styleId="HChGChar">
    <w:name w:val="_ H _Ch_G Char"/>
    <w:link w:val="HChG"/>
    <w:rsid w:val="005C4275"/>
    <w:rPr>
      <w:b/>
      <w:sz w:val="28"/>
      <w:lang w:val="fr-CH" w:eastAsia="en-US"/>
    </w:rPr>
  </w:style>
  <w:style w:type="character" w:customStyle="1" w:styleId="SingleTxtGChar">
    <w:name w:val="_ Single Txt_G Char"/>
    <w:link w:val="SingleTxtG"/>
    <w:qFormat/>
    <w:rsid w:val="005C4275"/>
    <w:rPr>
      <w:lang w:val="fr-CH" w:eastAsia="en-US"/>
    </w:rPr>
  </w:style>
  <w:style w:type="character" w:customStyle="1" w:styleId="H23GChar">
    <w:name w:val="_ H_2/3_G Char"/>
    <w:link w:val="H23G"/>
    <w:locked/>
    <w:rsid w:val="005C4275"/>
    <w:rPr>
      <w:b/>
      <w:lang w:val="fr-CH" w:eastAsia="en-US"/>
    </w:rPr>
  </w:style>
  <w:style w:type="character" w:customStyle="1" w:styleId="SingleTxtGCar">
    <w:name w:val="_ Single Txt_G Car"/>
    <w:locked/>
    <w:rsid w:val="005C4275"/>
    <w:rPr>
      <w:lang w:val="fr-CH"/>
    </w:rPr>
  </w:style>
  <w:style w:type="paragraph" w:customStyle="1" w:styleId="ParNoG">
    <w:name w:val="_ParNo_G"/>
    <w:basedOn w:val="Normal"/>
    <w:qFormat/>
    <w:rsid w:val="005C4275"/>
    <w:pPr>
      <w:numPr>
        <w:numId w:val="5"/>
      </w:numPr>
      <w:kinsoku w:val="0"/>
      <w:overflowPunct w:val="0"/>
      <w:autoSpaceDE w:val="0"/>
      <w:autoSpaceDN w:val="0"/>
      <w:adjustRightInd w:val="0"/>
      <w:snapToGrid w:val="0"/>
      <w:spacing w:after="120"/>
      <w:ind w:right="1134"/>
      <w:jc w:val="both"/>
    </w:pPr>
  </w:style>
  <w:style w:type="paragraph" w:styleId="NormalWeb">
    <w:name w:val="Normal (Web)"/>
    <w:basedOn w:val="Normal"/>
    <w:uiPriority w:val="99"/>
    <w:rsid w:val="005C4275"/>
    <w:rPr>
      <w:sz w:val="24"/>
      <w:szCs w:val="24"/>
    </w:rPr>
  </w:style>
  <w:style w:type="paragraph" w:styleId="Paragraphedeliste">
    <w:name w:val="List Paragraph"/>
    <w:basedOn w:val="Normal"/>
    <w:uiPriority w:val="34"/>
    <w:qFormat/>
    <w:rsid w:val="005C4275"/>
    <w:pPr>
      <w:ind w:left="720"/>
      <w:contextualSpacing/>
    </w:pPr>
    <w:rPr>
      <w:lang w:val="en-GB"/>
    </w:rPr>
  </w:style>
  <w:style w:type="paragraph" w:styleId="Textedebulles">
    <w:name w:val="Balloon Text"/>
    <w:basedOn w:val="Normal"/>
    <w:link w:val="TextedebullesCar"/>
    <w:rsid w:val="005C4275"/>
    <w:pPr>
      <w:spacing w:line="240" w:lineRule="auto"/>
    </w:pPr>
    <w:rPr>
      <w:rFonts w:ascii="Tahoma" w:hAnsi="Tahoma" w:cs="Tahoma"/>
      <w:sz w:val="16"/>
      <w:szCs w:val="16"/>
      <w:lang w:val="en-GB"/>
    </w:rPr>
  </w:style>
  <w:style w:type="character" w:customStyle="1" w:styleId="TextedebullesCar">
    <w:name w:val="Texte de bulles Car"/>
    <w:basedOn w:val="Policepardfaut"/>
    <w:link w:val="Textedebulles"/>
    <w:rsid w:val="005C4275"/>
    <w:rPr>
      <w:rFonts w:ascii="Tahoma" w:hAnsi="Tahoma" w:cs="Tahoma"/>
      <w:sz w:val="16"/>
      <w:szCs w:val="16"/>
      <w:lang w:eastAsia="en-US"/>
    </w:rPr>
  </w:style>
  <w:style w:type="character" w:styleId="Marquedecommentaire">
    <w:name w:val="annotation reference"/>
    <w:basedOn w:val="Policepardfaut"/>
    <w:uiPriority w:val="99"/>
    <w:rsid w:val="008832EF"/>
    <w:rPr>
      <w:sz w:val="16"/>
      <w:szCs w:val="16"/>
    </w:rPr>
  </w:style>
  <w:style w:type="paragraph" w:styleId="Commentaire">
    <w:name w:val="annotation text"/>
    <w:basedOn w:val="Normal"/>
    <w:link w:val="CommentaireCar"/>
    <w:uiPriority w:val="99"/>
    <w:rsid w:val="008832EF"/>
    <w:pPr>
      <w:spacing w:line="240" w:lineRule="auto"/>
    </w:pPr>
  </w:style>
  <w:style w:type="character" w:customStyle="1" w:styleId="CommentaireCar">
    <w:name w:val="Commentaire Car"/>
    <w:basedOn w:val="Policepardfaut"/>
    <w:link w:val="Commentaire"/>
    <w:uiPriority w:val="99"/>
    <w:rsid w:val="008832EF"/>
    <w:rPr>
      <w:lang w:val="fr-CH" w:eastAsia="en-US"/>
    </w:rPr>
  </w:style>
  <w:style w:type="paragraph" w:styleId="Objetducommentaire">
    <w:name w:val="annotation subject"/>
    <w:basedOn w:val="Commentaire"/>
    <w:next w:val="Commentaire"/>
    <w:link w:val="ObjetducommentaireCar"/>
    <w:rsid w:val="008832EF"/>
    <w:rPr>
      <w:b/>
      <w:bCs/>
    </w:rPr>
  </w:style>
  <w:style w:type="character" w:customStyle="1" w:styleId="ObjetducommentaireCar">
    <w:name w:val="Objet du commentaire Car"/>
    <w:basedOn w:val="CommentaireCar"/>
    <w:link w:val="Objetducommentaire"/>
    <w:rsid w:val="008832EF"/>
    <w:rPr>
      <w:b/>
      <w:bCs/>
      <w:lang w:val="fr-CH" w:eastAsia="en-US"/>
    </w:rPr>
  </w:style>
  <w:style w:type="paragraph" w:styleId="Rvision">
    <w:name w:val="Revision"/>
    <w:hidden/>
    <w:uiPriority w:val="99"/>
    <w:semiHidden/>
    <w:rsid w:val="008832EF"/>
    <w:rPr>
      <w:lang w:val="fr-CH" w:eastAsia="en-US"/>
    </w:rPr>
  </w:style>
  <w:style w:type="paragraph" w:styleId="Corpsdetexte">
    <w:name w:val="Body Text"/>
    <w:basedOn w:val="Normal"/>
    <w:next w:val="Normal"/>
    <w:link w:val="CorpsdetexteCar"/>
    <w:rsid w:val="00A17A98"/>
    <w:rPr>
      <w:lang w:val="en-GB"/>
    </w:rPr>
  </w:style>
  <w:style w:type="character" w:customStyle="1" w:styleId="CorpsdetexteCar">
    <w:name w:val="Corps de texte Car"/>
    <w:basedOn w:val="Policepardfaut"/>
    <w:link w:val="Corpsdetexte"/>
    <w:rsid w:val="00A17A98"/>
    <w:rPr>
      <w:lang w:eastAsia="en-US"/>
    </w:rPr>
  </w:style>
</w:styles>
</file>

<file path=word/webSettings.xml><?xml version="1.0" encoding="utf-8"?>
<w:webSettings xmlns:r="http://schemas.openxmlformats.org/officeDocument/2006/relationships" xmlns:w="http://schemas.openxmlformats.org/wordprocessingml/2006/main">
  <w:divs>
    <w:div w:id="25756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TRANS_WP15_AC1_F.dotm</Template>
  <TotalTime>1</TotalTime>
  <Pages>21</Pages>
  <Words>8098</Words>
  <Characters>44544</Characters>
  <Application>Microsoft Office Word</Application>
  <DocSecurity>0</DocSecurity>
  <Lines>371</Lines>
  <Paragraphs>105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ECE/TRANS/WP.15/AC.1/</vt:lpstr>
      <vt:lpstr>ECE/TRANS/WP.15/AC.1/</vt:lpstr>
    </vt:vector>
  </TitlesOfParts>
  <Company>CSD</Company>
  <LinksUpToDate>false</LinksUpToDate>
  <CharactersWithSpaces>52537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Maison</cp:lastModifiedBy>
  <cp:revision>2</cp:revision>
  <cp:lastPrinted>2009-10-06T13:35:00Z</cp:lastPrinted>
  <dcterms:created xsi:type="dcterms:W3CDTF">2016-05-31T08:56:00Z</dcterms:created>
  <dcterms:modified xsi:type="dcterms:W3CDTF">2016-05-31T08:56:00Z</dcterms:modified>
</cp:coreProperties>
</file>