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F003E">
              <w:fldChar w:fldCharType="begin"/>
            </w:r>
            <w:r w:rsidR="005F003E">
              <w:instrText xml:space="preserve"> FILLIN  "Введите символ после ЕCE/"  \* MERGEFORMAT </w:instrText>
            </w:r>
            <w:r w:rsidR="005F003E">
              <w:fldChar w:fldCharType="separate"/>
            </w:r>
            <w:r w:rsidR="004E7291">
              <w:t>TRANS/WP.15/2016/20</w:t>
            </w:r>
            <w:r w:rsidR="005F003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4E7291">
              <w:t xml:space="preserve">24 </w:t>
            </w:r>
            <w:proofErr w:type="spellStart"/>
            <w:r w:rsidR="004E7291">
              <w:t>August</w:t>
            </w:r>
            <w:proofErr w:type="spellEnd"/>
            <w:r w:rsidR="004E7291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E7291" w:rsidRPr="004E7291" w:rsidRDefault="004E7291" w:rsidP="004E7291">
      <w:pPr>
        <w:spacing w:before="120" w:after="120" w:line="240" w:lineRule="auto"/>
        <w:rPr>
          <w:sz w:val="28"/>
          <w:szCs w:val="28"/>
        </w:rPr>
      </w:pPr>
      <w:r w:rsidRPr="004E7291">
        <w:rPr>
          <w:sz w:val="28"/>
          <w:szCs w:val="28"/>
        </w:rPr>
        <w:t>Комитет по внутреннему транспорту</w:t>
      </w:r>
    </w:p>
    <w:p w:rsidR="004E7291" w:rsidRPr="004E7291" w:rsidRDefault="004E7291" w:rsidP="004E7291">
      <w:pPr>
        <w:spacing w:after="120" w:line="240" w:lineRule="auto"/>
        <w:rPr>
          <w:b/>
          <w:sz w:val="24"/>
          <w:szCs w:val="24"/>
        </w:rPr>
      </w:pPr>
      <w:r w:rsidRPr="004E7291">
        <w:rPr>
          <w:b/>
          <w:sz w:val="24"/>
          <w:szCs w:val="24"/>
        </w:rPr>
        <w:t>Рабочая группа по перевозкам опасных грузов</w:t>
      </w:r>
    </w:p>
    <w:p w:rsidR="004E7291" w:rsidRPr="004E7291" w:rsidRDefault="004E7291" w:rsidP="004E7291">
      <w:pPr>
        <w:spacing w:line="240" w:lineRule="auto"/>
        <w:rPr>
          <w:b/>
        </w:rPr>
      </w:pPr>
      <w:r w:rsidRPr="004E7291">
        <w:rPr>
          <w:b/>
        </w:rPr>
        <w:t>101-я сессия</w:t>
      </w:r>
    </w:p>
    <w:p w:rsidR="004E7291" w:rsidRPr="004E7291" w:rsidRDefault="004E7291" w:rsidP="004E7291">
      <w:pPr>
        <w:spacing w:line="240" w:lineRule="auto"/>
      </w:pPr>
      <w:r w:rsidRPr="004E7291">
        <w:t xml:space="preserve">Женева, 8−11 ноября 2016 года </w:t>
      </w:r>
    </w:p>
    <w:p w:rsidR="004E7291" w:rsidRPr="004E7291" w:rsidRDefault="004E7291" w:rsidP="004E7291">
      <w:pPr>
        <w:spacing w:line="240" w:lineRule="auto"/>
      </w:pPr>
      <w:r w:rsidRPr="004E7291">
        <w:t>Пункт 5 b) предварительной повестки дня</w:t>
      </w:r>
    </w:p>
    <w:p w:rsidR="00A658DB" w:rsidRPr="004E7291" w:rsidRDefault="004E7291" w:rsidP="004E7291">
      <w:pPr>
        <w:spacing w:line="240" w:lineRule="auto"/>
        <w:rPr>
          <w:b/>
        </w:rPr>
      </w:pPr>
      <w:r w:rsidRPr="004E7291">
        <w:rPr>
          <w:b/>
        </w:rPr>
        <w:t>Предложения о внесении поправок в приложения</w:t>
      </w:r>
      <w:proofErr w:type="gramStart"/>
      <w:r w:rsidRPr="004E7291">
        <w:rPr>
          <w:b/>
        </w:rPr>
        <w:t xml:space="preserve"> А</w:t>
      </w:r>
      <w:proofErr w:type="gramEnd"/>
      <w:r w:rsidRPr="004E7291">
        <w:rPr>
          <w:b/>
        </w:rPr>
        <w:t xml:space="preserve"> и В </w:t>
      </w:r>
      <w:r w:rsidRPr="004E7291">
        <w:rPr>
          <w:b/>
        </w:rPr>
        <w:br/>
        <w:t>к ДОПОГ: Различные предложения</w:t>
      </w:r>
    </w:p>
    <w:p w:rsidR="001B77D5" w:rsidRPr="001B77D5" w:rsidRDefault="001B77D5" w:rsidP="001B77D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B77D5">
        <w:t xml:space="preserve">Ссылка на </w:t>
      </w:r>
      <w:r w:rsidR="002F37AC">
        <w:t>Кодекс практики ИМО/МОТ/</w:t>
      </w:r>
      <w:r w:rsidRPr="001B77D5">
        <w:t xml:space="preserve">ЕЭК ООН </w:t>
      </w:r>
      <w:r w:rsidRPr="001B77D5">
        <w:br/>
        <w:t>по укладке грузов в грузовые транспортные единицы (Кодекс ГТЕ)</w:t>
      </w:r>
    </w:p>
    <w:p w:rsidR="001B77D5" w:rsidRPr="001B77D5" w:rsidRDefault="001B77D5" w:rsidP="001B77D5">
      <w:pPr>
        <w:pStyle w:val="H1GR"/>
      </w:pPr>
      <w:r w:rsidRPr="001B77D5">
        <w:tab/>
      </w:r>
      <w:r w:rsidRPr="001B77D5">
        <w:tab/>
        <w:t>Записка секретариата</w:t>
      </w:r>
      <w:r w:rsidRPr="001B77D5">
        <w:rPr>
          <w:b w:val="0"/>
          <w:sz w:val="20"/>
          <w:vertAlign w:val="superscript"/>
        </w:rPr>
        <w:footnoteReference w:id="1"/>
      </w:r>
    </w:p>
    <w:p w:rsidR="001B77D5" w:rsidRPr="001B77D5" w:rsidRDefault="001B77D5" w:rsidP="001B77D5">
      <w:pPr>
        <w:pStyle w:val="SingleTxtGR"/>
      </w:pPr>
      <w:r w:rsidRPr="001B77D5">
        <w:t>1.</w:t>
      </w:r>
      <w:r w:rsidRPr="001B77D5">
        <w:tab/>
        <w:t>Рабочая группа на своей девяносто шестой сессии (май 2014 года) отм</w:t>
      </w:r>
      <w:r w:rsidRPr="001B77D5">
        <w:t>е</w:t>
      </w:r>
      <w:r w:rsidRPr="001B77D5">
        <w:t>тила, что Кодекс практики ИМО/МОТ/ЕЭК ООН по укладке грузов в грузовые транспортные единицы (Кодекс ГТЕ) был одобрен Комитетом по внутреннему транспорту на его семьдесят шестой сессии в феврале 2014 года.</w:t>
      </w:r>
    </w:p>
    <w:p w:rsidR="001B77D5" w:rsidRPr="001B77D5" w:rsidRDefault="001B77D5" w:rsidP="001B77D5">
      <w:pPr>
        <w:pStyle w:val="SingleTxtGR"/>
      </w:pPr>
      <w:r w:rsidRPr="001B77D5">
        <w:t>2.</w:t>
      </w:r>
      <w:r w:rsidRPr="001B77D5">
        <w:tab/>
      </w:r>
      <w:proofErr w:type="gramStart"/>
      <w:r w:rsidRPr="001B77D5">
        <w:t>На тот момент Рабочая группа не высказала возражений против включ</w:t>
      </w:r>
      <w:r w:rsidRPr="001B77D5">
        <w:t>е</w:t>
      </w:r>
      <w:r w:rsidRPr="001B77D5">
        <w:t>ния ссылки на данный Кодекс в ДОПОГ, как это было предложено в пункте 5 документа ECE/TRANS/WP.15/2014/7, однако она решила отложить рассмотр</w:t>
      </w:r>
      <w:r w:rsidRPr="001B77D5">
        <w:t>е</w:t>
      </w:r>
      <w:r w:rsidRPr="001B77D5">
        <w:t>ние этого вопроса в ожидании официального одобрения Кодекса Комитетом по безопасности на море ИМО и Административным советом МОТ.</w:t>
      </w:r>
      <w:proofErr w:type="gramEnd"/>
      <w:r w:rsidRPr="001B77D5">
        <w:t xml:space="preserve"> С учетом з</w:t>
      </w:r>
      <w:r w:rsidRPr="001B77D5">
        <w:t>а</w:t>
      </w:r>
      <w:r w:rsidRPr="001B77D5">
        <w:t>мечания, высказанного представителем Бельгии на указанной сессии, Рабочая группа решила также, что, прежде чем принимать какое-либо решение, следует рассмотреть функциональные обязанности сторон, участвующих в цепи пост</w:t>
      </w:r>
      <w:r w:rsidRPr="001B77D5">
        <w:t>а</w:t>
      </w:r>
      <w:r w:rsidRPr="001B77D5">
        <w:t xml:space="preserve">вок, которые определены в главе 4 Кодекса, с </w:t>
      </w:r>
      <w:proofErr w:type="gramStart"/>
      <w:r w:rsidRPr="001B77D5">
        <w:t>тем</w:t>
      </w:r>
      <w:proofErr w:type="gramEnd"/>
      <w:r w:rsidRPr="001B77D5">
        <w:t xml:space="preserve"> чтобы обеспечить отсутствие их коллизии с обязанностями, определенными в главе 1.4 ДОПОГ.</w:t>
      </w:r>
    </w:p>
    <w:p w:rsidR="001B77D5" w:rsidRPr="001B77D5" w:rsidRDefault="001B77D5" w:rsidP="001B77D5">
      <w:pPr>
        <w:pStyle w:val="SingleTxtGR"/>
      </w:pPr>
      <w:r w:rsidRPr="001B77D5">
        <w:t>3.</w:t>
      </w:r>
      <w:r w:rsidRPr="001B77D5">
        <w:tab/>
        <w:t>Кодекс ГТЕ был одобрен Комитетом по безопасности на море ИМО на его девяносто третьей сессии (14–23 мая 2014 года) и Административным сов</w:t>
      </w:r>
      <w:r w:rsidRPr="001B77D5">
        <w:t>е</w:t>
      </w:r>
      <w:r w:rsidRPr="001B77D5">
        <w:t xml:space="preserve">том МОТ на его 322-й сессии (30 октября – 13 ноября 2014 года). </w:t>
      </w:r>
    </w:p>
    <w:p w:rsidR="001B77D5" w:rsidRPr="00557095" w:rsidRDefault="001B77D5" w:rsidP="001B77D5">
      <w:pPr>
        <w:pStyle w:val="SingleTxtGR"/>
      </w:pPr>
      <w:r w:rsidRPr="001B77D5">
        <w:lastRenderedPageBreak/>
        <w:t>4.</w:t>
      </w:r>
      <w:r w:rsidRPr="001B77D5">
        <w:tab/>
        <w:t xml:space="preserve">С Кодексом ГТЕ и соответствующей информацией можно ознакомиться на веб-сайте Европейской экономической комиссии Организации </w:t>
      </w:r>
      <w:proofErr w:type="spellStart"/>
      <w:proofErr w:type="gramStart"/>
      <w:r w:rsidRPr="001B77D5">
        <w:t>Объеди</w:t>
      </w:r>
      <w:r w:rsidR="00557095">
        <w:t>-</w:t>
      </w:r>
      <w:r w:rsidRPr="001B77D5">
        <w:t>ненных</w:t>
      </w:r>
      <w:proofErr w:type="spellEnd"/>
      <w:proofErr w:type="gramEnd"/>
      <w:r w:rsidRPr="001B77D5">
        <w:t xml:space="preserve"> Наций (ЕЭК ООН) по адресу:</w:t>
      </w:r>
      <w:r w:rsidR="00557095">
        <w:t xml:space="preserve"> </w:t>
      </w:r>
      <w:hyperlink r:id="rId10" w:history="1">
        <w:r w:rsidRPr="00557095">
          <w:rPr>
            <w:rStyle w:val="Hyperlink"/>
            <w:color w:val="auto"/>
            <w:u w:val="none"/>
          </w:rPr>
          <w:t>http://www.unece.org/trans/wp24/</w:t>
        </w:r>
        <w:r w:rsidR="00557095">
          <w:rPr>
            <w:rStyle w:val="Hyperlink"/>
            <w:color w:val="auto"/>
            <w:u w:val="none"/>
          </w:rPr>
          <w:t xml:space="preserve"> </w:t>
        </w:r>
        <w:proofErr w:type="spellStart"/>
        <w:r w:rsidRPr="00557095">
          <w:rPr>
            <w:rStyle w:val="Hyperlink"/>
            <w:color w:val="auto"/>
            <w:u w:val="none"/>
          </w:rPr>
          <w:t>guidelinespackingctus</w:t>
        </w:r>
        <w:proofErr w:type="spellEnd"/>
        <w:r w:rsidRPr="00557095">
          <w:rPr>
            <w:rStyle w:val="Hyperlink"/>
            <w:color w:val="auto"/>
            <w:u w:val="none"/>
          </w:rPr>
          <w:t>/intro.html</w:t>
        </w:r>
      </w:hyperlink>
      <w:r w:rsidRPr="00557095">
        <w:t>.</w:t>
      </w:r>
    </w:p>
    <w:p w:rsidR="001B77D5" w:rsidRPr="001B77D5" w:rsidRDefault="001B77D5" w:rsidP="001B77D5">
      <w:pPr>
        <w:pStyle w:val="SingleTxtGR"/>
      </w:pPr>
      <w:r w:rsidRPr="001B77D5">
        <w:t>5.</w:t>
      </w:r>
      <w:r w:rsidRPr="001B77D5">
        <w:tab/>
        <w:t>Что касается ДОПОГ 2017 года, то ссылки на Кодекс ГТЕ уже были пр</w:t>
      </w:r>
      <w:r w:rsidRPr="001B77D5">
        <w:t>и</w:t>
      </w:r>
      <w:r w:rsidRPr="001B77D5">
        <w:t>няты в тексте подраздела 7.5.7.6 по погрузке мягких контейнеров для массовых грузов (см. ECE/TRANS/WP.15/231 и Corr.1) и в сноске 5 в разделе 5.4.2 (см.</w:t>
      </w:r>
      <w:r w:rsidR="00557095">
        <w:t> </w:t>
      </w:r>
      <w:r w:rsidRPr="001B77D5">
        <w:t>ECE/TRANS/WP.15/231/Add.1).</w:t>
      </w:r>
    </w:p>
    <w:p w:rsidR="004E7291" w:rsidRPr="001B77D5" w:rsidRDefault="001B77D5" w:rsidP="001B77D5">
      <w:pPr>
        <w:pStyle w:val="SingleTxtGR"/>
      </w:pPr>
      <w:r w:rsidRPr="001B77D5">
        <w:t>6.</w:t>
      </w:r>
      <w:r w:rsidRPr="001B77D5">
        <w:tab/>
        <w:t>Рабочая группа, возможно, пожелает рассмотреть вопрос о целесообра</w:t>
      </w:r>
      <w:r w:rsidRPr="001B77D5">
        <w:t>з</w:t>
      </w:r>
      <w:r w:rsidRPr="001B77D5">
        <w:t xml:space="preserve">ности изменения сноски 1 в подразделе 7.5.7.1 с целью внесения ссылки на </w:t>
      </w:r>
      <w:r w:rsidR="00557095">
        <w:br/>
      </w:r>
      <w:r w:rsidRPr="001B77D5">
        <w:t>соответствующие главы данного Кодекса после того, как он будет утвержден тремя вышеупомянутыми организациями и официально опубликован.</w:t>
      </w:r>
    </w:p>
    <w:p w:rsidR="004E7291" w:rsidRPr="002F37AC" w:rsidRDefault="002F37AC" w:rsidP="002F37A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7291" w:rsidRPr="002F37AC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91" w:rsidRDefault="004E7291" w:rsidP="00B471C5">
      <w:r>
        <w:separator/>
      </w:r>
    </w:p>
  </w:endnote>
  <w:endnote w:type="continuationSeparator" w:id="0">
    <w:p w:rsidR="004E7291" w:rsidRDefault="004E729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F003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F37AC">
      <w:rPr>
        <w:lang w:val="en-US"/>
      </w:rPr>
      <w:t>14669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1B77D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B77D5">
            <w:rPr>
              <w:lang w:val="en-US"/>
            </w:rPr>
            <w:t>14669</w:t>
          </w:r>
          <w:r w:rsidRPr="001C3ABC">
            <w:rPr>
              <w:lang w:val="en-US"/>
            </w:rPr>
            <w:t xml:space="preserve"> (R)</w:t>
          </w:r>
          <w:r w:rsidR="001B77D5">
            <w:rPr>
              <w:lang w:val="en-US"/>
            </w:rPr>
            <w:t xml:space="preserve">  050916  060916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B77D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016/2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2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B77D5" w:rsidRDefault="001B77D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B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91" w:rsidRPr="009141DC" w:rsidRDefault="004E729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E7291" w:rsidRPr="00D1261C" w:rsidRDefault="004E729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B77D5" w:rsidRPr="00FD4539" w:rsidRDefault="001B77D5" w:rsidP="001B77D5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В соответствии с программой работы </w:t>
      </w:r>
      <w:r w:rsidR="002F37AC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Pr="001B77D5">
        <w:rPr>
          <w:lang w:val="ru-RU"/>
        </w:rPr>
        <w:br/>
      </w:r>
      <w:r>
        <w:rPr>
          <w:lang w:val="ru-RU"/>
        </w:rPr>
        <w:t>на 2016−2017 годы (ECE/TRANS/2016/28/Add.1 (9.1)).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B77D5">
      <w:t>TRANS/WP.15/2016/20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91"/>
    <w:rsid w:val="000450D1"/>
    <w:rsid w:val="000B1FD5"/>
    <w:rsid w:val="000F2A4F"/>
    <w:rsid w:val="00171B39"/>
    <w:rsid w:val="001B77D5"/>
    <w:rsid w:val="00203F84"/>
    <w:rsid w:val="00275188"/>
    <w:rsid w:val="0028687D"/>
    <w:rsid w:val="002B091C"/>
    <w:rsid w:val="002B3D40"/>
    <w:rsid w:val="002D0CCB"/>
    <w:rsid w:val="002F37AC"/>
    <w:rsid w:val="00345C79"/>
    <w:rsid w:val="00366A39"/>
    <w:rsid w:val="0048005C"/>
    <w:rsid w:val="004D639B"/>
    <w:rsid w:val="004E242B"/>
    <w:rsid w:val="004E7291"/>
    <w:rsid w:val="00544379"/>
    <w:rsid w:val="00557095"/>
    <w:rsid w:val="00566944"/>
    <w:rsid w:val="005D06C8"/>
    <w:rsid w:val="005D56BF"/>
    <w:rsid w:val="005F003E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21A88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1B77D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77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semiHidden/>
    <w:rsid w:val="001B77D5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557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3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1B77D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77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semiHidden/>
    <w:rsid w:val="001B77D5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557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3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wp24/guidelinespackingctus/intro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C6CD-7755-43F2-83AA-55CF2C36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barrio-champeau</cp:lastModifiedBy>
  <cp:revision>2</cp:revision>
  <dcterms:created xsi:type="dcterms:W3CDTF">2016-09-26T14:51:00Z</dcterms:created>
  <dcterms:modified xsi:type="dcterms:W3CDTF">2016-09-26T14:51:00Z</dcterms:modified>
</cp:coreProperties>
</file>