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E0332A">
            <w:pPr>
              <w:suppressAutoHyphens w:val="0"/>
              <w:spacing w:after="20"/>
              <w:jc w:val="right"/>
            </w:pPr>
            <w:r w:rsidRPr="008D4A19">
              <w:rPr>
                <w:sz w:val="40"/>
              </w:rPr>
              <w:t>ECE</w:t>
            </w:r>
            <w:r>
              <w:t>/TRANS/WP.15/201</w:t>
            </w:r>
            <w:r w:rsidR="00DE40E0">
              <w:t>6</w:t>
            </w:r>
            <w:r>
              <w:t>/</w:t>
            </w:r>
            <w:r w:rsidR="008F2EC1">
              <w:t>1</w:t>
            </w:r>
            <w:r w:rsidR="00E0332A">
              <w:t>9</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0D13CB" w:rsidP="008D4A19">
            <w:pPr>
              <w:suppressAutoHyphens w:val="0"/>
            </w:pPr>
            <w:r>
              <w:t>22</w:t>
            </w:r>
            <w:r w:rsidR="008F2EC1">
              <w:t xml:space="preserve"> August</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8F2EC1" w:rsidP="001330DE">
      <w:pPr>
        <w:spacing w:before="120"/>
        <w:rPr>
          <w:rFonts w:eastAsia="SimSun"/>
          <w:b/>
        </w:rPr>
      </w:pPr>
      <w:r>
        <w:rPr>
          <w:rFonts w:eastAsia="SimSun"/>
          <w:b/>
        </w:rPr>
        <w:t>101st</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8F2EC1">
        <w:rPr>
          <w:rFonts w:eastAsia="SimSun"/>
        </w:rPr>
        <w:t>8</w:t>
      </w:r>
      <w:r>
        <w:rPr>
          <w:rFonts w:eastAsia="SimSun"/>
        </w:rPr>
        <w:t>–</w:t>
      </w:r>
      <w:r w:rsidR="00DE40E0">
        <w:rPr>
          <w:rFonts w:eastAsia="SimSun"/>
        </w:rPr>
        <w:t>1</w:t>
      </w:r>
      <w:r w:rsidR="008F2EC1">
        <w:rPr>
          <w:rFonts w:eastAsia="SimSun"/>
        </w:rPr>
        <w:t>1</w:t>
      </w:r>
      <w:r w:rsidRPr="00BA64A8">
        <w:rPr>
          <w:rFonts w:eastAsia="SimSun"/>
        </w:rPr>
        <w:t xml:space="preserve"> </w:t>
      </w:r>
      <w:r w:rsidR="008F2EC1">
        <w:rPr>
          <w:rFonts w:eastAsia="SimSun"/>
        </w:rPr>
        <w:t>November</w:t>
      </w:r>
      <w:r w:rsidRPr="00BA64A8">
        <w:rPr>
          <w:rFonts w:eastAsia="SimSun"/>
        </w:rPr>
        <w:t xml:space="preserve"> 201</w:t>
      </w:r>
      <w:r w:rsidR="00DE40E0">
        <w:rPr>
          <w:rFonts w:eastAsia="SimSun"/>
        </w:rPr>
        <w:t>6</w:t>
      </w:r>
      <w:r w:rsidRPr="00BA64A8">
        <w:rPr>
          <w:rFonts w:eastAsia="SimSun"/>
        </w:rPr>
        <w:t xml:space="preserve"> </w:t>
      </w:r>
    </w:p>
    <w:p w:rsidR="00796DF0" w:rsidRDefault="00796DF0" w:rsidP="00796DF0">
      <w:r>
        <w:t xml:space="preserve">Item </w:t>
      </w:r>
      <w:r w:rsidR="008F2EC1">
        <w:t>5</w:t>
      </w:r>
      <w:r w:rsidR="008F3ECE">
        <w:t>(</w:t>
      </w:r>
      <w:r w:rsidR="00EC22F3">
        <w:t>a</w:t>
      </w:r>
      <w:r>
        <w:t>) of the provisional agenda</w:t>
      </w:r>
    </w:p>
    <w:p w:rsidR="00796DF0" w:rsidRPr="003D777F" w:rsidRDefault="00796DF0" w:rsidP="00796DF0">
      <w:pPr>
        <w:rPr>
          <w:b/>
        </w:rPr>
      </w:pPr>
      <w:r w:rsidRPr="003D777F">
        <w:rPr>
          <w:b/>
        </w:rPr>
        <w:t>Proposals for amendments to Annexes A and B of ADR:</w:t>
      </w:r>
    </w:p>
    <w:p w:rsidR="00AF2944" w:rsidRPr="003D777F" w:rsidRDefault="008F2EC1" w:rsidP="00796DF0">
      <w:pPr>
        <w:rPr>
          <w:b/>
        </w:rPr>
      </w:pPr>
      <w:proofErr w:type="gramStart"/>
      <w:r>
        <w:rPr>
          <w:b/>
        </w:rPr>
        <w:t>construction</w:t>
      </w:r>
      <w:proofErr w:type="gramEnd"/>
      <w:r>
        <w:rPr>
          <w:b/>
        </w:rPr>
        <w:t xml:space="preserve"> and approval of vehicles</w:t>
      </w:r>
    </w:p>
    <w:p w:rsidR="008F2EC1" w:rsidRDefault="00AF2944" w:rsidP="008F2EC1">
      <w:pPr>
        <w:pStyle w:val="HChG"/>
      </w:pPr>
      <w:r>
        <w:tab/>
      </w:r>
      <w:r>
        <w:tab/>
      </w:r>
      <w:r w:rsidR="00E0332A">
        <w:t>A</w:t>
      </w:r>
      <w:r w:rsidR="00E0332A" w:rsidRPr="00426C9C">
        <w:t>mendment</w:t>
      </w:r>
      <w:r w:rsidR="00E0332A">
        <w:t>s to ADR 9.7.3 concerning fastening requirements</w:t>
      </w:r>
    </w:p>
    <w:p w:rsidR="008F2EC1" w:rsidRDefault="008F2EC1" w:rsidP="008F2EC1">
      <w:pPr>
        <w:pStyle w:val="H1G"/>
      </w:pPr>
      <w:r>
        <w:tab/>
      </w:r>
      <w:r>
        <w:tab/>
      </w:r>
      <w:r w:rsidR="00E0332A" w:rsidRPr="004D0BD2">
        <w:rPr>
          <w:sz w:val="20"/>
        </w:rPr>
        <w:t>Transmitted by the Government of Norway</w:t>
      </w:r>
      <w:r w:rsidR="00E0332A" w:rsidRPr="00EF17D9">
        <w:rPr>
          <w:rStyle w:val="FootnoteReference"/>
          <w:b w:val="0"/>
          <w:bCs/>
        </w:rPr>
        <w:t xml:space="preserve"> </w:t>
      </w:r>
      <w:r w:rsidRPr="00EF17D9">
        <w:rPr>
          <w:rStyle w:val="FootnoteReference"/>
          <w:b w:val="0"/>
          <w:bCs/>
        </w:rPr>
        <w:footnoteReference w:id="2"/>
      </w:r>
    </w:p>
    <w:tbl>
      <w:tblPr>
        <w:tblStyle w:val="TableGrid10"/>
        <w:tblW w:w="0" w:type="auto"/>
        <w:jc w:val="center"/>
        <w:tblCellMar>
          <w:left w:w="0" w:type="dxa"/>
          <w:right w:w="0" w:type="dxa"/>
        </w:tblCellMar>
        <w:tblLook w:val="01E0" w:firstRow="1" w:lastRow="1" w:firstColumn="1" w:lastColumn="1" w:noHBand="0" w:noVBand="0"/>
      </w:tblPr>
      <w:tblGrid>
        <w:gridCol w:w="9637"/>
      </w:tblGrid>
      <w:tr w:rsidR="004B4FDF" w:rsidRPr="00DD26F2" w:rsidTr="00EA64E7">
        <w:trPr>
          <w:jc w:val="center"/>
        </w:trPr>
        <w:tc>
          <w:tcPr>
            <w:tcW w:w="9637" w:type="dxa"/>
            <w:tcBorders>
              <w:bottom w:val="nil"/>
            </w:tcBorders>
          </w:tcPr>
          <w:p w:rsidR="004B4FDF" w:rsidRPr="00DD26F2" w:rsidRDefault="004B4FDF" w:rsidP="00EA64E7">
            <w:pPr>
              <w:tabs>
                <w:tab w:val="left" w:pos="255"/>
              </w:tabs>
              <w:suppressAutoHyphens w:val="0"/>
              <w:spacing w:before="240" w:after="120"/>
              <w:rPr>
                <w:sz w:val="24"/>
              </w:rPr>
            </w:pPr>
            <w:r w:rsidRPr="00DD26F2">
              <w:tab/>
            </w:r>
            <w:r w:rsidRPr="00DD26F2">
              <w:rPr>
                <w:i/>
                <w:sz w:val="24"/>
              </w:rPr>
              <w:t>Summary</w:t>
            </w:r>
            <w:r>
              <w:rPr>
                <w:i/>
                <w:sz w:val="24"/>
              </w:rPr>
              <w:t xml:space="preserve"> </w:t>
            </w:r>
          </w:p>
        </w:tc>
      </w:tr>
      <w:tr w:rsidR="004B4FDF" w:rsidRPr="00DD26F2" w:rsidTr="00EA64E7">
        <w:trPr>
          <w:jc w:val="center"/>
        </w:trPr>
        <w:tc>
          <w:tcPr>
            <w:tcW w:w="9637" w:type="dxa"/>
            <w:tcBorders>
              <w:top w:val="nil"/>
              <w:bottom w:val="nil"/>
            </w:tcBorders>
            <w:shd w:val="clear" w:color="auto" w:fill="auto"/>
          </w:tcPr>
          <w:p w:rsidR="004B4FDF" w:rsidRPr="00DD26F2" w:rsidRDefault="004B4FDF" w:rsidP="004B4FDF">
            <w:pPr>
              <w:spacing w:before="120" w:after="120"/>
              <w:ind w:left="3402" w:right="1134" w:hanging="2268"/>
              <w:jc w:val="both"/>
              <w:rPr>
                <w:color w:val="6699FF"/>
              </w:rPr>
            </w:pPr>
            <w:r w:rsidRPr="00DD26F2">
              <w:rPr>
                <w:b/>
                <w:szCs w:val="22"/>
              </w:rPr>
              <w:t>Executive summary</w:t>
            </w:r>
            <w:r w:rsidRPr="00DD26F2">
              <w:rPr>
                <w:szCs w:val="22"/>
              </w:rPr>
              <w:t>:</w:t>
            </w:r>
            <w:r w:rsidRPr="00DD26F2">
              <w:rPr>
                <w:szCs w:val="22"/>
              </w:rPr>
              <w:tab/>
            </w:r>
            <w:r w:rsidR="00E0332A" w:rsidRPr="000579CF">
              <w:rPr>
                <w:lang w:val="en-US"/>
              </w:rPr>
              <w:t>Extend the fastening requirements in 9.7.3 to</w:t>
            </w:r>
            <w:r w:rsidR="00E0332A">
              <w:rPr>
                <w:lang w:val="en-US"/>
              </w:rPr>
              <w:t xml:space="preserve"> </w:t>
            </w:r>
            <w:r w:rsidR="00E0332A" w:rsidRPr="000579CF">
              <w:rPr>
                <w:lang w:val="en-US"/>
              </w:rPr>
              <w:t xml:space="preserve">vehicles carrying </w:t>
            </w:r>
            <w:r w:rsidR="00B34AE7">
              <w:rPr>
                <w:lang w:val="en-US"/>
              </w:rPr>
              <w:t>multiple element gas containers (</w:t>
            </w:r>
            <w:r w:rsidR="00E0332A">
              <w:rPr>
                <w:lang w:val="en-US"/>
              </w:rPr>
              <w:t>MEGCs</w:t>
            </w:r>
            <w:r w:rsidR="00B34AE7">
              <w:rPr>
                <w:lang w:val="en-US"/>
              </w:rPr>
              <w:t>)</w:t>
            </w:r>
            <w:r w:rsidR="00E0332A">
              <w:rPr>
                <w:lang w:val="en-US"/>
              </w:rPr>
              <w:t xml:space="preserve"> and </w:t>
            </w:r>
            <w:r w:rsidR="00E0332A" w:rsidRPr="000579CF">
              <w:rPr>
                <w:lang w:val="en-US"/>
              </w:rPr>
              <w:t>other tanks than demountable tanks. Define the minimum stresses the fastening</w:t>
            </w:r>
            <w:r w:rsidR="00E0332A">
              <w:rPr>
                <w:lang w:val="en-US"/>
              </w:rPr>
              <w:t>s</w:t>
            </w:r>
            <w:r w:rsidR="00E0332A" w:rsidRPr="000579CF">
              <w:rPr>
                <w:lang w:val="en-US"/>
              </w:rPr>
              <w:t xml:space="preserve"> shall be designed for in the case of vehicles carrying tank-contai</w:t>
            </w:r>
            <w:r w:rsidR="00E0332A">
              <w:rPr>
                <w:lang w:val="en-US"/>
              </w:rPr>
              <w:t>ne</w:t>
            </w:r>
            <w:r w:rsidR="00B34AE7">
              <w:rPr>
                <w:lang w:val="en-US"/>
              </w:rPr>
              <w:t>rs, tank swap bodies, MEGCs, UN</w:t>
            </w:r>
            <w:r w:rsidR="00E0332A">
              <w:rPr>
                <w:lang w:val="en-US"/>
              </w:rPr>
              <w:t xml:space="preserve"> MEGCs and portable tanks</w:t>
            </w:r>
            <w:proofErr w:type="gramStart"/>
            <w:r w:rsidR="00E0332A">
              <w:rPr>
                <w:lang w:val="en-US"/>
              </w:rPr>
              <w:t>.</w:t>
            </w:r>
            <w:r w:rsidRPr="00F96999">
              <w:rPr>
                <w:szCs w:val="22"/>
              </w:rPr>
              <w:t>.</w:t>
            </w:r>
            <w:proofErr w:type="gramEnd"/>
          </w:p>
        </w:tc>
      </w:tr>
      <w:tr w:rsidR="004B4FDF" w:rsidRPr="00DD26F2" w:rsidTr="00EA64E7">
        <w:trPr>
          <w:jc w:val="center"/>
        </w:trPr>
        <w:tc>
          <w:tcPr>
            <w:tcW w:w="9637" w:type="dxa"/>
            <w:tcBorders>
              <w:top w:val="nil"/>
              <w:bottom w:val="nil"/>
            </w:tcBorders>
            <w:shd w:val="clear" w:color="auto" w:fill="auto"/>
          </w:tcPr>
          <w:p w:rsidR="004B4FDF" w:rsidRPr="00DD26F2" w:rsidRDefault="004B4FDF" w:rsidP="004B4FDF">
            <w:pPr>
              <w:spacing w:before="120" w:after="120"/>
              <w:ind w:left="3402" w:right="1134" w:hanging="2268"/>
              <w:jc w:val="both"/>
              <w:rPr>
                <w:color w:val="6699FF"/>
                <w:szCs w:val="22"/>
              </w:rPr>
            </w:pPr>
            <w:r w:rsidRPr="00DD26F2">
              <w:rPr>
                <w:b/>
                <w:szCs w:val="22"/>
              </w:rPr>
              <w:t>Action to be taken</w:t>
            </w:r>
            <w:r w:rsidRPr="00DD26F2">
              <w:rPr>
                <w:szCs w:val="22"/>
              </w:rPr>
              <w:t>:</w:t>
            </w:r>
            <w:r w:rsidRPr="00DD26F2">
              <w:rPr>
                <w:szCs w:val="22"/>
              </w:rPr>
              <w:tab/>
            </w:r>
            <w:r w:rsidR="00E0332A" w:rsidRPr="002B16C8">
              <w:rPr>
                <w:lang w:val="en-US"/>
              </w:rPr>
              <w:t>Amend subsection 9.7.3 in ADR</w:t>
            </w:r>
            <w:r w:rsidRPr="00F96999">
              <w:t>.</w:t>
            </w:r>
          </w:p>
        </w:tc>
      </w:tr>
      <w:tr w:rsidR="004B4FDF" w:rsidRPr="00DD26F2" w:rsidTr="00EA64E7">
        <w:trPr>
          <w:jc w:val="center"/>
        </w:trPr>
        <w:tc>
          <w:tcPr>
            <w:tcW w:w="9637" w:type="dxa"/>
            <w:tcBorders>
              <w:top w:val="nil"/>
              <w:bottom w:val="nil"/>
            </w:tcBorders>
            <w:shd w:val="clear" w:color="auto" w:fill="auto"/>
          </w:tcPr>
          <w:p w:rsidR="00E0332A" w:rsidRDefault="004B4FDF" w:rsidP="00E0332A">
            <w:pPr>
              <w:ind w:left="3402" w:right="1134" w:hanging="2268"/>
              <w:jc w:val="both"/>
              <w:rPr>
                <w:lang w:val="en-US"/>
              </w:rPr>
            </w:pPr>
            <w:r>
              <w:rPr>
                <w:b/>
                <w:szCs w:val="22"/>
              </w:rPr>
              <w:t>Background documents</w:t>
            </w:r>
            <w:r w:rsidRPr="002C5C36">
              <w:rPr>
                <w:bCs/>
                <w:szCs w:val="22"/>
              </w:rPr>
              <w:t>:</w:t>
            </w:r>
            <w:r>
              <w:rPr>
                <w:b/>
                <w:szCs w:val="22"/>
              </w:rPr>
              <w:tab/>
            </w:r>
            <w:r w:rsidR="00B34AE7" w:rsidRPr="00B34AE7">
              <w:rPr>
                <w:szCs w:val="22"/>
              </w:rPr>
              <w:t>Informal document</w:t>
            </w:r>
            <w:r w:rsidR="00B34AE7">
              <w:rPr>
                <w:b/>
                <w:szCs w:val="22"/>
              </w:rPr>
              <w:t xml:space="preserve"> </w:t>
            </w:r>
            <w:r w:rsidR="00E0332A">
              <w:rPr>
                <w:lang w:val="en-US"/>
              </w:rPr>
              <w:t xml:space="preserve">INF. 17 of the </w:t>
            </w:r>
            <w:r w:rsidR="00B34AE7">
              <w:rPr>
                <w:lang w:val="en-US"/>
              </w:rPr>
              <w:t>ninety eighth</w:t>
            </w:r>
            <w:r w:rsidR="00E0332A">
              <w:rPr>
                <w:lang w:val="en-US"/>
              </w:rPr>
              <w:t xml:space="preserve"> session </w:t>
            </w:r>
            <w:r w:rsidR="00B34AE7">
              <w:rPr>
                <w:lang w:val="en-US"/>
              </w:rPr>
              <w:t>of the Working Party</w:t>
            </w:r>
          </w:p>
          <w:p w:rsidR="00E0332A" w:rsidRDefault="00E0332A" w:rsidP="00E0332A">
            <w:pPr>
              <w:ind w:left="3402" w:right="1134" w:hanging="1"/>
              <w:jc w:val="both"/>
              <w:rPr>
                <w:lang w:val="en-US"/>
              </w:rPr>
            </w:pPr>
            <w:r>
              <w:rPr>
                <w:lang w:val="en-US"/>
              </w:rPr>
              <w:t>ECE/TRANS/WP.15/AC.1/2015/39</w:t>
            </w:r>
            <w:r w:rsidRPr="00C32C55">
              <w:rPr>
                <w:lang w:val="en-US"/>
              </w:rPr>
              <w:t xml:space="preserve"> </w:t>
            </w:r>
            <w:r>
              <w:rPr>
                <w:lang w:val="en-US"/>
              </w:rPr>
              <w:t>(Norway</w:t>
            </w:r>
            <w:r w:rsidRPr="00C32C55">
              <w:rPr>
                <w:lang w:val="en-US"/>
              </w:rPr>
              <w:t>)</w:t>
            </w:r>
          </w:p>
          <w:p w:rsidR="00E0332A" w:rsidRDefault="00E0332A" w:rsidP="00E0332A">
            <w:pPr>
              <w:ind w:left="3402" w:right="1134" w:hanging="1"/>
              <w:jc w:val="both"/>
              <w:rPr>
                <w:lang w:val="en-US"/>
              </w:rPr>
            </w:pPr>
            <w:r w:rsidRPr="005E77CA">
              <w:rPr>
                <w:szCs w:val="22"/>
                <w:lang w:val="en-US"/>
              </w:rPr>
              <w:t>ECE/TRANS/WP.15/AC.1/140/Add.2, para. 18-25</w:t>
            </w:r>
          </w:p>
          <w:p w:rsidR="00E0332A" w:rsidRDefault="00E0332A" w:rsidP="00E0332A">
            <w:pPr>
              <w:ind w:left="3402" w:right="1134" w:hanging="1"/>
              <w:jc w:val="both"/>
              <w:rPr>
                <w:lang w:val="en-US"/>
              </w:rPr>
            </w:pPr>
            <w:r>
              <w:rPr>
                <w:lang w:val="en-US"/>
              </w:rPr>
              <w:t>ECE/TRANS/WP.15/AC.1/2016/11</w:t>
            </w:r>
            <w:r w:rsidRPr="00C32C55">
              <w:rPr>
                <w:lang w:val="en-US"/>
              </w:rPr>
              <w:t xml:space="preserve"> </w:t>
            </w:r>
            <w:r>
              <w:rPr>
                <w:lang w:val="en-US"/>
              </w:rPr>
              <w:t>(Norway</w:t>
            </w:r>
            <w:r w:rsidRPr="00C32C55">
              <w:rPr>
                <w:lang w:val="en-US"/>
              </w:rPr>
              <w:t>)</w:t>
            </w:r>
          </w:p>
          <w:p w:rsidR="00E0332A" w:rsidRDefault="00E0332A" w:rsidP="00E0332A">
            <w:pPr>
              <w:ind w:left="3402" w:right="1134" w:hanging="1"/>
              <w:jc w:val="both"/>
              <w:rPr>
                <w:lang w:val="en-US"/>
              </w:rPr>
            </w:pPr>
            <w:r>
              <w:rPr>
                <w:lang w:val="en-US"/>
              </w:rPr>
              <w:t>ECE/TRANS/WP. 15/AC. 1/142/Add.1, para. 6-11</w:t>
            </w:r>
          </w:p>
          <w:p w:rsidR="004B4FDF" w:rsidRPr="00DD26F2" w:rsidRDefault="00B34AE7" w:rsidP="00B34AE7">
            <w:pPr>
              <w:ind w:left="3402" w:right="1134" w:hanging="1"/>
              <w:jc w:val="both"/>
              <w:rPr>
                <w:b/>
                <w:szCs w:val="22"/>
              </w:rPr>
            </w:pPr>
            <w:r>
              <w:rPr>
                <w:lang w:val="en-US"/>
              </w:rPr>
              <w:t xml:space="preserve">Informal document </w:t>
            </w:r>
            <w:r w:rsidR="00E0332A">
              <w:rPr>
                <w:lang w:val="en-US"/>
              </w:rPr>
              <w:t xml:space="preserve">INF. 27 of the </w:t>
            </w:r>
            <w:r>
              <w:rPr>
                <w:lang w:val="en-US"/>
              </w:rPr>
              <w:t>hundredth</w:t>
            </w:r>
            <w:r w:rsidR="00E0332A">
              <w:rPr>
                <w:lang w:val="en-US"/>
              </w:rPr>
              <w:t xml:space="preserve"> session </w:t>
            </w:r>
            <w:r>
              <w:rPr>
                <w:lang w:val="en-US"/>
              </w:rPr>
              <w:t>of the Working Party</w:t>
            </w:r>
          </w:p>
        </w:tc>
      </w:tr>
      <w:tr w:rsidR="004B4FDF" w:rsidRPr="00DD26F2" w:rsidTr="00EA64E7">
        <w:trPr>
          <w:jc w:val="center"/>
        </w:trPr>
        <w:tc>
          <w:tcPr>
            <w:tcW w:w="9637" w:type="dxa"/>
            <w:tcBorders>
              <w:top w:val="nil"/>
            </w:tcBorders>
          </w:tcPr>
          <w:p w:rsidR="004B4FDF" w:rsidRPr="00DD26F2" w:rsidRDefault="004B4FDF" w:rsidP="00EA64E7">
            <w:pPr>
              <w:suppressAutoHyphens w:val="0"/>
            </w:pPr>
            <w:r w:rsidRPr="00DD26F2">
              <w:rPr>
                <w:color w:val="6699FF"/>
              </w:rPr>
              <w:lastRenderedPageBreak/>
              <w:tab/>
            </w:r>
            <w:r w:rsidRPr="00DD26F2">
              <w:rPr>
                <w:color w:val="6699FF"/>
              </w:rPr>
              <w:tab/>
            </w:r>
            <w:r w:rsidRPr="00DD26F2">
              <w:rPr>
                <w:color w:val="6699FF"/>
              </w:rPr>
              <w:tab/>
            </w:r>
            <w:r w:rsidRPr="00DD26F2">
              <w:rPr>
                <w:color w:val="6699FF"/>
              </w:rPr>
              <w:tab/>
            </w:r>
            <w:r w:rsidRPr="00DD26F2">
              <w:rPr>
                <w:color w:val="6699FF"/>
              </w:rPr>
              <w:tab/>
            </w:r>
          </w:p>
        </w:tc>
      </w:tr>
    </w:tbl>
    <w:p w:rsidR="00E0332A" w:rsidRDefault="008F2EC1" w:rsidP="00E0332A">
      <w:pPr>
        <w:pStyle w:val="HChG"/>
        <w:rPr>
          <w:lang w:val="en-US"/>
        </w:rPr>
      </w:pPr>
      <w:r>
        <w:rPr>
          <w:rFonts w:eastAsiaTheme="minorEastAsia"/>
          <w:lang w:eastAsia="zh-CN"/>
        </w:rPr>
        <w:tab/>
      </w:r>
      <w:r>
        <w:rPr>
          <w:rFonts w:eastAsiaTheme="minorEastAsia"/>
          <w:lang w:eastAsia="zh-CN"/>
        </w:rPr>
        <w:tab/>
      </w:r>
      <w:r w:rsidR="00E0332A" w:rsidRPr="00362DFF">
        <w:rPr>
          <w:lang w:val="en-US"/>
        </w:rPr>
        <w:t>Introduction</w:t>
      </w:r>
    </w:p>
    <w:p w:rsidR="00E0332A" w:rsidRDefault="003D68B6" w:rsidP="00E0332A">
      <w:pPr>
        <w:pStyle w:val="SingleTxtG"/>
        <w:rPr>
          <w:lang w:val="en-US"/>
        </w:rPr>
      </w:pPr>
      <w:r>
        <w:rPr>
          <w:lang w:val="en-US"/>
        </w:rPr>
        <w:t>1.</w:t>
      </w:r>
      <w:r>
        <w:rPr>
          <w:lang w:val="en-US"/>
        </w:rPr>
        <w:tab/>
      </w:r>
      <w:r w:rsidR="00E0332A">
        <w:rPr>
          <w:lang w:val="en-US"/>
        </w:rPr>
        <w:t>At the spring session of the Joint Meeting of the RID Committee of Experts and the Working Party on the Transport of Dangerous Goods, document ECE/TRANS/WP.15/AC.1/2016/11</w:t>
      </w:r>
      <w:r w:rsidR="00E0332A" w:rsidRPr="00C32C55">
        <w:rPr>
          <w:lang w:val="en-US"/>
        </w:rPr>
        <w:t xml:space="preserve"> </w:t>
      </w:r>
      <w:r w:rsidR="00E0332A">
        <w:rPr>
          <w:lang w:val="en-US"/>
        </w:rPr>
        <w:t>concerning MEGCs/tank-containers placed on carrying vehicles (</w:t>
      </w:r>
      <w:proofErr w:type="spellStart"/>
      <w:r w:rsidR="00E0332A">
        <w:rPr>
          <w:lang w:val="en-US"/>
        </w:rPr>
        <w:t>hooklift</w:t>
      </w:r>
      <w:proofErr w:type="spellEnd"/>
      <w:r w:rsidR="00E0332A">
        <w:rPr>
          <w:lang w:val="en-US"/>
        </w:rPr>
        <w:t xml:space="preserve"> systems) was discussed in the Tank Working Group.</w:t>
      </w:r>
      <w:r w:rsidR="00872342">
        <w:rPr>
          <w:lang w:val="en-US"/>
        </w:rPr>
        <w:t xml:space="preserve"> </w:t>
      </w:r>
      <w:r w:rsidR="00E0332A">
        <w:rPr>
          <w:lang w:val="en-US"/>
        </w:rPr>
        <w:t xml:space="preserve">The document proposed amendments for both Chapter 6.8 in ADR/RID and Chapter 9.7 in ADR concerning fastenings and securing MEGCs (and tanks) on vehicles. </w:t>
      </w:r>
    </w:p>
    <w:p w:rsidR="00E0332A" w:rsidRDefault="003D68B6" w:rsidP="00E0332A">
      <w:pPr>
        <w:pStyle w:val="SingleTxtG"/>
        <w:rPr>
          <w:lang w:val="en-US"/>
        </w:rPr>
      </w:pPr>
      <w:r>
        <w:rPr>
          <w:lang w:val="en-US"/>
        </w:rPr>
        <w:t>2.</w:t>
      </w:r>
      <w:r>
        <w:rPr>
          <w:lang w:val="en-US"/>
        </w:rPr>
        <w:tab/>
      </w:r>
      <w:r w:rsidR="00E0332A">
        <w:rPr>
          <w:lang w:val="en-US"/>
        </w:rPr>
        <w:t>As a result from the discussion, paragraph 6.8.3.1.5 in ADR/RID was amended to include the frame of MEGCs, so that both elements and their fastenings and the frame of the MEGCs need to be capable of absorbing, under the maximum permissible load, the forces defined in 6.8.2.1.2. See paragrap</w:t>
      </w:r>
      <w:r w:rsidR="00872342">
        <w:rPr>
          <w:lang w:val="en-US"/>
        </w:rPr>
        <w:t>h 8 in the report ECE/TRANS/WP.15/AC.</w:t>
      </w:r>
      <w:r w:rsidR="00E0332A">
        <w:rPr>
          <w:lang w:val="en-US"/>
        </w:rPr>
        <w:t>1/142/Add.1 for the amendments adopted by the Joint Meeting.</w:t>
      </w:r>
    </w:p>
    <w:p w:rsidR="00E0332A" w:rsidRDefault="003D68B6" w:rsidP="00E0332A">
      <w:pPr>
        <w:pStyle w:val="SingleTxtG"/>
        <w:rPr>
          <w:lang w:val="en-US"/>
        </w:rPr>
      </w:pPr>
      <w:r>
        <w:rPr>
          <w:lang w:val="en-US"/>
        </w:rPr>
        <w:t>3.</w:t>
      </w:r>
      <w:r>
        <w:rPr>
          <w:lang w:val="en-US"/>
        </w:rPr>
        <w:tab/>
      </w:r>
      <w:r w:rsidR="00E0332A">
        <w:rPr>
          <w:lang w:val="en-US"/>
        </w:rPr>
        <w:t>The meeting</w:t>
      </w:r>
      <w:r w:rsidR="00E0332A" w:rsidRPr="00CB4BF1">
        <w:rPr>
          <w:lang w:val="en-US"/>
        </w:rPr>
        <w:t xml:space="preserve"> did not adopt the proposed amendments for section 9.7.3 in ADR</w:t>
      </w:r>
      <w:r w:rsidR="00E0332A">
        <w:rPr>
          <w:lang w:val="en-US"/>
        </w:rPr>
        <w:t>. The amendments</w:t>
      </w:r>
      <w:r w:rsidR="00E0332A" w:rsidRPr="00CB4BF1">
        <w:rPr>
          <w:lang w:val="en-US"/>
        </w:rPr>
        <w:t xml:space="preserve"> </w:t>
      </w:r>
      <w:r w:rsidR="00E0332A">
        <w:rPr>
          <w:lang w:val="en-US"/>
        </w:rPr>
        <w:t>would imply</w:t>
      </w:r>
      <w:r w:rsidR="00E0332A" w:rsidRPr="00CB4BF1">
        <w:rPr>
          <w:lang w:val="en-US"/>
        </w:rPr>
        <w:t xml:space="preserve"> to extend </w:t>
      </w:r>
      <w:r w:rsidR="00E0332A">
        <w:rPr>
          <w:lang w:val="en-US"/>
        </w:rPr>
        <w:t xml:space="preserve">the requirements concerning </w:t>
      </w:r>
      <w:r w:rsidR="00E0332A" w:rsidRPr="00CB4BF1">
        <w:rPr>
          <w:lang w:val="en-US"/>
        </w:rPr>
        <w:t xml:space="preserve">acceleration forces as mentioned in 6.8.2.1.2, </w:t>
      </w:r>
      <w:r w:rsidR="00E0332A">
        <w:rPr>
          <w:lang w:val="en-US"/>
        </w:rPr>
        <w:t xml:space="preserve">and in </w:t>
      </w:r>
      <w:r w:rsidR="00E0332A" w:rsidRPr="00CB4BF1">
        <w:rPr>
          <w:lang w:val="en-US"/>
        </w:rPr>
        <w:t xml:space="preserve">equivalent </w:t>
      </w:r>
      <w:r w:rsidR="00E0332A">
        <w:rPr>
          <w:lang w:val="en-US"/>
        </w:rPr>
        <w:t>sections of Chapter 6.7</w:t>
      </w:r>
      <w:r w:rsidR="00E0332A" w:rsidRPr="00CB4BF1">
        <w:rPr>
          <w:lang w:val="en-US"/>
        </w:rPr>
        <w:t xml:space="preserve">, </w:t>
      </w:r>
      <w:r w:rsidR="00E0332A" w:rsidRPr="002E0991">
        <w:rPr>
          <w:lang w:val="en-US"/>
        </w:rPr>
        <w:t xml:space="preserve">to </w:t>
      </w:r>
      <w:r w:rsidR="00E0332A">
        <w:rPr>
          <w:lang w:val="en-US"/>
        </w:rPr>
        <w:t xml:space="preserve">include </w:t>
      </w:r>
      <w:r w:rsidR="00E0332A" w:rsidRPr="002E0991">
        <w:rPr>
          <w:lang w:val="en-US"/>
        </w:rPr>
        <w:t>all vehicles carrying a tank</w:t>
      </w:r>
      <w:r w:rsidR="00E0332A">
        <w:rPr>
          <w:lang w:val="en-US"/>
        </w:rPr>
        <w:t xml:space="preserve"> or a MEGC</w:t>
      </w:r>
      <w:r w:rsidR="00E0332A" w:rsidRPr="002E0991">
        <w:rPr>
          <w:lang w:val="en-US"/>
        </w:rPr>
        <w:t xml:space="preserve"> in 9</w:t>
      </w:r>
      <w:r w:rsidR="00E0332A">
        <w:rPr>
          <w:lang w:val="en-US"/>
        </w:rPr>
        <w:t>.7.3 of ADR. Some experts in the Tank Working Group felt that this would result in more severe requirements for vehicles carrying tank-containers, portable tanks and MEGCs than what they are designed for at this moment. It was mentioned that road vehicles will experience 0.8G</w:t>
      </w:r>
      <w:r w:rsidR="00E0332A" w:rsidDel="004D3041">
        <w:rPr>
          <w:lang w:val="en-US"/>
        </w:rPr>
        <w:t xml:space="preserve"> </w:t>
      </w:r>
      <w:r w:rsidR="00E0332A">
        <w:rPr>
          <w:lang w:val="en-US"/>
        </w:rPr>
        <w:t xml:space="preserve">under normal condition of carriage, and that the fastenings requirements in 9.7.3 refer to normal condition of carriage. </w:t>
      </w:r>
    </w:p>
    <w:p w:rsidR="00E0332A" w:rsidRDefault="003D68B6" w:rsidP="00E0332A">
      <w:pPr>
        <w:pStyle w:val="SingleTxtG"/>
        <w:rPr>
          <w:lang w:val="en-US"/>
        </w:rPr>
      </w:pPr>
      <w:r>
        <w:rPr>
          <w:lang w:val="en-US"/>
        </w:rPr>
        <w:t>4.</w:t>
      </w:r>
      <w:r>
        <w:rPr>
          <w:lang w:val="en-US"/>
        </w:rPr>
        <w:tab/>
      </w:r>
      <w:r w:rsidR="00E0332A">
        <w:rPr>
          <w:lang w:val="en-US"/>
        </w:rPr>
        <w:t xml:space="preserve">The Tank Working Group could not answer why ADR never implemented the requirements in 7.2.2 of the UN Model Regulations. In addition, the group was not sure what the intention of 7.5.7.4 is in relation to 7.5.7.1. These questions were brought to the attention of the </w:t>
      </w:r>
      <w:r w:rsidR="00872342">
        <w:rPr>
          <w:lang w:val="en-US"/>
        </w:rPr>
        <w:t>Working Party</w:t>
      </w:r>
      <w:r w:rsidR="00E0332A">
        <w:rPr>
          <w:lang w:val="en-US"/>
        </w:rPr>
        <w:t xml:space="preserve"> in May by the secretariat (</w:t>
      </w:r>
      <w:r w:rsidR="00872342">
        <w:rPr>
          <w:lang w:val="en-US"/>
        </w:rPr>
        <w:t xml:space="preserve">informal document </w:t>
      </w:r>
      <w:r w:rsidR="00E0332A">
        <w:rPr>
          <w:lang w:val="en-US"/>
        </w:rPr>
        <w:t>INF.27) and it was decided to discuss the items at</w:t>
      </w:r>
      <w:r w:rsidR="00E0332A" w:rsidRPr="0096155F">
        <w:rPr>
          <w:lang w:val="en-US"/>
        </w:rPr>
        <w:t xml:space="preserve"> </w:t>
      </w:r>
      <w:r w:rsidR="00E0332A">
        <w:rPr>
          <w:lang w:val="en-US"/>
        </w:rPr>
        <w:t>the November session.</w:t>
      </w:r>
    </w:p>
    <w:p w:rsidR="00E0332A" w:rsidRDefault="00E0332A" w:rsidP="00E0332A">
      <w:pPr>
        <w:pStyle w:val="HChG"/>
        <w:rPr>
          <w:lang w:val="en-US"/>
        </w:rPr>
      </w:pPr>
      <w:r>
        <w:rPr>
          <w:lang w:val="en-US"/>
        </w:rPr>
        <w:tab/>
      </w:r>
      <w:r>
        <w:rPr>
          <w:lang w:val="en-US"/>
        </w:rPr>
        <w:tab/>
        <w:t>Discussion</w:t>
      </w:r>
    </w:p>
    <w:p w:rsidR="00E0332A" w:rsidRPr="00B20D43" w:rsidRDefault="003D68B6" w:rsidP="00E0332A">
      <w:pPr>
        <w:pStyle w:val="SingleTxtG"/>
        <w:rPr>
          <w:lang w:val="en-US"/>
        </w:rPr>
      </w:pPr>
      <w:r>
        <w:rPr>
          <w:lang w:val="en-US"/>
        </w:rPr>
        <w:t>5.</w:t>
      </w:r>
      <w:r>
        <w:rPr>
          <w:lang w:val="en-US"/>
        </w:rPr>
        <w:tab/>
      </w:r>
      <w:r w:rsidR="00E0332A" w:rsidRPr="00B20D43">
        <w:rPr>
          <w:lang w:val="en-US"/>
        </w:rPr>
        <w:t xml:space="preserve">During transport, all cargo must be placed on the vehicle so that it can neither endanger persons nor goods nor move on or off the vehicle. ADR oversee specific provisions for securing dangerous goods because there can be extra safety risks during transport of such goods. </w:t>
      </w:r>
      <w:r w:rsidR="00E0332A">
        <w:rPr>
          <w:lang w:val="en-US"/>
        </w:rPr>
        <w:t>The</w:t>
      </w:r>
      <w:r w:rsidR="00E0332A" w:rsidRPr="00B20D43">
        <w:rPr>
          <w:lang w:val="en-US"/>
        </w:rPr>
        <w:t xml:space="preserve"> securing </w:t>
      </w:r>
      <w:r w:rsidR="00E0332A">
        <w:rPr>
          <w:lang w:val="en-US"/>
        </w:rPr>
        <w:t xml:space="preserve">of cargo </w:t>
      </w:r>
      <w:r w:rsidR="00E0332A" w:rsidRPr="00B20D43">
        <w:rPr>
          <w:lang w:val="en-US"/>
        </w:rPr>
        <w:t xml:space="preserve">is </w:t>
      </w:r>
      <w:r w:rsidR="00E0332A">
        <w:rPr>
          <w:lang w:val="en-US"/>
        </w:rPr>
        <w:t>addressed</w:t>
      </w:r>
      <w:r w:rsidR="00E0332A" w:rsidRPr="00B20D43">
        <w:rPr>
          <w:lang w:val="en-US"/>
        </w:rPr>
        <w:t xml:space="preserve"> in section 7.5.7 in ADR. The requirements for securing packages of dangerous goods and unpacked dangerous goods in 7.5.7.1 are deemed to be complied with if the cargo is secured in accordance with standard EN 12195-1:2010. According to 7.5.7.4 in ADR, the provisions of 7.5.7.1 also apply to loading, stowage and unloading of containers, tank swap bodies, tank-containers, portable tanks and MEGCs onto and </w:t>
      </w:r>
      <w:r w:rsidR="00E0332A">
        <w:rPr>
          <w:lang w:val="en-US"/>
        </w:rPr>
        <w:t>off</w:t>
      </w:r>
      <w:r w:rsidR="00E0332A" w:rsidRPr="00B20D43">
        <w:rPr>
          <w:lang w:val="en-US"/>
        </w:rPr>
        <w:t xml:space="preserve"> vehicles. However, the intension of 7.5.7.4 in </w:t>
      </w:r>
      <w:r w:rsidR="00E0332A">
        <w:rPr>
          <w:lang w:val="en-US"/>
        </w:rPr>
        <w:t>connection</w:t>
      </w:r>
      <w:r w:rsidR="00E0332A" w:rsidRPr="00B20D43">
        <w:rPr>
          <w:lang w:val="en-US"/>
        </w:rPr>
        <w:t xml:space="preserve"> with 7.5.7.1 is not clear. Does this define the forces that the</w:t>
      </w:r>
      <w:r w:rsidR="00E0332A" w:rsidRPr="001E402A">
        <w:rPr>
          <w:lang w:val="en-US"/>
        </w:rPr>
        <w:t xml:space="preserve"> fastening</w:t>
      </w:r>
      <w:r w:rsidR="00E0332A" w:rsidRPr="00B20D43">
        <w:rPr>
          <w:lang w:val="en-US"/>
        </w:rPr>
        <w:t xml:space="preserve"> arrangements on the vehicle have to be capable to withstand? </w:t>
      </w:r>
    </w:p>
    <w:p w:rsidR="00E0332A" w:rsidRDefault="003D68B6" w:rsidP="00E0332A">
      <w:pPr>
        <w:pStyle w:val="SingleTxtG"/>
        <w:rPr>
          <w:iCs/>
          <w:lang w:val="en-US"/>
        </w:rPr>
      </w:pPr>
      <w:r>
        <w:rPr>
          <w:lang w:val="en-US"/>
        </w:rPr>
        <w:t>6.</w:t>
      </w:r>
      <w:r>
        <w:rPr>
          <w:lang w:val="en-US"/>
        </w:rPr>
        <w:tab/>
      </w:r>
      <w:r w:rsidR="00E0332A" w:rsidRPr="00EF6B51">
        <w:rPr>
          <w:lang w:val="en-US"/>
        </w:rPr>
        <w:t>For forces acting forward on packages</w:t>
      </w:r>
      <w:r w:rsidR="00E0332A">
        <w:rPr>
          <w:lang w:val="en-US"/>
        </w:rPr>
        <w:t>,</w:t>
      </w:r>
      <w:r w:rsidR="00E0332A" w:rsidRPr="00EF6B51">
        <w:rPr>
          <w:lang w:val="en-US"/>
        </w:rPr>
        <w:t xml:space="preserve"> an acceleration force of 0.8</w:t>
      </w:r>
      <w:r w:rsidR="00E0332A">
        <w:rPr>
          <w:lang w:val="en-US"/>
        </w:rPr>
        <w:t xml:space="preserve"> </w:t>
      </w:r>
      <w:r w:rsidR="00E0332A" w:rsidRPr="00EF6B51">
        <w:rPr>
          <w:lang w:val="en-US"/>
        </w:rPr>
        <w:t xml:space="preserve">G is </w:t>
      </w:r>
      <w:r w:rsidR="00E0332A">
        <w:rPr>
          <w:lang w:val="en-US"/>
        </w:rPr>
        <w:t xml:space="preserve">normally used in the calculation, which would imply that </w:t>
      </w:r>
      <w:r w:rsidR="00E0332A" w:rsidRPr="00EF6B51">
        <w:rPr>
          <w:lang w:val="en-US"/>
        </w:rPr>
        <w:t xml:space="preserve">the load securing arrangement </w:t>
      </w:r>
      <w:r w:rsidR="00E0332A" w:rsidRPr="00041E7C">
        <w:rPr>
          <w:lang w:val="en-US"/>
        </w:rPr>
        <w:t>must be capable of withstanding 0.8 of the cargo weight forwards.</w:t>
      </w:r>
      <w:r w:rsidR="00E0332A">
        <w:rPr>
          <w:lang w:val="en-US"/>
        </w:rPr>
        <w:t xml:space="preserve"> </w:t>
      </w:r>
      <w:r w:rsidR="00E0332A" w:rsidRPr="00C9503E">
        <w:rPr>
          <w:iCs/>
          <w:lang w:val="en-US"/>
        </w:rPr>
        <w:t>However, national legislation or recommendations may require the use of other values</w:t>
      </w:r>
      <w:r w:rsidR="00E0332A">
        <w:rPr>
          <w:iCs/>
          <w:lang w:val="en-US"/>
        </w:rPr>
        <w:t>.</w:t>
      </w:r>
    </w:p>
    <w:p w:rsidR="00E0332A" w:rsidRDefault="003D68B6" w:rsidP="00E0332A">
      <w:pPr>
        <w:pStyle w:val="SingleTxtG"/>
        <w:rPr>
          <w:lang w:val="en-US"/>
        </w:rPr>
      </w:pPr>
      <w:r>
        <w:rPr>
          <w:lang w:val="en-US"/>
        </w:rPr>
        <w:t>7.</w:t>
      </w:r>
      <w:r>
        <w:rPr>
          <w:lang w:val="en-US"/>
        </w:rPr>
        <w:tab/>
      </w:r>
      <w:r w:rsidR="00E0332A">
        <w:rPr>
          <w:lang w:val="en-US"/>
        </w:rPr>
        <w:t xml:space="preserve">The same acceleration value (0.8 G) were mentioned by some experts in the Tank Working Group in relation to 9.7.3 in ADR, where the fastening requirements have to be designed to withstand static and dynamic stresses under normal condition of carriage. </w:t>
      </w:r>
      <w:r w:rsidR="00E0332A">
        <w:rPr>
          <w:lang w:val="en-US"/>
        </w:rPr>
        <w:lastRenderedPageBreak/>
        <w:t>However, there is no reference to this value. The only reference is to the a</w:t>
      </w:r>
      <w:r w:rsidR="00E0332A" w:rsidRPr="005D6B85">
        <w:rPr>
          <w:lang w:val="en-US"/>
        </w:rPr>
        <w:t xml:space="preserve">cceleration forces in </w:t>
      </w:r>
      <w:r w:rsidR="00E0332A">
        <w:rPr>
          <w:lang w:val="en-US"/>
        </w:rPr>
        <w:t xml:space="preserve">ADR </w:t>
      </w:r>
      <w:r w:rsidR="00E0332A" w:rsidRPr="005D6B85">
        <w:rPr>
          <w:lang w:val="en-US"/>
        </w:rPr>
        <w:t>6.8.2.1.2</w:t>
      </w:r>
      <w:r w:rsidR="00E0332A">
        <w:rPr>
          <w:lang w:val="en-US"/>
        </w:rPr>
        <w:t xml:space="preserve">, but these are only relevant in the case of tank-vehicles, battery-vehicles and vehicles carrying demountable tanks. </w:t>
      </w:r>
    </w:p>
    <w:p w:rsidR="00E0332A" w:rsidRDefault="003D68B6" w:rsidP="00E0332A">
      <w:pPr>
        <w:pStyle w:val="SingleTxtG"/>
        <w:rPr>
          <w:lang w:val="en-US"/>
        </w:rPr>
      </w:pPr>
      <w:r>
        <w:rPr>
          <w:lang w:val="en-US"/>
        </w:rPr>
        <w:t>8.</w:t>
      </w:r>
      <w:r>
        <w:rPr>
          <w:lang w:val="en-US"/>
        </w:rPr>
        <w:tab/>
      </w:r>
      <w:r w:rsidR="00E0332A">
        <w:rPr>
          <w:lang w:val="en-US"/>
        </w:rPr>
        <w:t>Norway is of the opinion that 9.7.3 in ADR also should define the minimum stresses the fastenings shall be designed for, in the cases of vehicles carrying tank-containers, tank swap-bodies, MEGCs, UN-MEGCs and portable tanks. We believe this is necessary, especially as there are no requirements for the choice of securing system for tanks and MEGCs being carried on vehicles. Currently, ADR Chapter 9.7 does not grant the Competent Authority clear authorization to refuse the approval of a vehicle for the transport of a tank-container, tank swap body, MEGC, UN-MEGC or a portable tank in cases where the vehicle is equipped with insufficient arrangements for securing of the cargo transport unit.</w:t>
      </w:r>
    </w:p>
    <w:p w:rsidR="00E0332A" w:rsidRDefault="003D68B6" w:rsidP="00E0332A">
      <w:pPr>
        <w:pStyle w:val="SingleTxtG"/>
      </w:pPr>
      <w:r>
        <w:rPr>
          <w:lang w:val="en-US"/>
        </w:rPr>
        <w:t>9.</w:t>
      </w:r>
      <w:r>
        <w:rPr>
          <w:lang w:val="en-US"/>
        </w:rPr>
        <w:tab/>
      </w:r>
      <w:r w:rsidR="00E0332A">
        <w:rPr>
          <w:lang w:val="en-US"/>
        </w:rPr>
        <w:t xml:space="preserve">As an example, the use of </w:t>
      </w:r>
      <w:proofErr w:type="spellStart"/>
      <w:r w:rsidR="00E0332A">
        <w:rPr>
          <w:lang w:val="en-US"/>
        </w:rPr>
        <w:t>hooklift</w:t>
      </w:r>
      <w:proofErr w:type="spellEnd"/>
      <w:r w:rsidR="00E0332A">
        <w:rPr>
          <w:lang w:val="en-US"/>
        </w:rPr>
        <w:t xml:space="preserve"> systems is expanding in the transport of dangerous gods. From the transport of non-dangerous goods, the</w:t>
      </w:r>
      <w:r w:rsidR="00E0332A" w:rsidRPr="00E47AB9">
        <w:rPr>
          <w:lang w:val="en-US"/>
        </w:rPr>
        <w:t xml:space="preserve"> </w:t>
      </w:r>
      <w:r w:rsidR="00E0332A" w:rsidRPr="00E47AB9">
        <w:t xml:space="preserve">most recent study done by the </w:t>
      </w:r>
      <w:r w:rsidR="00E0332A">
        <w:t xml:space="preserve">Accident </w:t>
      </w:r>
      <w:r w:rsidR="00E0332A" w:rsidRPr="00E47AB9">
        <w:t xml:space="preserve">Investigation Board Norway (AIBN) shows </w:t>
      </w:r>
      <w:r w:rsidR="00E0332A">
        <w:t xml:space="preserve">that there is a need for safety improvements in </w:t>
      </w:r>
      <w:proofErr w:type="spellStart"/>
      <w:r w:rsidR="00E0332A">
        <w:t>hooklift</w:t>
      </w:r>
      <w:proofErr w:type="spellEnd"/>
      <w:r w:rsidR="00E0332A">
        <w:t xml:space="preserve"> container transport. Load tests show that the fixed fastening and securing systems are insufficient for securing the container to the tractor and trailer. </w:t>
      </w:r>
      <w:r w:rsidR="00E0332A">
        <w:rPr>
          <w:lang w:val="en-US"/>
        </w:rPr>
        <w:t>This study was based</w:t>
      </w:r>
      <w:r w:rsidR="00E0332A">
        <w:t xml:space="preserve"> on 15 accidents or incidents (the report contains a summary in English: </w:t>
      </w:r>
      <w:hyperlink r:id="rId10" w:history="1">
        <w:r w:rsidR="00E0332A" w:rsidRPr="00541A0D">
          <w:rPr>
            <w:rStyle w:val="Hyperlink"/>
            <w:szCs w:val="22"/>
          </w:rPr>
          <w:t>http://www.aibn.no/Road-Traffic/Published-reports/2016-04</w:t>
        </w:r>
      </w:hyperlink>
      <w:r w:rsidR="00E0332A">
        <w:t xml:space="preserve">). In June 2015 we also experienced an accident with a MEGC with UN 1971 METHAN, COMPRESSED or NATURAL GAS, COMPRESSED carried on a vehicle with a </w:t>
      </w:r>
      <w:proofErr w:type="spellStart"/>
      <w:r w:rsidR="00E0332A">
        <w:t>hooklift</w:t>
      </w:r>
      <w:proofErr w:type="spellEnd"/>
      <w:r w:rsidR="00E0332A">
        <w:t xml:space="preserve"> system.   </w:t>
      </w:r>
    </w:p>
    <w:p w:rsidR="00E0332A" w:rsidRDefault="003D68B6" w:rsidP="00E0332A">
      <w:pPr>
        <w:pStyle w:val="SingleTxtG"/>
        <w:rPr>
          <w:lang w:val="en-US"/>
        </w:rPr>
      </w:pPr>
      <w:r>
        <w:rPr>
          <w:lang w:val="en-US"/>
        </w:rPr>
        <w:t>10.</w:t>
      </w:r>
      <w:r>
        <w:rPr>
          <w:lang w:val="en-US"/>
        </w:rPr>
        <w:tab/>
      </w:r>
      <w:r w:rsidR="00E0332A">
        <w:rPr>
          <w:lang w:val="en-US"/>
        </w:rPr>
        <w:t xml:space="preserve">Supported by the Tank Working Group, Norway questions why ADR never implemented the provisions in 7.2.2 in the UN Model Regulation. MR states that portable tanks may only be carried on vehicles whose fastenings are capable of absorbing the forces equivalent to those we find specified in ADR 6.8.2.1.2. Hopefully WP.15 can help us address this issue. </w:t>
      </w:r>
    </w:p>
    <w:p w:rsidR="00E0332A" w:rsidRDefault="003D68B6" w:rsidP="00E0332A">
      <w:pPr>
        <w:pStyle w:val="SingleTxtG"/>
        <w:rPr>
          <w:lang w:val="en-US"/>
        </w:rPr>
      </w:pPr>
      <w:r>
        <w:rPr>
          <w:lang w:val="en-US"/>
        </w:rPr>
        <w:t>11.</w:t>
      </w:r>
      <w:r>
        <w:rPr>
          <w:lang w:val="en-US"/>
        </w:rPr>
        <w:tab/>
      </w:r>
      <w:r w:rsidR="00E0332A" w:rsidRPr="00DC248D">
        <w:rPr>
          <w:lang w:val="en-US"/>
        </w:rPr>
        <w:t>According to the European Best Practice Guideline</w:t>
      </w:r>
      <w:r w:rsidR="00E0332A">
        <w:rPr>
          <w:lang w:val="en-US"/>
        </w:rPr>
        <w:t>s on Cargo Securing for Road Transport</w:t>
      </w:r>
      <w:r w:rsidR="00E0332A" w:rsidRPr="00DC248D">
        <w:rPr>
          <w:lang w:val="en-US"/>
        </w:rPr>
        <w:t xml:space="preserve">, locking is by far the best method for load securing. A well-known example is the twist lock for ISO containers. These containers are constructed to </w:t>
      </w:r>
      <w:r w:rsidR="00E0332A">
        <w:rPr>
          <w:lang w:val="en-US"/>
        </w:rPr>
        <w:t>i</w:t>
      </w:r>
      <w:r w:rsidR="00E0332A" w:rsidRPr="00DC248D">
        <w:rPr>
          <w:lang w:val="en-US"/>
        </w:rPr>
        <w:t>nternational standards a</w:t>
      </w:r>
      <w:r w:rsidR="00E0332A">
        <w:rPr>
          <w:lang w:val="en-US"/>
        </w:rPr>
        <w:t xml:space="preserve">nd are generally equipped with corner fittings (ISO 1161 </w:t>
      </w:r>
      <w:r w:rsidR="00E0332A">
        <w:rPr>
          <w:sz w:val="23"/>
          <w:szCs w:val="23"/>
        </w:rPr>
        <w:t xml:space="preserve">covers </w:t>
      </w:r>
      <w:r w:rsidR="00E0332A" w:rsidRPr="008E5A92">
        <w:rPr>
          <w:sz w:val="23"/>
          <w:szCs w:val="23"/>
          <w:lang w:val="en-US"/>
        </w:rPr>
        <w:t>specification for corner fittings for s</w:t>
      </w:r>
      <w:r w:rsidR="00E0332A">
        <w:rPr>
          <w:sz w:val="23"/>
          <w:szCs w:val="23"/>
          <w:lang w:val="en-US"/>
        </w:rPr>
        <w:t>eries 1 ISO freight containers</w:t>
      </w:r>
      <w:r w:rsidR="00E0332A" w:rsidRPr="00DC248D">
        <w:rPr>
          <w:lang w:val="en-US"/>
        </w:rPr>
        <w:t>), which when used in conjunction with correspond</w:t>
      </w:r>
      <w:r w:rsidR="00E0332A">
        <w:rPr>
          <w:lang w:val="en-US"/>
        </w:rPr>
        <w:t>ing</w:t>
      </w:r>
      <w:r w:rsidR="00E0332A" w:rsidRPr="00DC248D">
        <w:rPr>
          <w:lang w:val="en-US"/>
        </w:rPr>
        <w:t xml:space="preserve"> twist locks fitted on the vehicle provide a simple a</w:t>
      </w:r>
      <w:r w:rsidR="00E0332A">
        <w:rPr>
          <w:lang w:val="en-US"/>
        </w:rPr>
        <w:t>nd effective restraining method</w:t>
      </w:r>
      <w:r w:rsidR="00E0332A" w:rsidRPr="00DC248D">
        <w:rPr>
          <w:lang w:val="en-US"/>
        </w:rPr>
        <w:t xml:space="preserve">.  </w:t>
      </w:r>
    </w:p>
    <w:p w:rsidR="00E0332A" w:rsidRDefault="003D68B6" w:rsidP="00E0332A">
      <w:pPr>
        <w:pStyle w:val="SingleTxtG"/>
        <w:rPr>
          <w:lang w:val="en-US"/>
        </w:rPr>
      </w:pPr>
      <w:r>
        <w:rPr>
          <w:lang w:val="en-US"/>
        </w:rPr>
        <w:t>12.</w:t>
      </w:r>
      <w:r>
        <w:rPr>
          <w:lang w:val="en-US"/>
        </w:rPr>
        <w:tab/>
      </w:r>
      <w:r w:rsidR="00E0332A">
        <w:rPr>
          <w:lang w:val="en-US"/>
        </w:rPr>
        <w:t xml:space="preserve">In the following text, proposal 2 in document </w:t>
      </w:r>
      <w:r w:rsidR="00E0332A" w:rsidRPr="00DC248D">
        <w:rPr>
          <w:lang w:val="en-US"/>
        </w:rPr>
        <w:t xml:space="preserve">ECE/TRANS/WP.15/AC.1/2016/11 </w:t>
      </w:r>
      <w:r w:rsidR="00E0332A">
        <w:rPr>
          <w:lang w:val="en-US"/>
        </w:rPr>
        <w:t xml:space="preserve">from Norway is reproduced with a few corrections. In addition, a note has been added. </w:t>
      </w:r>
    </w:p>
    <w:p w:rsidR="00E0332A" w:rsidRDefault="00E0332A" w:rsidP="00E0332A">
      <w:pPr>
        <w:pStyle w:val="SingleTxtG"/>
        <w:rPr>
          <w:lang w:val="en-US"/>
        </w:rPr>
      </w:pPr>
      <w:r>
        <w:rPr>
          <w:lang w:val="en-US"/>
        </w:rPr>
        <w:t>Norway asks the Working Party for its opinion on tank-containers, tank swap bodies, MEGCs, UN-MEGCs and portable tanks fitted with ISO type corner fittings being carried on vehicles with corresponding twist locks. Could</w:t>
      </w:r>
      <w:r w:rsidRPr="00241CA3">
        <w:rPr>
          <w:lang w:val="en-US"/>
        </w:rPr>
        <w:t xml:space="preserve"> these be said to meet the </w:t>
      </w:r>
      <w:r>
        <w:rPr>
          <w:lang w:val="en-US"/>
        </w:rPr>
        <w:t>safety</w:t>
      </w:r>
      <w:r w:rsidRPr="00241CA3">
        <w:rPr>
          <w:lang w:val="en-US"/>
        </w:rPr>
        <w:t xml:space="preserve"> requirements without fu</w:t>
      </w:r>
      <w:r>
        <w:rPr>
          <w:lang w:val="en-US"/>
        </w:rPr>
        <w:t>r</w:t>
      </w:r>
      <w:r w:rsidRPr="00241CA3">
        <w:rPr>
          <w:lang w:val="en-US"/>
        </w:rPr>
        <w:t>ther calculation</w:t>
      </w:r>
      <w:r>
        <w:rPr>
          <w:lang w:val="en-US"/>
        </w:rPr>
        <w:t>s?</w:t>
      </w:r>
    </w:p>
    <w:p w:rsidR="00E0332A" w:rsidRPr="00241CA3" w:rsidRDefault="00E0332A" w:rsidP="00E0332A">
      <w:pPr>
        <w:pStyle w:val="HChG"/>
        <w:rPr>
          <w:lang w:val="en-US"/>
        </w:rPr>
      </w:pPr>
      <w:r>
        <w:rPr>
          <w:lang w:val="en-US"/>
        </w:rPr>
        <w:tab/>
      </w:r>
      <w:r>
        <w:rPr>
          <w:lang w:val="en-US"/>
        </w:rPr>
        <w:tab/>
      </w:r>
      <w:r w:rsidRPr="008D62B7">
        <w:rPr>
          <w:lang w:val="en-US"/>
        </w:rPr>
        <w:t>Proposal</w:t>
      </w:r>
    </w:p>
    <w:p w:rsidR="00E0332A" w:rsidRDefault="003D68B6" w:rsidP="00E0332A">
      <w:pPr>
        <w:pStyle w:val="SingleTxtG"/>
        <w:rPr>
          <w:lang w:val="en-US"/>
        </w:rPr>
      </w:pPr>
      <w:r>
        <w:rPr>
          <w:lang w:val="en-US"/>
        </w:rPr>
        <w:t>13.</w:t>
      </w:r>
      <w:r>
        <w:rPr>
          <w:lang w:val="en-US"/>
        </w:rPr>
        <w:tab/>
      </w:r>
      <w:r w:rsidR="00E0332A" w:rsidRPr="00971EDC">
        <w:rPr>
          <w:lang w:val="en-US"/>
        </w:rPr>
        <w:t xml:space="preserve">Amend 9.7.3 as following (old text </w:t>
      </w:r>
      <w:r w:rsidR="00E0332A" w:rsidRPr="00971EDC">
        <w:rPr>
          <w:strike/>
          <w:lang w:val="en-US"/>
        </w:rPr>
        <w:t>stricken through</w:t>
      </w:r>
      <w:r w:rsidR="00E0332A" w:rsidRPr="00971EDC">
        <w:rPr>
          <w:lang w:val="en-US"/>
        </w:rPr>
        <w:t xml:space="preserve">, new text </w:t>
      </w:r>
      <w:r w:rsidR="00E0332A" w:rsidRPr="00971EDC">
        <w:rPr>
          <w:u w:val="single"/>
          <w:lang w:val="en-US"/>
        </w:rPr>
        <w:t>underlined)</w:t>
      </w:r>
      <w:r w:rsidR="00E0332A" w:rsidRPr="00971EDC">
        <w:rPr>
          <w:lang w:val="en-US"/>
        </w:rPr>
        <w:t>:</w:t>
      </w:r>
    </w:p>
    <w:p w:rsidR="00E0332A" w:rsidRPr="00B36233" w:rsidRDefault="000D13CB" w:rsidP="00E0332A">
      <w:pPr>
        <w:pStyle w:val="SingleTxtG"/>
        <w:rPr>
          <w:lang w:val="en-US"/>
        </w:rPr>
      </w:pPr>
      <w:r>
        <w:rPr>
          <w:lang w:val="en-US"/>
        </w:rPr>
        <w:t>“</w:t>
      </w:r>
      <w:bookmarkStart w:id="0" w:name="_GoBack"/>
      <w:bookmarkEnd w:id="0"/>
      <w:r w:rsidR="00E0332A" w:rsidRPr="00971EDC">
        <w:rPr>
          <w:lang w:val="en-US"/>
        </w:rPr>
        <w:t>Fastenings shall be designed to withstand static and dynamic stresses in normal conditions of carriage</w:t>
      </w:r>
      <w:r w:rsidR="00E0332A" w:rsidRPr="00B36233">
        <w:rPr>
          <w:lang w:val="en-US"/>
        </w:rPr>
        <w:t>,</w:t>
      </w:r>
      <w:r w:rsidR="00E0332A" w:rsidRPr="00971EDC">
        <w:rPr>
          <w:lang w:val="en-US"/>
        </w:rPr>
        <w:t xml:space="preserve"> </w:t>
      </w:r>
      <w:r w:rsidR="00E0332A" w:rsidRPr="00E0332A">
        <w:rPr>
          <w:strike/>
          <w:lang w:val="en-US"/>
        </w:rPr>
        <w:t>and minimum stresses as defined in 6.8.2.1.2, 6.8.2.1.11 to 6.8.2.1.13, 6.8.2.1.15 and 6.8.2.1.16 in the case of tank-vehicles, battery-vehicles, and vehicles carrying demountable tanks</w:t>
      </w:r>
      <w:r w:rsidR="00E0332A" w:rsidRPr="00971EDC">
        <w:rPr>
          <w:lang w:val="en-US"/>
        </w:rPr>
        <w:t>.</w:t>
      </w:r>
      <w:r w:rsidR="00E0332A" w:rsidRPr="00B36233">
        <w:rPr>
          <w:lang w:val="en-US"/>
        </w:rPr>
        <w:t xml:space="preserve"> </w:t>
      </w:r>
      <w:proofErr w:type="gramStart"/>
      <w:r w:rsidR="00E0332A" w:rsidRPr="00B36233">
        <w:rPr>
          <w:lang w:val="en-US"/>
        </w:rPr>
        <w:t>a</w:t>
      </w:r>
      <w:r w:rsidR="00E0332A">
        <w:rPr>
          <w:u w:val="single"/>
          <w:lang w:val="en-US"/>
        </w:rPr>
        <w:t>nd</w:t>
      </w:r>
      <w:proofErr w:type="gramEnd"/>
      <w:r w:rsidR="00E0332A">
        <w:rPr>
          <w:u w:val="single"/>
          <w:lang w:val="en-US"/>
        </w:rPr>
        <w:t xml:space="preserve"> the following minimum </w:t>
      </w:r>
      <w:r w:rsidR="00E0332A" w:rsidRPr="007C7428">
        <w:rPr>
          <w:u w:val="single"/>
          <w:lang w:val="en-US"/>
        </w:rPr>
        <w:t xml:space="preserve">stresses </w:t>
      </w:r>
      <w:r w:rsidR="00E0332A">
        <w:rPr>
          <w:u w:val="single"/>
          <w:lang w:val="en-US"/>
        </w:rPr>
        <w:t>in the cases listed below:</w:t>
      </w:r>
    </w:p>
    <w:p w:rsidR="00E0332A" w:rsidRPr="007C7428" w:rsidRDefault="00E0332A" w:rsidP="00E0332A">
      <w:pPr>
        <w:pStyle w:val="SingleTxtG"/>
        <w:ind w:firstLine="567"/>
        <w:rPr>
          <w:bCs/>
          <w:u w:val="single"/>
          <w:lang w:val="en-US"/>
        </w:rPr>
      </w:pPr>
      <w:r w:rsidRPr="007C7428">
        <w:rPr>
          <w:u w:val="single"/>
          <w:lang w:val="en-US"/>
        </w:rPr>
        <w:lastRenderedPageBreak/>
        <w:t>a)</w:t>
      </w:r>
      <w:r w:rsidRPr="007C7428">
        <w:rPr>
          <w:u w:val="single"/>
          <w:lang w:val="en-US"/>
        </w:rPr>
        <w:tab/>
      </w:r>
      <w:proofErr w:type="gramStart"/>
      <w:r w:rsidRPr="007C7428">
        <w:rPr>
          <w:u w:val="single"/>
          <w:lang w:val="en-US"/>
        </w:rPr>
        <w:t>for</w:t>
      </w:r>
      <w:proofErr w:type="gramEnd"/>
      <w:r w:rsidRPr="007C7428">
        <w:rPr>
          <w:u w:val="single"/>
          <w:lang w:val="en-US"/>
        </w:rPr>
        <w:t xml:space="preserve"> tank-vehicles and vehicles carrying demountable tanks see 6.8.2.1.2</w:t>
      </w:r>
      <w:r>
        <w:rPr>
          <w:u w:val="single"/>
          <w:lang w:val="en-US"/>
        </w:rPr>
        <w:t>,</w:t>
      </w:r>
      <w:r w:rsidRPr="007C7428">
        <w:rPr>
          <w:u w:val="single"/>
          <w:lang w:val="en-US"/>
        </w:rPr>
        <w:t> 6.8.2.1.11 to 6.8.2.1.13, 6.8.2.1.15 and 6.8.2.1.16</w:t>
      </w:r>
      <w:r w:rsidRPr="007C7428">
        <w:rPr>
          <w:bCs/>
          <w:u w:val="single"/>
          <w:lang w:val="en-US"/>
        </w:rPr>
        <w:t>;</w:t>
      </w:r>
    </w:p>
    <w:p w:rsidR="00E0332A" w:rsidRPr="007C7428" w:rsidRDefault="00E0332A" w:rsidP="00E0332A">
      <w:pPr>
        <w:pStyle w:val="SingleTxtG"/>
        <w:ind w:firstLine="567"/>
        <w:rPr>
          <w:u w:val="single"/>
          <w:lang w:val="en-US"/>
        </w:rPr>
      </w:pPr>
      <w:r w:rsidRPr="007C7428">
        <w:rPr>
          <w:bCs/>
          <w:u w:val="single"/>
          <w:lang w:val="en-US"/>
        </w:rPr>
        <w:t>b)</w:t>
      </w:r>
      <w:r w:rsidRPr="007C7428">
        <w:rPr>
          <w:bCs/>
          <w:u w:val="single"/>
          <w:lang w:val="en-US"/>
        </w:rPr>
        <w:tab/>
      </w:r>
      <w:proofErr w:type="gramStart"/>
      <w:r w:rsidRPr="007C7428">
        <w:rPr>
          <w:u w:val="single"/>
          <w:lang w:val="en-US"/>
        </w:rPr>
        <w:t>for</w:t>
      </w:r>
      <w:proofErr w:type="gramEnd"/>
      <w:r w:rsidRPr="007C7428">
        <w:rPr>
          <w:u w:val="single"/>
          <w:lang w:val="en-US"/>
        </w:rPr>
        <w:t xml:space="preserve"> vehicles carrying tank swap bodies and</w:t>
      </w:r>
      <w:r w:rsidRPr="00771DDB">
        <w:rPr>
          <w:u w:val="single"/>
          <w:lang w:val="en-US"/>
        </w:rPr>
        <w:t xml:space="preserve"> tank</w:t>
      </w:r>
      <w:r w:rsidRPr="007C7428">
        <w:rPr>
          <w:u w:val="single"/>
          <w:lang w:val="en-US"/>
        </w:rPr>
        <w:t xml:space="preserve"> containers see 6.8.2.1.2</w:t>
      </w:r>
      <w:r>
        <w:rPr>
          <w:u w:val="single"/>
          <w:lang w:val="en-US"/>
        </w:rPr>
        <w:t xml:space="preserve"> and</w:t>
      </w:r>
      <w:r w:rsidRPr="007C7428">
        <w:rPr>
          <w:u w:val="single"/>
          <w:lang w:val="en-US"/>
        </w:rPr>
        <w:t> 6.8.2.1.11 to 6.8.2.1.13;</w:t>
      </w:r>
    </w:p>
    <w:p w:rsidR="00E0332A" w:rsidRPr="007C7428" w:rsidRDefault="00E0332A" w:rsidP="00E0332A">
      <w:pPr>
        <w:pStyle w:val="SingleTxtG"/>
        <w:ind w:firstLine="567"/>
        <w:rPr>
          <w:u w:val="single"/>
          <w:lang w:val="en-US"/>
        </w:rPr>
      </w:pPr>
      <w:r w:rsidRPr="007C7428">
        <w:rPr>
          <w:bCs/>
          <w:u w:val="single"/>
          <w:lang w:val="en-US"/>
        </w:rPr>
        <w:t>c)</w:t>
      </w:r>
      <w:r w:rsidRPr="007C7428">
        <w:rPr>
          <w:b/>
          <w:bCs/>
          <w:u w:val="single"/>
        </w:rPr>
        <w:tab/>
      </w:r>
      <w:proofErr w:type="gramStart"/>
      <w:r w:rsidRPr="007C7428">
        <w:rPr>
          <w:u w:val="single"/>
          <w:lang w:val="en-US"/>
        </w:rPr>
        <w:t>for</w:t>
      </w:r>
      <w:proofErr w:type="gramEnd"/>
      <w:r w:rsidRPr="007C7428">
        <w:rPr>
          <w:u w:val="single"/>
          <w:lang w:val="en-US"/>
        </w:rPr>
        <w:t xml:space="preserve"> battery-vehicles and vehicles carrying MEGCs see 6.8.3.1.5;</w:t>
      </w:r>
    </w:p>
    <w:p w:rsidR="00E0332A" w:rsidRPr="007C7428" w:rsidRDefault="00E0332A" w:rsidP="00E0332A">
      <w:pPr>
        <w:pStyle w:val="SingleTxtG"/>
        <w:ind w:firstLine="567"/>
        <w:rPr>
          <w:u w:val="single"/>
          <w:lang w:val="en-US"/>
        </w:rPr>
      </w:pPr>
      <w:r w:rsidRPr="007C7428">
        <w:rPr>
          <w:u w:val="single"/>
          <w:lang w:val="en-US"/>
        </w:rPr>
        <w:t>d)</w:t>
      </w:r>
      <w:r w:rsidRPr="007C7428">
        <w:rPr>
          <w:u w:val="single"/>
        </w:rPr>
        <w:tab/>
      </w:r>
      <w:proofErr w:type="gramStart"/>
      <w:r w:rsidRPr="007C7428">
        <w:rPr>
          <w:u w:val="single"/>
          <w:lang w:val="en-US"/>
        </w:rPr>
        <w:t>for</w:t>
      </w:r>
      <w:proofErr w:type="gramEnd"/>
      <w:r w:rsidRPr="007C7428">
        <w:rPr>
          <w:u w:val="single"/>
          <w:lang w:val="en-US"/>
        </w:rPr>
        <w:t xml:space="preserve"> vehicles carrying portable tanks see 6.7.2.2.12, 6.7.3.2.9 or 6.7.4.2.12 as applicable; and </w:t>
      </w:r>
    </w:p>
    <w:p w:rsidR="00E0332A" w:rsidRPr="007C7428" w:rsidRDefault="00E0332A" w:rsidP="00E0332A">
      <w:pPr>
        <w:pStyle w:val="SingleTxtG"/>
        <w:ind w:firstLine="567"/>
        <w:rPr>
          <w:bCs/>
          <w:u w:val="single"/>
          <w:lang w:val="en-US"/>
        </w:rPr>
      </w:pPr>
      <w:r w:rsidRPr="007C7428">
        <w:rPr>
          <w:u w:val="single"/>
          <w:lang w:val="en-US"/>
        </w:rPr>
        <w:t>e)</w:t>
      </w:r>
      <w:r w:rsidRPr="007C7428">
        <w:rPr>
          <w:u w:val="single"/>
        </w:rPr>
        <w:tab/>
      </w:r>
      <w:proofErr w:type="gramStart"/>
      <w:r w:rsidRPr="007C7428">
        <w:rPr>
          <w:u w:val="single"/>
          <w:lang w:val="en-US"/>
        </w:rPr>
        <w:t>for</w:t>
      </w:r>
      <w:proofErr w:type="gramEnd"/>
      <w:r w:rsidRPr="007C7428">
        <w:rPr>
          <w:u w:val="single"/>
          <w:lang w:val="en-US"/>
        </w:rPr>
        <w:t xml:space="preserve"> vehicles carrying UN-MEGCs see 6.7.5.2.8.</w:t>
      </w:r>
    </w:p>
    <w:p w:rsidR="00E0332A" w:rsidRPr="00872342" w:rsidRDefault="00E0332A" w:rsidP="00E0332A">
      <w:pPr>
        <w:pStyle w:val="SingleTxt"/>
        <w:rPr>
          <w:u w:val="single"/>
        </w:rPr>
      </w:pPr>
      <w:r w:rsidRPr="00872342">
        <w:rPr>
          <w:u w:val="single"/>
          <w:lang w:val="en-US"/>
        </w:rPr>
        <w:t>NOTE: If the arrangement for securing a tank-container, tank swap body, MEGC, UN-MEGC or a portable tank to the vehicle is standard twist lock tie-down devices as described in ISO 1161[:1984[2016] Series 1 freight containers- Corner fittings-Specification], the requirements of a) to e) of this paragraph are deemed to be met.</w:t>
      </w:r>
      <w:r w:rsidR="00872342">
        <w:rPr>
          <w:u w:val="single"/>
          <w:lang w:val="en-US"/>
        </w:rPr>
        <w:t>”.</w:t>
      </w:r>
    </w:p>
    <w:p w:rsidR="00E0332A" w:rsidRPr="00241CA3" w:rsidRDefault="00E0332A" w:rsidP="00E0332A">
      <w:pPr>
        <w:pStyle w:val="HChG"/>
        <w:rPr>
          <w:lang w:val="en-US"/>
        </w:rPr>
      </w:pPr>
      <w:r>
        <w:rPr>
          <w:lang w:val="en-US"/>
        </w:rPr>
        <w:tab/>
      </w:r>
      <w:r>
        <w:rPr>
          <w:lang w:val="en-US"/>
        </w:rPr>
        <w:tab/>
        <w:t>Justification</w:t>
      </w:r>
    </w:p>
    <w:p w:rsidR="00E0332A" w:rsidRDefault="00872342" w:rsidP="00872342">
      <w:pPr>
        <w:pStyle w:val="H23G"/>
        <w:rPr>
          <w:lang w:val="en-US"/>
        </w:rPr>
      </w:pPr>
      <w:r>
        <w:rPr>
          <w:lang w:val="en-US"/>
        </w:rPr>
        <w:tab/>
      </w:r>
      <w:r>
        <w:rPr>
          <w:lang w:val="en-US"/>
        </w:rPr>
        <w:tab/>
      </w:r>
      <w:r w:rsidR="00E0332A">
        <w:rPr>
          <w:lang w:val="en-US"/>
        </w:rPr>
        <w:t>Safety</w:t>
      </w:r>
    </w:p>
    <w:p w:rsidR="00E0332A" w:rsidRDefault="00E0332A" w:rsidP="00E0332A">
      <w:pPr>
        <w:pStyle w:val="SingleTxtG"/>
        <w:rPr>
          <w:lang w:val="en-US"/>
        </w:rPr>
      </w:pPr>
      <w:r w:rsidRPr="00BF2E5A">
        <w:rPr>
          <w:lang w:val="en-US"/>
        </w:rPr>
        <w:t xml:space="preserve">Securing </w:t>
      </w:r>
      <w:r>
        <w:rPr>
          <w:lang w:val="en-US"/>
        </w:rPr>
        <w:t xml:space="preserve">the </w:t>
      </w:r>
      <w:r w:rsidRPr="00BF2E5A">
        <w:rPr>
          <w:lang w:val="en-US"/>
        </w:rPr>
        <w:t>cargo properly is essential</w:t>
      </w:r>
      <w:r>
        <w:rPr>
          <w:lang w:val="en-US"/>
        </w:rPr>
        <w:t xml:space="preserve">; regardless of whether the vehicle is carrying a demountable tank, tank container, </w:t>
      </w:r>
      <w:proofErr w:type="gramStart"/>
      <w:r>
        <w:rPr>
          <w:lang w:val="en-US"/>
        </w:rPr>
        <w:t>tank</w:t>
      </w:r>
      <w:proofErr w:type="gramEnd"/>
      <w:r>
        <w:rPr>
          <w:lang w:val="en-US"/>
        </w:rPr>
        <w:t xml:space="preserve"> swap body, MEGC, UN-MEGC or a portable tank. The proposed amendments for ADR 9.7.3 will enhance the safety for vehicles carrying these units. </w:t>
      </w:r>
    </w:p>
    <w:p w:rsidR="00E0332A" w:rsidRDefault="00872342" w:rsidP="00872342">
      <w:pPr>
        <w:pStyle w:val="H23G"/>
        <w:rPr>
          <w:lang w:val="en-US"/>
        </w:rPr>
      </w:pPr>
      <w:r>
        <w:rPr>
          <w:lang w:val="en-US"/>
        </w:rPr>
        <w:tab/>
      </w:r>
      <w:r>
        <w:rPr>
          <w:lang w:val="en-US"/>
        </w:rPr>
        <w:tab/>
      </w:r>
      <w:r w:rsidR="00E0332A">
        <w:rPr>
          <w:lang w:val="en-US"/>
        </w:rPr>
        <w:t>Feasibility</w:t>
      </w:r>
    </w:p>
    <w:p w:rsidR="00E0332A" w:rsidRPr="00BF2E5A" w:rsidRDefault="00E0332A" w:rsidP="00E0332A">
      <w:pPr>
        <w:pStyle w:val="SingleTxtG"/>
        <w:rPr>
          <w:lang w:val="en-US"/>
        </w:rPr>
      </w:pPr>
      <w:r>
        <w:rPr>
          <w:lang w:val="en-US"/>
        </w:rPr>
        <w:t xml:space="preserve">As there are no requirements in ADR for the choice of securing system, it is necessary to define the minimum stresses that the fastening system has to be designed for. </w:t>
      </w:r>
    </w:p>
    <w:p w:rsidR="00E0332A" w:rsidRDefault="00872342" w:rsidP="00872342">
      <w:pPr>
        <w:pStyle w:val="H23G"/>
        <w:rPr>
          <w:lang w:val="en-US"/>
        </w:rPr>
      </w:pPr>
      <w:r>
        <w:rPr>
          <w:lang w:val="en-US"/>
        </w:rPr>
        <w:tab/>
      </w:r>
      <w:r>
        <w:rPr>
          <w:lang w:val="en-US"/>
        </w:rPr>
        <w:tab/>
      </w:r>
      <w:r w:rsidR="00E0332A">
        <w:rPr>
          <w:lang w:val="en-US"/>
        </w:rPr>
        <w:t>Enforceability</w:t>
      </w:r>
    </w:p>
    <w:p w:rsidR="00E0332A" w:rsidRPr="00915E68" w:rsidRDefault="00E0332A" w:rsidP="00E0332A">
      <w:pPr>
        <w:pStyle w:val="SingleTxtG"/>
        <w:rPr>
          <w:lang w:val="en-US"/>
        </w:rPr>
      </w:pPr>
      <w:r>
        <w:rPr>
          <w:lang w:val="en-US"/>
        </w:rPr>
        <w:t>The proposed amendments ensure that the fulfilling of 7.5.7.4 and EN 12195 is not sufficient in meeting the requirements of 9.7.3 for the fastenings of tank-containers, tank swap bodies, MEGCs, UN-MEGCs and portable tanks on a vehicle. ADR will now contain specific requirements for these tanks and MEGCs that are harmonized with the UN Model Regulations and the requirements for vehicles carrying demountable tanks. This will aid the Competent Authorities when presented with vehicles for approval equipped with unusual arrangements for fastenings. Vehicles using standard container fastenings will not be affected by the amendments due to the proposed note.</w:t>
      </w:r>
    </w:p>
    <w:p w:rsidR="00E0332A" w:rsidRPr="009B7FFB" w:rsidRDefault="00E0332A" w:rsidP="00E0332A">
      <w:pPr>
        <w:spacing w:before="240"/>
        <w:ind w:left="1134" w:right="1134"/>
        <w:jc w:val="center"/>
        <w:rPr>
          <w:u w:val="single"/>
        </w:rPr>
      </w:pPr>
      <w:r>
        <w:rPr>
          <w:u w:val="single"/>
        </w:rPr>
        <w:tab/>
      </w:r>
      <w:r>
        <w:rPr>
          <w:u w:val="single"/>
        </w:rPr>
        <w:tab/>
      </w:r>
      <w:r>
        <w:rPr>
          <w:u w:val="single"/>
        </w:rPr>
        <w:tab/>
      </w:r>
    </w:p>
    <w:p w:rsidR="008F2EC1" w:rsidRPr="00E0332A" w:rsidRDefault="008F2EC1" w:rsidP="00E0332A">
      <w:pPr>
        <w:pStyle w:val="SingleTxtG"/>
        <w:rPr>
          <w:rFonts w:eastAsiaTheme="minorEastAsia"/>
          <w:lang w:val="en-US" w:eastAsia="zh-CN"/>
        </w:rPr>
      </w:pPr>
    </w:p>
    <w:sectPr w:rsidR="008F2EC1" w:rsidRPr="00E0332A" w:rsidSect="001330DE">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F6" w:rsidRDefault="001D03F6"/>
  </w:endnote>
  <w:endnote w:type="continuationSeparator" w:id="0">
    <w:p w:rsidR="001D03F6" w:rsidRDefault="001D03F6"/>
  </w:endnote>
  <w:endnote w:type="continuationNotice" w:id="1">
    <w:p w:rsidR="001D03F6" w:rsidRDefault="001D0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402E6C" w:rsidP="001330DE">
    <w:pPr>
      <w:pStyle w:val="Footer"/>
      <w:tabs>
        <w:tab w:val="right" w:pos="9598"/>
      </w:tabs>
    </w:pPr>
    <w:r w:rsidRPr="001330DE">
      <w:rPr>
        <w:b/>
        <w:sz w:val="18"/>
      </w:rPr>
      <w:fldChar w:fldCharType="begin"/>
    </w:r>
    <w:r w:rsidR="00C468E4" w:rsidRPr="001330DE">
      <w:rPr>
        <w:b/>
        <w:sz w:val="18"/>
      </w:rPr>
      <w:instrText xml:space="preserve"> PAGE  \* MERGEFORMAT </w:instrText>
    </w:r>
    <w:r w:rsidRPr="001330DE">
      <w:rPr>
        <w:b/>
        <w:sz w:val="18"/>
      </w:rPr>
      <w:fldChar w:fldCharType="separate"/>
    </w:r>
    <w:r w:rsidR="000D13CB">
      <w:rPr>
        <w:b/>
        <w:noProof/>
        <w:sz w:val="18"/>
      </w:rPr>
      <w:t>2</w:t>
    </w:r>
    <w:r w:rsidRPr="001330DE">
      <w:rPr>
        <w:b/>
        <w:sz w:val="18"/>
      </w:rPr>
      <w:fldChar w:fldCharType="end"/>
    </w:r>
    <w:r w:rsidR="00C468E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rPr>
        <w:b/>
        <w:sz w:val="18"/>
      </w:rPr>
    </w:pPr>
    <w:r>
      <w:tab/>
    </w:r>
    <w:r w:rsidR="00402E6C" w:rsidRPr="001330DE">
      <w:rPr>
        <w:b/>
        <w:sz w:val="18"/>
      </w:rPr>
      <w:fldChar w:fldCharType="begin"/>
    </w:r>
    <w:r w:rsidRPr="001330DE">
      <w:rPr>
        <w:b/>
        <w:sz w:val="18"/>
      </w:rPr>
      <w:instrText xml:space="preserve"> PAGE  \* MERGEFORMAT </w:instrText>
    </w:r>
    <w:r w:rsidR="00402E6C" w:rsidRPr="001330DE">
      <w:rPr>
        <w:b/>
        <w:sz w:val="18"/>
      </w:rPr>
      <w:fldChar w:fldCharType="separate"/>
    </w:r>
    <w:r w:rsidR="000D13CB">
      <w:rPr>
        <w:b/>
        <w:noProof/>
        <w:sz w:val="18"/>
      </w:rPr>
      <w:t>3</w:t>
    </w:r>
    <w:r w:rsidR="00402E6C"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F6" w:rsidRPr="000B175B" w:rsidRDefault="001D03F6" w:rsidP="000B175B">
      <w:pPr>
        <w:tabs>
          <w:tab w:val="right" w:pos="2155"/>
        </w:tabs>
        <w:spacing w:after="80"/>
        <w:ind w:left="680"/>
        <w:rPr>
          <w:u w:val="single"/>
        </w:rPr>
      </w:pPr>
      <w:r>
        <w:rPr>
          <w:u w:val="single"/>
        </w:rPr>
        <w:tab/>
      </w:r>
    </w:p>
  </w:footnote>
  <w:footnote w:type="continuationSeparator" w:id="0">
    <w:p w:rsidR="001D03F6" w:rsidRPr="00FC68B7" w:rsidRDefault="001D03F6" w:rsidP="00FC68B7">
      <w:pPr>
        <w:tabs>
          <w:tab w:val="left" w:pos="2155"/>
        </w:tabs>
        <w:spacing w:after="80"/>
        <w:ind w:left="680"/>
        <w:rPr>
          <w:u w:val="single"/>
        </w:rPr>
      </w:pPr>
      <w:r>
        <w:rPr>
          <w:u w:val="single"/>
        </w:rPr>
        <w:tab/>
      </w:r>
    </w:p>
  </w:footnote>
  <w:footnote w:type="continuationNotice" w:id="1">
    <w:p w:rsidR="001D03F6" w:rsidRDefault="001D03F6"/>
  </w:footnote>
  <w:footnote w:id="2">
    <w:p w:rsidR="008F2EC1" w:rsidRDefault="008F2EC1" w:rsidP="008F2EC1">
      <w:pPr>
        <w:pStyle w:val="FootnoteText"/>
        <w:tabs>
          <w:tab w:val="clear" w:pos="1021"/>
        </w:tabs>
        <w:ind w:right="1260" w:hanging="567"/>
        <w:jc w:val="both"/>
      </w:pPr>
      <w:r>
        <w:tab/>
      </w:r>
      <w:r w:rsidRPr="00F6632B">
        <w:rPr>
          <w:rStyle w:val="FootnoteReference"/>
        </w:rPr>
        <w:footnoteRef/>
      </w:r>
      <w:r w:rsidRPr="00E06F15">
        <w:rPr>
          <w:color w:val="000000"/>
          <w:sz w:val="20"/>
        </w:rPr>
        <w:t xml:space="preserve"> </w:t>
      </w:r>
      <w:proofErr w:type="gramStart"/>
      <w:r>
        <w:rPr>
          <w:color w:val="000000"/>
          <w:sz w:val="20"/>
        </w:rPr>
        <w:t>In accordance with the programme of work of the Inland Transport Committee for 2016-2017, (ECE/TRANS/2016/28/Add.1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pPr>
    <w:r w:rsidRPr="001330DE">
      <w:t>ECE/TRANS/WP.15/201</w:t>
    </w:r>
    <w:r>
      <w:t>6</w:t>
    </w:r>
    <w:r w:rsidRPr="001330DE">
      <w:t>/</w:t>
    </w:r>
    <w:r w:rsidR="008F2EC1">
      <w:t>1</w:t>
    </w:r>
    <w:r w:rsidR="00E0332A">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jc w:val="right"/>
    </w:pPr>
    <w:r w:rsidRPr="001330DE">
      <w:t>ECE/TRANS/WP.15/201</w:t>
    </w:r>
    <w:r>
      <w:t>6</w:t>
    </w:r>
    <w:r w:rsidRPr="001330DE">
      <w:t>/</w:t>
    </w:r>
    <w:r w:rsidR="008F2EC1">
      <w:t>1</w:t>
    </w:r>
    <w:r w:rsidR="00E0332A">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8">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4"/>
  </w:num>
  <w:num w:numId="19">
    <w:abstractNumId w:val="1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D13CB"/>
    <w:rsid w:val="000E0415"/>
    <w:rsid w:val="001103AA"/>
    <w:rsid w:val="0011666B"/>
    <w:rsid w:val="00126A57"/>
    <w:rsid w:val="001330DE"/>
    <w:rsid w:val="00145622"/>
    <w:rsid w:val="00165F3A"/>
    <w:rsid w:val="001B054C"/>
    <w:rsid w:val="001B4B04"/>
    <w:rsid w:val="001C6663"/>
    <w:rsid w:val="001C7895"/>
    <w:rsid w:val="001D03F6"/>
    <w:rsid w:val="001D0C8C"/>
    <w:rsid w:val="001D1419"/>
    <w:rsid w:val="001D26DF"/>
    <w:rsid w:val="001D3A03"/>
    <w:rsid w:val="001E4771"/>
    <w:rsid w:val="001E59E0"/>
    <w:rsid w:val="001E7B67"/>
    <w:rsid w:val="001F6AFB"/>
    <w:rsid w:val="00202DA8"/>
    <w:rsid w:val="00207720"/>
    <w:rsid w:val="00211E0B"/>
    <w:rsid w:val="0021665B"/>
    <w:rsid w:val="00250738"/>
    <w:rsid w:val="00267F5F"/>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D68B6"/>
    <w:rsid w:val="003E0029"/>
    <w:rsid w:val="00402E6C"/>
    <w:rsid w:val="00410C89"/>
    <w:rsid w:val="00422E03"/>
    <w:rsid w:val="00426B9B"/>
    <w:rsid w:val="00431164"/>
    <w:rsid w:val="004325CB"/>
    <w:rsid w:val="00432E7C"/>
    <w:rsid w:val="00442A83"/>
    <w:rsid w:val="0045495B"/>
    <w:rsid w:val="0048397A"/>
    <w:rsid w:val="004B4FDF"/>
    <w:rsid w:val="004C2461"/>
    <w:rsid w:val="004C7462"/>
    <w:rsid w:val="004E77B2"/>
    <w:rsid w:val="00504B2D"/>
    <w:rsid w:val="0052136D"/>
    <w:rsid w:val="00522B58"/>
    <w:rsid w:val="0052699B"/>
    <w:rsid w:val="0052775E"/>
    <w:rsid w:val="005420F2"/>
    <w:rsid w:val="00562311"/>
    <w:rsid w:val="005628B6"/>
    <w:rsid w:val="005666AA"/>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73794"/>
    <w:rsid w:val="00684C21"/>
    <w:rsid w:val="00696D0A"/>
    <w:rsid w:val="006A2530"/>
    <w:rsid w:val="006C3589"/>
    <w:rsid w:val="006D266F"/>
    <w:rsid w:val="006D37AF"/>
    <w:rsid w:val="006D51D0"/>
    <w:rsid w:val="006E564B"/>
    <w:rsid w:val="006E7191"/>
    <w:rsid w:val="00703577"/>
    <w:rsid w:val="00705894"/>
    <w:rsid w:val="0072632A"/>
    <w:rsid w:val="007327D5"/>
    <w:rsid w:val="007629C8"/>
    <w:rsid w:val="0077047D"/>
    <w:rsid w:val="00796DF0"/>
    <w:rsid w:val="007A3C5F"/>
    <w:rsid w:val="007B6BA5"/>
    <w:rsid w:val="007C3390"/>
    <w:rsid w:val="007C4F4B"/>
    <w:rsid w:val="007E01E9"/>
    <w:rsid w:val="007E63F3"/>
    <w:rsid w:val="007F6611"/>
    <w:rsid w:val="00811920"/>
    <w:rsid w:val="00815AD0"/>
    <w:rsid w:val="008242D7"/>
    <w:rsid w:val="008257B1"/>
    <w:rsid w:val="00830A44"/>
    <w:rsid w:val="00843767"/>
    <w:rsid w:val="008679D9"/>
    <w:rsid w:val="00872342"/>
    <w:rsid w:val="00875318"/>
    <w:rsid w:val="008878DE"/>
    <w:rsid w:val="008979B1"/>
    <w:rsid w:val="008A0CF0"/>
    <w:rsid w:val="008A6B25"/>
    <w:rsid w:val="008A6C4F"/>
    <w:rsid w:val="008B2335"/>
    <w:rsid w:val="008C048F"/>
    <w:rsid w:val="008D4A19"/>
    <w:rsid w:val="008E0678"/>
    <w:rsid w:val="008E45B1"/>
    <w:rsid w:val="008F2EC1"/>
    <w:rsid w:val="008F3ECE"/>
    <w:rsid w:val="009223CA"/>
    <w:rsid w:val="00940F93"/>
    <w:rsid w:val="009471BA"/>
    <w:rsid w:val="00947FDE"/>
    <w:rsid w:val="0096007C"/>
    <w:rsid w:val="009760F3"/>
    <w:rsid w:val="009A0E8D"/>
    <w:rsid w:val="009B26E7"/>
    <w:rsid w:val="009B7FFB"/>
    <w:rsid w:val="009E6634"/>
    <w:rsid w:val="009F4D09"/>
    <w:rsid w:val="00A00A3F"/>
    <w:rsid w:val="00A01489"/>
    <w:rsid w:val="00A20F04"/>
    <w:rsid w:val="00A3026E"/>
    <w:rsid w:val="00A338F1"/>
    <w:rsid w:val="00A50DEE"/>
    <w:rsid w:val="00A72F22"/>
    <w:rsid w:val="00A7360F"/>
    <w:rsid w:val="00A748A6"/>
    <w:rsid w:val="00A769F4"/>
    <w:rsid w:val="00A776B4"/>
    <w:rsid w:val="00A94361"/>
    <w:rsid w:val="00AA293C"/>
    <w:rsid w:val="00AE1867"/>
    <w:rsid w:val="00AF2944"/>
    <w:rsid w:val="00B30179"/>
    <w:rsid w:val="00B31E80"/>
    <w:rsid w:val="00B34AE7"/>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2670C"/>
    <w:rsid w:val="00C4527F"/>
    <w:rsid w:val="00C463DD"/>
    <w:rsid w:val="00C468E4"/>
    <w:rsid w:val="00C4724C"/>
    <w:rsid w:val="00C629A0"/>
    <w:rsid w:val="00C64629"/>
    <w:rsid w:val="00C745C3"/>
    <w:rsid w:val="00C86220"/>
    <w:rsid w:val="00CB3E03"/>
    <w:rsid w:val="00CE0C77"/>
    <w:rsid w:val="00CE4A8F"/>
    <w:rsid w:val="00CF49FD"/>
    <w:rsid w:val="00D02AF5"/>
    <w:rsid w:val="00D12E31"/>
    <w:rsid w:val="00D2031B"/>
    <w:rsid w:val="00D25FE2"/>
    <w:rsid w:val="00D43252"/>
    <w:rsid w:val="00D47EEA"/>
    <w:rsid w:val="00D6286A"/>
    <w:rsid w:val="00D773DF"/>
    <w:rsid w:val="00D77865"/>
    <w:rsid w:val="00D94296"/>
    <w:rsid w:val="00D95303"/>
    <w:rsid w:val="00D978C6"/>
    <w:rsid w:val="00DA3C1C"/>
    <w:rsid w:val="00DD0A3E"/>
    <w:rsid w:val="00DE40E0"/>
    <w:rsid w:val="00E0332A"/>
    <w:rsid w:val="00E046DF"/>
    <w:rsid w:val="00E121AE"/>
    <w:rsid w:val="00E27346"/>
    <w:rsid w:val="00E71BC8"/>
    <w:rsid w:val="00E7260F"/>
    <w:rsid w:val="00E73F5D"/>
    <w:rsid w:val="00E77E4E"/>
    <w:rsid w:val="00E96630"/>
    <w:rsid w:val="00EC22F3"/>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F4D09"/>
    <w:pPr>
      <w:spacing w:line="240" w:lineRule="auto"/>
      <w:outlineLvl w:val="1"/>
    </w:pPr>
  </w:style>
  <w:style w:type="paragraph" w:styleId="Heading3">
    <w:name w:val="heading 3"/>
    <w:basedOn w:val="Normal"/>
    <w:next w:val="Normal"/>
    <w:qFormat/>
    <w:rsid w:val="009F4D09"/>
    <w:pPr>
      <w:spacing w:line="240" w:lineRule="auto"/>
      <w:outlineLvl w:val="2"/>
    </w:pPr>
  </w:style>
  <w:style w:type="paragraph" w:styleId="Heading4">
    <w:name w:val="heading 4"/>
    <w:basedOn w:val="Normal"/>
    <w:next w:val="Normal"/>
    <w:qFormat/>
    <w:rsid w:val="009F4D09"/>
    <w:pPr>
      <w:spacing w:line="240" w:lineRule="auto"/>
      <w:outlineLvl w:val="3"/>
    </w:pPr>
  </w:style>
  <w:style w:type="paragraph" w:styleId="Heading5">
    <w:name w:val="heading 5"/>
    <w:basedOn w:val="Normal"/>
    <w:next w:val="Normal"/>
    <w:qFormat/>
    <w:rsid w:val="009F4D09"/>
    <w:pPr>
      <w:spacing w:line="240" w:lineRule="auto"/>
      <w:outlineLvl w:val="4"/>
    </w:pPr>
  </w:style>
  <w:style w:type="paragraph" w:styleId="Heading6">
    <w:name w:val="heading 6"/>
    <w:basedOn w:val="Normal"/>
    <w:next w:val="Normal"/>
    <w:qFormat/>
    <w:rsid w:val="009F4D09"/>
    <w:pPr>
      <w:spacing w:line="240" w:lineRule="auto"/>
      <w:outlineLvl w:val="5"/>
    </w:pPr>
  </w:style>
  <w:style w:type="paragraph" w:styleId="Heading7">
    <w:name w:val="heading 7"/>
    <w:basedOn w:val="Normal"/>
    <w:next w:val="Normal"/>
    <w:qFormat/>
    <w:rsid w:val="009F4D09"/>
    <w:pPr>
      <w:spacing w:line="240" w:lineRule="auto"/>
      <w:outlineLvl w:val="6"/>
    </w:pPr>
  </w:style>
  <w:style w:type="paragraph" w:styleId="Heading8">
    <w:name w:val="heading 8"/>
    <w:basedOn w:val="Normal"/>
    <w:next w:val="Normal"/>
    <w:qFormat/>
    <w:rsid w:val="009F4D09"/>
    <w:pPr>
      <w:spacing w:line="240" w:lineRule="auto"/>
      <w:outlineLvl w:val="7"/>
    </w:pPr>
  </w:style>
  <w:style w:type="paragraph" w:styleId="Heading9">
    <w:name w:val="heading 9"/>
    <w:basedOn w:val="Normal"/>
    <w:next w:val="Normal"/>
    <w:qFormat/>
    <w:rsid w:val="009F4D0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F4D0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F4D0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9F4D09"/>
    <w:pPr>
      <w:numPr>
        <w:numId w:val="13"/>
      </w:numPr>
      <w:tabs>
        <w:tab w:val="clear" w:pos="1494"/>
      </w:tabs>
    </w:pPr>
  </w:style>
  <w:style w:type="paragraph" w:customStyle="1" w:styleId="SingleTxtG">
    <w:name w:val="_ Single Txt_G"/>
    <w:basedOn w:val="Normal"/>
    <w:link w:val="SingleTxtGChar"/>
    <w:qFormat/>
    <w:rsid w:val="009F4D09"/>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9F4D09"/>
    <w:rPr>
      <w:rFonts w:cs="Courier New"/>
    </w:rPr>
  </w:style>
  <w:style w:type="paragraph" w:styleId="BodyText">
    <w:name w:val="Body Text"/>
    <w:basedOn w:val="Normal"/>
    <w:next w:val="Normal"/>
    <w:semiHidden/>
    <w:rsid w:val="009F4D09"/>
  </w:style>
  <w:style w:type="paragraph" w:styleId="BodyTextIndent">
    <w:name w:val="Body Text Indent"/>
    <w:basedOn w:val="Normal"/>
    <w:semiHidden/>
    <w:rsid w:val="009F4D09"/>
    <w:pPr>
      <w:spacing w:after="120"/>
      <w:ind w:left="283"/>
    </w:pPr>
  </w:style>
  <w:style w:type="paragraph" w:styleId="BlockText">
    <w:name w:val="Block Text"/>
    <w:basedOn w:val="Normal"/>
    <w:semiHidden/>
    <w:rsid w:val="009F4D09"/>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9F4D09"/>
    <w:rPr>
      <w:sz w:val="6"/>
    </w:rPr>
  </w:style>
  <w:style w:type="paragraph" w:styleId="CommentText">
    <w:name w:val="annotation text"/>
    <w:basedOn w:val="Normal"/>
    <w:semiHidden/>
    <w:rsid w:val="009F4D09"/>
  </w:style>
  <w:style w:type="character" w:styleId="LineNumber">
    <w:name w:val="line number"/>
    <w:semiHidden/>
    <w:rsid w:val="009F4D09"/>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9F4D0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F4D0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F4D0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F4D09"/>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tabs>
        <w:tab w:val="clear" w:pos="1492"/>
        <w:tab w:val="num" w:pos="731"/>
      </w:tabs>
      <w:ind w:left="731" w:hanging="657"/>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table" w:customStyle="1" w:styleId="TableGrid10">
    <w:name w:val="Table Grid1"/>
    <w:basedOn w:val="TableNormal"/>
    <w:next w:val="TableGrid"/>
    <w:semiHidden/>
    <w:rsid w:val="008F2EC1"/>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F4D09"/>
    <w:pPr>
      <w:spacing w:line="240" w:lineRule="auto"/>
      <w:outlineLvl w:val="1"/>
    </w:pPr>
  </w:style>
  <w:style w:type="paragraph" w:styleId="Heading3">
    <w:name w:val="heading 3"/>
    <w:basedOn w:val="Normal"/>
    <w:next w:val="Normal"/>
    <w:qFormat/>
    <w:rsid w:val="009F4D09"/>
    <w:pPr>
      <w:spacing w:line="240" w:lineRule="auto"/>
      <w:outlineLvl w:val="2"/>
    </w:pPr>
  </w:style>
  <w:style w:type="paragraph" w:styleId="Heading4">
    <w:name w:val="heading 4"/>
    <w:basedOn w:val="Normal"/>
    <w:next w:val="Normal"/>
    <w:qFormat/>
    <w:rsid w:val="009F4D09"/>
    <w:pPr>
      <w:spacing w:line="240" w:lineRule="auto"/>
      <w:outlineLvl w:val="3"/>
    </w:pPr>
  </w:style>
  <w:style w:type="paragraph" w:styleId="Heading5">
    <w:name w:val="heading 5"/>
    <w:basedOn w:val="Normal"/>
    <w:next w:val="Normal"/>
    <w:qFormat/>
    <w:rsid w:val="009F4D09"/>
    <w:pPr>
      <w:spacing w:line="240" w:lineRule="auto"/>
      <w:outlineLvl w:val="4"/>
    </w:pPr>
  </w:style>
  <w:style w:type="paragraph" w:styleId="Heading6">
    <w:name w:val="heading 6"/>
    <w:basedOn w:val="Normal"/>
    <w:next w:val="Normal"/>
    <w:qFormat/>
    <w:rsid w:val="009F4D09"/>
    <w:pPr>
      <w:spacing w:line="240" w:lineRule="auto"/>
      <w:outlineLvl w:val="5"/>
    </w:pPr>
  </w:style>
  <w:style w:type="paragraph" w:styleId="Heading7">
    <w:name w:val="heading 7"/>
    <w:basedOn w:val="Normal"/>
    <w:next w:val="Normal"/>
    <w:qFormat/>
    <w:rsid w:val="009F4D09"/>
    <w:pPr>
      <w:spacing w:line="240" w:lineRule="auto"/>
      <w:outlineLvl w:val="6"/>
    </w:pPr>
  </w:style>
  <w:style w:type="paragraph" w:styleId="Heading8">
    <w:name w:val="heading 8"/>
    <w:basedOn w:val="Normal"/>
    <w:next w:val="Normal"/>
    <w:qFormat/>
    <w:rsid w:val="009F4D09"/>
    <w:pPr>
      <w:spacing w:line="240" w:lineRule="auto"/>
      <w:outlineLvl w:val="7"/>
    </w:pPr>
  </w:style>
  <w:style w:type="paragraph" w:styleId="Heading9">
    <w:name w:val="heading 9"/>
    <w:basedOn w:val="Normal"/>
    <w:next w:val="Normal"/>
    <w:qFormat/>
    <w:rsid w:val="009F4D0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F4D0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F4D0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9F4D09"/>
    <w:pPr>
      <w:numPr>
        <w:numId w:val="13"/>
      </w:numPr>
      <w:tabs>
        <w:tab w:val="clear" w:pos="1494"/>
      </w:tabs>
    </w:pPr>
  </w:style>
  <w:style w:type="paragraph" w:customStyle="1" w:styleId="SingleTxtG">
    <w:name w:val="_ Single Txt_G"/>
    <w:basedOn w:val="Normal"/>
    <w:link w:val="SingleTxtGChar"/>
    <w:qFormat/>
    <w:rsid w:val="009F4D09"/>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9F4D09"/>
    <w:rPr>
      <w:rFonts w:cs="Courier New"/>
    </w:rPr>
  </w:style>
  <w:style w:type="paragraph" w:styleId="BodyText">
    <w:name w:val="Body Text"/>
    <w:basedOn w:val="Normal"/>
    <w:next w:val="Normal"/>
    <w:semiHidden/>
    <w:rsid w:val="009F4D09"/>
  </w:style>
  <w:style w:type="paragraph" w:styleId="BodyTextIndent">
    <w:name w:val="Body Text Indent"/>
    <w:basedOn w:val="Normal"/>
    <w:semiHidden/>
    <w:rsid w:val="009F4D09"/>
    <w:pPr>
      <w:spacing w:after="120"/>
      <w:ind w:left="283"/>
    </w:pPr>
  </w:style>
  <w:style w:type="paragraph" w:styleId="BlockText">
    <w:name w:val="Block Text"/>
    <w:basedOn w:val="Normal"/>
    <w:semiHidden/>
    <w:rsid w:val="009F4D09"/>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9F4D09"/>
    <w:rPr>
      <w:sz w:val="6"/>
    </w:rPr>
  </w:style>
  <w:style w:type="paragraph" w:styleId="CommentText">
    <w:name w:val="annotation text"/>
    <w:basedOn w:val="Normal"/>
    <w:semiHidden/>
    <w:rsid w:val="009F4D09"/>
  </w:style>
  <w:style w:type="character" w:styleId="LineNumber">
    <w:name w:val="line number"/>
    <w:semiHidden/>
    <w:rsid w:val="009F4D09"/>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9F4D0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F4D0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F4D0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F4D09"/>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tabs>
        <w:tab w:val="clear" w:pos="1492"/>
        <w:tab w:val="num" w:pos="731"/>
      </w:tabs>
      <w:ind w:left="731" w:hanging="657"/>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table" w:customStyle="1" w:styleId="TableGrid10">
    <w:name w:val="Table Grid1"/>
    <w:basedOn w:val="TableNormal"/>
    <w:next w:val="TableGrid"/>
    <w:semiHidden/>
    <w:rsid w:val="008F2EC1"/>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ibn.no/Road-Traffic/Published-reports/2016-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0558-6C32-4073-A609-89330F2C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6</cp:revision>
  <cp:lastPrinted>2016-02-08T14:26:00Z</cp:lastPrinted>
  <dcterms:created xsi:type="dcterms:W3CDTF">2016-08-19T07:46:00Z</dcterms:created>
  <dcterms:modified xsi:type="dcterms:W3CDTF">2016-08-22T11:19:00Z</dcterms:modified>
</cp:coreProperties>
</file>