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C62AC6">
            <w:pPr>
              <w:jc w:val="right"/>
            </w:pPr>
            <w:r w:rsidRPr="00DA7745">
              <w:rPr>
                <w:sz w:val="40"/>
              </w:rPr>
              <w:t>ECE</w:t>
            </w:r>
            <w:r>
              <w:t>/TRANS/WP.15/201</w:t>
            </w:r>
            <w:r w:rsidR="00C62AC6">
              <w:t>6</w:t>
            </w:r>
            <w:r>
              <w:t>/</w:t>
            </w:r>
            <w:r w:rsidR="007109F2">
              <w:t>3</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092AB1" w:rsidP="004140B7">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générale</w:t>
            </w:r>
          </w:p>
          <w:p w:rsidR="00DA7745" w:rsidRDefault="00B92480" w:rsidP="00DA7745">
            <w:pPr>
              <w:spacing w:line="240" w:lineRule="exact"/>
            </w:pPr>
            <w:r>
              <w:t>8</w:t>
            </w:r>
            <w:r w:rsidR="00C62AC6">
              <w:t xml:space="preserve"> fé</w:t>
            </w:r>
            <w:r w:rsidR="002A48CB">
              <w:t>v</w:t>
            </w:r>
            <w:r w:rsidR="00C62AC6">
              <w:t>rier</w:t>
            </w:r>
            <w:r w:rsidR="00DA7745">
              <w:t xml:space="preserve"> 201</w:t>
            </w:r>
            <w:r w:rsidR="007109F2">
              <w:t>6</w:t>
            </w:r>
          </w:p>
          <w:p w:rsidR="00DA7745" w:rsidRDefault="00CD2CE0" w:rsidP="00DA7745">
            <w:pPr>
              <w:spacing w:line="240" w:lineRule="exact"/>
            </w:pPr>
            <w:r>
              <w:t>Français</w:t>
            </w:r>
          </w:p>
          <w:p w:rsidR="00DA7745" w:rsidRPr="00DB58B5" w:rsidRDefault="00DA7745" w:rsidP="00CD2CE0">
            <w:pPr>
              <w:spacing w:line="240" w:lineRule="exact"/>
            </w:pPr>
            <w:r>
              <w:t>Original</w:t>
            </w:r>
            <w:r w:rsidR="00036896">
              <w:t xml:space="preserve">: </w:t>
            </w:r>
            <w:r w:rsidR="00CD2CE0">
              <w:t>f</w:t>
            </w:r>
            <w:r w:rsidR="00036896">
              <w:t>rançais</w:t>
            </w:r>
            <w:r w:rsidR="00CD2CE0">
              <w:t xml:space="preserve"> et anglais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0C376B" w:rsidP="00DA7745">
      <w:pPr>
        <w:spacing w:before="120"/>
        <w:rPr>
          <w:rFonts w:eastAsia="SimSun"/>
          <w:b/>
        </w:rPr>
      </w:pPr>
      <w:r>
        <w:rPr>
          <w:rFonts w:eastAsia="SimSun"/>
          <w:b/>
        </w:rPr>
        <w:t>Cent</w:t>
      </w:r>
      <w:r w:rsidR="00DA7745" w:rsidRPr="004539A2">
        <w:rPr>
          <w:rFonts w:eastAsia="SimSun"/>
          <w:b/>
        </w:rPr>
        <w:t xml:space="preserve">ième session </w:t>
      </w:r>
    </w:p>
    <w:p w:rsidR="00DA7745" w:rsidRPr="004539A2" w:rsidRDefault="00DA7745" w:rsidP="00DA7745">
      <w:pPr>
        <w:rPr>
          <w:rFonts w:eastAsia="SimSun"/>
        </w:rPr>
      </w:pPr>
      <w:r w:rsidRPr="004539A2">
        <w:rPr>
          <w:rFonts w:eastAsia="SimSun"/>
        </w:rPr>
        <w:t xml:space="preserve">Genève, </w:t>
      </w:r>
      <w:r w:rsidR="000C376B">
        <w:rPr>
          <w:rFonts w:eastAsia="SimSun"/>
        </w:rPr>
        <w:t>9</w:t>
      </w:r>
      <w:r>
        <w:rPr>
          <w:rFonts w:eastAsia="SimSun"/>
        </w:rPr>
        <w:t>-</w:t>
      </w:r>
      <w:r w:rsidR="000C376B">
        <w:rPr>
          <w:rFonts w:eastAsia="SimSun"/>
        </w:rPr>
        <w:t>13</w:t>
      </w:r>
      <w:r w:rsidRPr="004539A2">
        <w:rPr>
          <w:rFonts w:eastAsia="SimSun"/>
        </w:rPr>
        <w:t xml:space="preserve"> mai 201</w:t>
      </w:r>
      <w:r w:rsidR="000C376B">
        <w:rPr>
          <w:rFonts w:eastAsia="SimSun"/>
        </w:rPr>
        <w:t>6</w:t>
      </w:r>
      <w:r w:rsidRPr="004539A2">
        <w:rPr>
          <w:rFonts w:eastAsia="SimSun"/>
        </w:rPr>
        <w:t xml:space="preserve"> </w:t>
      </w:r>
    </w:p>
    <w:p w:rsidR="007109F2" w:rsidRDefault="007109F2" w:rsidP="007109F2">
      <w:r>
        <w:t>Point 6 b)</w:t>
      </w:r>
      <w:r w:rsidRPr="00B93E72">
        <w:t xml:space="preserve"> de l’ordre du jour provisoire</w:t>
      </w:r>
    </w:p>
    <w:p w:rsidR="007109F2" w:rsidRPr="001705BC" w:rsidRDefault="007109F2" w:rsidP="007109F2">
      <w:pPr>
        <w:rPr>
          <w:b/>
        </w:rPr>
      </w:pPr>
      <w:r w:rsidRPr="008B32D5">
        <w:rPr>
          <w:b/>
        </w:rPr>
        <w:t>Propositions d'amendement aux annexes A et B de l'ADR:</w:t>
      </w:r>
      <w:r>
        <w:rPr>
          <w:b/>
        </w:rPr>
        <w:t xml:space="preserve"> </w:t>
      </w:r>
      <w:r>
        <w:rPr>
          <w:b/>
        </w:rPr>
        <w:br/>
        <w:t>propositions diverses</w:t>
      </w:r>
    </w:p>
    <w:p w:rsidR="007109F2" w:rsidRPr="00B42AA0" w:rsidRDefault="007109F2" w:rsidP="007109F2">
      <w:pPr>
        <w:pStyle w:val="HChG"/>
      </w:pPr>
      <w:r>
        <w:tab/>
      </w:r>
      <w:r>
        <w:tab/>
      </w:r>
      <w:r w:rsidRPr="00444D62">
        <w:rPr>
          <w:lang w:val="fr-FR"/>
        </w:rPr>
        <w:t>Projet de proposition de modification </w:t>
      </w:r>
      <w:r>
        <w:rPr>
          <w:lang w:val="fr-FR"/>
        </w:rPr>
        <w:t>des</w:t>
      </w:r>
      <w:r w:rsidRPr="00444D62">
        <w:rPr>
          <w:lang w:val="fr-FR"/>
        </w:rPr>
        <w:t xml:space="preserve"> sous-section</w:t>
      </w:r>
      <w:r>
        <w:rPr>
          <w:lang w:val="fr-FR"/>
        </w:rPr>
        <w:t>s 1.1.3.6.4 et</w:t>
      </w:r>
      <w:r w:rsidRPr="00444D62">
        <w:rPr>
          <w:lang w:val="fr-FR"/>
        </w:rPr>
        <w:t xml:space="preserve"> </w:t>
      </w:r>
      <w:r w:rsidRPr="00444D62">
        <w:t xml:space="preserve">5.4.1.1.1 f) </w:t>
      </w:r>
      <w:r>
        <w:t xml:space="preserve"> </w:t>
      </w:r>
    </w:p>
    <w:p w:rsidR="007109F2" w:rsidRDefault="007109F2" w:rsidP="007109F2">
      <w:pPr>
        <w:pStyle w:val="H1G"/>
        <w:rPr>
          <w:lang w:val="fr-FR"/>
        </w:rPr>
      </w:pPr>
      <w:r>
        <w:tab/>
      </w:r>
      <w:r>
        <w:tab/>
      </w:r>
      <w:r w:rsidRPr="00773864">
        <w:rPr>
          <w:lang w:val="fr-FR"/>
        </w:rPr>
        <w:t>Communication de</w:t>
      </w:r>
      <w:r>
        <w:rPr>
          <w:lang w:val="fr-FR"/>
        </w:rPr>
        <w:t xml:space="preserve"> l’</w:t>
      </w:r>
      <w:r w:rsidRPr="00F3592D">
        <w:rPr>
          <w:lang w:val="fr-FR"/>
        </w:rPr>
        <w:t>Union internationale des transports routiers</w:t>
      </w:r>
      <w:r>
        <w:rPr>
          <w:lang w:val="fr-FR"/>
        </w:rPr>
        <w:t xml:space="preserve"> (IRU)</w:t>
      </w:r>
      <w:r w:rsidR="00745FC9">
        <w:rPr>
          <w:rStyle w:val="FootnoteReference"/>
        </w:rPr>
        <w:footnoteReference w:id="2"/>
      </w:r>
    </w:p>
    <w:p w:rsidR="00B92480" w:rsidRDefault="00B92480">
      <w:pPr>
        <w:suppressAutoHyphens w:val="0"/>
        <w:kinsoku/>
        <w:overflowPunct/>
        <w:autoSpaceDE/>
        <w:autoSpaceDN/>
        <w:adjustRightInd/>
        <w:snapToGrid/>
        <w:spacing w:line="240" w:lineRule="auto"/>
        <w:rPr>
          <w:b/>
          <w:sz w:val="24"/>
          <w:lang w:val="fr-FR"/>
        </w:rPr>
      </w:pPr>
      <w:r>
        <w:rPr>
          <w:b/>
          <w:sz w:val="24"/>
          <w:lang w:val="fr-FR"/>
        </w:rPr>
        <w:br w:type="page"/>
      </w:r>
    </w:p>
    <w:p w:rsidR="00B92480" w:rsidRPr="00B92480" w:rsidRDefault="00B92480" w:rsidP="00B92480">
      <w:pPr>
        <w:rPr>
          <w:lang w:val="fr-FR"/>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109F2" w:rsidRPr="00DD785B" w:rsidTr="007F58BB">
        <w:trPr>
          <w:jc w:val="center"/>
        </w:trPr>
        <w:tc>
          <w:tcPr>
            <w:tcW w:w="9637" w:type="dxa"/>
            <w:shd w:val="clear" w:color="auto" w:fill="auto"/>
          </w:tcPr>
          <w:p w:rsidR="007109F2" w:rsidRPr="00DD785B" w:rsidRDefault="007109F2" w:rsidP="007F58BB">
            <w:pPr>
              <w:spacing w:before="240" w:after="120"/>
              <w:ind w:left="255"/>
              <w:rPr>
                <w:i/>
                <w:sz w:val="24"/>
                <w:lang w:val="fr-FR"/>
              </w:rPr>
            </w:pPr>
            <w:r w:rsidRPr="00DD785B">
              <w:rPr>
                <w:i/>
                <w:sz w:val="24"/>
                <w:lang w:val="fr-FR"/>
              </w:rPr>
              <w:t xml:space="preserve">Résumé </w:t>
            </w:r>
          </w:p>
        </w:tc>
      </w:tr>
      <w:tr w:rsidR="007109F2" w:rsidRPr="00DD785B" w:rsidTr="00952BA5">
        <w:trPr>
          <w:jc w:val="center"/>
        </w:trPr>
        <w:tc>
          <w:tcPr>
            <w:tcW w:w="9637" w:type="dxa"/>
            <w:shd w:val="clear" w:color="auto" w:fill="auto"/>
          </w:tcPr>
          <w:p w:rsidR="007109F2" w:rsidRPr="00F55693" w:rsidRDefault="007109F2" w:rsidP="007F58BB">
            <w:pPr>
              <w:pStyle w:val="SingleTxtG"/>
              <w:ind w:left="3401" w:hanging="2267"/>
              <w:rPr>
                <w:iCs/>
                <w:lang w:val="fr-FR"/>
              </w:rPr>
            </w:pPr>
            <w:r w:rsidRPr="00DD785B">
              <w:rPr>
                <w:b/>
                <w:lang w:val="fr-FR"/>
              </w:rPr>
              <w:t>Résumé analytique</w:t>
            </w:r>
            <w:r>
              <w:rPr>
                <w:b/>
                <w:lang w:val="fr-FR"/>
              </w:rPr>
              <w:t>:</w:t>
            </w:r>
            <w:r w:rsidRPr="00DD785B">
              <w:rPr>
                <w:b/>
                <w:lang w:val="fr-FR"/>
              </w:rPr>
              <w:tab/>
            </w:r>
            <w:r w:rsidRPr="00F55693">
              <w:rPr>
                <w:iCs/>
                <w:lang w:val="fr-FR"/>
              </w:rPr>
              <w:t xml:space="preserve">Suite à la décision des délégués lors de la dernière réunion du </w:t>
            </w:r>
            <w:r w:rsidR="0011622B">
              <w:rPr>
                <w:iCs/>
                <w:lang w:val="fr-FR"/>
              </w:rPr>
              <w:t>Groupe de travail</w:t>
            </w:r>
            <w:r w:rsidRPr="00F55693">
              <w:rPr>
                <w:iCs/>
                <w:lang w:val="fr-FR"/>
              </w:rPr>
              <w:t>, l’IRU a été priée de reformuler sa requête pour que les parties contractantes de l’ADR puissent analyser le sujet en tenant mieux compte des situations diverses telles qu’expliquées concernant les tâches/responsabilités des transporteurs non-ADR.</w:t>
            </w:r>
          </w:p>
          <w:p w:rsidR="007109F2" w:rsidRPr="007109F2" w:rsidRDefault="007109F2" w:rsidP="007F58BB">
            <w:pPr>
              <w:pStyle w:val="SingleTxtG"/>
              <w:ind w:left="3401"/>
              <w:rPr>
                <w:rFonts w:ascii="Arial" w:eastAsia="Calibri" w:hAnsi="Arial"/>
                <w:sz w:val="22"/>
                <w:lang w:val="fr-FR"/>
              </w:rPr>
            </w:pPr>
            <w:r w:rsidRPr="00444D62">
              <w:rPr>
                <w:iCs/>
                <w:lang w:val="fr-FR"/>
              </w:rPr>
              <w:t xml:space="preserve">L’interprétation de la sous-section 5.4.1.1.1 f) pose des problèmes aux entreprises de transport dont les chauffeurs sont </w:t>
            </w:r>
            <w:r w:rsidR="00036896" w:rsidRPr="00444D62">
              <w:rPr>
                <w:iCs/>
                <w:lang w:val="fr-FR"/>
              </w:rPr>
              <w:t>non-initiés</w:t>
            </w:r>
            <w:r w:rsidRPr="00444D62">
              <w:rPr>
                <w:iCs/>
                <w:lang w:val="fr-FR"/>
              </w:rPr>
              <w:t xml:space="preserve"> à l’ADR</w:t>
            </w:r>
            <w:r>
              <w:rPr>
                <w:iCs/>
                <w:lang w:val="fr-FR"/>
              </w:rPr>
              <w:t>.</w:t>
            </w:r>
            <w:r w:rsidRPr="007109F2">
              <w:rPr>
                <w:rFonts w:ascii="Arial" w:eastAsia="Calibri" w:hAnsi="Arial"/>
                <w:sz w:val="22"/>
                <w:lang w:val="fr-FR"/>
              </w:rPr>
              <w:t xml:space="preserve"> </w:t>
            </w:r>
          </w:p>
          <w:p w:rsidR="007109F2" w:rsidRDefault="007109F2" w:rsidP="007F58BB">
            <w:pPr>
              <w:pStyle w:val="SingleTxtG"/>
              <w:ind w:left="3401"/>
              <w:rPr>
                <w:iCs/>
                <w:lang w:val="fr-FR"/>
              </w:rPr>
            </w:pPr>
            <w:r w:rsidRPr="00444D62">
              <w:rPr>
                <w:iCs/>
                <w:lang w:val="fr-FR"/>
              </w:rPr>
              <w:t xml:space="preserve">Le conducteur effectuant quotidiennement </w:t>
            </w:r>
            <w:r>
              <w:rPr>
                <w:iCs/>
                <w:lang w:val="fr-FR"/>
              </w:rPr>
              <w:t>des</w:t>
            </w:r>
            <w:r w:rsidRPr="00444D62">
              <w:rPr>
                <w:iCs/>
                <w:lang w:val="fr-FR"/>
              </w:rPr>
              <w:t xml:space="preserve"> livraison</w:t>
            </w:r>
            <w:r>
              <w:rPr>
                <w:iCs/>
                <w:lang w:val="fr-FR"/>
              </w:rPr>
              <w:t>s</w:t>
            </w:r>
            <w:r w:rsidRPr="00444D62">
              <w:rPr>
                <w:iCs/>
                <w:lang w:val="fr-FR"/>
              </w:rPr>
              <w:t xml:space="preserve"> peut se trouver en toute irrégularité, car il ne dispose pas en général du règlement ADR, et il lui est impossible d’effectuer le calcul des valeurs (en points) selon le 1.1.3.6</w:t>
            </w:r>
            <w:r>
              <w:rPr>
                <w:iCs/>
                <w:lang w:val="fr-FR"/>
              </w:rPr>
              <w:t>.</w:t>
            </w:r>
          </w:p>
          <w:p w:rsidR="007109F2" w:rsidRPr="00444D62" w:rsidRDefault="007109F2" w:rsidP="007F58BB">
            <w:pPr>
              <w:pStyle w:val="SingleTxtG"/>
              <w:ind w:left="3401"/>
              <w:rPr>
                <w:iCs/>
                <w:lang w:val="fr-FR"/>
              </w:rPr>
            </w:pPr>
            <w:r>
              <w:rPr>
                <w:iCs/>
                <w:lang w:val="fr-FR"/>
              </w:rPr>
              <w:t>L</w:t>
            </w:r>
            <w:r w:rsidRPr="00444D62">
              <w:rPr>
                <w:iCs/>
                <w:lang w:val="fr-FR"/>
              </w:rPr>
              <w:t>a quantité totale des marchandises dangereuses de chaque catégorie de transport et la somme de ces valeurs en points doivent être indiquées dans le document de transport conformément au 1.1.3.6.3</w:t>
            </w:r>
            <w:r>
              <w:rPr>
                <w:iCs/>
                <w:lang w:val="fr-FR"/>
              </w:rPr>
              <w:t>.</w:t>
            </w:r>
          </w:p>
          <w:p w:rsidR="00952BA5" w:rsidRPr="00444D62" w:rsidRDefault="007109F2" w:rsidP="002A48CB">
            <w:pPr>
              <w:pStyle w:val="SingleTxtG"/>
              <w:spacing w:after="0"/>
              <w:ind w:left="3402" w:hanging="2268"/>
              <w:rPr>
                <w:lang w:val="fr-FR"/>
              </w:rPr>
            </w:pPr>
            <w:r>
              <w:rPr>
                <w:b/>
                <w:lang w:val="fr-FR"/>
              </w:rPr>
              <w:t>Décision</w:t>
            </w:r>
            <w:r w:rsidRPr="00DD785B">
              <w:rPr>
                <w:b/>
                <w:lang w:val="fr-FR"/>
              </w:rPr>
              <w:t xml:space="preserve"> à prendre</w:t>
            </w:r>
            <w:r>
              <w:rPr>
                <w:b/>
                <w:lang w:val="fr-FR"/>
              </w:rPr>
              <w:t>:</w:t>
            </w:r>
            <w:r w:rsidRPr="00DD785B">
              <w:rPr>
                <w:b/>
                <w:lang w:val="fr-FR"/>
              </w:rPr>
              <w:tab/>
            </w:r>
            <w:r w:rsidRPr="005B2CEF">
              <w:rPr>
                <w:lang w:val="fr-FR"/>
              </w:rPr>
              <w:t xml:space="preserve">Modifier </w:t>
            </w:r>
            <w:r>
              <w:rPr>
                <w:lang w:val="fr-FR"/>
              </w:rPr>
              <w:t>l</w:t>
            </w:r>
            <w:r w:rsidR="002A48CB">
              <w:rPr>
                <w:lang w:val="fr-FR"/>
              </w:rPr>
              <w:t>e</w:t>
            </w:r>
            <w:r>
              <w:rPr>
                <w:lang w:val="fr-FR"/>
              </w:rPr>
              <w:t xml:space="preserve"> Nota 1 de la sous-section 5.4.1.1.1 f)</w:t>
            </w:r>
          </w:p>
        </w:tc>
      </w:tr>
      <w:tr w:rsidR="00952BA5" w:rsidRPr="00DD785B" w:rsidTr="00952BA5">
        <w:trPr>
          <w:jc w:val="center"/>
        </w:trPr>
        <w:tc>
          <w:tcPr>
            <w:tcW w:w="9637" w:type="dxa"/>
            <w:shd w:val="clear" w:color="auto" w:fill="auto"/>
          </w:tcPr>
          <w:p w:rsidR="00952BA5" w:rsidRPr="00DD785B" w:rsidRDefault="00952BA5" w:rsidP="007F58BB">
            <w:pPr>
              <w:pStyle w:val="SingleTxtG"/>
              <w:ind w:left="3401" w:hanging="2267"/>
              <w:rPr>
                <w:b/>
                <w:lang w:val="fr-FR"/>
              </w:rPr>
            </w:pPr>
          </w:p>
        </w:tc>
      </w:tr>
    </w:tbl>
    <w:p w:rsidR="007109F2" w:rsidRPr="0072378C" w:rsidRDefault="007109F2" w:rsidP="007109F2">
      <w:pPr>
        <w:pStyle w:val="HChG"/>
        <w:tabs>
          <w:tab w:val="clear" w:pos="851"/>
        </w:tabs>
        <w:ind w:left="567" w:right="1139" w:firstLine="567"/>
      </w:pPr>
      <w:r w:rsidRPr="0072378C">
        <w:t>Introduction</w:t>
      </w:r>
    </w:p>
    <w:p w:rsidR="007109F2" w:rsidRPr="00F37605" w:rsidRDefault="007109F2" w:rsidP="007109F2">
      <w:pPr>
        <w:pStyle w:val="SingleTxtG"/>
      </w:pPr>
      <w:r>
        <w:t>1.</w:t>
      </w:r>
      <w:r>
        <w:tab/>
      </w:r>
      <w:r w:rsidRPr="00F37605">
        <w:t>Le ou les documents de transport doivent fournir les renseignements stipulés dans la sous-section 5.4.1.1 de l’ADR.</w:t>
      </w:r>
      <w:r>
        <w:t xml:space="preserve"> </w:t>
      </w:r>
      <w:r w:rsidRPr="00F37605">
        <w:t>Le texte actuel de l’ADR à la sous-sect</w:t>
      </w:r>
      <w:r w:rsidR="00377335">
        <w:t>ion 5.4.1.1.1 f) est le suivant</w:t>
      </w:r>
      <w:r w:rsidRPr="00F37605">
        <w:t>:</w:t>
      </w:r>
    </w:p>
    <w:p w:rsidR="007109F2" w:rsidRPr="00F37605" w:rsidRDefault="00377335" w:rsidP="007109F2">
      <w:pPr>
        <w:pStyle w:val="SingleTxtG"/>
        <w:rPr>
          <w:lang w:val="fr-FR"/>
        </w:rPr>
      </w:pPr>
      <w:r>
        <w:t>«</w:t>
      </w:r>
      <w:r w:rsidR="007109F2" w:rsidRPr="00F37605">
        <w:t>l</w:t>
      </w:r>
      <w:r w:rsidR="007109F2" w:rsidRPr="00F37605">
        <w:rPr>
          <w:lang w:val="fr-FR"/>
        </w:rPr>
        <w:t>a quantité totale de chaque marchandise dangereuse caractérisée par son numéro ONU, sa désignation officielle de transport et un groupe d'emballage (exprimée en volume ou en masse brute, ou en masse nette selon le cas);</w:t>
      </w:r>
    </w:p>
    <w:p w:rsidR="007109F2" w:rsidRPr="00F37605" w:rsidRDefault="007109F2" w:rsidP="007109F2">
      <w:pPr>
        <w:pStyle w:val="SingleTxtG"/>
        <w:rPr>
          <w:i/>
          <w:iCs/>
          <w:lang w:val="fr-FR"/>
        </w:rPr>
      </w:pPr>
      <w:r w:rsidRPr="00F37605">
        <w:rPr>
          <w:b/>
          <w:i/>
          <w:lang w:val="fr-FR"/>
        </w:rPr>
        <w:tab/>
        <w:t>NOTA</w:t>
      </w:r>
      <w:r w:rsidRPr="00F37605">
        <w:rPr>
          <w:b/>
          <w:i/>
          <w:lang w:val="fr-FR"/>
        </w:rPr>
        <w:tab/>
        <w:t xml:space="preserve"> 1</w:t>
      </w:r>
      <w:r w:rsidRPr="00F37605">
        <w:rPr>
          <w:b/>
          <w:bCs/>
          <w:i/>
          <w:lang w:val="fr-FR"/>
        </w:rPr>
        <w:t>:</w:t>
      </w:r>
      <w:r w:rsidRPr="00F37605">
        <w:rPr>
          <w:i/>
          <w:lang w:val="fr-FR"/>
        </w:rPr>
        <w:t xml:space="preserve"> </w:t>
      </w:r>
      <w:r w:rsidRPr="00F37605">
        <w:rPr>
          <w:i/>
          <w:iCs/>
          <w:lang w:val="fr-FR"/>
        </w:rPr>
        <w:t>Dans le cas où il est envisagé d'appliquer le 1.1.3.6, la quantité totale des marchandises dangereuses de chaque catégorie de transport doit être indiquée dans le document de transport conformément a</w:t>
      </w:r>
      <w:r w:rsidR="00377335">
        <w:rPr>
          <w:i/>
          <w:iCs/>
          <w:lang w:val="fr-FR"/>
        </w:rPr>
        <w:t>u 1.1.3.6.3.</w:t>
      </w:r>
      <w:r w:rsidRPr="00F37605">
        <w:rPr>
          <w:i/>
          <w:iCs/>
          <w:lang w:val="fr-FR"/>
        </w:rPr>
        <w:t>»</w:t>
      </w:r>
    </w:p>
    <w:p w:rsidR="007109F2" w:rsidRPr="00F37605" w:rsidRDefault="007109F2" w:rsidP="007109F2">
      <w:pPr>
        <w:pStyle w:val="SingleTxtG"/>
        <w:rPr>
          <w:iCs/>
          <w:lang w:val="fr-FR"/>
        </w:rPr>
      </w:pPr>
      <w:r>
        <w:rPr>
          <w:iCs/>
          <w:lang w:val="fr-FR"/>
        </w:rPr>
        <w:t>2.</w:t>
      </w:r>
      <w:r>
        <w:rPr>
          <w:iCs/>
          <w:lang w:val="fr-FR"/>
        </w:rPr>
        <w:tab/>
      </w:r>
      <w:r w:rsidRPr="00F37605">
        <w:rPr>
          <w:iCs/>
          <w:lang w:val="fr-FR"/>
        </w:rPr>
        <w:t xml:space="preserve">L’interprétation de la sous-section 5.4.1.1.1 f) pose des problèmes aux entreprises de transport dont les chauffeurs sont </w:t>
      </w:r>
      <w:r w:rsidR="00036896" w:rsidRPr="00F37605">
        <w:rPr>
          <w:iCs/>
          <w:lang w:val="fr-FR"/>
        </w:rPr>
        <w:t>non-initiés</w:t>
      </w:r>
      <w:r w:rsidRPr="00F37605">
        <w:rPr>
          <w:iCs/>
          <w:lang w:val="fr-FR"/>
        </w:rPr>
        <w:t xml:space="preserve"> à l’ADR.</w:t>
      </w:r>
      <w:r>
        <w:rPr>
          <w:iCs/>
          <w:lang w:val="fr-FR"/>
        </w:rPr>
        <w:t xml:space="preserve"> </w:t>
      </w:r>
      <w:r w:rsidR="002A48CB">
        <w:rPr>
          <w:iCs/>
          <w:lang w:val="fr-FR"/>
        </w:rPr>
        <w:t>É</w:t>
      </w:r>
      <w:r w:rsidRPr="00F55693">
        <w:rPr>
          <w:iCs/>
          <w:lang w:val="fr-FR"/>
        </w:rPr>
        <w:t>tant donné que les conducteurs ne possèdent pas forcément la formation ADR, confirmée par un examen conforme à celui prescrit à la sous-section 8.2.2.1 et que, contrairement aux règles, la formation selon la section 8.2.3, qui spécifie une formation minimale adaptée à leurs responsabilités et fonction selon le chapitre 1.3, n’est que rarement dispensée, les conducteurs effectuent leur tournée de livraison sans se soucier de ce qu’il peut se passe</w:t>
      </w:r>
      <w:r w:rsidR="00377335">
        <w:rPr>
          <w:iCs/>
          <w:lang w:val="fr-FR"/>
        </w:rPr>
        <w:t>r, comme dans l’exemple suivant</w:t>
      </w:r>
      <w:r w:rsidR="002A48CB">
        <w:rPr>
          <w:iCs/>
          <w:lang w:val="fr-FR"/>
        </w:rPr>
        <w:t>.</w:t>
      </w:r>
    </w:p>
    <w:p w:rsidR="007109F2" w:rsidRPr="00F37605" w:rsidRDefault="007109F2" w:rsidP="007109F2">
      <w:pPr>
        <w:pStyle w:val="SingleTxtG"/>
        <w:rPr>
          <w:lang w:val="fr-FR"/>
        </w:rPr>
      </w:pPr>
      <w:r>
        <w:rPr>
          <w:lang w:val="fr-FR"/>
        </w:rPr>
        <w:t>3.</w:t>
      </w:r>
      <w:r>
        <w:rPr>
          <w:lang w:val="fr-FR"/>
        </w:rPr>
        <w:tab/>
      </w:r>
      <w:r w:rsidRPr="00F37605">
        <w:rPr>
          <w:lang w:val="fr-FR"/>
        </w:rPr>
        <w:t xml:space="preserve">Un conducteur ne possédant pas de certificat de formation ADR effectue sa </w:t>
      </w:r>
      <w:r w:rsidR="00377335">
        <w:rPr>
          <w:lang w:val="fr-FR"/>
        </w:rPr>
        <w:t>tournée de livraison comme suit</w:t>
      </w:r>
      <w:r w:rsidRPr="00F37605">
        <w:rPr>
          <w:lang w:val="fr-FR"/>
        </w:rPr>
        <w:t>:</w:t>
      </w:r>
    </w:p>
    <w:p w:rsidR="007109F2" w:rsidRPr="00F37605" w:rsidRDefault="002A48CB" w:rsidP="007109F2">
      <w:pPr>
        <w:pStyle w:val="SingleTxtG"/>
        <w:numPr>
          <w:ilvl w:val="0"/>
          <w:numId w:val="15"/>
        </w:numPr>
        <w:kinsoku/>
        <w:overflowPunct/>
        <w:autoSpaceDE/>
        <w:autoSpaceDN/>
        <w:adjustRightInd/>
        <w:snapToGrid/>
        <w:rPr>
          <w:lang w:val="fr-FR"/>
        </w:rPr>
      </w:pPr>
      <w:r>
        <w:rPr>
          <w:lang w:val="fr-FR"/>
        </w:rPr>
        <w:t>Á</w:t>
      </w:r>
      <w:r w:rsidR="007109F2" w:rsidRPr="00F37605">
        <w:rPr>
          <w:lang w:val="fr-FR"/>
        </w:rPr>
        <w:t xml:space="preserve"> 14 heures, il reçoit un appel du bureau d’expédition pour effectuer un enlè</w:t>
      </w:r>
      <w:r>
        <w:rPr>
          <w:lang w:val="fr-FR"/>
        </w:rPr>
        <w:t>vement auprès de l’entreprise X:</w:t>
      </w:r>
      <w:r w:rsidR="007109F2" w:rsidRPr="00F37605">
        <w:rPr>
          <w:lang w:val="fr-FR"/>
        </w:rPr>
        <w:t xml:space="preserve"> </w:t>
      </w:r>
    </w:p>
    <w:p w:rsidR="007109F2" w:rsidRPr="00F37605" w:rsidRDefault="007109F2" w:rsidP="002772E8">
      <w:pPr>
        <w:pStyle w:val="SingleTxtG"/>
        <w:numPr>
          <w:ilvl w:val="0"/>
          <w:numId w:val="16"/>
        </w:numPr>
        <w:kinsoku/>
        <w:overflowPunct/>
        <w:autoSpaceDE/>
        <w:autoSpaceDN/>
        <w:adjustRightInd/>
        <w:snapToGrid/>
        <w:ind w:left="2268" w:hanging="567"/>
        <w:rPr>
          <w:lang w:val="fr-FR"/>
        </w:rPr>
      </w:pPr>
      <w:r w:rsidRPr="00F37605">
        <w:rPr>
          <w:lang w:val="fr-FR"/>
        </w:rPr>
        <w:lastRenderedPageBreak/>
        <w:t xml:space="preserve">Chargement </w:t>
      </w:r>
      <w:r>
        <w:rPr>
          <w:lang w:val="fr-FR"/>
        </w:rPr>
        <w:t>de 20 litres</w:t>
      </w:r>
      <w:r w:rsidRPr="00F37605">
        <w:rPr>
          <w:lang w:val="fr-FR"/>
        </w:rPr>
        <w:t xml:space="preserve"> UN 1016 Monoxyde de carbone comprimé, 2.3 (2.1).</w:t>
      </w:r>
    </w:p>
    <w:p w:rsidR="007109F2" w:rsidRPr="00F37605" w:rsidRDefault="007109F2" w:rsidP="007109F2">
      <w:pPr>
        <w:pStyle w:val="SingleTxtG"/>
        <w:numPr>
          <w:ilvl w:val="0"/>
          <w:numId w:val="15"/>
        </w:numPr>
        <w:kinsoku/>
        <w:overflowPunct/>
        <w:autoSpaceDE/>
        <w:autoSpaceDN/>
        <w:adjustRightInd/>
        <w:snapToGrid/>
        <w:rPr>
          <w:lang w:val="fr-FR"/>
        </w:rPr>
      </w:pPr>
      <w:r w:rsidRPr="00F37605">
        <w:rPr>
          <w:lang w:val="fr-FR"/>
        </w:rPr>
        <w:t>Ensuite vers les 14 heures 40 min</w:t>
      </w:r>
      <w:r w:rsidR="00377335">
        <w:rPr>
          <w:lang w:val="fr-FR"/>
        </w:rPr>
        <w:t>utes, nouvel ordre d’enlèvement</w:t>
      </w:r>
      <w:r w:rsidRPr="00F37605">
        <w:rPr>
          <w:lang w:val="fr-FR"/>
        </w:rPr>
        <w:t xml:space="preserve">: </w:t>
      </w:r>
    </w:p>
    <w:p w:rsidR="007109F2" w:rsidRPr="00F37605" w:rsidRDefault="007109F2" w:rsidP="002772E8">
      <w:pPr>
        <w:pStyle w:val="SingleTxtG"/>
        <w:numPr>
          <w:ilvl w:val="0"/>
          <w:numId w:val="16"/>
        </w:numPr>
        <w:kinsoku/>
        <w:overflowPunct/>
        <w:autoSpaceDE/>
        <w:autoSpaceDN/>
        <w:adjustRightInd/>
        <w:snapToGrid/>
        <w:ind w:left="2268" w:hanging="567"/>
        <w:rPr>
          <w:lang w:val="fr-FR"/>
        </w:rPr>
      </w:pPr>
      <w:r w:rsidRPr="00F37605">
        <w:rPr>
          <w:lang w:val="fr-FR"/>
        </w:rPr>
        <w:t xml:space="preserve">30 litres </w:t>
      </w:r>
      <w:r w:rsidR="002A48CB">
        <w:rPr>
          <w:lang w:val="fr-FR"/>
        </w:rPr>
        <w:t xml:space="preserve">UN 1090 Acétone, 3, </w:t>
      </w:r>
      <w:proofErr w:type="spellStart"/>
      <w:r w:rsidR="002A48CB">
        <w:rPr>
          <w:lang w:val="fr-FR"/>
        </w:rPr>
        <w:t>ll</w:t>
      </w:r>
      <w:proofErr w:type="spellEnd"/>
      <w:r w:rsidRPr="00F37605">
        <w:rPr>
          <w:lang w:val="fr-FR"/>
        </w:rPr>
        <w:t>; auprès de l’entreprise Z.</w:t>
      </w:r>
    </w:p>
    <w:p w:rsidR="007109F2" w:rsidRPr="00F37605" w:rsidRDefault="007109F2" w:rsidP="007109F2">
      <w:pPr>
        <w:pStyle w:val="SingleTxtG"/>
        <w:numPr>
          <w:ilvl w:val="0"/>
          <w:numId w:val="15"/>
        </w:numPr>
        <w:kinsoku/>
        <w:overflowPunct/>
        <w:autoSpaceDE/>
        <w:autoSpaceDN/>
        <w:adjustRightInd/>
        <w:snapToGrid/>
        <w:rPr>
          <w:lang w:val="fr-FR"/>
        </w:rPr>
      </w:pPr>
      <w:r w:rsidRPr="00F37605">
        <w:rPr>
          <w:lang w:val="fr-FR"/>
        </w:rPr>
        <w:t>Pour finalement obtenir une dernière demande à 15 heures 30 minu</w:t>
      </w:r>
      <w:r w:rsidR="002A48CB">
        <w:rPr>
          <w:lang w:val="fr-FR"/>
        </w:rPr>
        <w:t>tes</w:t>
      </w:r>
      <w:r w:rsidR="00377335">
        <w:rPr>
          <w:lang w:val="fr-FR"/>
        </w:rPr>
        <w:t>; nouvel ordre d’enlèvement</w:t>
      </w:r>
      <w:r w:rsidRPr="00F37605">
        <w:rPr>
          <w:lang w:val="fr-FR"/>
        </w:rPr>
        <w:t xml:space="preserve">: </w:t>
      </w:r>
    </w:p>
    <w:p w:rsidR="007109F2" w:rsidRPr="00F37605" w:rsidRDefault="007109F2" w:rsidP="002772E8">
      <w:pPr>
        <w:pStyle w:val="SingleTxtG"/>
        <w:numPr>
          <w:ilvl w:val="0"/>
          <w:numId w:val="16"/>
        </w:numPr>
        <w:kinsoku/>
        <w:overflowPunct/>
        <w:autoSpaceDE/>
        <w:autoSpaceDN/>
        <w:adjustRightInd/>
        <w:snapToGrid/>
        <w:ind w:left="2268" w:hanging="567"/>
        <w:rPr>
          <w:lang w:val="fr-FR"/>
        </w:rPr>
      </w:pPr>
      <w:r w:rsidRPr="00F37605">
        <w:rPr>
          <w:lang w:val="fr-FR"/>
        </w:rPr>
        <w:t xml:space="preserve">50 litres UN 1888 Chloroforme, 6.1, </w:t>
      </w:r>
      <w:proofErr w:type="spellStart"/>
      <w:r w:rsidRPr="00F37605">
        <w:rPr>
          <w:lang w:val="fr-FR"/>
        </w:rPr>
        <w:t>lll</w:t>
      </w:r>
      <w:proofErr w:type="spellEnd"/>
      <w:r w:rsidRPr="00F37605">
        <w:rPr>
          <w:lang w:val="fr-FR"/>
        </w:rPr>
        <w:t>.</w:t>
      </w:r>
    </w:p>
    <w:p w:rsidR="007109F2" w:rsidRDefault="007109F2" w:rsidP="007109F2">
      <w:pPr>
        <w:pStyle w:val="HChG"/>
        <w:tabs>
          <w:tab w:val="clear" w:pos="851"/>
        </w:tabs>
        <w:ind w:left="567" w:right="0" w:firstLine="567"/>
      </w:pPr>
      <w:r>
        <w:t xml:space="preserve">Observations </w:t>
      </w:r>
    </w:p>
    <w:p w:rsidR="007109F2" w:rsidRPr="00F37605" w:rsidRDefault="007109F2" w:rsidP="007109F2">
      <w:pPr>
        <w:pStyle w:val="SingleTxtG"/>
        <w:rPr>
          <w:iCs/>
          <w:lang w:val="fr-FR"/>
        </w:rPr>
      </w:pPr>
      <w:r>
        <w:rPr>
          <w:iCs/>
          <w:lang w:val="fr-FR"/>
        </w:rPr>
        <w:t>4.</w:t>
      </w:r>
      <w:r>
        <w:rPr>
          <w:iCs/>
          <w:lang w:val="fr-FR"/>
        </w:rPr>
        <w:tab/>
      </w:r>
      <w:r w:rsidRPr="00F55693">
        <w:rPr>
          <w:iCs/>
          <w:lang w:val="fr-FR"/>
        </w:rPr>
        <w:t xml:space="preserve">Comme mentionné lors de la dernière réunion du </w:t>
      </w:r>
      <w:r w:rsidR="002A48CB">
        <w:rPr>
          <w:iCs/>
          <w:lang w:val="fr-FR"/>
        </w:rPr>
        <w:t>groupe de travail</w:t>
      </w:r>
      <w:r w:rsidRPr="00F55693">
        <w:rPr>
          <w:iCs/>
          <w:lang w:val="fr-FR"/>
        </w:rPr>
        <w:t>, il serait utile, pour les personnes impliquées dans les opérations</w:t>
      </w:r>
      <w:r w:rsidR="00377335">
        <w:rPr>
          <w:iCs/>
          <w:lang w:val="fr-FR"/>
        </w:rPr>
        <w:t xml:space="preserve"> de transport, d’indiquer les «valeurs calculées</w:t>
      </w:r>
      <w:r w:rsidRPr="00F55693">
        <w:rPr>
          <w:iCs/>
          <w:lang w:val="fr-FR"/>
        </w:rPr>
        <w:t xml:space="preserve">» sur le document de transport lorsque le 1.1.3.6 est utilisé. Cette proposition a été validée en principe par les </w:t>
      </w:r>
      <w:r w:rsidR="002A48CB">
        <w:rPr>
          <w:iCs/>
          <w:lang w:val="fr-FR"/>
        </w:rPr>
        <w:t>P</w:t>
      </w:r>
      <w:r w:rsidRPr="00F55693">
        <w:rPr>
          <w:iCs/>
          <w:lang w:val="fr-FR"/>
        </w:rPr>
        <w:t>arties contractantes</w:t>
      </w:r>
      <w:r w:rsidRPr="00F37605">
        <w:rPr>
          <w:iCs/>
          <w:lang w:val="fr-FR"/>
        </w:rPr>
        <w:t>.</w:t>
      </w:r>
    </w:p>
    <w:p w:rsidR="007109F2" w:rsidRPr="00F37605" w:rsidRDefault="007109F2" w:rsidP="007109F2">
      <w:pPr>
        <w:pStyle w:val="SingleTxtG"/>
        <w:rPr>
          <w:iCs/>
          <w:lang w:val="fr-FR"/>
        </w:rPr>
      </w:pPr>
      <w:r>
        <w:rPr>
          <w:iCs/>
          <w:lang w:val="fr-FR"/>
        </w:rPr>
        <w:t>5.</w:t>
      </w:r>
      <w:r>
        <w:rPr>
          <w:iCs/>
          <w:lang w:val="fr-FR"/>
        </w:rPr>
        <w:tab/>
      </w:r>
      <w:r w:rsidRPr="00F55693">
        <w:rPr>
          <w:iCs/>
          <w:lang w:val="fr-FR"/>
        </w:rPr>
        <w:t xml:space="preserve">Plusieurs </w:t>
      </w:r>
      <w:r w:rsidR="002A48CB">
        <w:rPr>
          <w:iCs/>
          <w:lang w:val="fr-FR"/>
        </w:rPr>
        <w:t>P</w:t>
      </w:r>
      <w:r w:rsidRPr="00F55693">
        <w:rPr>
          <w:iCs/>
          <w:lang w:val="fr-FR"/>
        </w:rPr>
        <w:t>arties contractantes ont en effet indiqué que ces informations devraient être communiquées de manière appropriée dans le document de transport en cas d’utilisation du 1.1.3.6 par les expéditeurs et les transporteurs. Le document de transport devrait en effet inclure toutes les références nécessaires aux catégories de transport, ainsi que les valeurs calculées figurant au 1.1.3.6.4</w:t>
      </w:r>
      <w:r w:rsidRPr="00F37605">
        <w:rPr>
          <w:iCs/>
          <w:lang w:val="fr-FR"/>
        </w:rPr>
        <w:t xml:space="preserve">. </w:t>
      </w:r>
    </w:p>
    <w:p w:rsidR="007109F2" w:rsidRDefault="007109F2" w:rsidP="007109F2">
      <w:pPr>
        <w:pStyle w:val="SingleTxtG"/>
        <w:rPr>
          <w:iCs/>
          <w:lang w:val="fr-FR"/>
        </w:rPr>
      </w:pPr>
      <w:r>
        <w:rPr>
          <w:iCs/>
          <w:lang w:val="fr-FR"/>
        </w:rPr>
        <w:t>6.</w:t>
      </w:r>
      <w:r>
        <w:rPr>
          <w:iCs/>
          <w:lang w:val="fr-FR"/>
        </w:rPr>
        <w:tab/>
      </w:r>
      <w:r w:rsidRPr="00F55693">
        <w:rPr>
          <w:iCs/>
          <w:lang w:val="fr-FR"/>
        </w:rPr>
        <w:t>La sous-section 5.4.1.1 de l’ADR</w:t>
      </w:r>
      <w:r w:rsidRPr="00F55693" w:rsidDel="00BA6A7D">
        <w:rPr>
          <w:iCs/>
          <w:lang w:val="fr-FR"/>
        </w:rPr>
        <w:t xml:space="preserve"> </w:t>
      </w:r>
      <w:r w:rsidRPr="00F55693">
        <w:rPr>
          <w:iCs/>
          <w:lang w:val="fr-FR"/>
        </w:rPr>
        <w:t xml:space="preserve">ne mentionne pas les valeurs calculées nécessaires pour déterminer la quantité maximale selon la sous-section 1.1.3.6. En théorie, ceci implique que les </w:t>
      </w:r>
      <w:r w:rsidR="002A48CB">
        <w:rPr>
          <w:iCs/>
          <w:lang w:val="fr-FR"/>
        </w:rPr>
        <w:t>conducteurs</w:t>
      </w:r>
      <w:r w:rsidRPr="00F55693">
        <w:rPr>
          <w:iCs/>
          <w:lang w:val="fr-FR"/>
        </w:rPr>
        <w:t xml:space="preserve"> doivent connaître tous les calculs en fonction de la catégorie de transport pour chaque marchandise dangereuse</w:t>
      </w:r>
      <w:r w:rsidRPr="00F37605">
        <w:rPr>
          <w:iCs/>
          <w:lang w:val="fr-FR"/>
        </w:rPr>
        <w:t>.</w:t>
      </w:r>
    </w:p>
    <w:p w:rsidR="007109F2" w:rsidRDefault="007109F2" w:rsidP="007109F2">
      <w:pPr>
        <w:pStyle w:val="SingleTxtG"/>
        <w:rPr>
          <w:iCs/>
        </w:rPr>
      </w:pPr>
      <w:r>
        <w:rPr>
          <w:iCs/>
          <w:lang w:val="fr-FR"/>
        </w:rPr>
        <w:t>7.</w:t>
      </w:r>
      <w:r w:rsidRPr="007109F2">
        <w:rPr>
          <w:rFonts w:ascii="Arial" w:eastAsia="Calibri" w:hAnsi="Arial"/>
          <w:sz w:val="22"/>
        </w:rPr>
        <w:tab/>
      </w:r>
      <w:r w:rsidRPr="00F55693">
        <w:rPr>
          <w:iCs/>
        </w:rPr>
        <w:t xml:space="preserve">Les </w:t>
      </w:r>
      <w:r w:rsidR="002A48CB">
        <w:rPr>
          <w:iCs/>
        </w:rPr>
        <w:t>P</w:t>
      </w:r>
      <w:r w:rsidRPr="00F55693">
        <w:rPr>
          <w:iCs/>
        </w:rPr>
        <w:t>arties contractantes à l’ADR sont d’avis que ce changement entraîne plus de responsabilités que nécessaire pour le conducteur (pas ou peu formé). La responsabilité relève en réalité du transporteur et c’est lui qui devrait effectuer tous les calculs avant que le conducteur ne prenne la route. C’est également à lui de fournir des instructions claires au conducteur et de lui signaler que des marchandises dangereuses feront partie de son chargement. Il doit également lui donner le nom de(s) l’expéditeur(s), lui indiquer quelles informations sont importantes dans le document de transport, etc., voire le former à effectuer lui-même les calculs. Il ne s’agit pas d’un s</w:t>
      </w:r>
      <w:r w:rsidR="00377335">
        <w:rPr>
          <w:iCs/>
        </w:rPr>
        <w:t>ervice de livraison à l’aveugle</w:t>
      </w:r>
      <w:r w:rsidRPr="00F55693">
        <w:rPr>
          <w:iCs/>
        </w:rPr>
        <w:t>: le conducteur doit être mieux formé</w:t>
      </w:r>
      <w:r>
        <w:rPr>
          <w:iCs/>
        </w:rPr>
        <w:t>.</w:t>
      </w:r>
    </w:p>
    <w:p w:rsidR="007109F2" w:rsidRDefault="007109F2" w:rsidP="007109F2">
      <w:pPr>
        <w:pStyle w:val="SingleTxtG"/>
        <w:rPr>
          <w:iCs/>
          <w:lang w:val="fr-FR"/>
        </w:rPr>
      </w:pPr>
      <w:r>
        <w:rPr>
          <w:iCs/>
        </w:rPr>
        <w:t>8.</w:t>
      </w:r>
      <w:r w:rsidRPr="007109F2">
        <w:rPr>
          <w:rFonts w:ascii="Arial" w:eastAsia="Calibri" w:hAnsi="Arial"/>
          <w:sz w:val="22"/>
          <w:lang w:val="fr-FR"/>
        </w:rPr>
        <w:tab/>
      </w:r>
      <w:r w:rsidRPr="00F55693">
        <w:rPr>
          <w:iCs/>
          <w:lang w:val="fr-FR"/>
        </w:rPr>
        <w:t>Malheureusement, la catégorie de transport n’est pas obligatoirement inscrite dans le document de transport s’il n’y a qu’une marchandise, en considérant qu’un transport peut être mandaté par plusieurs expéditeurs, comme le montre notre exemple</w:t>
      </w:r>
      <w:r>
        <w:rPr>
          <w:iCs/>
          <w:lang w:val="fr-FR"/>
        </w:rPr>
        <w:t>.</w:t>
      </w:r>
    </w:p>
    <w:p w:rsidR="007109F2" w:rsidRPr="00F55693" w:rsidRDefault="007109F2" w:rsidP="007109F2">
      <w:pPr>
        <w:pStyle w:val="SingleTxtG"/>
        <w:rPr>
          <w:iCs/>
          <w:lang w:val="fr-FR"/>
        </w:rPr>
      </w:pPr>
      <w:r>
        <w:rPr>
          <w:iCs/>
          <w:lang w:val="fr-FR"/>
        </w:rPr>
        <w:t>9.</w:t>
      </w:r>
      <w:r w:rsidRPr="007109F2">
        <w:rPr>
          <w:rFonts w:ascii="Arial" w:eastAsia="Calibri" w:hAnsi="Arial"/>
          <w:sz w:val="22"/>
          <w:lang w:val="fr-FR"/>
        </w:rPr>
        <w:tab/>
      </w:r>
      <w:r w:rsidRPr="00F55693">
        <w:rPr>
          <w:iCs/>
          <w:lang w:val="fr-FR"/>
        </w:rPr>
        <w:t xml:space="preserve">Le mode de calcul est fourni uniquement lors d’une formation </w:t>
      </w:r>
      <w:r w:rsidR="002A48CB">
        <w:rPr>
          <w:iCs/>
          <w:lang w:val="fr-FR"/>
        </w:rPr>
        <w:t>de conducteur</w:t>
      </w:r>
      <w:r w:rsidRPr="00F55693">
        <w:rPr>
          <w:iCs/>
          <w:lang w:val="fr-FR"/>
        </w:rPr>
        <w:t xml:space="preserve"> ADR. </w:t>
      </w:r>
    </w:p>
    <w:p w:rsidR="007109F2" w:rsidRPr="00F37605" w:rsidRDefault="007109F2" w:rsidP="007109F2">
      <w:pPr>
        <w:pStyle w:val="SingleTxtG"/>
        <w:rPr>
          <w:iCs/>
          <w:lang w:val="fr-FR"/>
        </w:rPr>
      </w:pPr>
      <w:r>
        <w:rPr>
          <w:iCs/>
          <w:lang w:val="fr-FR"/>
        </w:rPr>
        <w:t>10.</w:t>
      </w:r>
      <w:r w:rsidRPr="007109F2">
        <w:rPr>
          <w:rFonts w:ascii="Arial" w:eastAsia="Calibri" w:hAnsi="Arial"/>
          <w:sz w:val="22"/>
          <w:lang w:val="fr-FR"/>
        </w:rPr>
        <w:tab/>
      </w:r>
      <w:r w:rsidRPr="00F55693">
        <w:rPr>
          <w:iCs/>
          <w:lang w:val="fr-FR"/>
        </w:rPr>
        <w:t xml:space="preserve">Si on applique le 1.1.3.6, le conducteur non ADR devrait avoir suivi une formation selon le </w:t>
      </w:r>
      <w:r w:rsidR="002A48CB">
        <w:rPr>
          <w:iCs/>
          <w:lang w:val="fr-FR"/>
        </w:rPr>
        <w:t>c</w:t>
      </w:r>
      <w:r w:rsidRPr="00F55693">
        <w:rPr>
          <w:iCs/>
          <w:lang w:val="fr-FR"/>
        </w:rPr>
        <w:t>hapitre 1.3 de l’ADR, ce qui n’est presque jamais le cas dans la réalité</w:t>
      </w:r>
      <w:r>
        <w:rPr>
          <w:iCs/>
          <w:lang w:val="fr-FR"/>
        </w:rPr>
        <w:t>.</w:t>
      </w:r>
    </w:p>
    <w:p w:rsidR="007109F2" w:rsidRPr="00F37605" w:rsidRDefault="007109F2" w:rsidP="007109F2">
      <w:pPr>
        <w:pStyle w:val="SingleTxtG"/>
        <w:rPr>
          <w:iCs/>
          <w:lang w:val="fr-FR"/>
        </w:rPr>
      </w:pPr>
      <w:r>
        <w:rPr>
          <w:iCs/>
          <w:lang w:val="fr-FR"/>
        </w:rPr>
        <w:t>11.</w:t>
      </w:r>
      <w:r>
        <w:rPr>
          <w:iCs/>
          <w:lang w:val="fr-FR"/>
        </w:rPr>
        <w:tab/>
      </w:r>
      <w:r w:rsidRPr="00F37605">
        <w:rPr>
          <w:iCs/>
          <w:lang w:val="fr-FR"/>
        </w:rPr>
        <w:t>Donc, dans l’exemple cité plus haut, ce conducteur peut-il effectuer les transports ? Sinon, à partir de quel moment doit-il refuser le chargement ?</w:t>
      </w:r>
    </w:p>
    <w:p w:rsidR="007109F2" w:rsidRDefault="007109F2" w:rsidP="007109F2">
      <w:pPr>
        <w:pStyle w:val="HChG"/>
      </w:pPr>
      <w:r>
        <w:tab/>
      </w:r>
      <w:r>
        <w:tab/>
      </w:r>
      <w:r w:rsidRPr="00A258DE">
        <w:t>Proposition</w:t>
      </w:r>
    </w:p>
    <w:p w:rsidR="007109F2" w:rsidRDefault="007109F2" w:rsidP="007109F2">
      <w:pPr>
        <w:pStyle w:val="SingleTxtG"/>
        <w:rPr>
          <w:iCs/>
          <w:lang w:val="fr-FR"/>
        </w:rPr>
      </w:pPr>
      <w:r>
        <w:rPr>
          <w:iCs/>
          <w:lang w:val="fr-FR"/>
        </w:rPr>
        <w:t>12.</w:t>
      </w:r>
      <w:r>
        <w:rPr>
          <w:iCs/>
          <w:lang w:val="fr-FR"/>
        </w:rPr>
        <w:tab/>
      </w:r>
      <w:r w:rsidRPr="006C2885">
        <w:rPr>
          <w:iCs/>
        </w:rPr>
        <w:t xml:space="preserve">Tous les intervenants dont le domaine d’activité comprend le transport de marchandises dangereuses doivent être formés </w:t>
      </w:r>
      <w:r w:rsidRPr="006C2885">
        <w:rPr>
          <w:b/>
          <w:bCs/>
          <w:iCs/>
        </w:rPr>
        <w:t>de manière répondant aux exigences que leur domaine d’activité et de responsabilité impose</w:t>
      </w:r>
      <w:r w:rsidRPr="006C2885">
        <w:rPr>
          <w:iCs/>
        </w:rPr>
        <w:t xml:space="preserve">, conformément au 1.3 de l’ADR. La </w:t>
      </w:r>
      <w:r w:rsidRPr="006C2885">
        <w:rPr>
          <w:iCs/>
        </w:rPr>
        <w:lastRenderedPageBreak/>
        <w:t>formation s’applique aussi aux conducteurs (sans certification) prenant en charge des marchandises dangereuses sous l’exemption 1.1.3.6. </w:t>
      </w:r>
    </w:p>
    <w:p w:rsidR="007109F2" w:rsidRPr="00F37605" w:rsidRDefault="007109F2" w:rsidP="007109F2">
      <w:pPr>
        <w:pStyle w:val="SingleTxtG"/>
        <w:rPr>
          <w:iCs/>
          <w:lang w:val="fr-FR"/>
        </w:rPr>
      </w:pPr>
      <w:r>
        <w:rPr>
          <w:iCs/>
          <w:lang w:val="fr-FR"/>
        </w:rPr>
        <w:t xml:space="preserve">13. </w:t>
      </w:r>
      <w:r>
        <w:rPr>
          <w:iCs/>
          <w:lang w:val="fr-FR"/>
        </w:rPr>
        <w:tab/>
      </w:r>
      <w:r w:rsidRPr="00F37605">
        <w:rPr>
          <w:iCs/>
          <w:lang w:val="fr-FR"/>
        </w:rPr>
        <w:t>Le conducteur effectuant quotidiennement ce genre de livraison peut se trouver en toute irrégularité, car il ne dispose pas en général du règlement ADR, et il lui est impossible d’effectuer le calcul des valeurs (</w:t>
      </w:r>
      <w:r w:rsidRPr="00F55693">
        <w:rPr>
          <w:iCs/>
          <w:lang w:val="fr-FR"/>
        </w:rPr>
        <w:t>en valeurs calculées</w:t>
      </w:r>
      <w:r w:rsidRPr="00F37605">
        <w:rPr>
          <w:iCs/>
          <w:lang w:val="fr-FR"/>
        </w:rPr>
        <w:t xml:space="preserve">) selon le 1.1.3.6. </w:t>
      </w:r>
    </w:p>
    <w:p w:rsidR="007109F2" w:rsidRPr="00F37605" w:rsidRDefault="007109F2" w:rsidP="007109F2">
      <w:pPr>
        <w:pStyle w:val="SingleTxtG"/>
        <w:rPr>
          <w:iCs/>
          <w:lang w:val="fr-FR"/>
        </w:rPr>
      </w:pPr>
      <w:r>
        <w:rPr>
          <w:iCs/>
          <w:lang w:val="fr-FR"/>
        </w:rPr>
        <w:t>14.</w:t>
      </w:r>
      <w:r>
        <w:rPr>
          <w:iCs/>
          <w:lang w:val="fr-FR"/>
        </w:rPr>
        <w:tab/>
      </w:r>
      <w:r w:rsidRPr="00F55693">
        <w:rPr>
          <w:iCs/>
          <w:lang w:val="fr-FR"/>
        </w:rPr>
        <w:t>Dans la pratique et pour les conducteurs formés selon l’ADR, on n’utilise que les valeurs calculées (et non la quantité en litres ou kg). Ainsi, le chauffeur non ADR ne sait jamais s’il peut ou non transporter des marchandises dangereuses selon le 1.1.3.6</w:t>
      </w:r>
      <w:r w:rsidRPr="00F37605">
        <w:rPr>
          <w:iCs/>
          <w:lang w:val="fr-FR"/>
        </w:rPr>
        <w:t>.</w:t>
      </w:r>
    </w:p>
    <w:p w:rsidR="007109F2" w:rsidRPr="00F37605" w:rsidRDefault="007109F2" w:rsidP="007109F2">
      <w:pPr>
        <w:pStyle w:val="SingleTxtG"/>
        <w:rPr>
          <w:iCs/>
          <w:lang w:val="fr-FR"/>
        </w:rPr>
      </w:pPr>
      <w:r>
        <w:rPr>
          <w:iCs/>
          <w:lang w:val="fr-FR"/>
        </w:rPr>
        <w:t>15.</w:t>
      </w:r>
      <w:r>
        <w:rPr>
          <w:iCs/>
          <w:lang w:val="fr-FR"/>
        </w:rPr>
        <w:tab/>
      </w:r>
      <w:r w:rsidRPr="00F37605">
        <w:rPr>
          <w:iCs/>
          <w:lang w:val="fr-FR"/>
        </w:rPr>
        <w:t>Il pense habituellement que l’on peut en transporter en limite libre jusqu’à 1000 kg ou 1000 litres. Ceci est une grave erreur.</w:t>
      </w:r>
    </w:p>
    <w:p w:rsidR="007109F2" w:rsidRPr="00F37605" w:rsidRDefault="007109F2" w:rsidP="007109F2">
      <w:pPr>
        <w:pStyle w:val="SingleTxtG"/>
        <w:rPr>
          <w:iCs/>
          <w:lang w:val="fr-FR"/>
        </w:rPr>
      </w:pPr>
      <w:r>
        <w:rPr>
          <w:iCs/>
          <w:lang w:val="fr-FR"/>
        </w:rPr>
        <w:t>16.</w:t>
      </w:r>
      <w:r>
        <w:rPr>
          <w:iCs/>
          <w:lang w:val="fr-FR"/>
        </w:rPr>
        <w:tab/>
      </w:r>
      <w:r w:rsidRPr="00F37605">
        <w:rPr>
          <w:iCs/>
          <w:lang w:val="fr-FR"/>
        </w:rPr>
        <w:t>Si chaque document de transport contenait la somme des points, cela donnerait :</w:t>
      </w:r>
    </w:p>
    <w:p w:rsidR="002772E8" w:rsidRDefault="007109F2" w:rsidP="002772E8">
      <w:pPr>
        <w:pStyle w:val="SingleTxtG"/>
        <w:numPr>
          <w:ilvl w:val="0"/>
          <w:numId w:val="16"/>
        </w:numPr>
        <w:kinsoku/>
        <w:overflowPunct/>
        <w:autoSpaceDE/>
        <w:autoSpaceDN/>
        <w:adjustRightInd/>
        <w:snapToGrid/>
        <w:ind w:left="2268" w:hanging="567"/>
        <w:rPr>
          <w:iCs/>
          <w:lang w:val="fr-FR"/>
        </w:rPr>
      </w:pPr>
      <w:r w:rsidRPr="00F37605">
        <w:rPr>
          <w:iCs/>
          <w:lang w:val="fr-FR"/>
        </w:rPr>
        <w:t>UN 1016 Monoxyde de car</w:t>
      </w:r>
      <w:r>
        <w:rPr>
          <w:iCs/>
          <w:lang w:val="fr-FR"/>
        </w:rPr>
        <w:t>bone comprimé, 2.3 (2.1) ; 20 litres</w:t>
      </w:r>
      <w:r w:rsidR="002772E8">
        <w:rPr>
          <w:iCs/>
          <w:lang w:val="fr-FR"/>
        </w:rPr>
        <w:t>:</w:t>
      </w:r>
    </w:p>
    <w:p w:rsidR="007109F2" w:rsidRPr="00F37605" w:rsidRDefault="002772E8" w:rsidP="002772E8">
      <w:pPr>
        <w:pStyle w:val="SingleTxtG"/>
        <w:kinsoku/>
        <w:overflowPunct/>
        <w:autoSpaceDE/>
        <w:autoSpaceDN/>
        <w:adjustRightInd/>
        <w:snapToGrid/>
        <w:ind w:left="1701"/>
        <w:rPr>
          <w:iCs/>
          <w:lang w:val="fr-FR"/>
        </w:rPr>
      </w:pPr>
      <w:r>
        <w:rPr>
          <w:iCs/>
          <w:lang w:val="fr-FR"/>
        </w:rPr>
        <w:tab/>
      </w:r>
      <w:r w:rsidR="007109F2">
        <w:rPr>
          <w:iCs/>
          <w:lang w:val="fr-FR"/>
        </w:rPr>
        <w:t>1</w:t>
      </w:r>
      <w:r w:rsidR="007109F2" w:rsidRPr="00F37605">
        <w:rPr>
          <w:iCs/>
          <w:lang w:val="fr-FR"/>
        </w:rPr>
        <w:t>000</w:t>
      </w:r>
      <w:r w:rsidR="007109F2">
        <w:rPr>
          <w:iCs/>
          <w:lang w:val="fr-FR"/>
        </w:rPr>
        <w:t xml:space="preserve"> (</w:t>
      </w:r>
      <w:r w:rsidR="007109F2" w:rsidRPr="00F55693">
        <w:rPr>
          <w:iCs/>
          <w:lang w:val="fr-FR"/>
        </w:rPr>
        <w:t>valeurs calculées</w:t>
      </w:r>
      <w:r w:rsidR="007109F2">
        <w:rPr>
          <w:iCs/>
          <w:lang w:val="fr-FR"/>
        </w:rPr>
        <w:t>)</w:t>
      </w:r>
      <w:r w:rsidR="007109F2" w:rsidRPr="00F37605">
        <w:rPr>
          <w:iCs/>
          <w:lang w:val="fr-FR"/>
        </w:rPr>
        <w:t xml:space="preserve"> ADR</w:t>
      </w:r>
    </w:p>
    <w:p w:rsidR="002772E8" w:rsidRDefault="002772E8" w:rsidP="002772E8">
      <w:pPr>
        <w:pStyle w:val="SingleTxtG"/>
        <w:numPr>
          <w:ilvl w:val="0"/>
          <w:numId w:val="16"/>
        </w:numPr>
        <w:kinsoku/>
        <w:overflowPunct/>
        <w:autoSpaceDE/>
        <w:autoSpaceDN/>
        <w:adjustRightInd/>
        <w:snapToGrid/>
        <w:ind w:left="2268" w:hanging="567"/>
        <w:rPr>
          <w:iCs/>
          <w:lang w:val="fr-FR"/>
        </w:rPr>
      </w:pPr>
      <w:r>
        <w:rPr>
          <w:iCs/>
          <w:lang w:val="fr-FR"/>
        </w:rPr>
        <w:t xml:space="preserve">UN 1090 Acétone, 3, </w:t>
      </w:r>
      <w:proofErr w:type="spellStart"/>
      <w:r>
        <w:rPr>
          <w:iCs/>
          <w:lang w:val="fr-FR"/>
        </w:rPr>
        <w:t>ll</w:t>
      </w:r>
      <w:proofErr w:type="spellEnd"/>
      <w:r>
        <w:rPr>
          <w:iCs/>
          <w:lang w:val="fr-FR"/>
        </w:rPr>
        <w:t xml:space="preserve">; </w:t>
      </w:r>
      <w:r w:rsidR="007109F2" w:rsidRPr="00F37605">
        <w:rPr>
          <w:iCs/>
          <w:lang w:val="fr-FR"/>
        </w:rPr>
        <w:t>30 litres:</w:t>
      </w:r>
      <w:r w:rsidR="007109F2" w:rsidRPr="00F37605">
        <w:rPr>
          <w:iCs/>
          <w:lang w:val="fr-FR"/>
        </w:rPr>
        <w:tab/>
      </w:r>
    </w:p>
    <w:p w:rsidR="007109F2" w:rsidRPr="00F37605" w:rsidRDefault="002772E8" w:rsidP="002772E8">
      <w:pPr>
        <w:pStyle w:val="SingleTxtG"/>
        <w:kinsoku/>
        <w:overflowPunct/>
        <w:autoSpaceDE/>
        <w:autoSpaceDN/>
        <w:adjustRightInd/>
        <w:snapToGrid/>
        <w:ind w:left="1701"/>
        <w:rPr>
          <w:iCs/>
          <w:lang w:val="fr-FR"/>
        </w:rPr>
      </w:pPr>
      <w:r>
        <w:rPr>
          <w:iCs/>
          <w:lang w:val="fr-FR"/>
        </w:rPr>
        <w:tab/>
      </w:r>
      <w:r w:rsidR="007109F2" w:rsidRPr="00F37605">
        <w:rPr>
          <w:iCs/>
          <w:lang w:val="fr-FR"/>
        </w:rPr>
        <w:t xml:space="preserve">90 </w:t>
      </w:r>
      <w:r w:rsidR="007109F2" w:rsidRPr="00F55693">
        <w:rPr>
          <w:iCs/>
          <w:lang w:val="fr-FR"/>
        </w:rPr>
        <w:t xml:space="preserve">(valeurs calculées) </w:t>
      </w:r>
      <w:r w:rsidR="007109F2" w:rsidRPr="00F37605">
        <w:rPr>
          <w:iCs/>
          <w:lang w:val="fr-FR"/>
        </w:rPr>
        <w:t xml:space="preserve"> ADR</w:t>
      </w:r>
    </w:p>
    <w:p w:rsidR="002772E8" w:rsidRDefault="002772E8" w:rsidP="002772E8">
      <w:pPr>
        <w:pStyle w:val="SingleTxtG"/>
        <w:numPr>
          <w:ilvl w:val="0"/>
          <w:numId w:val="16"/>
        </w:numPr>
        <w:kinsoku/>
        <w:overflowPunct/>
        <w:autoSpaceDE/>
        <w:autoSpaceDN/>
        <w:adjustRightInd/>
        <w:snapToGrid/>
        <w:ind w:left="2268" w:hanging="567"/>
        <w:rPr>
          <w:iCs/>
          <w:lang w:val="fr-FR"/>
        </w:rPr>
      </w:pPr>
      <w:r>
        <w:rPr>
          <w:iCs/>
          <w:lang w:val="fr-FR"/>
        </w:rPr>
        <w:t xml:space="preserve">UN 1888 Chloroforme, 6.1, </w:t>
      </w:r>
      <w:proofErr w:type="spellStart"/>
      <w:r>
        <w:rPr>
          <w:iCs/>
          <w:lang w:val="fr-FR"/>
        </w:rPr>
        <w:t>lll</w:t>
      </w:r>
      <w:proofErr w:type="spellEnd"/>
      <w:r w:rsidR="007109F2" w:rsidRPr="00F37605">
        <w:rPr>
          <w:iCs/>
          <w:lang w:val="fr-FR"/>
        </w:rPr>
        <w:t>; 50 litres :</w:t>
      </w:r>
    </w:p>
    <w:p w:rsidR="007109F2" w:rsidRPr="00F37605" w:rsidRDefault="007109F2" w:rsidP="002772E8">
      <w:pPr>
        <w:pStyle w:val="SingleTxtG"/>
        <w:kinsoku/>
        <w:overflowPunct/>
        <w:autoSpaceDE/>
        <w:autoSpaceDN/>
        <w:adjustRightInd/>
        <w:snapToGrid/>
        <w:ind w:left="1701"/>
        <w:rPr>
          <w:iCs/>
          <w:lang w:val="fr-FR"/>
        </w:rPr>
      </w:pPr>
      <w:r>
        <w:rPr>
          <w:iCs/>
          <w:lang w:val="fr-FR"/>
        </w:rPr>
        <w:t xml:space="preserve">150 </w:t>
      </w:r>
      <w:r w:rsidRPr="00F55693">
        <w:rPr>
          <w:iCs/>
          <w:lang w:val="fr-FR"/>
        </w:rPr>
        <w:t xml:space="preserve">(valeurs calculées) </w:t>
      </w:r>
      <w:r>
        <w:rPr>
          <w:iCs/>
          <w:lang w:val="fr-FR"/>
        </w:rPr>
        <w:t>ADR</w:t>
      </w:r>
    </w:p>
    <w:p w:rsidR="007109F2" w:rsidRPr="00F37605" w:rsidRDefault="007109F2" w:rsidP="007109F2">
      <w:pPr>
        <w:pStyle w:val="SingleTxtG"/>
        <w:rPr>
          <w:iCs/>
          <w:lang w:val="fr-FR"/>
        </w:rPr>
      </w:pPr>
      <w:r>
        <w:rPr>
          <w:iCs/>
          <w:lang w:val="fr-FR"/>
        </w:rPr>
        <w:t>17.</w:t>
      </w:r>
      <w:r>
        <w:rPr>
          <w:iCs/>
          <w:lang w:val="fr-FR"/>
        </w:rPr>
        <w:tab/>
      </w:r>
      <w:r w:rsidRPr="00F55693">
        <w:rPr>
          <w:iCs/>
          <w:lang w:val="fr-FR"/>
        </w:rPr>
        <w:t>Si le document de transport contenait la somme des valeurs calculées, ce conducteur saurait qu’il peut transporter soit uniquement le monoxyde de carbone comprimé, soit l’acétone et le chloroforme. Alors que si le document de transport ne mentionne que la quantité en kg ou en litres comme prévu au 5.4.1.1.1 f), le conducteur n’a aucune chance de s’en sortir et il risque d’être pénalisé tout en étant persuadé qu’il agit correctement</w:t>
      </w:r>
      <w:r w:rsidRPr="00F37605">
        <w:rPr>
          <w:iCs/>
          <w:lang w:val="fr-FR"/>
        </w:rPr>
        <w:t>.</w:t>
      </w:r>
    </w:p>
    <w:p w:rsidR="007109F2" w:rsidRPr="00F55693" w:rsidRDefault="007109F2" w:rsidP="007109F2">
      <w:pPr>
        <w:pStyle w:val="SingleTxtG"/>
        <w:rPr>
          <w:iCs/>
          <w:lang w:val="fr-FR"/>
        </w:rPr>
      </w:pPr>
      <w:r>
        <w:rPr>
          <w:iCs/>
          <w:lang w:val="fr-FR"/>
        </w:rPr>
        <w:t>18.</w:t>
      </w:r>
      <w:r w:rsidRPr="007109F2">
        <w:rPr>
          <w:rFonts w:ascii="Arial" w:eastAsia="Calibri" w:hAnsi="Arial"/>
          <w:sz w:val="22"/>
          <w:lang w:val="fr-FR"/>
        </w:rPr>
        <w:tab/>
      </w:r>
      <w:r w:rsidRPr="00F55693">
        <w:rPr>
          <w:iCs/>
          <w:lang w:val="fr-FR"/>
        </w:rPr>
        <w:t>Projet de proposition d’amendement de la sous-section 1.1.3.6.4</w:t>
      </w:r>
      <w:r>
        <w:rPr>
          <w:iCs/>
          <w:lang w:val="fr-FR"/>
        </w:rPr>
        <w:t xml:space="preserve">. </w:t>
      </w:r>
      <w:r w:rsidRPr="00F55693">
        <w:rPr>
          <w:iCs/>
          <w:lang w:val="fr-FR"/>
        </w:rPr>
        <w:t>A la fin de</w:t>
      </w:r>
      <w:r w:rsidR="00377335">
        <w:rPr>
          <w:iCs/>
          <w:lang w:val="fr-FR"/>
        </w:rPr>
        <w:t xml:space="preserve"> la section, après «1000», ajouter «valeurs calculées» comme suit</w:t>
      </w:r>
      <w:r w:rsidRPr="00F55693">
        <w:rPr>
          <w:iCs/>
          <w:lang w:val="fr-FR"/>
        </w:rPr>
        <w:t>:</w:t>
      </w:r>
    </w:p>
    <w:p w:rsidR="007109F2" w:rsidRPr="00F55693" w:rsidRDefault="00377335" w:rsidP="007109F2">
      <w:pPr>
        <w:pStyle w:val="SingleTxtG"/>
        <w:rPr>
          <w:iCs/>
          <w:lang w:val="fr-FR"/>
        </w:rPr>
      </w:pPr>
      <w:r>
        <w:rPr>
          <w:iCs/>
          <w:lang w:val="fr-FR"/>
        </w:rPr>
        <w:t>«</w:t>
      </w:r>
      <w:r w:rsidR="007109F2" w:rsidRPr="00F55693">
        <w:rPr>
          <w:iCs/>
          <w:lang w:val="fr-FR"/>
        </w:rPr>
        <w:t xml:space="preserve">Ne doit pas </w:t>
      </w:r>
      <w:r>
        <w:rPr>
          <w:iCs/>
          <w:lang w:val="fr-FR"/>
        </w:rPr>
        <w:t>dépasser 1000 valeurs calculées</w:t>
      </w:r>
      <w:r w:rsidR="007109F2" w:rsidRPr="00F55693">
        <w:rPr>
          <w:iCs/>
          <w:lang w:val="fr-FR"/>
        </w:rPr>
        <w:t>»</w:t>
      </w:r>
    </w:p>
    <w:p w:rsidR="007109F2" w:rsidRPr="00F55693" w:rsidRDefault="007109F2" w:rsidP="002A48CB">
      <w:pPr>
        <w:pStyle w:val="SingleTxtG"/>
        <w:kinsoku/>
        <w:overflowPunct/>
        <w:autoSpaceDE/>
        <w:autoSpaceDN/>
        <w:adjustRightInd/>
        <w:snapToGrid/>
        <w:rPr>
          <w:iCs/>
          <w:lang w:val="fr-FR"/>
        </w:rPr>
      </w:pPr>
      <w:r w:rsidRPr="00F55693">
        <w:rPr>
          <w:iCs/>
          <w:lang w:val="fr-FR"/>
        </w:rPr>
        <w:t>Cet amendement permet de clarifier les informations contenues dans le document lorsque l’expéditeur/le transporteur a recours au 1.1.3.6.</w:t>
      </w:r>
    </w:p>
    <w:p w:rsidR="007109F2" w:rsidRPr="00F37605" w:rsidRDefault="007109F2" w:rsidP="007109F2">
      <w:pPr>
        <w:pStyle w:val="SingleTxtG"/>
        <w:rPr>
          <w:iCs/>
          <w:lang w:val="fr-FR"/>
        </w:rPr>
      </w:pPr>
      <w:r>
        <w:rPr>
          <w:iCs/>
          <w:lang w:val="fr-FR"/>
        </w:rPr>
        <w:t xml:space="preserve">19. </w:t>
      </w:r>
      <w:r w:rsidRPr="00F37605">
        <w:rPr>
          <w:iCs/>
          <w:lang w:val="fr-FR"/>
        </w:rPr>
        <w:t>Projet de proposition de modification de la sous-section 5.4.1.1.1 f) de l’Accord européen relatif au transport international des marchandises dangereuses par route :</w:t>
      </w:r>
    </w:p>
    <w:p w:rsidR="007109F2" w:rsidRPr="00F37605" w:rsidRDefault="007109F2" w:rsidP="007109F2">
      <w:pPr>
        <w:pStyle w:val="SingleTxtG"/>
        <w:rPr>
          <w:iCs/>
          <w:lang w:val="fr-FR"/>
        </w:rPr>
      </w:pPr>
      <w:r w:rsidRPr="00F37605">
        <w:rPr>
          <w:iCs/>
          <w:lang w:val="fr-FR"/>
        </w:rPr>
        <w:t>La Nota 1 de la sous-section 5.4.1.1.1 f) est modifiée comme suit (modifications en gras) :</w:t>
      </w:r>
    </w:p>
    <w:p w:rsidR="007109F2" w:rsidRPr="00F37605" w:rsidRDefault="00377335" w:rsidP="007109F2">
      <w:pPr>
        <w:pStyle w:val="SingleTxtG"/>
        <w:rPr>
          <w:iCs/>
          <w:lang w:val="fr-FR"/>
        </w:rPr>
      </w:pPr>
      <w:r>
        <w:rPr>
          <w:iCs/>
          <w:lang w:val="fr-FR"/>
        </w:rPr>
        <w:t>«NOTA</w:t>
      </w:r>
      <w:r>
        <w:rPr>
          <w:iCs/>
          <w:lang w:val="fr-FR"/>
        </w:rPr>
        <w:tab/>
      </w:r>
      <w:r w:rsidR="007109F2" w:rsidRPr="00F37605">
        <w:rPr>
          <w:iCs/>
          <w:lang w:val="fr-FR"/>
        </w:rPr>
        <w:t xml:space="preserve">1: Dans le cas où il est envisagé d'appliquer le 1.1.3.6, la quantité totale des marchandises dangereuses de chaque catégorie de transport </w:t>
      </w:r>
      <w:r w:rsidR="007109F2" w:rsidRPr="00F37605">
        <w:rPr>
          <w:b/>
          <w:iCs/>
          <w:lang w:val="fr-FR"/>
        </w:rPr>
        <w:t xml:space="preserve">et </w:t>
      </w:r>
      <w:r w:rsidR="007109F2" w:rsidRPr="005F05B5">
        <w:rPr>
          <w:b/>
          <w:i/>
          <w:iCs/>
          <w:lang w:val="fr-FR"/>
        </w:rPr>
        <w:t xml:space="preserve">la somme de ces valeurs calculées du 1.1.3.6.4 </w:t>
      </w:r>
      <w:r w:rsidR="007109F2" w:rsidRPr="005F05B5">
        <w:rPr>
          <w:i/>
          <w:iCs/>
          <w:lang w:val="fr-FR"/>
        </w:rPr>
        <w:t>doivent être indiquées dans le document de transport conformément au 1.1.3.6.</w:t>
      </w:r>
      <w:r w:rsidR="007109F2" w:rsidRPr="00F37605">
        <w:rPr>
          <w:iCs/>
          <w:lang w:val="fr-FR"/>
        </w:rPr>
        <w:t>»</w:t>
      </w:r>
    </w:p>
    <w:p w:rsidR="007109F2" w:rsidRPr="0014454F" w:rsidRDefault="007109F2" w:rsidP="007109F2">
      <w:pPr>
        <w:pStyle w:val="HChG"/>
        <w:tabs>
          <w:tab w:val="clear" w:pos="851"/>
        </w:tabs>
        <w:ind w:left="567" w:right="0" w:firstLine="567"/>
      </w:pPr>
      <w:r>
        <w:t>J</w:t>
      </w:r>
      <w:r w:rsidRPr="0014454F">
        <w:t>ustification</w:t>
      </w:r>
    </w:p>
    <w:p w:rsidR="007109F2" w:rsidRDefault="007109F2" w:rsidP="007109F2">
      <w:pPr>
        <w:pStyle w:val="SingleTxtG"/>
      </w:pPr>
      <w:r w:rsidRPr="00040B87">
        <w:t>Sécurité:</w:t>
      </w:r>
      <w:r>
        <w:tab/>
      </w:r>
      <w:r>
        <w:tab/>
      </w:r>
      <w:r>
        <w:tab/>
        <w:t>Améliore le texte donc la sécurité.</w:t>
      </w:r>
    </w:p>
    <w:p w:rsidR="007109F2" w:rsidRDefault="007109F2" w:rsidP="007109F2">
      <w:pPr>
        <w:pStyle w:val="SingleTxtG"/>
        <w:ind w:left="2300" w:hanging="1166"/>
      </w:pPr>
      <w:r w:rsidRPr="00040B87">
        <w:t>Faisabilité</w:t>
      </w:r>
      <w:r>
        <w:t>:</w:t>
      </w:r>
      <w:r>
        <w:tab/>
      </w:r>
      <w:r>
        <w:tab/>
      </w:r>
      <w:r>
        <w:tab/>
        <w:t>E</w:t>
      </w:r>
      <w:r w:rsidRPr="00E763B4">
        <w:rPr>
          <w:lang w:val="fr-FR"/>
        </w:rPr>
        <w:t>vite toute confusion dans l'interprétation des textes</w:t>
      </w:r>
      <w:r>
        <w:t>.</w:t>
      </w:r>
    </w:p>
    <w:p w:rsidR="007109F2" w:rsidRDefault="007109F2" w:rsidP="007109F2">
      <w:pPr>
        <w:pStyle w:val="SingleTxtG"/>
        <w:spacing w:after="0"/>
        <w:rPr>
          <w:lang w:val="fr-FR"/>
        </w:rPr>
      </w:pPr>
      <w:r w:rsidRPr="00040B87">
        <w:t>Application effective:</w:t>
      </w:r>
      <w:r>
        <w:tab/>
        <w:t>Facilite l’application des sous-sections 1.1.3.6 et 5.4.1.1.1 (f).</w:t>
      </w:r>
    </w:p>
    <w:p w:rsidR="000C376B" w:rsidRPr="000C376B" w:rsidRDefault="000C376B" w:rsidP="000C376B">
      <w:pPr>
        <w:pStyle w:val="SingleTxtG"/>
        <w:spacing w:before="240" w:after="0"/>
        <w:jc w:val="center"/>
        <w:rPr>
          <w:u w:val="single"/>
        </w:rPr>
      </w:pPr>
      <w:r>
        <w:rPr>
          <w:u w:val="single"/>
        </w:rPr>
        <w:tab/>
      </w:r>
      <w:r>
        <w:rPr>
          <w:u w:val="single"/>
        </w:rPr>
        <w:tab/>
      </w:r>
      <w:r>
        <w:rPr>
          <w:u w:val="single"/>
        </w:rPr>
        <w:tab/>
      </w:r>
    </w:p>
    <w:sectPr w:rsidR="000C376B" w:rsidRPr="000C376B" w:rsidSect="00DA7745">
      <w:headerReference w:type="even" r:id="rId10"/>
      <w:headerReference w:type="default" r:id="rId11"/>
      <w:footerReference w:type="even"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BB" w:rsidRDefault="007F58BB" w:rsidP="00F95C08">
      <w:pPr>
        <w:spacing w:line="240" w:lineRule="auto"/>
      </w:pPr>
    </w:p>
  </w:endnote>
  <w:endnote w:type="continuationSeparator" w:id="0">
    <w:p w:rsidR="007F58BB" w:rsidRPr="00AC3823" w:rsidRDefault="007F58BB" w:rsidP="00AC3823">
      <w:pPr>
        <w:pStyle w:val="Footer"/>
      </w:pPr>
    </w:p>
  </w:endnote>
  <w:endnote w:type="continuationNotice" w:id="1">
    <w:p w:rsidR="007F58BB" w:rsidRDefault="007F58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B92480">
      <w:rPr>
        <w:b/>
        <w:noProof/>
        <w:sz w:val="18"/>
      </w:rPr>
      <w:t>4</w:t>
    </w:r>
    <w:r w:rsidRPr="00DA7745">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BB" w:rsidRPr="00AC3823" w:rsidRDefault="007F58BB" w:rsidP="00AC3823">
      <w:pPr>
        <w:pStyle w:val="Footer"/>
        <w:tabs>
          <w:tab w:val="right" w:pos="2155"/>
        </w:tabs>
        <w:spacing w:after="80" w:line="240" w:lineRule="atLeast"/>
        <w:ind w:left="680"/>
        <w:rPr>
          <w:u w:val="single"/>
        </w:rPr>
      </w:pPr>
      <w:r>
        <w:rPr>
          <w:u w:val="single"/>
        </w:rPr>
        <w:tab/>
      </w:r>
    </w:p>
  </w:footnote>
  <w:footnote w:type="continuationSeparator" w:id="0">
    <w:p w:rsidR="007F58BB" w:rsidRPr="00AC3823" w:rsidRDefault="007F58BB" w:rsidP="00AC3823">
      <w:pPr>
        <w:pStyle w:val="Footer"/>
        <w:tabs>
          <w:tab w:val="right" w:pos="2155"/>
        </w:tabs>
        <w:spacing w:after="80" w:line="240" w:lineRule="atLeast"/>
        <w:ind w:left="680"/>
        <w:rPr>
          <w:u w:val="single"/>
        </w:rPr>
      </w:pPr>
      <w:r>
        <w:rPr>
          <w:u w:val="single"/>
        </w:rPr>
        <w:tab/>
      </w:r>
    </w:p>
  </w:footnote>
  <w:footnote w:type="continuationNotice" w:id="1">
    <w:p w:rsidR="007F58BB" w:rsidRPr="00AC3823" w:rsidRDefault="007F58BB">
      <w:pPr>
        <w:spacing w:line="240" w:lineRule="auto"/>
        <w:rPr>
          <w:sz w:val="2"/>
          <w:szCs w:val="2"/>
        </w:rPr>
      </w:pPr>
    </w:p>
  </w:footnote>
  <w:footnote w:id="2">
    <w:p w:rsidR="00745FC9" w:rsidRPr="00DD3512" w:rsidRDefault="00745FC9" w:rsidP="00745FC9">
      <w:pPr>
        <w:pStyle w:val="FootnoteText"/>
        <w:tabs>
          <w:tab w:val="clear" w:pos="1021"/>
        </w:tabs>
        <w:ind w:left="1418" w:hanging="284"/>
        <w:rPr>
          <w:lang w:val="fr-FR"/>
        </w:rPr>
      </w:pPr>
      <w:r>
        <w:rPr>
          <w:rStyle w:val="FootnoteReference"/>
        </w:rPr>
        <w:footnoteRef/>
      </w:r>
      <w:r>
        <w:t xml:space="preserve"> </w:t>
      </w:r>
      <w:r>
        <w:tab/>
      </w:r>
      <w:r w:rsidRPr="00DD3512">
        <w:rPr>
          <w:color w:val="000000"/>
          <w:shd w:val="clear" w:color="auto" w:fill="FFFFFF"/>
        </w:rPr>
        <w:t>Conformément au projet de programme de travail du Comité des Transports Intérieurs pour 2016- 2017, (ECE/TRANS/WP.15/2015/19 (9.2))</w:t>
      </w:r>
      <w:r>
        <w:rPr>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pPr>
      <w:pStyle w:val="Header"/>
    </w:pPr>
    <w:r>
      <w:t>ECE/TRANS/WP.15/201</w:t>
    </w:r>
    <w:r w:rsidR="00C62AC6">
      <w:t>6</w:t>
    </w:r>
    <w:r>
      <w:t>/</w:t>
    </w:r>
    <w:r w:rsidR="007109F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45" w:rsidRPr="00DA7745" w:rsidRDefault="00DA7745" w:rsidP="00DA7745">
    <w:pPr>
      <w:pStyle w:val="Header"/>
      <w:jc w:val="right"/>
    </w:pPr>
    <w:r>
      <w:t>ECE/TRANS/WP.15/201</w:t>
    </w:r>
    <w:r w:rsidR="00C62AC6">
      <w:t>6</w:t>
    </w:r>
    <w:r>
      <w:t>/</w:t>
    </w:r>
    <w:r w:rsidR="007109F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8CC18D3"/>
    <w:multiLevelType w:val="hybridMultilevel"/>
    <w:tmpl w:val="13E0E166"/>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60C66CD"/>
    <w:multiLevelType w:val="hybridMultilevel"/>
    <w:tmpl w:val="E5BA9246"/>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nsid w:val="30B37AA6"/>
    <w:multiLevelType w:val="hybridMultilevel"/>
    <w:tmpl w:val="F77C0098"/>
    <w:lvl w:ilvl="0" w:tplc="4A0C2BD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4">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42821FC"/>
    <w:multiLevelType w:val="hybridMultilevel"/>
    <w:tmpl w:val="3EDCED04"/>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6"/>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34F9"/>
    <w:rsid w:val="00036896"/>
    <w:rsid w:val="0007796D"/>
    <w:rsid w:val="00092AB1"/>
    <w:rsid w:val="000B7790"/>
    <w:rsid w:val="000C376B"/>
    <w:rsid w:val="00111F2F"/>
    <w:rsid w:val="0011622B"/>
    <w:rsid w:val="0014365E"/>
    <w:rsid w:val="00143C66"/>
    <w:rsid w:val="00176178"/>
    <w:rsid w:val="001F525A"/>
    <w:rsid w:val="00223272"/>
    <w:rsid w:val="00235662"/>
    <w:rsid w:val="0024779E"/>
    <w:rsid w:val="00251867"/>
    <w:rsid w:val="00257168"/>
    <w:rsid w:val="002744B8"/>
    <w:rsid w:val="002772E8"/>
    <w:rsid w:val="002832AC"/>
    <w:rsid w:val="002A48CB"/>
    <w:rsid w:val="002D7C93"/>
    <w:rsid w:val="00305801"/>
    <w:rsid w:val="00377335"/>
    <w:rsid w:val="003916DE"/>
    <w:rsid w:val="003C17BE"/>
    <w:rsid w:val="004140B7"/>
    <w:rsid w:val="0041757B"/>
    <w:rsid w:val="00427080"/>
    <w:rsid w:val="00441C3B"/>
    <w:rsid w:val="00446FE5"/>
    <w:rsid w:val="00452396"/>
    <w:rsid w:val="00460713"/>
    <w:rsid w:val="004837D8"/>
    <w:rsid w:val="004E468C"/>
    <w:rsid w:val="005505B7"/>
    <w:rsid w:val="00573BE5"/>
    <w:rsid w:val="00586ED3"/>
    <w:rsid w:val="00596AA9"/>
    <w:rsid w:val="007109F2"/>
    <w:rsid w:val="0071601D"/>
    <w:rsid w:val="00745FC9"/>
    <w:rsid w:val="007663BB"/>
    <w:rsid w:val="007A62E6"/>
    <w:rsid w:val="007C3E6F"/>
    <w:rsid w:val="007F20FA"/>
    <w:rsid w:val="007F58BB"/>
    <w:rsid w:val="0080684C"/>
    <w:rsid w:val="00871C75"/>
    <w:rsid w:val="008776DC"/>
    <w:rsid w:val="008C0D21"/>
    <w:rsid w:val="00922B83"/>
    <w:rsid w:val="00952BA5"/>
    <w:rsid w:val="009705C8"/>
    <w:rsid w:val="009C1CF4"/>
    <w:rsid w:val="009F6B74"/>
    <w:rsid w:val="00A20AFA"/>
    <w:rsid w:val="00A30353"/>
    <w:rsid w:val="00AC3823"/>
    <w:rsid w:val="00AE323C"/>
    <w:rsid w:val="00AF0CB5"/>
    <w:rsid w:val="00B00181"/>
    <w:rsid w:val="00B00B0D"/>
    <w:rsid w:val="00B30539"/>
    <w:rsid w:val="00B765F7"/>
    <w:rsid w:val="00B92480"/>
    <w:rsid w:val="00BA0CA9"/>
    <w:rsid w:val="00C02897"/>
    <w:rsid w:val="00C62AC6"/>
    <w:rsid w:val="00CD2CE0"/>
    <w:rsid w:val="00D3439C"/>
    <w:rsid w:val="00DA7745"/>
    <w:rsid w:val="00DB1831"/>
    <w:rsid w:val="00DD3BFD"/>
    <w:rsid w:val="00DE69CC"/>
    <w:rsid w:val="00DF6678"/>
    <w:rsid w:val="00E46C82"/>
    <w:rsid w:val="00E77F73"/>
    <w:rsid w:val="00E85C74"/>
    <w:rsid w:val="00EA6547"/>
    <w:rsid w:val="00EB0173"/>
    <w:rsid w:val="00EC317B"/>
    <w:rsid w:val="00EF2E22"/>
    <w:rsid w:val="00F35BAF"/>
    <w:rsid w:val="00F660DF"/>
    <w:rsid w:val="00F94664"/>
    <w:rsid w:val="00F9573C"/>
    <w:rsid w:val="00F95C08"/>
    <w:rsid w:val="00FA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character" w:customStyle="1" w:styleId="SingleTxtGCar">
    <w:name w:val="_ Single Txt_G Car"/>
    <w:rsid w:val="007109F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character" w:customStyle="1" w:styleId="SingleTxtGCar">
    <w:name w:val="_ Single Txt_G Car"/>
    <w:rsid w:val="007109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9BC6-9BC0-43D6-B28C-7713CF9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barrio-champeau</cp:lastModifiedBy>
  <cp:revision>9</cp:revision>
  <cp:lastPrinted>2016-02-08T12:59:00Z</cp:lastPrinted>
  <dcterms:created xsi:type="dcterms:W3CDTF">2016-01-27T12:43:00Z</dcterms:created>
  <dcterms:modified xsi:type="dcterms:W3CDTF">2016-02-08T12:59:00Z</dcterms:modified>
</cp:coreProperties>
</file>