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DE40E0">
            <w:pPr>
              <w:suppressAutoHyphens w:val="0"/>
              <w:spacing w:after="20"/>
              <w:jc w:val="right"/>
            </w:pPr>
            <w:r w:rsidRPr="008D4A19">
              <w:rPr>
                <w:sz w:val="40"/>
              </w:rPr>
              <w:t>ECE</w:t>
            </w:r>
            <w:r>
              <w:t>/TRANS/WP.15/201</w:t>
            </w:r>
            <w:r w:rsidR="00DE40E0">
              <w:t>6</w:t>
            </w:r>
            <w:r>
              <w:t>/1</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136E76" w:rsidP="008D4A19">
            <w:pPr>
              <w:suppressAutoHyphens w:val="0"/>
            </w:pPr>
            <w:r>
              <w:t>8</w:t>
            </w:r>
            <w:r w:rsidR="004D3CEF">
              <w:t xml:space="preserve"> February</w:t>
            </w:r>
            <w:r w:rsidR="001330DE">
              <w:t xml:space="preserve"> 201</w:t>
            </w:r>
            <w:r w:rsidR="00DE40E0">
              <w:t>6</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DE40E0" w:rsidP="001330DE">
      <w:pPr>
        <w:spacing w:before="120"/>
        <w:rPr>
          <w:rFonts w:eastAsia="SimSun"/>
          <w:b/>
        </w:rPr>
      </w:pPr>
      <w:r w:rsidRPr="00DE40E0">
        <w:rPr>
          <w:rFonts w:eastAsia="SimSun"/>
          <w:b/>
        </w:rPr>
        <w:t>Hundredth</w:t>
      </w:r>
      <w:r>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DE40E0">
        <w:rPr>
          <w:rFonts w:eastAsia="SimSun"/>
        </w:rPr>
        <w:t>9</w:t>
      </w:r>
      <w:r>
        <w:rPr>
          <w:rFonts w:eastAsia="SimSun"/>
        </w:rPr>
        <w:t>–</w:t>
      </w:r>
      <w:r w:rsidR="00DE40E0">
        <w:rPr>
          <w:rFonts w:eastAsia="SimSun"/>
        </w:rPr>
        <w:t>13</w:t>
      </w:r>
      <w:r w:rsidRPr="00BA64A8">
        <w:rPr>
          <w:rFonts w:eastAsia="SimSun"/>
        </w:rPr>
        <w:t xml:space="preserve"> May 201</w:t>
      </w:r>
      <w:r w:rsidR="00DE40E0">
        <w:rPr>
          <w:rFonts w:eastAsia="SimSun"/>
        </w:rPr>
        <w:t>6</w:t>
      </w:r>
      <w:r w:rsidRPr="00BA64A8">
        <w:rPr>
          <w:rFonts w:eastAsia="SimSun"/>
        </w:rPr>
        <w:t xml:space="preserve"> </w:t>
      </w:r>
    </w:p>
    <w:p w:rsidR="001330DE" w:rsidRPr="00BA64A8" w:rsidRDefault="001330DE" w:rsidP="001330DE">
      <w:r w:rsidRPr="00BA64A8">
        <w:rPr>
          <w:rFonts w:eastAsia="SimSun"/>
        </w:rPr>
        <w:t xml:space="preserve">Item </w:t>
      </w:r>
      <w:r w:rsidR="001E099A">
        <w:t>6 b)</w:t>
      </w:r>
      <w:r w:rsidR="003C6D1D">
        <w:t xml:space="preserve"> </w:t>
      </w:r>
      <w:r w:rsidRPr="00BA64A8">
        <w:t>of the provisional agenda</w:t>
      </w:r>
    </w:p>
    <w:p w:rsidR="001E099A" w:rsidRPr="003D777F" w:rsidRDefault="001E099A" w:rsidP="001E099A">
      <w:pPr>
        <w:rPr>
          <w:b/>
        </w:rPr>
      </w:pPr>
      <w:r w:rsidRPr="003D777F">
        <w:rPr>
          <w:b/>
        </w:rPr>
        <w:t>Proposals for amendments to Annexes A and B of ADR:</w:t>
      </w:r>
    </w:p>
    <w:p w:rsidR="00DE40E0" w:rsidRPr="001E59E0" w:rsidRDefault="001E099A" w:rsidP="001E099A">
      <w:pPr>
        <w:rPr>
          <w:b/>
        </w:rPr>
      </w:pPr>
      <w:proofErr w:type="gramStart"/>
      <w:r w:rsidRPr="003D777F">
        <w:rPr>
          <w:b/>
        </w:rPr>
        <w:t>miscellaneous</w:t>
      </w:r>
      <w:proofErr w:type="gramEnd"/>
      <w:r w:rsidRPr="003D777F">
        <w:rPr>
          <w:b/>
        </w:rPr>
        <w:t xml:space="preserve"> proposals</w:t>
      </w:r>
    </w:p>
    <w:p w:rsidR="003A6B33" w:rsidRPr="00B573A9" w:rsidRDefault="003A6B33" w:rsidP="003A6B33">
      <w:pPr>
        <w:pStyle w:val="HChG"/>
        <w:rPr>
          <w:sz w:val="20"/>
        </w:rPr>
      </w:pPr>
      <w:r>
        <w:tab/>
      </w:r>
      <w:r>
        <w:tab/>
      </w:r>
      <w:r w:rsidR="00696D0A" w:rsidRPr="0038434C">
        <w:t>Amendments to sub-section 1.4.2.2 Carrier</w:t>
      </w:r>
    </w:p>
    <w:p w:rsidR="003A6B33" w:rsidRDefault="003A6B33" w:rsidP="009872AB">
      <w:pPr>
        <w:pStyle w:val="H1G"/>
      </w:pPr>
      <w:r w:rsidRPr="00B573A9">
        <w:rPr>
          <w:b w:val="0"/>
          <w:sz w:val="20"/>
        </w:rPr>
        <w:tab/>
      </w:r>
      <w:r w:rsidRPr="00B573A9">
        <w:rPr>
          <w:b w:val="0"/>
          <w:sz w:val="20"/>
        </w:rPr>
        <w:tab/>
      </w:r>
      <w:r w:rsidR="00696D0A" w:rsidRPr="00E51153">
        <w:t xml:space="preserve">Transmitted by the Government of </w:t>
      </w:r>
      <w:r w:rsidR="00696D0A">
        <w:t>Romania</w:t>
      </w:r>
      <w:r w:rsidR="009872AB" w:rsidRPr="00EF17D9">
        <w:rPr>
          <w:rStyle w:val="FootnoteReference"/>
          <w:b w:val="0"/>
          <w:bCs/>
        </w:rPr>
        <w:footnoteReference w:id="2"/>
      </w:r>
    </w:p>
    <w:p w:rsidR="00136E76" w:rsidRDefault="00136E76">
      <w:pPr>
        <w:suppressAutoHyphens w:val="0"/>
        <w:spacing w:line="240" w:lineRule="auto"/>
        <w:rPr>
          <w:b/>
          <w:sz w:val="24"/>
        </w:rPr>
      </w:pPr>
      <w:r>
        <w:rPr>
          <w:b/>
          <w:sz w:val="24"/>
        </w:rPr>
        <w:br w:type="page"/>
      </w:r>
    </w:p>
    <w:p w:rsidR="00136E76" w:rsidRPr="00136E76" w:rsidRDefault="00136E76" w:rsidP="00136E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3A6B33" w:rsidRPr="00B573A9" w:rsidTr="003A6B33">
        <w:trPr>
          <w:jc w:val="center"/>
        </w:trPr>
        <w:tc>
          <w:tcPr>
            <w:tcW w:w="9637" w:type="dxa"/>
            <w:tcBorders>
              <w:bottom w:val="nil"/>
            </w:tcBorders>
            <w:shd w:val="clear" w:color="auto" w:fill="auto"/>
          </w:tcPr>
          <w:p w:rsidR="003A6B33" w:rsidRPr="00B573A9" w:rsidRDefault="003A6B33" w:rsidP="003A6B33">
            <w:pPr>
              <w:tabs>
                <w:tab w:val="left" w:pos="255"/>
              </w:tabs>
              <w:suppressAutoHyphens w:val="0"/>
              <w:spacing w:before="240" w:after="120"/>
              <w:rPr>
                <w:sz w:val="24"/>
              </w:rPr>
            </w:pPr>
            <w:r w:rsidRPr="00B573A9">
              <w:tab/>
            </w:r>
            <w:r w:rsidRPr="00B573A9">
              <w:rPr>
                <w:i/>
                <w:sz w:val="24"/>
              </w:rPr>
              <w:t>Summary</w:t>
            </w:r>
          </w:p>
        </w:tc>
      </w:tr>
      <w:tr w:rsidR="003A6B33" w:rsidRPr="00B573A9" w:rsidTr="003A6B33">
        <w:trPr>
          <w:jc w:val="center"/>
        </w:trPr>
        <w:tc>
          <w:tcPr>
            <w:tcW w:w="9637" w:type="dxa"/>
            <w:tcBorders>
              <w:top w:val="nil"/>
              <w:bottom w:val="nil"/>
            </w:tcBorders>
            <w:shd w:val="clear" w:color="auto" w:fill="auto"/>
          </w:tcPr>
          <w:p w:rsidR="003A6B33" w:rsidRPr="00AA3C78" w:rsidRDefault="003A6B33" w:rsidP="001E099A">
            <w:pPr>
              <w:pStyle w:val="SingleTxtG"/>
              <w:ind w:left="3402" w:hanging="2268"/>
            </w:pPr>
            <w:r w:rsidRPr="00AA3C78">
              <w:rPr>
                <w:b/>
                <w:szCs w:val="22"/>
              </w:rPr>
              <w:t>Executive summary</w:t>
            </w:r>
            <w:r w:rsidRPr="00AA3C78">
              <w:rPr>
                <w:szCs w:val="22"/>
              </w:rPr>
              <w:t>:</w:t>
            </w:r>
            <w:r w:rsidRPr="00AA3C78">
              <w:tab/>
            </w:r>
            <w:r w:rsidR="00696D0A">
              <w:t xml:space="preserve">The main obligations of the carrier must be placed </w:t>
            </w:r>
            <w:r w:rsidR="001E099A">
              <w:t>in</w:t>
            </w:r>
            <w:r w:rsidR="00696D0A">
              <w:t xml:space="preserve"> paragraph 1.4.2.2.1 from (a) to (g), in order to use the instruments provided by the introductory and ending phrases of the paragraph</w:t>
            </w:r>
            <w:r w:rsidR="00696D0A" w:rsidRPr="00743839">
              <w:t>.</w:t>
            </w:r>
          </w:p>
        </w:tc>
      </w:tr>
      <w:tr w:rsidR="003A6B33" w:rsidRPr="00B573A9" w:rsidTr="003A6B33">
        <w:trPr>
          <w:jc w:val="center"/>
        </w:trPr>
        <w:tc>
          <w:tcPr>
            <w:tcW w:w="9637" w:type="dxa"/>
            <w:tcBorders>
              <w:top w:val="nil"/>
              <w:bottom w:val="nil"/>
            </w:tcBorders>
            <w:shd w:val="clear" w:color="auto" w:fill="auto"/>
          </w:tcPr>
          <w:p w:rsidR="00696D0A" w:rsidRDefault="003A6B33" w:rsidP="003C6D1D">
            <w:pPr>
              <w:pStyle w:val="SingleTxtG"/>
              <w:ind w:left="3402" w:hanging="2268"/>
            </w:pPr>
            <w:r w:rsidRPr="00AA3C78">
              <w:rPr>
                <w:b/>
                <w:szCs w:val="22"/>
              </w:rPr>
              <w:t>Action to be taken</w:t>
            </w:r>
            <w:r w:rsidRPr="00AA3C78">
              <w:rPr>
                <w:szCs w:val="22"/>
              </w:rPr>
              <w:t>:</w:t>
            </w:r>
            <w:r w:rsidRPr="00AA3C78">
              <w:tab/>
            </w:r>
            <w:r w:rsidR="00696D0A">
              <w:t xml:space="preserve">1. </w:t>
            </w:r>
            <w:r w:rsidR="00696D0A" w:rsidRPr="00B9745F">
              <w:t>Relocation</w:t>
            </w:r>
            <w:r w:rsidR="00696D0A">
              <w:t xml:space="preserve"> of the oblig</w:t>
            </w:r>
            <w:r w:rsidR="00136E76">
              <w:t>ation of 1.4.2.2.6 (adopted in M</w:t>
            </w:r>
            <w:r w:rsidR="00696D0A">
              <w:t xml:space="preserve">ay 2015 </w:t>
            </w:r>
            <w:r w:rsidR="00696D0A" w:rsidRPr="00BD429D">
              <w:t>for ADR 2017</w:t>
            </w:r>
            <w:r w:rsidR="00696D0A">
              <w:t>) to sub-paragraph (g) of 1.4.2.2.1</w:t>
            </w:r>
            <w:r w:rsidR="001E099A">
              <w:t>;</w:t>
            </w:r>
            <w:r w:rsidR="00696D0A">
              <w:t xml:space="preserve"> and </w:t>
            </w:r>
          </w:p>
          <w:p w:rsidR="003A6B33" w:rsidRPr="00AA3C78" w:rsidRDefault="00696D0A" w:rsidP="003C6D1D">
            <w:pPr>
              <w:pStyle w:val="SingleTxtG"/>
              <w:ind w:left="3402" w:hanging="2268"/>
            </w:pPr>
            <w:r>
              <w:rPr>
                <w:b/>
                <w:szCs w:val="22"/>
              </w:rPr>
              <w:tab/>
            </w:r>
            <w:r>
              <w:t>2. Introduction of the obligation for the carrier to provide fire-fighting equipment on board the transport unit carrying dangerous goods.</w:t>
            </w:r>
          </w:p>
        </w:tc>
      </w:tr>
      <w:tr w:rsidR="003A6B33" w:rsidRPr="00B573A9" w:rsidTr="003A6B33">
        <w:trPr>
          <w:jc w:val="center"/>
        </w:trPr>
        <w:tc>
          <w:tcPr>
            <w:tcW w:w="9637" w:type="dxa"/>
            <w:tcBorders>
              <w:top w:val="nil"/>
              <w:bottom w:val="nil"/>
            </w:tcBorders>
            <w:shd w:val="clear" w:color="auto" w:fill="auto"/>
          </w:tcPr>
          <w:p w:rsidR="00696D0A" w:rsidRDefault="003A6B33" w:rsidP="00696D0A">
            <w:pPr>
              <w:pStyle w:val="SingleTxtG"/>
              <w:spacing w:after="0"/>
              <w:ind w:left="3402" w:hanging="2268"/>
            </w:pPr>
            <w:r w:rsidRPr="00B573A9">
              <w:rPr>
                <w:b/>
                <w:bCs/>
              </w:rPr>
              <w:t>Reference documents:</w:t>
            </w:r>
            <w:r w:rsidRPr="00B573A9">
              <w:rPr>
                <w:b/>
                <w:bCs/>
              </w:rPr>
              <w:tab/>
            </w:r>
            <w:r w:rsidR="001E099A" w:rsidRPr="001E099A">
              <w:rPr>
                <w:bCs/>
              </w:rPr>
              <w:t>Informal document</w:t>
            </w:r>
            <w:r w:rsidR="001E099A">
              <w:rPr>
                <w:b/>
                <w:bCs/>
              </w:rPr>
              <w:t xml:space="preserve"> </w:t>
            </w:r>
            <w:r w:rsidR="00696D0A">
              <w:t>INF.7 (</w:t>
            </w:r>
            <w:r w:rsidR="001E099A" w:rsidRPr="009872AB">
              <w:rPr>
                <w:spacing w:val="-4"/>
              </w:rPr>
              <w:t>ninety-seventh</w:t>
            </w:r>
            <w:r w:rsidR="001E099A" w:rsidRPr="009872AB">
              <w:rPr>
                <w:rFonts w:ascii="Open Sans" w:hAnsi="Open Sans"/>
                <w:spacing w:val="-4"/>
                <w:sz w:val="18"/>
                <w:szCs w:val="18"/>
              </w:rPr>
              <w:t xml:space="preserve"> </w:t>
            </w:r>
            <w:r w:rsidR="00696D0A">
              <w:t xml:space="preserve">session of WP.15 – November 2014), ECE/TRANS/WP.15/2015/1 (may 2015), </w:t>
            </w:r>
          </w:p>
          <w:p w:rsidR="00696D0A" w:rsidRDefault="00696D0A" w:rsidP="00696D0A">
            <w:pPr>
              <w:pStyle w:val="SingleTxtG"/>
              <w:spacing w:after="0"/>
              <w:ind w:left="3402" w:hanging="2268"/>
            </w:pPr>
            <w:r>
              <w:tab/>
              <w:t>Para. 25 and 26 of ECE/TRANS/WP.15/228 (</w:t>
            </w:r>
            <w:r w:rsidR="001E099A" w:rsidRPr="00136E76">
              <w:rPr>
                <w:spacing w:val="-4"/>
              </w:rPr>
              <w:t>ninety-eighth</w:t>
            </w:r>
            <w:r w:rsidRPr="00136E76">
              <w:t xml:space="preserve"> </w:t>
            </w:r>
            <w:r>
              <w:t xml:space="preserve">session of WP.15 – May 2015), </w:t>
            </w:r>
          </w:p>
          <w:p w:rsidR="001E099A" w:rsidRDefault="00696D0A" w:rsidP="001E099A">
            <w:pPr>
              <w:pStyle w:val="SingleTxtG"/>
              <w:spacing w:after="0"/>
              <w:ind w:left="3402" w:hanging="2268"/>
              <w:jc w:val="left"/>
            </w:pPr>
            <w:r>
              <w:tab/>
            </w:r>
            <w:r w:rsidR="001E099A">
              <w:t>Para.47 of ECE/TRANS/WP.15/AC.1/140,</w:t>
            </w:r>
          </w:p>
          <w:p w:rsidR="00696D0A" w:rsidRDefault="001E099A" w:rsidP="001E099A">
            <w:pPr>
              <w:pStyle w:val="SingleTxtG"/>
              <w:spacing w:after="0"/>
              <w:ind w:left="3402" w:hanging="2268"/>
              <w:jc w:val="left"/>
            </w:pPr>
            <w:r>
              <w:tab/>
            </w:r>
            <w:r w:rsidR="00696D0A">
              <w:t xml:space="preserve">ECE/TRANS/WP.15/AC.1/2015/34 </w:t>
            </w:r>
            <w:r w:rsidR="007B4EDD">
              <w:t>and informal document</w:t>
            </w:r>
            <w:r w:rsidR="00696D0A">
              <w:t xml:space="preserve"> INF.3</w:t>
            </w:r>
            <w:r w:rsidR="0090238C">
              <w:t xml:space="preserve"> of the Autumn 2015 </w:t>
            </w:r>
            <w:r w:rsidR="009872AB">
              <w:t>S</w:t>
            </w:r>
            <w:r w:rsidR="0090238C">
              <w:t>ession of the Joint Meeting RID/ADR/ADN</w:t>
            </w:r>
            <w:r w:rsidR="00696D0A">
              <w:t xml:space="preserve">, </w:t>
            </w:r>
          </w:p>
          <w:p w:rsidR="00696D0A" w:rsidRDefault="00696D0A" w:rsidP="00696D0A">
            <w:pPr>
              <w:pStyle w:val="SingleTxtG"/>
              <w:spacing w:after="0"/>
              <w:ind w:left="3402" w:hanging="2268"/>
            </w:pPr>
            <w:r>
              <w:tab/>
            </w:r>
            <w:r w:rsidR="0090238C">
              <w:t xml:space="preserve">Informal document </w:t>
            </w:r>
            <w:r>
              <w:t>INF.6 (</w:t>
            </w:r>
            <w:r w:rsidR="0090238C" w:rsidRPr="00E70191">
              <w:rPr>
                <w:spacing w:val="-4"/>
              </w:rPr>
              <w:t>ninety-ninth</w:t>
            </w:r>
            <w:r w:rsidRPr="00E70191">
              <w:t xml:space="preserve"> </w:t>
            </w:r>
            <w:r>
              <w:t xml:space="preserve">session of WP.15 – November 2015), </w:t>
            </w:r>
          </w:p>
          <w:p w:rsidR="003A6B33" w:rsidRPr="00B573A9" w:rsidRDefault="00696D0A" w:rsidP="00E70191">
            <w:pPr>
              <w:pStyle w:val="SingleTxtG"/>
              <w:spacing w:after="0"/>
              <w:ind w:left="3402" w:hanging="2268"/>
              <w:rPr>
                <w:b/>
                <w:szCs w:val="22"/>
              </w:rPr>
            </w:pPr>
            <w:r>
              <w:tab/>
            </w:r>
            <w:proofErr w:type="gramStart"/>
            <w:r>
              <w:t>para.33</w:t>
            </w:r>
            <w:proofErr w:type="gramEnd"/>
            <w:r>
              <w:t xml:space="preserve"> and 34 of ECE/TRANS/WP.15/230 (</w:t>
            </w:r>
            <w:r w:rsidR="00E70191" w:rsidRPr="00E70191">
              <w:rPr>
                <w:spacing w:val="-4"/>
              </w:rPr>
              <w:t>ninety-ninth</w:t>
            </w:r>
            <w:r>
              <w:t xml:space="preserve"> session of WP.15 – November 2015).</w:t>
            </w:r>
          </w:p>
        </w:tc>
      </w:tr>
      <w:tr w:rsidR="003A6B33" w:rsidRPr="00B573A9" w:rsidTr="003A6B33">
        <w:trPr>
          <w:jc w:val="center"/>
        </w:trPr>
        <w:tc>
          <w:tcPr>
            <w:tcW w:w="9637" w:type="dxa"/>
            <w:tcBorders>
              <w:top w:val="nil"/>
            </w:tcBorders>
            <w:shd w:val="clear" w:color="auto" w:fill="auto"/>
          </w:tcPr>
          <w:p w:rsidR="003A6B33" w:rsidRPr="00B573A9" w:rsidRDefault="003A6B33" w:rsidP="003A6B33">
            <w:pPr>
              <w:suppressAutoHyphens w:val="0"/>
            </w:pPr>
          </w:p>
        </w:tc>
      </w:tr>
    </w:tbl>
    <w:p w:rsidR="003A6B33" w:rsidRPr="00B573A9" w:rsidRDefault="003A6B33" w:rsidP="00136E76">
      <w:pPr>
        <w:pStyle w:val="HChG"/>
        <w:spacing w:before="240"/>
      </w:pPr>
      <w:r w:rsidRPr="00B573A9">
        <w:tab/>
      </w:r>
      <w:r w:rsidRPr="00B573A9">
        <w:tab/>
        <w:t>Introduction</w:t>
      </w:r>
      <w:r w:rsidRPr="00B573A9">
        <w:tab/>
      </w:r>
    </w:p>
    <w:p w:rsidR="00696D0A" w:rsidRPr="00696D0A" w:rsidRDefault="00696D0A" w:rsidP="00696D0A">
      <w:pPr>
        <w:pStyle w:val="SingleTxtG"/>
      </w:pPr>
      <w:r w:rsidRPr="00696D0A">
        <w:t>1.</w:t>
      </w:r>
      <w:r w:rsidRPr="00696D0A">
        <w:tab/>
        <w:t xml:space="preserve">After the analysis of sub-section 1.4.2.2 of RID/ADR/ADN at the </w:t>
      </w:r>
      <w:r w:rsidR="00E70191">
        <w:t>autumn</w:t>
      </w:r>
      <w:r w:rsidRPr="00696D0A">
        <w:t xml:space="preserve"> 2015 session of the Joint Meeting some outcomes must be taken into consideration regarding the obligations of carrier in the road transport of dangerous goods.</w:t>
      </w:r>
    </w:p>
    <w:p w:rsidR="00696D0A" w:rsidRPr="00696D0A" w:rsidRDefault="00696D0A" w:rsidP="00696D0A">
      <w:pPr>
        <w:pStyle w:val="SingleTxtG"/>
      </w:pPr>
      <w:r w:rsidRPr="00696D0A">
        <w:t>2.</w:t>
      </w:r>
      <w:r w:rsidRPr="00696D0A">
        <w:tab/>
        <w:t>Informal document INF.3 of the September 2015 session of the Joint Meeting provides (in parallel) the text of the sub-section 1.4.2.2 for all three regulations (RID/ADR/ADN) and revealed the specific differences of each mode of transport.</w:t>
      </w:r>
    </w:p>
    <w:p w:rsidR="00696D0A" w:rsidRPr="00696D0A" w:rsidRDefault="00696D0A" w:rsidP="00696D0A">
      <w:pPr>
        <w:pStyle w:val="SingleTxtG"/>
      </w:pPr>
      <w:r w:rsidRPr="00696D0A">
        <w:t>3.</w:t>
      </w:r>
      <w:r w:rsidRPr="00696D0A">
        <w:tab/>
      </w:r>
      <w:proofErr w:type="gramStart"/>
      <w:r w:rsidRPr="00696D0A">
        <w:t>As</w:t>
      </w:r>
      <w:proofErr w:type="gramEnd"/>
      <w:r w:rsidRPr="00696D0A">
        <w:t xml:space="preserve"> stipulated in the report of the September 2015 session of the Joint meeting:</w:t>
      </w:r>
    </w:p>
    <w:p w:rsidR="00696D0A" w:rsidRPr="0038434C" w:rsidRDefault="00696D0A" w:rsidP="00E70191">
      <w:pPr>
        <w:pStyle w:val="SingleTxtG"/>
        <w:rPr>
          <w:lang w:eastAsia="ro-RO"/>
        </w:rPr>
      </w:pPr>
      <w:r w:rsidRPr="0038434C">
        <w:rPr>
          <w:lang w:eastAsia="ro-RO"/>
        </w:rPr>
        <w:t>“</w:t>
      </w:r>
      <w:r w:rsidRPr="0038434C">
        <w:rPr>
          <w:i/>
          <w:lang w:eastAsia="ro-RO"/>
        </w:rPr>
        <w:t>Several delegations said that the obligations of the carrier differed according to the mode of transport and that the differences were justified. It was not necessary to harmonise the wording of RID, ADR and ADN.</w:t>
      </w:r>
      <w:proofErr w:type="gramStart"/>
      <w:r w:rsidRPr="0038434C">
        <w:rPr>
          <w:lang w:eastAsia="ro-RO"/>
        </w:rPr>
        <w:t>”.</w:t>
      </w:r>
      <w:proofErr w:type="gramEnd"/>
    </w:p>
    <w:p w:rsidR="00696D0A" w:rsidRDefault="00696D0A" w:rsidP="00126A57">
      <w:pPr>
        <w:pStyle w:val="SingleTxtG"/>
        <w:ind w:hanging="1134"/>
      </w:pPr>
      <w:r>
        <w:tab/>
        <w:t>4.</w:t>
      </w:r>
      <w:r>
        <w:tab/>
        <w:t xml:space="preserve">The current obligation of the carrier </w:t>
      </w:r>
      <w:r w:rsidRPr="00E2425F">
        <w:rPr>
          <w:u w:val="single"/>
        </w:rPr>
        <w:t>to provide the vehicle crew with the instructions in writing as prescribed in ADR</w:t>
      </w:r>
      <w:r w:rsidRPr="006D6A46">
        <w:t xml:space="preserve"> </w:t>
      </w:r>
      <w:r>
        <w:t xml:space="preserve">adopted in </w:t>
      </w:r>
      <w:r w:rsidR="00136E76">
        <w:t>M</w:t>
      </w:r>
      <w:r>
        <w:t xml:space="preserve">ay 2015 and placed </w:t>
      </w:r>
      <w:r w:rsidR="00E70191">
        <w:t>in</w:t>
      </w:r>
      <w:r>
        <w:t xml:space="preserve"> 1.4.2.2.6 (</w:t>
      </w:r>
      <w:r w:rsidR="00E70191">
        <w:t xml:space="preserve">see ECE/TRANS/WP.15/228, annex I) </w:t>
      </w:r>
      <w:r>
        <w:t xml:space="preserve">must be </w:t>
      </w:r>
      <w:r w:rsidRPr="00B9745F">
        <w:t>relocated</w:t>
      </w:r>
      <w:r>
        <w:t xml:space="preserve"> to 1.4.2.2.1 as </w:t>
      </w:r>
      <w:r w:rsidR="00E70191">
        <w:t>the representative of the International Road Union (</w:t>
      </w:r>
      <w:r>
        <w:t>IRU</w:t>
      </w:r>
      <w:r w:rsidR="00E70191">
        <w:t>)</w:t>
      </w:r>
      <w:r>
        <w:t xml:space="preserve"> proposed</w:t>
      </w:r>
      <w:r w:rsidRPr="00E2425F">
        <w:rPr>
          <w:lang w:eastAsia="ro-RO"/>
        </w:rPr>
        <w:t xml:space="preserve"> </w:t>
      </w:r>
      <w:r w:rsidRPr="0038434C">
        <w:rPr>
          <w:lang w:eastAsia="ro-RO"/>
        </w:rPr>
        <w:t>during th</w:t>
      </w:r>
      <w:r>
        <w:rPr>
          <w:lang w:eastAsia="ro-RO"/>
        </w:rPr>
        <w:t>e reading of the report at the May 2015</w:t>
      </w:r>
      <w:r w:rsidRPr="0038434C">
        <w:rPr>
          <w:lang w:eastAsia="ro-RO"/>
        </w:rPr>
        <w:t xml:space="preserve"> session of WP.15</w:t>
      </w:r>
      <w:r>
        <w:t>.</w:t>
      </w:r>
    </w:p>
    <w:p w:rsidR="00696D0A" w:rsidRPr="0092492A" w:rsidRDefault="00696D0A" w:rsidP="00126A57">
      <w:pPr>
        <w:pStyle w:val="SingleTxtG"/>
        <w:ind w:hanging="1134"/>
      </w:pPr>
      <w:r>
        <w:tab/>
        <w:t>5.</w:t>
      </w:r>
      <w:r>
        <w:tab/>
        <w:t xml:space="preserve">There is no reason to keep the obligation mentioned before </w:t>
      </w:r>
      <w:r w:rsidR="00E70191">
        <w:t>in</w:t>
      </w:r>
      <w:r>
        <w:t xml:space="preserve"> 1.4.2.2.6 because the introductory phrase of 1.4.2.2.1 is different in ADR in comparison with RID and the harmonisation is not relevant in this case. The relevance of the harmonisation must be analysed in comparison to ADN where the instructions in writing has a similar regime as in ADR. The introductory text of 1.4.2.2.1 of RID is the following: </w:t>
      </w:r>
      <w:r w:rsidRPr="00DB0D67">
        <w:rPr>
          <w:i/>
        </w:rPr>
        <w:t xml:space="preserve">In the context of 1.4.1, the </w:t>
      </w:r>
      <w:r w:rsidRPr="00DB0D67">
        <w:rPr>
          <w:i/>
        </w:rPr>
        <w:lastRenderedPageBreak/>
        <w:t xml:space="preserve">carrier </w:t>
      </w:r>
      <w:r w:rsidRPr="00C0091D">
        <w:rPr>
          <w:i/>
        </w:rPr>
        <w:t xml:space="preserve">who takes over the dangerous goods </w:t>
      </w:r>
      <w:r w:rsidRPr="00C0091D">
        <w:rPr>
          <w:i/>
          <w:u w:val="single"/>
        </w:rPr>
        <w:t>at the point of departure</w:t>
      </w:r>
      <w:r w:rsidRPr="00DB0D67">
        <w:rPr>
          <w:i/>
        </w:rPr>
        <w:t xml:space="preserve"> shall in particular: ...</w:t>
      </w:r>
      <w:r>
        <w:t xml:space="preserve">. This formula is less comprehensive than the one used in ADR and ADN: </w:t>
      </w:r>
      <w:r w:rsidRPr="00905599">
        <w:rPr>
          <w:i/>
        </w:rPr>
        <w:t xml:space="preserve">In the context of 1.4.1, </w:t>
      </w:r>
      <w:r w:rsidRPr="00C0091D">
        <w:rPr>
          <w:i/>
        </w:rPr>
        <w:t>where appropriate</w:t>
      </w:r>
      <w:r w:rsidRPr="00905599">
        <w:rPr>
          <w:i/>
        </w:rPr>
        <w:t>, the carrier shall in particular</w:t>
      </w:r>
      <w:r>
        <w:t xml:space="preserve">: ...). </w:t>
      </w:r>
    </w:p>
    <w:p w:rsidR="00696D0A" w:rsidRPr="00696D0A" w:rsidRDefault="00696D0A" w:rsidP="00696D0A">
      <w:pPr>
        <w:pStyle w:val="SingleTxtG"/>
      </w:pPr>
      <w:r w:rsidRPr="00696D0A">
        <w:t>6.</w:t>
      </w:r>
      <w:r w:rsidRPr="00696D0A">
        <w:tab/>
        <w:t>It must be said that in 1.4.2.2.1 of ADN there are further particular obligations for inland waterways transport of dangerous goods in sub-paragraphs (h) to (j).</w:t>
      </w:r>
    </w:p>
    <w:p w:rsidR="00696D0A" w:rsidRDefault="00696D0A" w:rsidP="00696D0A">
      <w:pPr>
        <w:pStyle w:val="SingleTxtG"/>
      </w:pPr>
      <w:r>
        <w:t>7.</w:t>
      </w:r>
      <w:r>
        <w:tab/>
        <w:t xml:space="preserve">In this context we propose the </w:t>
      </w:r>
      <w:r w:rsidRPr="00B9745F">
        <w:t xml:space="preserve">relocation </w:t>
      </w:r>
      <w:r>
        <w:t xml:space="preserve">of the obligation of the carrier </w:t>
      </w:r>
      <w:r w:rsidRPr="00CC0556">
        <w:rPr>
          <w:u w:val="single"/>
        </w:rPr>
        <w:t>to provide the vehicle crew with the instructions in writing as prescribed in ADR</w:t>
      </w:r>
      <w:r>
        <w:t xml:space="preserve"> from 1.4.2.2.6 to 1.4.2.2.1 (g), reworded to the specific of the place.</w:t>
      </w:r>
    </w:p>
    <w:p w:rsidR="00696D0A" w:rsidRPr="00696D0A" w:rsidRDefault="00696D0A" w:rsidP="00696D0A">
      <w:pPr>
        <w:pStyle w:val="SingleTxtG"/>
      </w:pPr>
      <w:r w:rsidRPr="00696D0A">
        <w:t>8.</w:t>
      </w:r>
      <w:r w:rsidRPr="00696D0A">
        <w:tab/>
        <w:t xml:space="preserve">The second decision to be taken consists in the need of the introduction of an obligation for the carrier to provide fire-fighting equipment on board the transport unit carrying dangerous goods. </w:t>
      </w:r>
    </w:p>
    <w:p w:rsidR="00696D0A" w:rsidRPr="00696D0A" w:rsidRDefault="00696D0A" w:rsidP="00696D0A">
      <w:pPr>
        <w:pStyle w:val="SingleTxtG"/>
      </w:pPr>
      <w:r w:rsidRPr="00696D0A">
        <w:t>9.</w:t>
      </w:r>
      <w:r w:rsidRPr="00696D0A">
        <w:tab/>
        <w:t>This obligation is not covered by the current text of 1.4.2.2.1 (c):</w:t>
      </w:r>
    </w:p>
    <w:p w:rsidR="00696D0A" w:rsidRDefault="00696D0A" w:rsidP="00696D0A">
      <w:pPr>
        <w:pStyle w:val="SingleTxtG"/>
        <w:ind w:hanging="1134"/>
        <w:rPr>
          <w:i/>
        </w:rPr>
      </w:pPr>
      <w:r>
        <w:rPr>
          <w:i/>
        </w:rPr>
        <w:tab/>
        <w:t xml:space="preserve">(c) </w:t>
      </w:r>
      <w:proofErr w:type="gramStart"/>
      <w:r w:rsidRPr="00407081">
        <w:rPr>
          <w:i/>
        </w:rPr>
        <w:t>ascertain</w:t>
      </w:r>
      <w:proofErr w:type="gramEnd"/>
      <w:r w:rsidRPr="00407081">
        <w:rPr>
          <w:i/>
        </w:rPr>
        <w:t xml:space="preserve"> visually that the vehicles and loads have no obvious defects, leakages or cracks, </w:t>
      </w:r>
      <w:r w:rsidRPr="00407081">
        <w:rPr>
          <w:i/>
          <w:u w:val="single"/>
        </w:rPr>
        <w:t>missing equipment</w:t>
      </w:r>
      <w:r w:rsidRPr="00407081">
        <w:rPr>
          <w:i/>
        </w:rPr>
        <w:t>, etc.;</w:t>
      </w:r>
    </w:p>
    <w:p w:rsidR="00696D0A" w:rsidRDefault="00696D0A" w:rsidP="00696D0A">
      <w:pPr>
        <w:pStyle w:val="SingleTxtG"/>
      </w:pPr>
      <w:r>
        <w:t>10.</w:t>
      </w:r>
      <w:r>
        <w:tab/>
        <w:t xml:space="preserve">This obligation might be considered covered by the </w:t>
      </w:r>
      <w:r w:rsidRPr="0038434C">
        <w:rPr>
          <w:lang w:eastAsia="ro-RO"/>
        </w:rPr>
        <w:t xml:space="preserve">current text of the </w:t>
      </w:r>
      <w:r>
        <w:rPr>
          <w:lang w:eastAsia="ro-RO"/>
        </w:rPr>
        <w:t>sub-</w:t>
      </w:r>
      <w:r w:rsidRPr="0038434C">
        <w:rPr>
          <w:lang w:eastAsia="ro-RO"/>
        </w:rPr>
        <w:t>paragraph</w:t>
      </w:r>
      <w:r>
        <w:t xml:space="preserve"> (g) adopted in May 2015 (</w:t>
      </w:r>
      <w:r w:rsidR="00E70191">
        <w:t>see ECE/TRANS/WP.15/228, annex I</w:t>
      </w:r>
      <w:r>
        <w:t>):</w:t>
      </w:r>
    </w:p>
    <w:p w:rsidR="00696D0A" w:rsidRDefault="00696D0A" w:rsidP="005666AA">
      <w:pPr>
        <w:pStyle w:val="SingleTxtG"/>
        <w:ind w:hanging="1134"/>
      </w:pPr>
      <w:r>
        <w:rPr>
          <w:i/>
        </w:rPr>
        <w:tab/>
      </w:r>
      <w:r w:rsidRPr="00791DFB">
        <w:rPr>
          <w:i/>
        </w:rPr>
        <w:t>(g)</w:t>
      </w:r>
      <w:r w:rsidRPr="00791DFB">
        <w:rPr>
          <w:i/>
        </w:rPr>
        <w:tab/>
      </w:r>
      <w:proofErr w:type="gramStart"/>
      <w:r w:rsidRPr="00791DFB">
        <w:rPr>
          <w:i/>
        </w:rPr>
        <w:t>ascertain</w:t>
      </w:r>
      <w:proofErr w:type="gramEnd"/>
      <w:r w:rsidRPr="00791DFB">
        <w:rPr>
          <w:i/>
        </w:rPr>
        <w:t xml:space="preserve"> that the equipment prescribed in ADR for the vehicle, vehicle crew and certain classes is on board the vehicle.</w:t>
      </w:r>
    </w:p>
    <w:p w:rsidR="00696D0A" w:rsidRDefault="00696D0A" w:rsidP="00D94296">
      <w:pPr>
        <w:pStyle w:val="SingleTxtG"/>
        <w:rPr>
          <w:lang w:eastAsia="ro-RO"/>
        </w:rPr>
      </w:pPr>
      <w:r>
        <w:t>11.</w:t>
      </w:r>
      <w:r>
        <w:tab/>
      </w:r>
      <w:r w:rsidRPr="00B9745F">
        <w:rPr>
          <w:lang w:eastAsia="ro-RO"/>
        </w:rPr>
        <w:t xml:space="preserve"> </w:t>
      </w:r>
      <w:r>
        <w:rPr>
          <w:lang w:eastAsia="ro-RO"/>
        </w:rPr>
        <w:t>If the Working Party considers necessary to emphasize the fact that sub-paragraph (g) of 1.4.2.2.1 include</w:t>
      </w:r>
      <w:r w:rsidR="00E70191">
        <w:rPr>
          <w:lang w:eastAsia="ro-RO"/>
        </w:rPr>
        <w:t>s</w:t>
      </w:r>
      <w:r>
        <w:rPr>
          <w:lang w:eastAsia="ro-RO"/>
        </w:rPr>
        <w:t xml:space="preserve"> the fire-fighting equipment, we propose to introd</w:t>
      </w:r>
      <w:r w:rsidR="00E70191">
        <w:rPr>
          <w:lang w:eastAsia="ro-RO"/>
        </w:rPr>
        <w:t xml:space="preserve">uce an explanatory parenthesis. </w:t>
      </w:r>
      <w:r>
        <w:t>An interpretation of the Working Party is useful in this regard.</w:t>
      </w:r>
      <w:r w:rsidRPr="00B9745F">
        <w:rPr>
          <w:lang w:eastAsia="ro-RO"/>
        </w:rPr>
        <w:t xml:space="preserve"> </w:t>
      </w:r>
    </w:p>
    <w:p w:rsidR="00696D0A" w:rsidRDefault="00696D0A" w:rsidP="00D94296">
      <w:pPr>
        <w:pStyle w:val="SingleTxtG"/>
        <w:rPr>
          <w:lang w:eastAsia="ro-RO"/>
        </w:rPr>
      </w:pPr>
      <w:r>
        <w:rPr>
          <w:lang w:eastAsia="ro-RO"/>
        </w:rPr>
        <w:t>12.</w:t>
      </w:r>
      <w:r>
        <w:rPr>
          <w:lang w:eastAsia="ro-RO"/>
        </w:rPr>
        <w:tab/>
      </w:r>
      <w:r w:rsidRPr="00D32ABC">
        <w:rPr>
          <w:lang w:eastAsia="ro-RO"/>
        </w:rPr>
        <w:t>Whichever solution is chosen</w:t>
      </w:r>
      <w:r>
        <w:rPr>
          <w:lang w:eastAsia="ro-RO"/>
        </w:rPr>
        <w:t xml:space="preserve">, the term </w:t>
      </w:r>
      <w:r>
        <w:rPr>
          <w:lang w:val="en-US" w:eastAsia="ro-RO"/>
        </w:rPr>
        <w:t>“</w:t>
      </w:r>
      <w:r>
        <w:rPr>
          <w:lang w:eastAsia="ro-RO"/>
        </w:rPr>
        <w:t xml:space="preserve">vehicle” must be replaced by the term “transport unit” twice for the consistency with the section </w:t>
      </w:r>
      <w:r w:rsidRPr="0027275C">
        <w:rPr>
          <w:b/>
          <w:lang w:eastAsia="ro-RO"/>
        </w:rPr>
        <w:t>8.1.4 Fire-fighting equipment</w:t>
      </w:r>
      <w:r>
        <w:rPr>
          <w:lang w:eastAsia="ro-RO"/>
        </w:rPr>
        <w:t xml:space="preserve"> and the new adopted text of: 8.1.5.3 and 5.4.3.4 - </w:t>
      </w:r>
      <w:r w:rsidRPr="00725C32">
        <w:rPr>
          <w:lang w:eastAsia="ro-RO"/>
        </w:rPr>
        <w:t xml:space="preserve">the </w:t>
      </w:r>
      <w:r>
        <w:rPr>
          <w:lang w:eastAsia="ro-RO"/>
        </w:rPr>
        <w:t xml:space="preserve">4 pages </w:t>
      </w:r>
      <w:r w:rsidRPr="00725C32">
        <w:rPr>
          <w:lang w:eastAsia="ro-RO"/>
        </w:rPr>
        <w:t>model of the Instruction</w:t>
      </w:r>
      <w:r>
        <w:rPr>
          <w:lang w:eastAsia="ro-RO"/>
        </w:rPr>
        <w:t>s</w:t>
      </w:r>
      <w:r w:rsidRPr="00725C32">
        <w:rPr>
          <w:lang w:eastAsia="ro-RO"/>
        </w:rPr>
        <w:t xml:space="preserve"> in writing</w:t>
      </w:r>
      <w:r>
        <w:rPr>
          <w:lang w:eastAsia="ro-RO"/>
        </w:rPr>
        <w:t xml:space="preserve"> (twice on last page): the heading after the table and the first indent after </w:t>
      </w:r>
      <w:r>
        <w:rPr>
          <w:lang w:val="en-US" w:eastAsia="ro-RO"/>
        </w:rPr>
        <w:t>“Additional equipment required for certain classes”.</w:t>
      </w:r>
    </w:p>
    <w:p w:rsidR="00696D0A" w:rsidRPr="0038434C" w:rsidRDefault="00D94296" w:rsidP="00136E76">
      <w:pPr>
        <w:pStyle w:val="HChG"/>
        <w:spacing w:before="240"/>
        <w:rPr>
          <w:lang w:eastAsia="ro-RO"/>
        </w:rPr>
      </w:pPr>
      <w:r>
        <w:rPr>
          <w:lang w:eastAsia="ro-RO"/>
        </w:rPr>
        <w:tab/>
      </w:r>
      <w:r w:rsidR="00696D0A">
        <w:rPr>
          <w:lang w:eastAsia="ro-RO"/>
        </w:rPr>
        <w:tab/>
        <w:t>Proposal</w:t>
      </w:r>
      <w:bookmarkStart w:id="0" w:name="_GoBack"/>
      <w:bookmarkEnd w:id="0"/>
    </w:p>
    <w:p w:rsidR="00696D0A" w:rsidRPr="00D94296" w:rsidRDefault="00696D0A" w:rsidP="00D94296">
      <w:pPr>
        <w:pStyle w:val="SingleTxtG"/>
      </w:pPr>
      <w:r w:rsidRPr="00D94296">
        <w:t>13.</w:t>
      </w:r>
      <w:r w:rsidRPr="00D94296">
        <w:tab/>
        <w:t>Amend the text of 1.4.2.2.1 (g) to read as follows (new text is in bold underlined print and deleted text is stricken trough):</w:t>
      </w:r>
    </w:p>
    <w:p w:rsidR="00696D0A" w:rsidRPr="007743C5" w:rsidRDefault="00D94296" w:rsidP="00D94296">
      <w:pPr>
        <w:pStyle w:val="SingleTxtG"/>
        <w:ind w:hanging="1267"/>
      </w:pPr>
      <w:r>
        <w:tab/>
      </w:r>
      <w:r w:rsidR="00696D0A" w:rsidRPr="00102762">
        <w:t>(g)</w:t>
      </w:r>
      <w:r w:rsidR="00696D0A" w:rsidRPr="00102762">
        <w:tab/>
      </w:r>
      <w:proofErr w:type="gramStart"/>
      <w:r w:rsidR="00696D0A" w:rsidRPr="00102762">
        <w:t>ascertain</w:t>
      </w:r>
      <w:proofErr w:type="gramEnd"/>
      <w:r w:rsidR="00696D0A" w:rsidRPr="00102762">
        <w:t xml:space="preserve"> that </w:t>
      </w:r>
      <w:r w:rsidR="00696D0A" w:rsidRPr="00C0091D">
        <w:rPr>
          <w:b/>
          <w:u w:val="single"/>
        </w:rPr>
        <w:t>the instructions in writing are in the vehicle crew’s cab and</w:t>
      </w:r>
      <w:r w:rsidR="00696D0A" w:rsidRPr="00C0091D">
        <w:t xml:space="preserve"> the equipment prescribed in ADR for the </w:t>
      </w:r>
      <w:r w:rsidR="00696D0A" w:rsidRPr="00C0091D">
        <w:rPr>
          <w:strike/>
        </w:rPr>
        <w:t>vehicle</w:t>
      </w:r>
      <w:r w:rsidR="00696D0A" w:rsidRPr="00C0091D">
        <w:t xml:space="preserve"> </w:t>
      </w:r>
      <w:r w:rsidR="00696D0A" w:rsidRPr="00C0091D">
        <w:rPr>
          <w:b/>
          <w:u w:val="single"/>
        </w:rPr>
        <w:t>transport unit (including fire-fighting equipment)</w:t>
      </w:r>
      <w:r w:rsidR="00696D0A" w:rsidRPr="00C0091D">
        <w:t>, vehicle crew</w:t>
      </w:r>
      <w:r w:rsidR="00696D0A" w:rsidRPr="00102762">
        <w:t xml:space="preserve"> and certain classes is on board the </w:t>
      </w:r>
      <w:r w:rsidR="00696D0A" w:rsidRPr="00C0091D">
        <w:rPr>
          <w:strike/>
        </w:rPr>
        <w:t>vehicle</w:t>
      </w:r>
      <w:r w:rsidR="00696D0A" w:rsidRPr="00C0091D">
        <w:t xml:space="preserve"> </w:t>
      </w:r>
      <w:r w:rsidR="00696D0A" w:rsidRPr="00C0091D">
        <w:rPr>
          <w:b/>
          <w:u w:val="single"/>
        </w:rPr>
        <w:t>transport unit</w:t>
      </w:r>
      <w:r w:rsidR="00696D0A" w:rsidRPr="00C0091D">
        <w:t>.</w:t>
      </w:r>
    </w:p>
    <w:p w:rsidR="00696D0A" w:rsidRDefault="00D94296" w:rsidP="00D94296">
      <w:pPr>
        <w:pStyle w:val="H1G"/>
        <w:rPr>
          <w:lang w:eastAsia="ro-RO"/>
        </w:rPr>
      </w:pPr>
      <w:r>
        <w:rPr>
          <w:lang w:eastAsia="ro-RO"/>
        </w:rPr>
        <w:tab/>
      </w:r>
      <w:r>
        <w:rPr>
          <w:lang w:eastAsia="ro-RO"/>
        </w:rPr>
        <w:tab/>
      </w:r>
      <w:r w:rsidR="00696D0A" w:rsidRPr="00F41D76">
        <w:rPr>
          <w:lang w:eastAsia="ro-RO"/>
        </w:rPr>
        <w:t>Consequential amendment</w:t>
      </w:r>
    </w:p>
    <w:p w:rsidR="00696D0A" w:rsidRPr="00D94296" w:rsidRDefault="00696D0A" w:rsidP="00D94296">
      <w:pPr>
        <w:pStyle w:val="SingleTxtG"/>
      </w:pPr>
      <w:r w:rsidRPr="00D94296">
        <w:t>14.</w:t>
      </w:r>
      <w:r w:rsidRPr="00D94296">
        <w:tab/>
        <w:t>Delete paragraph 1.4.2.2.6.</w:t>
      </w:r>
    </w:p>
    <w:p w:rsidR="00696D0A" w:rsidRPr="00E51153" w:rsidRDefault="00D94296" w:rsidP="00D94296">
      <w:pPr>
        <w:pStyle w:val="HChG"/>
      </w:pPr>
      <w:r>
        <w:rPr>
          <w:lang w:eastAsia="ro-RO"/>
        </w:rPr>
        <w:tab/>
      </w:r>
      <w:r>
        <w:rPr>
          <w:lang w:eastAsia="ro-RO"/>
        </w:rPr>
        <w:tab/>
      </w:r>
      <w:r w:rsidR="00696D0A" w:rsidRPr="00E51153">
        <w:t>Justification</w:t>
      </w:r>
    </w:p>
    <w:p w:rsidR="00696D0A" w:rsidRPr="00E51153" w:rsidRDefault="00696D0A" w:rsidP="00D94296">
      <w:pPr>
        <w:pStyle w:val="SingleTxtG"/>
      </w:pPr>
      <w:r>
        <w:t>15.</w:t>
      </w:r>
      <w:r>
        <w:tab/>
      </w:r>
      <w:r w:rsidRPr="00E51153">
        <w:t>Safety:</w:t>
      </w:r>
      <w:r w:rsidRPr="00E51153">
        <w:tab/>
      </w:r>
      <w:r w:rsidRPr="00E51153">
        <w:tab/>
      </w:r>
      <w:r w:rsidR="00D94296">
        <w:tab/>
      </w:r>
      <w:r w:rsidRPr="00E51153">
        <w:t>Improves safety.</w:t>
      </w:r>
    </w:p>
    <w:p w:rsidR="00696D0A" w:rsidRPr="00E51153" w:rsidRDefault="00696D0A" w:rsidP="00D94296">
      <w:pPr>
        <w:pStyle w:val="SingleTxtG"/>
      </w:pPr>
      <w:r>
        <w:tab/>
      </w:r>
      <w:r w:rsidRPr="00E51153">
        <w:t>Feasibility:</w:t>
      </w:r>
      <w:r w:rsidRPr="00E51153">
        <w:tab/>
      </w:r>
      <w:r w:rsidR="00D94296">
        <w:tab/>
      </w:r>
      <w:r w:rsidRPr="00E51153">
        <w:t>Avoids any confusion</w:t>
      </w:r>
      <w:r>
        <w:t xml:space="preserve"> </w:t>
      </w:r>
      <w:r w:rsidRPr="00E51153">
        <w:t>when</w:t>
      </w:r>
      <w:r>
        <w:t xml:space="preserve"> </w:t>
      </w:r>
      <w:r w:rsidRPr="00E51153">
        <w:t xml:space="preserve">interpreting the </w:t>
      </w:r>
      <w:r>
        <w:t>ADR texts</w:t>
      </w:r>
      <w:r w:rsidRPr="00E51153">
        <w:t>.</w:t>
      </w:r>
    </w:p>
    <w:p w:rsidR="00696D0A" w:rsidRDefault="00696D0A" w:rsidP="00D94296">
      <w:pPr>
        <w:pStyle w:val="SingleTxtG"/>
      </w:pPr>
      <w:r>
        <w:tab/>
      </w:r>
      <w:r w:rsidRPr="00E51153">
        <w:t>Enforceability:</w:t>
      </w:r>
      <w:r w:rsidRPr="00E51153">
        <w:tab/>
        <w:t>Facilitates the</w:t>
      </w:r>
      <w:r>
        <w:t xml:space="preserve"> application of the provisions.</w:t>
      </w:r>
    </w:p>
    <w:p w:rsidR="00D94296" w:rsidRPr="00D94296" w:rsidRDefault="00D94296" w:rsidP="00D94296">
      <w:pPr>
        <w:pStyle w:val="SingleTxtG"/>
        <w:spacing w:before="240" w:after="0"/>
        <w:jc w:val="center"/>
        <w:rPr>
          <w:u w:val="single"/>
        </w:rPr>
      </w:pPr>
      <w:r>
        <w:rPr>
          <w:u w:val="single"/>
        </w:rPr>
        <w:tab/>
      </w:r>
      <w:r>
        <w:rPr>
          <w:u w:val="single"/>
        </w:rPr>
        <w:tab/>
      </w:r>
      <w:r>
        <w:rPr>
          <w:u w:val="single"/>
        </w:rPr>
        <w:tab/>
      </w:r>
    </w:p>
    <w:sectPr w:rsidR="00D94296" w:rsidRPr="00D94296"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136E76">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136E76">
      <w:rPr>
        <w:b/>
        <w:noProof/>
        <w:sz w:val="18"/>
      </w:rPr>
      <w:t>3</w:t>
    </w:r>
    <w:r w:rsidRPr="001330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9872AB" w:rsidRDefault="009872AB" w:rsidP="009872AB">
      <w:pPr>
        <w:pStyle w:val="FootnoteText"/>
        <w:tabs>
          <w:tab w:val="clear" w:pos="1021"/>
        </w:tabs>
        <w:ind w:left="1418" w:right="1260" w:hanging="284"/>
        <w:jc w:val="both"/>
      </w:pPr>
      <w:r>
        <w:tab/>
      </w:r>
      <w:r w:rsidRPr="00F6632B">
        <w:rPr>
          <w:rStyle w:val="FootnoteReference"/>
        </w:rPr>
        <w:footnoteRef/>
      </w:r>
      <w:r>
        <w:tab/>
      </w:r>
      <w:proofErr w:type="gramStart"/>
      <w:r>
        <w:t xml:space="preserve">In accordance with the draft programme of work of the Inland Transport Committee for </w:t>
      </w:r>
      <w:r>
        <w:tab/>
        <w:t>2016-2017, (ECE/TRANS/WP.15/2015/19 (9.2)).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Header"/>
    </w:pPr>
    <w:r w:rsidRPr="001330DE">
      <w:t>ECE/TRANS/WP.15/201</w:t>
    </w:r>
    <w:r>
      <w:t>6</w:t>
    </w:r>
    <w:r w:rsidRPr="001330DE">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C" w:rsidRPr="001330DE" w:rsidRDefault="0090238C" w:rsidP="001330DE">
    <w:pPr>
      <w:pStyle w:val="Header"/>
      <w:jc w:val="right"/>
    </w:pPr>
    <w:r w:rsidRPr="001330DE">
      <w:t>ECE/TRANS/WP.15/201</w:t>
    </w:r>
    <w:r>
      <w:t>6</w:t>
    </w:r>
    <w:r w:rsidRPr="001330D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6E76"/>
    <w:rsid w:val="00145622"/>
    <w:rsid w:val="00165F3A"/>
    <w:rsid w:val="001B054C"/>
    <w:rsid w:val="001B4B04"/>
    <w:rsid w:val="001C6663"/>
    <w:rsid w:val="001C7895"/>
    <w:rsid w:val="001D0C8C"/>
    <w:rsid w:val="001D1419"/>
    <w:rsid w:val="001D26DF"/>
    <w:rsid w:val="001D3A03"/>
    <w:rsid w:val="001E099A"/>
    <w:rsid w:val="001E4771"/>
    <w:rsid w:val="001E59E0"/>
    <w:rsid w:val="001E7B67"/>
    <w:rsid w:val="001F6AFB"/>
    <w:rsid w:val="00202DA8"/>
    <w:rsid w:val="00211E0B"/>
    <w:rsid w:val="0021665B"/>
    <w:rsid w:val="00250738"/>
    <w:rsid w:val="00267F5F"/>
    <w:rsid w:val="00286B4D"/>
    <w:rsid w:val="002D4643"/>
    <w:rsid w:val="002F175C"/>
    <w:rsid w:val="00302E18"/>
    <w:rsid w:val="003229D8"/>
    <w:rsid w:val="00352709"/>
    <w:rsid w:val="003639E8"/>
    <w:rsid w:val="00364574"/>
    <w:rsid w:val="00371178"/>
    <w:rsid w:val="0038358B"/>
    <w:rsid w:val="003A6810"/>
    <w:rsid w:val="003A6B33"/>
    <w:rsid w:val="003C2CC4"/>
    <w:rsid w:val="003C6D1D"/>
    <w:rsid w:val="003D4B23"/>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B3DB3"/>
    <w:rsid w:val="005B4E13"/>
    <w:rsid w:val="005E2EBD"/>
    <w:rsid w:val="005F7B75"/>
    <w:rsid w:val="006001EE"/>
    <w:rsid w:val="00603CB2"/>
    <w:rsid w:val="00605042"/>
    <w:rsid w:val="00611FC4"/>
    <w:rsid w:val="006176FB"/>
    <w:rsid w:val="00640B26"/>
    <w:rsid w:val="00644E68"/>
    <w:rsid w:val="00652D0A"/>
    <w:rsid w:val="006623D5"/>
    <w:rsid w:val="00662BB6"/>
    <w:rsid w:val="00684C21"/>
    <w:rsid w:val="00696D0A"/>
    <w:rsid w:val="006A2530"/>
    <w:rsid w:val="006C3589"/>
    <w:rsid w:val="006D266F"/>
    <w:rsid w:val="006D37AF"/>
    <w:rsid w:val="006D51D0"/>
    <w:rsid w:val="006E564B"/>
    <w:rsid w:val="006E7191"/>
    <w:rsid w:val="00703577"/>
    <w:rsid w:val="00705894"/>
    <w:rsid w:val="0072632A"/>
    <w:rsid w:val="007327D5"/>
    <w:rsid w:val="007629C8"/>
    <w:rsid w:val="0077047D"/>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40F93"/>
    <w:rsid w:val="009471BA"/>
    <w:rsid w:val="009760F3"/>
    <w:rsid w:val="009872AB"/>
    <w:rsid w:val="009A0E8D"/>
    <w:rsid w:val="009B26E7"/>
    <w:rsid w:val="00A00A3F"/>
    <w:rsid w:val="00A01489"/>
    <w:rsid w:val="00A3026E"/>
    <w:rsid w:val="00A338F1"/>
    <w:rsid w:val="00A50DEE"/>
    <w:rsid w:val="00A72F22"/>
    <w:rsid w:val="00A7360F"/>
    <w:rsid w:val="00A748A6"/>
    <w:rsid w:val="00A769F4"/>
    <w:rsid w:val="00A776B4"/>
    <w:rsid w:val="00A94361"/>
    <w:rsid w:val="00AA293C"/>
    <w:rsid w:val="00B30179"/>
    <w:rsid w:val="00B31E80"/>
    <w:rsid w:val="00B421C1"/>
    <w:rsid w:val="00B54192"/>
    <w:rsid w:val="00B55C71"/>
    <w:rsid w:val="00B56E4A"/>
    <w:rsid w:val="00B56E9C"/>
    <w:rsid w:val="00B64B1F"/>
    <w:rsid w:val="00B6553F"/>
    <w:rsid w:val="00B77D05"/>
    <w:rsid w:val="00B81206"/>
    <w:rsid w:val="00B81E12"/>
    <w:rsid w:val="00B9042E"/>
    <w:rsid w:val="00BC3FA0"/>
    <w:rsid w:val="00BC74E9"/>
    <w:rsid w:val="00BD186E"/>
    <w:rsid w:val="00BE0515"/>
    <w:rsid w:val="00BF68A8"/>
    <w:rsid w:val="00C0563C"/>
    <w:rsid w:val="00C11A03"/>
    <w:rsid w:val="00C22C0C"/>
    <w:rsid w:val="00C4527F"/>
    <w:rsid w:val="00C463DD"/>
    <w:rsid w:val="00C4724C"/>
    <w:rsid w:val="00C629A0"/>
    <w:rsid w:val="00C64629"/>
    <w:rsid w:val="00C745C3"/>
    <w:rsid w:val="00C86220"/>
    <w:rsid w:val="00CB3E03"/>
    <w:rsid w:val="00CE0C77"/>
    <w:rsid w:val="00CE4A8F"/>
    <w:rsid w:val="00CF49FD"/>
    <w:rsid w:val="00D2031B"/>
    <w:rsid w:val="00D25FE2"/>
    <w:rsid w:val="00D43252"/>
    <w:rsid w:val="00D47EEA"/>
    <w:rsid w:val="00D6286A"/>
    <w:rsid w:val="00D773DF"/>
    <w:rsid w:val="00D77865"/>
    <w:rsid w:val="00D94296"/>
    <w:rsid w:val="00D95303"/>
    <w:rsid w:val="00D978C6"/>
    <w:rsid w:val="00DA3C1C"/>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1420747</vt:lpstr>
    </vt:vector>
  </TitlesOfParts>
  <Company>CSD</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barrio-champeau</cp:lastModifiedBy>
  <cp:revision>11</cp:revision>
  <cp:lastPrinted>2015-01-26T15:51:00Z</cp:lastPrinted>
  <dcterms:created xsi:type="dcterms:W3CDTF">2016-01-15T13:15:00Z</dcterms:created>
  <dcterms:modified xsi:type="dcterms:W3CDTF">2016-02-08T09:50:00Z</dcterms:modified>
</cp:coreProperties>
</file>