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777AC8" w:rsidRPr="004B1A2F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B11BB4">
            <w:pPr>
              <w:spacing w:after="80"/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B11BB4">
            <w:pPr>
              <w:spacing w:after="80" w:line="300" w:lineRule="exact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77AC8" w:rsidRPr="004B1A2F" w:rsidRDefault="00777AC8" w:rsidP="009D20A0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INF.</w:t>
            </w:r>
            <w:r w:rsidR="009D20A0">
              <w:rPr>
                <w:b/>
                <w:sz w:val="28"/>
                <w:szCs w:val="28"/>
                <w:lang w:val="fr-FR"/>
              </w:rPr>
              <w:t>31</w:t>
            </w:r>
          </w:p>
        </w:tc>
      </w:tr>
    </w:tbl>
    <w:p w:rsidR="00777AC8" w:rsidRPr="004B1A2F" w:rsidRDefault="00777AC8" w:rsidP="000A6BE9">
      <w:pPr>
        <w:spacing w:before="120"/>
        <w:rPr>
          <w:b/>
          <w:sz w:val="28"/>
          <w:szCs w:val="28"/>
          <w:lang w:val="fr-FR"/>
        </w:rPr>
      </w:pPr>
      <w:r w:rsidRPr="004B1A2F">
        <w:rPr>
          <w:b/>
          <w:sz w:val="28"/>
          <w:szCs w:val="28"/>
          <w:lang w:val="fr-FR"/>
        </w:rPr>
        <w:t>Commission économique pour l’Europe</w:t>
      </w:r>
    </w:p>
    <w:p w:rsidR="00777AC8" w:rsidRPr="004B1A2F" w:rsidRDefault="00777AC8" w:rsidP="000A6BE9">
      <w:pPr>
        <w:spacing w:before="120"/>
        <w:rPr>
          <w:sz w:val="28"/>
          <w:szCs w:val="28"/>
          <w:lang w:val="fr-FR"/>
        </w:rPr>
      </w:pPr>
      <w:r w:rsidRPr="004B1A2F">
        <w:rPr>
          <w:sz w:val="28"/>
          <w:szCs w:val="28"/>
          <w:lang w:val="fr-FR"/>
        </w:rPr>
        <w:t>Comité des transports intérieurs</w:t>
      </w:r>
    </w:p>
    <w:p w:rsidR="00777AC8" w:rsidRPr="004B1A2F" w:rsidRDefault="00777AC8" w:rsidP="000A6BE9">
      <w:pPr>
        <w:spacing w:before="120"/>
        <w:rPr>
          <w:b/>
          <w:sz w:val="24"/>
          <w:szCs w:val="24"/>
          <w:lang w:val="fr-FR"/>
        </w:rPr>
      </w:pPr>
      <w:r w:rsidRPr="004B1A2F">
        <w:rPr>
          <w:b/>
          <w:sz w:val="24"/>
          <w:szCs w:val="24"/>
          <w:lang w:val="fr-FR"/>
        </w:rPr>
        <w:t>Groupe de travail des transports de marchandises dangereuses</w:t>
      </w:r>
    </w:p>
    <w:p w:rsidR="00777AC8" w:rsidRPr="004B1A2F" w:rsidRDefault="00125861" w:rsidP="000A6BE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100</w:t>
      </w:r>
      <w:bookmarkStart w:id="0" w:name="_GoBack"/>
      <w:r w:rsidR="00777AC8" w:rsidRPr="00125861">
        <w:rPr>
          <w:b/>
          <w:bCs/>
          <w:vertAlign w:val="superscript"/>
          <w:lang w:val="fr-FR"/>
        </w:rPr>
        <w:t>e</w:t>
      </w:r>
      <w:bookmarkEnd w:id="0"/>
      <w:r w:rsidR="00777AC8" w:rsidRPr="004B1A2F">
        <w:rPr>
          <w:bCs/>
          <w:sz w:val="24"/>
          <w:lang w:val="fr-FR"/>
        </w:rPr>
        <w:t xml:space="preserve"> </w:t>
      </w:r>
      <w:r w:rsidR="00777AC8" w:rsidRPr="004B1A2F">
        <w:rPr>
          <w:b/>
          <w:lang w:val="fr-FR"/>
        </w:rPr>
        <w:t>session</w:t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 w:rsidRPr="004B1A2F">
        <w:rPr>
          <w:b/>
          <w:lang w:val="fr-FR"/>
        </w:rPr>
        <w:tab/>
      </w:r>
      <w:r w:rsidR="00777AC8">
        <w:rPr>
          <w:b/>
          <w:lang w:val="fr-FR"/>
        </w:rPr>
        <w:tab/>
      </w:r>
      <w:r w:rsidR="00777AC8">
        <w:rPr>
          <w:b/>
          <w:lang w:val="fr-FR"/>
        </w:rPr>
        <w:tab/>
      </w:r>
      <w:r w:rsidR="009D20A0">
        <w:rPr>
          <w:b/>
          <w:lang w:val="fr-FR"/>
        </w:rPr>
        <w:t>12 mai</w:t>
      </w:r>
      <w:r w:rsidR="00777AC8">
        <w:rPr>
          <w:b/>
          <w:lang w:val="fr-FR"/>
        </w:rPr>
        <w:t xml:space="preserve"> 2016</w:t>
      </w:r>
    </w:p>
    <w:p w:rsidR="00777AC8" w:rsidRPr="004B1A2F" w:rsidRDefault="00777AC8" w:rsidP="000A6BE9">
      <w:pPr>
        <w:rPr>
          <w:lang w:val="fr-FR"/>
        </w:rPr>
      </w:pPr>
      <w:r w:rsidRPr="004B1A2F">
        <w:rPr>
          <w:lang w:val="fr-FR"/>
        </w:rPr>
        <w:t xml:space="preserve">Genève, </w:t>
      </w:r>
      <w:r>
        <w:rPr>
          <w:lang w:val="fr-FR"/>
        </w:rPr>
        <w:t>9-13</w:t>
      </w:r>
      <w:r w:rsidRPr="004B1A2F">
        <w:rPr>
          <w:lang w:val="fr-FR"/>
        </w:rPr>
        <w:t xml:space="preserve"> mai </w:t>
      </w:r>
      <w:r>
        <w:rPr>
          <w:lang w:val="fr-FR"/>
        </w:rPr>
        <w:t>2016</w:t>
      </w:r>
    </w:p>
    <w:p w:rsidR="00777AC8" w:rsidRPr="004B1A2F" w:rsidRDefault="00777AC8" w:rsidP="000A6BE9">
      <w:pPr>
        <w:rPr>
          <w:lang w:val="fr-FR"/>
        </w:rPr>
      </w:pPr>
      <w:r w:rsidRPr="004B1A2F">
        <w:rPr>
          <w:lang w:val="fr-FR"/>
        </w:rPr>
        <w:t xml:space="preserve">Point </w:t>
      </w:r>
      <w:r>
        <w:rPr>
          <w:lang w:val="fr-FR"/>
        </w:rPr>
        <w:t>8</w:t>
      </w:r>
      <w:r w:rsidRPr="004B1A2F">
        <w:rPr>
          <w:lang w:val="fr-FR"/>
        </w:rPr>
        <w:t xml:space="preserve"> de l'ordre du jour provisoire</w:t>
      </w:r>
    </w:p>
    <w:p w:rsidR="00777AC8" w:rsidRPr="004B1A2F" w:rsidRDefault="00777AC8" w:rsidP="00AB32F7">
      <w:pPr>
        <w:rPr>
          <w:b/>
          <w:lang w:val="fr-FR"/>
        </w:rPr>
      </w:pPr>
      <w:r>
        <w:rPr>
          <w:b/>
          <w:lang w:val="fr-FR"/>
        </w:rPr>
        <w:t>Questions diverses</w:t>
      </w:r>
    </w:p>
    <w:p w:rsidR="009D20A0" w:rsidRDefault="00777AC8" w:rsidP="009D20A0">
      <w:pPr>
        <w:pStyle w:val="HChG"/>
        <w:outlineLvl w:val="0"/>
        <w:rPr>
          <w:lang w:val="fr-CH"/>
        </w:rPr>
      </w:pPr>
      <w:r w:rsidRPr="004B1A2F">
        <w:tab/>
      </w:r>
      <w:r w:rsidRPr="004B1A2F">
        <w:tab/>
      </w:r>
      <w:r w:rsidR="009D20A0" w:rsidRPr="00871F28">
        <w:rPr>
          <w:lang w:val="fr-CH"/>
        </w:rPr>
        <w:t xml:space="preserve">Utilisation du gaz naturel liquéfié (GNL), du gaz naturel comprimé (GNC) et du gaz de pétrole liquéfié (GPL) </w:t>
      </w:r>
      <w:r w:rsidR="009D20A0" w:rsidRPr="00871F28">
        <w:rPr>
          <w:lang w:val="fr-CH"/>
        </w:rPr>
        <w:br/>
      </w:r>
      <w:r w:rsidR="009D20A0" w:rsidRPr="00871F28">
        <w:rPr>
          <w:spacing w:val="-1"/>
          <w:lang w:val="fr-CH"/>
        </w:rPr>
        <w:t>en tant que carburants pour les véhicules transportant des</w:t>
      </w:r>
      <w:r w:rsidR="009D20A0" w:rsidRPr="00871F28">
        <w:rPr>
          <w:lang w:val="fr-CH"/>
        </w:rPr>
        <w:t xml:space="preserve"> marchandises dangereuses − limites supérieures de capacité</w:t>
      </w:r>
    </w:p>
    <w:p w:rsidR="009D20A0" w:rsidRPr="00871F28" w:rsidRDefault="009D20A0" w:rsidP="009D20A0">
      <w:pPr>
        <w:pStyle w:val="HChG"/>
        <w:outlineLvl w:val="0"/>
        <w:rPr>
          <w:lang w:val="fr-CH"/>
        </w:rPr>
      </w:pPr>
      <w:r w:rsidRPr="00871F28">
        <w:rPr>
          <w:lang w:val="fr-CH"/>
        </w:rPr>
        <w:tab/>
      </w:r>
      <w:r w:rsidRPr="00871F28">
        <w:rPr>
          <w:lang w:val="fr-CH"/>
        </w:rPr>
        <w:tab/>
        <w:t>Commentaires sur 2016/7 et INF.16 – Projet d’amendement au 1.1.3.2 (a)</w:t>
      </w:r>
    </w:p>
    <w:p w:rsidR="009D20A0" w:rsidRPr="00871F28" w:rsidRDefault="009D20A0" w:rsidP="009D20A0">
      <w:pPr>
        <w:pStyle w:val="HChG"/>
        <w:outlineLvl w:val="0"/>
        <w:rPr>
          <w:sz w:val="24"/>
          <w:szCs w:val="24"/>
          <w:lang w:val="fr-CH"/>
        </w:rPr>
      </w:pPr>
      <w:r w:rsidRPr="00871F28">
        <w:rPr>
          <w:sz w:val="24"/>
          <w:szCs w:val="24"/>
          <w:lang w:val="fr-CH"/>
        </w:rPr>
        <w:tab/>
      </w:r>
      <w:r w:rsidRPr="00871F28">
        <w:rPr>
          <w:sz w:val="24"/>
          <w:szCs w:val="24"/>
          <w:lang w:val="fr-CH"/>
        </w:rPr>
        <w:tab/>
        <w:t>Transmis par l’Allemagne</w:t>
      </w:r>
    </w:p>
    <w:p w:rsidR="009D20A0" w:rsidRPr="009D20A0" w:rsidRDefault="009D20A0" w:rsidP="009D20A0">
      <w:pPr>
        <w:pStyle w:val="H1G"/>
        <w:rPr>
          <w:snapToGrid w:val="0"/>
          <w:szCs w:val="24"/>
          <w:lang w:val="fr-CH"/>
        </w:rPr>
      </w:pPr>
      <w:r w:rsidRPr="00871F28">
        <w:rPr>
          <w:szCs w:val="24"/>
          <w:lang w:val="fr-CH"/>
        </w:rPr>
        <w:tab/>
      </w:r>
      <w:r w:rsidRPr="00871F28">
        <w:rPr>
          <w:szCs w:val="24"/>
          <w:lang w:val="fr-CH"/>
        </w:rPr>
        <w:tab/>
      </w:r>
      <w:r w:rsidRPr="009D20A0">
        <w:rPr>
          <w:snapToGrid w:val="0"/>
          <w:lang w:val="fr-CH"/>
        </w:rPr>
        <w:t>Proposition 1</w:t>
      </w:r>
    </w:p>
    <w:p w:rsidR="009D20A0" w:rsidRPr="009D20A0" w:rsidRDefault="009D20A0" w:rsidP="009D20A0">
      <w:pPr>
        <w:spacing w:after="120"/>
        <w:ind w:left="1134" w:right="1134" w:hanging="567"/>
        <w:jc w:val="both"/>
        <w:rPr>
          <w:b/>
          <w:snapToGrid w:val="0"/>
          <w:lang w:val="fr-CH"/>
        </w:rPr>
      </w:pPr>
      <w:r w:rsidRPr="009D20A0">
        <w:rPr>
          <w:lang w:val="fr-CH"/>
        </w:rPr>
        <w:tab/>
      </w:r>
      <w:r w:rsidRPr="009D20A0">
        <w:rPr>
          <w:b/>
          <w:snapToGrid w:val="0"/>
          <w:lang w:val="fr-CH"/>
        </w:rPr>
        <w:t xml:space="preserve">1.1.3.2 (a) </w:t>
      </w:r>
    </w:p>
    <w:p w:rsidR="009D20A0" w:rsidRPr="009537B1" w:rsidRDefault="009D20A0" w:rsidP="009D20A0">
      <w:pPr>
        <w:pStyle w:val="ParNoG"/>
        <w:numPr>
          <w:ilvl w:val="0"/>
          <w:numId w:val="0"/>
        </w:numPr>
        <w:ind w:left="1134" w:firstLine="306"/>
      </w:pPr>
      <w:r w:rsidRPr="00861B4F">
        <w:tab/>
      </w:r>
      <w:r w:rsidRPr="009537B1">
        <w:t>Le paragraphe 1.1.3.2</w:t>
      </w:r>
      <w:r>
        <w:t> </w:t>
      </w:r>
      <w:r w:rsidRPr="009537B1">
        <w:t xml:space="preserve">a) pourrait être modifié comme suit (les éléments nouveaux apparaissent en caractères </w:t>
      </w:r>
      <w:r w:rsidRPr="009537B1">
        <w:rPr>
          <w:u w:val="single"/>
        </w:rPr>
        <w:t>soulignés</w:t>
      </w:r>
      <w:r w:rsidRPr="009537B1">
        <w:t>)</w:t>
      </w:r>
      <w:r>
        <w:t> </w:t>
      </w:r>
      <w:r w:rsidRPr="009537B1">
        <w:t>:</w:t>
      </w:r>
    </w:p>
    <w:p w:rsidR="009D20A0" w:rsidRPr="00564136" w:rsidRDefault="009D20A0" w:rsidP="009D20A0">
      <w:pPr>
        <w:pStyle w:val="SingleTxtG"/>
        <w:rPr>
          <w:lang w:val="fr-CH"/>
        </w:rPr>
      </w:pPr>
      <w:r w:rsidRPr="00564136">
        <w:rPr>
          <w:lang w:val="fr-CH"/>
        </w:rPr>
        <w:t>« 1.1.3.2</w:t>
      </w:r>
      <w:r w:rsidRPr="00564136">
        <w:rPr>
          <w:lang w:val="fr-CH"/>
        </w:rPr>
        <w:tab/>
        <w:t>Exemptions liées au transport de gaz</w:t>
      </w:r>
    </w:p>
    <w:p w:rsidR="009D20A0" w:rsidRPr="00564136" w:rsidRDefault="009D20A0" w:rsidP="009D20A0">
      <w:pPr>
        <w:pStyle w:val="SingleTxtG"/>
        <w:rPr>
          <w:lang w:val="fr-CH"/>
        </w:rPr>
      </w:pPr>
      <w:r w:rsidRPr="00564136">
        <w:rPr>
          <w:lang w:val="fr-CH"/>
        </w:rPr>
        <w:t>Les prescriptions de l’ADR ne s’appliquent pas au transport :</w:t>
      </w:r>
    </w:p>
    <w:p w:rsidR="009D20A0" w:rsidRPr="00564136" w:rsidRDefault="009D20A0" w:rsidP="009D20A0">
      <w:pPr>
        <w:pStyle w:val="SingleTxtG"/>
        <w:ind w:left="1701" w:hanging="567"/>
        <w:rPr>
          <w:lang w:val="fr-CH"/>
        </w:rPr>
      </w:pPr>
      <w:r w:rsidRPr="00564136">
        <w:rPr>
          <w:lang w:val="fr-CH"/>
        </w:rPr>
        <w:t>“</w:t>
      </w:r>
      <w:proofErr w:type="gramStart"/>
      <w:r w:rsidRPr="00564136">
        <w:rPr>
          <w:lang w:val="fr-CH"/>
        </w:rPr>
        <w:t>a</w:t>
      </w:r>
      <w:proofErr w:type="gramEnd"/>
      <w:r w:rsidRPr="00564136">
        <w:rPr>
          <w:lang w:val="fr-CH"/>
        </w:rPr>
        <w:t>)</w:t>
      </w:r>
      <w:r w:rsidRPr="00564136">
        <w:rPr>
          <w:lang w:val="fr-CH"/>
        </w:rPr>
        <w:tab/>
      </w:r>
      <w:r>
        <w:rPr>
          <w:lang w:val="fr-CH"/>
        </w:rPr>
        <w:t>d</w:t>
      </w:r>
      <w:r w:rsidRPr="00564136">
        <w:rPr>
          <w:lang w:val="fr-CH"/>
        </w:rPr>
        <w:t xml:space="preserve">es gaz contenus dans les réservoirs ou bouteilles </w:t>
      </w:r>
      <w:r>
        <w:rPr>
          <w:lang w:val="fr-CH"/>
        </w:rPr>
        <w:t xml:space="preserve">de carburant </w:t>
      </w:r>
      <w:r w:rsidRPr="00564136">
        <w:rPr>
          <w:lang w:val="fr-CH"/>
        </w:rPr>
        <w:t>d’un véhicule effectuant une opération de transport et qui sont destinés à sa propulsion ou au fonctionnement d’un de ses équipements (frigorifiques par exemple) utilisé ou destiné à une utilisation durant le transport.</w:t>
      </w:r>
    </w:p>
    <w:p w:rsidR="009D20A0" w:rsidRPr="00564136" w:rsidRDefault="009D20A0" w:rsidP="009D20A0">
      <w:pPr>
        <w:pStyle w:val="SingleTxtG"/>
        <w:ind w:left="1701"/>
        <w:rPr>
          <w:lang w:val="fr-CH"/>
        </w:rPr>
      </w:pPr>
      <w:r w:rsidRPr="00564136">
        <w:rPr>
          <w:lang w:val="fr-CH"/>
        </w:rPr>
        <w:t>Les gaz peuvent être transportés dans des réservoirs ou des bouteilles</w:t>
      </w:r>
      <w:r w:rsidR="000F0B0E">
        <w:rPr>
          <w:lang w:val="fr-CH"/>
        </w:rPr>
        <w:t xml:space="preserve"> de carburant</w:t>
      </w:r>
      <w:r>
        <w:rPr>
          <w:lang w:val="fr-CH"/>
        </w:rPr>
        <w:t xml:space="preserve"> </w:t>
      </w:r>
      <w:r w:rsidRPr="00564136">
        <w:rPr>
          <w:lang w:val="fr-CH"/>
        </w:rPr>
        <w:t>fixes, directement reliés au moteur ou à l’équipement auxiliaire ou dans des récipients à pression transportables qui sont conformes aux dispositions réglementaires appropriées.</w:t>
      </w:r>
    </w:p>
    <w:p w:rsidR="009D20A0" w:rsidRDefault="009D20A0" w:rsidP="009D20A0">
      <w:pPr>
        <w:pStyle w:val="SingleTxtG"/>
        <w:ind w:left="1701"/>
        <w:rPr>
          <w:lang w:val="fr-CH"/>
        </w:rPr>
      </w:pPr>
      <w:r w:rsidRPr="00564136">
        <w:rPr>
          <w:u w:val="single"/>
          <w:lang w:val="fr-CH"/>
        </w:rPr>
        <w:t xml:space="preserve">La capacité totale des réservoirs </w:t>
      </w:r>
      <w:r>
        <w:rPr>
          <w:u w:val="single"/>
          <w:lang w:val="fr-CH"/>
        </w:rPr>
        <w:t>ou bouteilles</w:t>
      </w:r>
      <w:r w:rsidRPr="0044291C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 xml:space="preserve">d’une unité de transport, y compris les réservoirs autorisés conformément au 1.1.3.3 a), </w:t>
      </w:r>
      <w:r w:rsidRPr="00564136">
        <w:rPr>
          <w:u w:val="single"/>
          <w:lang w:val="fr-CH"/>
        </w:rPr>
        <w:t xml:space="preserve">ne doit pas dépasser la quantité d’énergie (MJ) ou la masse (kg) correspondant </w:t>
      </w:r>
      <w:r w:rsidRPr="00F42C49">
        <w:rPr>
          <w:u w:val="single"/>
          <w:lang w:val="fr-CH"/>
        </w:rPr>
        <w:t xml:space="preserve">à </w:t>
      </w:r>
      <w:r>
        <w:rPr>
          <w:u w:val="single"/>
          <w:lang w:val="fr-CH"/>
        </w:rPr>
        <w:t xml:space="preserve">un </w:t>
      </w:r>
      <w:r w:rsidRPr="00F42C49">
        <w:rPr>
          <w:u w:val="single"/>
          <w:lang w:val="fr-CH"/>
        </w:rPr>
        <w:t>équivalent énergétique</w:t>
      </w:r>
      <w:r>
        <w:rPr>
          <w:u w:val="single"/>
          <w:lang w:val="fr-CH"/>
        </w:rPr>
        <w:t xml:space="preserve"> de </w:t>
      </w:r>
      <w:r w:rsidRPr="00F42C49">
        <w:rPr>
          <w:u w:val="single"/>
          <w:lang w:val="fr-CH"/>
        </w:rPr>
        <w:t>54 000 MJ.</w:t>
      </w:r>
    </w:p>
    <w:p w:rsidR="009D20A0" w:rsidRDefault="009D20A0" w:rsidP="009D20A0">
      <w:pPr>
        <w:pStyle w:val="SingleTxtG"/>
        <w:ind w:left="1701"/>
        <w:rPr>
          <w:i/>
          <w:u w:val="single"/>
          <w:lang w:val="fr-CH"/>
        </w:rPr>
      </w:pPr>
      <w:r w:rsidRPr="00564136">
        <w:rPr>
          <w:b/>
          <w:i/>
          <w:u w:val="single"/>
          <w:lang w:val="fr-CH"/>
        </w:rPr>
        <w:t>NOTA </w:t>
      </w:r>
      <w:proofErr w:type="gramStart"/>
      <w:r w:rsidRPr="00564136">
        <w:rPr>
          <w:i/>
          <w:u w:val="single"/>
          <w:lang w:val="fr-CH"/>
        </w:rPr>
        <w:t>:</w:t>
      </w:r>
      <w:r>
        <w:rPr>
          <w:i/>
          <w:u w:val="single"/>
          <w:lang w:val="fr-CH"/>
        </w:rPr>
        <w:t>La</w:t>
      </w:r>
      <w:proofErr w:type="gramEnd"/>
      <w:r>
        <w:rPr>
          <w:i/>
          <w:u w:val="single"/>
          <w:lang w:val="fr-CH"/>
        </w:rPr>
        <w:t xml:space="preserve"> </w:t>
      </w:r>
      <w:r w:rsidRPr="00F42C49">
        <w:rPr>
          <w:i/>
          <w:u w:val="single"/>
          <w:lang w:val="fr-CH"/>
        </w:rPr>
        <w:t xml:space="preserve">valeur de 54 000 MJ </w:t>
      </w:r>
      <w:r>
        <w:rPr>
          <w:i/>
          <w:u w:val="single"/>
          <w:lang w:val="fr-CH"/>
        </w:rPr>
        <w:t>pour l’</w:t>
      </w:r>
      <w:r w:rsidRPr="00F42C49">
        <w:rPr>
          <w:i/>
          <w:u w:val="single"/>
          <w:lang w:val="fr-CH"/>
        </w:rPr>
        <w:t>équivalent énergétique</w:t>
      </w:r>
      <w:r w:rsidRPr="00564136">
        <w:rPr>
          <w:i/>
          <w:u w:val="single"/>
          <w:lang w:val="fr-CH"/>
        </w:rPr>
        <w:t xml:space="preserve"> </w:t>
      </w:r>
      <w:r>
        <w:rPr>
          <w:i/>
          <w:u w:val="single"/>
          <w:lang w:val="fr-CH"/>
        </w:rPr>
        <w:t xml:space="preserve">correspond à la limite du 1.1.3.3 a) (1500 litres). </w:t>
      </w:r>
      <w:r w:rsidRPr="00564136">
        <w:rPr>
          <w:i/>
          <w:u w:val="single"/>
          <w:lang w:val="fr-CH"/>
        </w:rPr>
        <w:t>En ce qui concerne la teneur énerg</w:t>
      </w:r>
      <w:r>
        <w:rPr>
          <w:i/>
          <w:u w:val="single"/>
          <w:lang w:val="fr-CH"/>
        </w:rPr>
        <w:t>étique</w:t>
      </w:r>
      <w:r w:rsidRPr="00564136">
        <w:rPr>
          <w:i/>
          <w:u w:val="single"/>
          <w:lang w:val="fr-CH"/>
        </w:rPr>
        <w:t xml:space="preserve"> d</w:t>
      </w:r>
      <w:r>
        <w:rPr>
          <w:i/>
          <w:u w:val="single"/>
          <w:lang w:val="fr-CH"/>
        </w:rPr>
        <w:t>es</w:t>
      </w:r>
      <w:r w:rsidRPr="00564136">
        <w:rPr>
          <w:i/>
          <w:u w:val="single"/>
          <w:lang w:val="fr-CH"/>
        </w:rPr>
        <w:t xml:space="preserve"> carburant</w:t>
      </w:r>
      <w:r>
        <w:rPr>
          <w:i/>
          <w:u w:val="single"/>
          <w:lang w:val="fr-CH"/>
        </w:rPr>
        <w:t>s</w:t>
      </w:r>
      <w:r w:rsidRPr="00564136">
        <w:rPr>
          <w:i/>
          <w:u w:val="single"/>
          <w:lang w:val="fr-CH"/>
        </w:rPr>
        <w:t>, voir</w:t>
      </w:r>
      <w:r>
        <w:rPr>
          <w:i/>
          <w:u w:val="single"/>
          <w:lang w:val="fr-CH"/>
        </w:rPr>
        <w:t xml:space="preserve"> </w:t>
      </w:r>
      <w:r w:rsidRPr="00564136">
        <w:rPr>
          <w:i/>
          <w:u w:val="single"/>
          <w:lang w:val="fr-CH"/>
        </w:rPr>
        <w:t>l</w:t>
      </w:r>
      <w:r>
        <w:rPr>
          <w:i/>
          <w:u w:val="single"/>
          <w:lang w:val="fr-CH"/>
        </w:rPr>
        <w:t>e tableau suivant :</w:t>
      </w:r>
    </w:p>
    <w:p w:rsidR="009D20A0" w:rsidRPr="009D20A0" w:rsidRDefault="009D20A0" w:rsidP="009D20A0">
      <w:pPr>
        <w:pStyle w:val="NormalWeb"/>
        <w:spacing w:before="2" w:after="2"/>
        <w:rPr>
          <w:lang w:val="fr-CH"/>
        </w:rPr>
      </w:pPr>
    </w:p>
    <w:tbl>
      <w:tblPr>
        <w:tblStyle w:val="TableGrid"/>
        <w:tblW w:w="0" w:type="auto"/>
        <w:tblInd w:w="1384" w:type="dxa"/>
        <w:tblLook w:val="00A0" w:firstRow="1" w:lastRow="0" w:firstColumn="1" w:lastColumn="0" w:noHBand="0" w:noVBand="0"/>
      </w:tblPr>
      <w:tblGrid>
        <w:gridCol w:w="3969"/>
        <w:gridCol w:w="3119"/>
      </w:tblGrid>
      <w:tr w:rsidR="009D20A0" w:rsidRPr="000F0B0E" w:rsidTr="0092092F">
        <w:tc>
          <w:tcPr>
            <w:tcW w:w="3969" w:type="dxa"/>
          </w:tcPr>
          <w:p w:rsidR="009D20A0" w:rsidRPr="000F0B0E" w:rsidRDefault="009D20A0" w:rsidP="009D20A0">
            <w:pPr>
              <w:pStyle w:val="SingleTxtG"/>
              <w:jc w:val="center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Carburant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Teneur énergétique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Diesel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</w:rPr>
            </w:pPr>
            <w:r w:rsidRPr="000F0B0E">
              <w:rPr>
                <w:i/>
              </w:rPr>
              <w:t>36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Essence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32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D20A0">
            <w:pPr>
              <w:pStyle w:val="NormalWeb"/>
              <w:spacing w:before="2" w:after="2"/>
              <w:rPr>
                <w:rFonts w:eastAsia="Calibri"/>
                <w:i/>
                <w:sz w:val="20"/>
                <w:szCs w:val="20"/>
                <w:lang w:eastAsia="fr-FR"/>
              </w:rPr>
            </w:pPr>
            <w:proofErr w:type="spellStart"/>
            <w:r w:rsidRPr="000F0B0E">
              <w:rPr>
                <w:rFonts w:eastAsia="Calibri"/>
                <w:i/>
                <w:sz w:val="20"/>
                <w:szCs w:val="20"/>
                <w:lang w:eastAsia="fr-FR"/>
              </w:rPr>
              <w:t>Gaz</w:t>
            </w:r>
            <w:proofErr w:type="spellEnd"/>
            <w:r w:rsidRPr="000F0B0E">
              <w:rPr>
                <w:rFonts w:eastAsia="Calibri"/>
                <w:i/>
                <w:sz w:val="20"/>
                <w:szCs w:val="20"/>
                <w:lang w:eastAsia="fr-FR"/>
              </w:rPr>
              <w:t xml:space="preserve"> naturel/</w:t>
            </w:r>
            <w:proofErr w:type="spellStart"/>
            <w:r w:rsidRPr="000F0B0E">
              <w:rPr>
                <w:rFonts w:eastAsia="Calibri"/>
                <w:i/>
                <w:sz w:val="20"/>
                <w:szCs w:val="20"/>
                <w:lang w:eastAsia="fr-FR"/>
              </w:rPr>
              <w:t>Biogaz</w:t>
            </w:r>
            <w:proofErr w:type="spellEnd"/>
            <w:r w:rsidRPr="000F0B0E">
              <w:rPr>
                <w:rFonts w:eastAsia="Calibri"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35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lastRenderedPageBreak/>
              <w:t xml:space="preserve">Gaz de </w:t>
            </w:r>
            <w:proofErr w:type="spellStart"/>
            <w:r w:rsidRPr="000F0B0E">
              <w:rPr>
                <w:i/>
              </w:rPr>
              <w:t>pétrole</w:t>
            </w:r>
            <w:proofErr w:type="spellEnd"/>
            <w:r w:rsidRPr="000F0B0E">
              <w:rPr>
                <w:i/>
              </w:rPr>
              <w:t xml:space="preserve"> </w:t>
            </w:r>
            <w:proofErr w:type="spellStart"/>
            <w:r w:rsidRPr="000F0B0E">
              <w:rPr>
                <w:i/>
              </w:rPr>
              <w:t>liquéfie</w:t>
            </w:r>
            <w:proofErr w:type="spellEnd"/>
            <w:r w:rsidRPr="000F0B0E">
              <w:rPr>
                <w:i/>
              </w:rPr>
              <w:t>́ (GPL)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24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Ethanol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21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Biodiesel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33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Emulsions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32 MJ/litre</w:t>
            </w:r>
          </w:p>
        </w:tc>
      </w:tr>
      <w:tr w:rsidR="009D20A0" w:rsidRPr="000F0B0E" w:rsidTr="0092092F">
        <w:tc>
          <w:tcPr>
            <w:tcW w:w="396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  <w:lang w:val="fr-CH"/>
              </w:rPr>
              <w:t>Hydrogène</w:t>
            </w:r>
          </w:p>
        </w:tc>
        <w:tc>
          <w:tcPr>
            <w:tcW w:w="3119" w:type="dxa"/>
          </w:tcPr>
          <w:p w:rsidR="009D20A0" w:rsidRPr="000F0B0E" w:rsidRDefault="009D20A0" w:rsidP="0092092F">
            <w:pPr>
              <w:pStyle w:val="SingleTxtG"/>
              <w:ind w:left="0"/>
              <w:rPr>
                <w:i/>
                <w:lang w:val="fr-CH"/>
              </w:rPr>
            </w:pPr>
            <w:r w:rsidRPr="000F0B0E">
              <w:rPr>
                <w:i/>
              </w:rPr>
              <w:t>11 MJ/litre</w:t>
            </w:r>
          </w:p>
        </w:tc>
      </w:tr>
    </w:tbl>
    <w:p w:rsidR="009D20A0" w:rsidRPr="009D20A0" w:rsidRDefault="009D20A0" w:rsidP="009D20A0">
      <w:pPr>
        <w:pStyle w:val="SingleTxtG"/>
        <w:ind w:left="1701"/>
        <w:rPr>
          <w:i/>
          <w:lang w:val="fr-CH"/>
        </w:rPr>
      </w:pPr>
    </w:p>
    <w:p w:rsidR="009D20A0" w:rsidRPr="002A04A3" w:rsidRDefault="009D20A0" w:rsidP="009D20A0">
      <w:pPr>
        <w:pStyle w:val="SingleTxtG"/>
        <w:ind w:left="1701"/>
        <w:rPr>
          <w:u w:val="single"/>
          <w:lang w:val="fr-CH"/>
        </w:rPr>
      </w:pPr>
      <w:r w:rsidRPr="002A04A3">
        <w:rPr>
          <w:u w:val="single"/>
          <w:lang w:val="fr-CH"/>
        </w:rPr>
        <w:t xml:space="preserve">La capacité totale ne doit pas dépasser: </w:t>
      </w:r>
    </w:p>
    <w:p w:rsidR="009D20A0" w:rsidRPr="002A04A3" w:rsidRDefault="009D20A0" w:rsidP="009D20A0">
      <w:pPr>
        <w:pStyle w:val="SingleTxtG"/>
        <w:numPr>
          <w:ilvl w:val="0"/>
          <w:numId w:val="16"/>
        </w:numPr>
        <w:rPr>
          <w:u w:val="single"/>
          <w:lang w:val="fr-CH"/>
        </w:rPr>
      </w:pPr>
      <w:r w:rsidRPr="002A04A3">
        <w:rPr>
          <w:u w:val="single"/>
          <w:lang w:val="fr-CH"/>
        </w:rPr>
        <w:t>1 080 kg pour le GNL et GNC</w:t>
      </w:r>
    </w:p>
    <w:p w:rsidR="009D20A0" w:rsidRPr="000F0B0E" w:rsidRDefault="009D20A0" w:rsidP="000F0B0E">
      <w:pPr>
        <w:pStyle w:val="SingleTxtG"/>
        <w:numPr>
          <w:ilvl w:val="0"/>
          <w:numId w:val="16"/>
        </w:numPr>
        <w:rPr>
          <w:u w:val="single"/>
        </w:rPr>
      </w:pPr>
      <w:r w:rsidRPr="002A04A3">
        <w:rPr>
          <w:u w:val="single"/>
        </w:rPr>
        <w:t>2 250 litres pour le GPL.</w:t>
      </w:r>
    </w:p>
    <w:p w:rsidR="009D20A0" w:rsidRPr="00FB0C60" w:rsidRDefault="009D20A0" w:rsidP="009D20A0">
      <w:pPr>
        <w:spacing w:after="120"/>
        <w:ind w:left="1701" w:right="1134"/>
        <w:jc w:val="both"/>
        <w:rPr>
          <w:lang w:val="fr-CH"/>
        </w:rPr>
      </w:pPr>
      <w:r w:rsidRPr="00FB0C60">
        <w:rPr>
          <w:lang w:val="fr-CH"/>
        </w:rPr>
        <w:t xml:space="preserve">Amendement de conséquence </w:t>
      </w:r>
      <w:r>
        <w:rPr>
          <w:lang w:val="fr-CH"/>
        </w:rPr>
        <w:t xml:space="preserve"> au </w:t>
      </w:r>
      <w:r w:rsidRPr="00FB0C60">
        <w:rPr>
          <w:lang w:val="fr-CH"/>
        </w:rPr>
        <w:t>1.1.3.3 a)</w:t>
      </w:r>
    </w:p>
    <w:p w:rsidR="009D20A0" w:rsidRPr="00FB0C60" w:rsidRDefault="009D20A0" w:rsidP="009D20A0">
      <w:pPr>
        <w:spacing w:after="120"/>
        <w:ind w:left="1701" w:right="1134"/>
        <w:jc w:val="both"/>
        <w:rPr>
          <w:u w:val="single"/>
          <w:lang w:val="fr-CH"/>
        </w:rPr>
      </w:pPr>
      <w:r w:rsidRPr="00FB0C60">
        <w:rPr>
          <w:lang w:val="fr-CH"/>
        </w:rPr>
        <w:t xml:space="preserve">Ajouter </w:t>
      </w:r>
      <w:r>
        <w:rPr>
          <w:lang w:val="fr-CH"/>
        </w:rPr>
        <w:t xml:space="preserve">le </w:t>
      </w:r>
      <w:r w:rsidRPr="00FB0C60">
        <w:rPr>
          <w:lang w:val="fr-CH"/>
        </w:rPr>
        <w:t>NOTA:</w:t>
      </w:r>
    </w:p>
    <w:p w:rsidR="009D20A0" w:rsidRPr="00871F28" w:rsidRDefault="009D20A0" w:rsidP="009D20A0">
      <w:pPr>
        <w:pStyle w:val="SingleTxtG"/>
        <w:ind w:left="1701"/>
        <w:rPr>
          <w:i/>
          <w:lang w:val="fr-CH"/>
        </w:rPr>
      </w:pPr>
      <w:r w:rsidRPr="00871F28">
        <w:rPr>
          <w:i/>
          <w:lang w:val="fr-CH"/>
        </w:rPr>
        <w:t xml:space="preserve">NOTA: La capacité totale des réservoirs ou </w:t>
      </w:r>
      <w:r>
        <w:rPr>
          <w:i/>
          <w:lang w:val="fr-CH"/>
        </w:rPr>
        <w:t>bouteilles</w:t>
      </w:r>
      <w:r w:rsidRPr="00871F28">
        <w:rPr>
          <w:i/>
          <w:lang w:val="fr-CH"/>
        </w:rPr>
        <w:t>, y co</w:t>
      </w:r>
      <w:r>
        <w:rPr>
          <w:i/>
          <w:lang w:val="fr-CH"/>
        </w:rPr>
        <w:t>mpris les combustibles gazeux, n</w:t>
      </w:r>
      <w:r w:rsidRPr="00871F28">
        <w:rPr>
          <w:i/>
          <w:lang w:val="fr-CH"/>
        </w:rPr>
        <w:t>e doit pas dépasser une valeur d’énergie équivalente à 54 000 MJ</w:t>
      </w:r>
      <w:r>
        <w:rPr>
          <w:i/>
          <w:lang w:val="fr-CH"/>
        </w:rPr>
        <w:t xml:space="preserve"> (voir le Nota au 1.1.3.2 a)).</w:t>
      </w:r>
      <w:r w:rsidRPr="00871F28">
        <w:rPr>
          <w:i/>
          <w:lang w:val="fr-CH"/>
        </w:rPr>
        <w:t xml:space="preserve"> </w:t>
      </w:r>
    </w:p>
    <w:p w:rsidR="00777AC8" w:rsidRPr="004B1A2F" w:rsidRDefault="00777AC8" w:rsidP="00C611A9">
      <w:pPr>
        <w:pStyle w:val="SingleTxtG"/>
        <w:spacing w:before="240" w:after="0"/>
        <w:ind w:left="600"/>
        <w:jc w:val="center"/>
        <w:rPr>
          <w:u w:val="single"/>
        </w:rPr>
      </w:pPr>
      <w:r w:rsidRPr="004B1A2F">
        <w:rPr>
          <w:u w:val="single"/>
        </w:rPr>
        <w:tab/>
      </w:r>
      <w:r w:rsidRPr="004B1A2F">
        <w:rPr>
          <w:u w:val="single"/>
        </w:rPr>
        <w:tab/>
      </w:r>
      <w:r w:rsidRPr="004B1A2F">
        <w:rPr>
          <w:u w:val="single"/>
        </w:rPr>
        <w:tab/>
      </w:r>
    </w:p>
    <w:sectPr w:rsidR="00777AC8" w:rsidRPr="004B1A2F" w:rsidSect="00BF0AE1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pgSz w:w="11907" w:h="16840" w:code="9"/>
      <w:pgMar w:top="454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C8" w:rsidRDefault="00777AC8"/>
  </w:endnote>
  <w:endnote w:type="continuationSeparator" w:id="0">
    <w:p w:rsidR="00777AC8" w:rsidRDefault="00777AC8"/>
  </w:endnote>
  <w:endnote w:type="continuationNotice" w:id="1">
    <w:p w:rsidR="00777AC8" w:rsidRDefault="0077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9D2A5B" w:rsidRDefault="00777AC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25861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9D2A5B" w:rsidRDefault="00777AC8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C8" w:rsidRPr="000B175B" w:rsidRDefault="00777AC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7AC8" w:rsidRPr="00FC68B7" w:rsidRDefault="00777AC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7AC8" w:rsidRDefault="00777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FA7F6B" w:rsidRDefault="000F0B0E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INF.3</w:t>
    </w:r>
    <w:r w:rsidR="00125861">
      <w:rPr>
        <w:szCs w:val="18"/>
        <w:lang w:val="fr-CH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8" w:rsidRPr="00CD57D2" w:rsidRDefault="00777AC8" w:rsidP="009D2A5B">
    <w:pPr>
      <w:pStyle w:val="Header"/>
      <w:jc w:val="right"/>
      <w:rPr>
        <w:lang w:val="fr-CH"/>
      </w:rPr>
    </w:pPr>
    <w:proofErr w:type="spellStart"/>
    <w:r>
      <w:rPr>
        <w:lang w:val="fr-CH"/>
      </w:rPr>
      <w:t>INF.x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ParaNo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E461FE"/>
    <w:multiLevelType w:val="hybridMultilevel"/>
    <w:tmpl w:val="7DDA8BFE"/>
    <w:lvl w:ilvl="0" w:tplc="4EA8F02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149A1"/>
    <w:rsid w:val="00014D51"/>
    <w:rsid w:val="000218B5"/>
    <w:rsid w:val="00030254"/>
    <w:rsid w:val="00037F90"/>
    <w:rsid w:val="00046B1F"/>
    <w:rsid w:val="00050F6B"/>
    <w:rsid w:val="00051A06"/>
    <w:rsid w:val="00057E97"/>
    <w:rsid w:val="000711A8"/>
    <w:rsid w:val="00072C8C"/>
    <w:rsid w:val="000733B5"/>
    <w:rsid w:val="00081815"/>
    <w:rsid w:val="000931C0"/>
    <w:rsid w:val="00096262"/>
    <w:rsid w:val="00096B57"/>
    <w:rsid w:val="000A1785"/>
    <w:rsid w:val="000A3752"/>
    <w:rsid w:val="000A5CF8"/>
    <w:rsid w:val="000A6BE9"/>
    <w:rsid w:val="000A77BB"/>
    <w:rsid w:val="000B0595"/>
    <w:rsid w:val="000B175B"/>
    <w:rsid w:val="000B3A0F"/>
    <w:rsid w:val="000B4EF7"/>
    <w:rsid w:val="000B55AC"/>
    <w:rsid w:val="000B633F"/>
    <w:rsid w:val="000C125A"/>
    <w:rsid w:val="000C2A2C"/>
    <w:rsid w:val="000C2C03"/>
    <w:rsid w:val="000C2D2E"/>
    <w:rsid w:val="000C4D51"/>
    <w:rsid w:val="000C7F79"/>
    <w:rsid w:val="000D1E89"/>
    <w:rsid w:val="000D3D97"/>
    <w:rsid w:val="000D6833"/>
    <w:rsid w:val="000E0415"/>
    <w:rsid w:val="000E5C70"/>
    <w:rsid w:val="000F0B0E"/>
    <w:rsid w:val="000F11EE"/>
    <w:rsid w:val="00103CC1"/>
    <w:rsid w:val="00104CDA"/>
    <w:rsid w:val="001103AA"/>
    <w:rsid w:val="0011666B"/>
    <w:rsid w:val="00125861"/>
    <w:rsid w:val="00131D05"/>
    <w:rsid w:val="001362A8"/>
    <w:rsid w:val="00155068"/>
    <w:rsid w:val="00165F3A"/>
    <w:rsid w:val="001A6E55"/>
    <w:rsid w:val="001A7AEF"/>
    <w:rsid w:val="001B13A5"/>
    <w:rsid w:val="001B3013"/>
    <w:rsid w:val="001B4B04"/>
    <w:rsid w:val="001B6010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087"/>
    <w:rsid w:val="001E5415"/>
    <w:rsid w:val="001E7B67"/>
    <w:rsid w:val="001F7435"/>
    <w:rsid w:val="00202DA8"/>
    <w:rsid w:val="00206C6D"/>
    <w:rsid w:val="0021157B"/>
    <w:rsid w:val="00211E0B"/>
    <w:rsid w:val="002217AC"/>
    <w:rsid w:val="0022321E"/>
    <w:rsid w:val="00223E1C"/>
    <w:rsid w:val="00236A96"/>
    <w:rsid w:val="0024023A"/>
    <w:rsid w:val="00243217"/>
    <w:rsid w:val="00244048"/>
    <w:rsid w:val="00252290"/>
    <w:rsid w:val="00267F5F"/>
    <w:rsid w:val="00286B4D"/>
    <w:rsid w:val="00293925"/>
    <w:rsid w:val="002A3C85"/>
    <w:rsid w:val="002A603B"/>
    <w:rsid w:val="002B5BED"/>
    <w:rsid w:val="002D2E24"/>
    <w:rsid w:val="002D4643"/>
    <w:rsid w:val="002D4B6C"/>
    <w:rsid w:val="002D70EB"/>
    <w:rsid w:val="002D77AC"/>
    <w:rsid w:val="002F175C"/>
    <w:rsid w:val="00301D76"/>
    <w:rsid w:val="00302E18"/>
    <w:rsid w:val="00303253"/>
    <w:rsid w:val="0030606F"/>
    <w:rsid w:val="003173A5"/>
    <w:rsid w:val="003229D8"/>
    <w:rsid w:val="003358CF"/>
    <w:rsid w:val="00352709"/>
    <w:rsid w:val="003652B9"/>
    <w:rsid w:val="00371178"/>
    <w:rsid w:val="00386FAA"/>
    <w:rsid w:val="003A10AC"/>
    <w:rsid w:val="003A4C7A"/>
    <w:rsid w:val="003A6810"/>
    <w:rsid w:val="003B36D1"/>
    <w:rsid w:val="003B7418"/>
    <w:rsid w:val="003C2CC4"/>
    <w:rsid w:val="003D3380"/>
    <w:rsid w:val="003D4B23"/>
    <w:rsid w:val="003E0B6D"/>
    <w:rsid w:val="003F7107"/>
    <w:rsid w:val="004002CE"/>
    <w:rsid w:val="00410C89"/>
    <w:rsid w:val="0041397F"/>
    <w:rsid w:val="0041539A"/>
    <w:rsid w:val="00422E03"/>
    <w:rsid w:val="00426B9B"/>
    <w:rsid w:val="004325CB"/>
    <w:rsid w:val="004356D2"/>
    <w:rsid w:val="00441FED"/>
    <w:rsid w:val="00442A83"/>
    <w:rsid w:val="00445EB0"/>
    <w:rsid w:val="0045495B"/>
    <w:rsid w:val="00462F9E"/>
    <w:rsid w:val="00463984"/>
    <w:rsid w:val="00470310"/>
    <w:rsid w:val="00472B2C"/>
    <w:rsid w:val="00482DA4"/>
    <w:rsid w:val="0048397A"/>
    <w:rsid w:val="00483ECD"/>
    <w:rsid w:val="00485C67"/>
    <w:rsid w:val="004A12F2"/>
    <w:rsid w:val="004B1A2F"/>
    <w:rsid w:val="004C2461"/>
    <w:rsid w:val="004C7462"/>
    <w:rsid w:val="004C7936"/>
    <w:rsid w:val="004D4E04"/>
    <w:rsid w:val="004D5426"/>
    <w:rsid w:val="004D71EB"/>
    <w:rsid w:val="004E0C05"/>
    <w:rsid w:val="004E6EFA"/>
    <w:rsid w:val="004E77B2"/>
    <w:rsid w:val="00503DEB"/>
    <w:rsid w:val="00504B2D"/>
    <w:rsid w:val="0052136D"/>
    <w:rsid w:val="00522B58"/>
    <w:rsid w:val="00523CD7"/>
    <w:rsid w:val="0052775E"/>
    <w:rsid w:val="005400E4"/>
    <w:rsid w:val="005420F2"/>
    <w:rsid w:val="00546993"/>
    <w:rsid w:val="00555AC7"/>
    <w:rsid w:val="005628B6"/>
    <w:rsid w:val="0059363D"/>
    <w:rsid w:val="005A6437"/>
    <w:rsid w:val="005B3DB3"/>
    <w:rsid w:val="005B4E13"/>
    <w:rsid w:val="005B70FA"/>
    <w:rsid w:val="005D2A29"/>
    <w:rsid w:val="005D30D1"/>
    <w:rsid w:val="005E3616"/>
    <w:rsid w:val="005E6A77"/>
    <w:rsid w:val="005F4EF7"/>
    <w:rsid w:val="005F7B75"/>
    <w:rsid w:val="006001EE"/>
    <w:rsid w:val="00605042"/>
    <w:rsid w:val="0061189E"/>
    <w:rsid w:val="00611FC4"/>
    <w:rsid w:val="006176FB"/>
    <w:rsid w:val="00640B26"/>
    <w:rsid w:val="006447F0"/>
    <w:rsid w:val="00652D0A"/>
    <w:rsid w:val="006623D5"/>
    <w:rsid w:val="00662BB6"/>
    <w:rsid w:val="00667F8F"/>
    <w:rsid w:val="006713A7"/>
    <w:rsid w:val="00676B85"/>
    <w:rsid w:val="00684C21"/>
    <w:rsid w:val="00695C79"/>
    <w:rsid w:val="006A2530"/>
    <w:rsid w:val="006C18FA"/>
    <w:rsid w:val="006C3589"/>
    <w:rsid w:val="006C5949"/>
    <w:rsid w:val="006D317D"/>
    <w:rsid w:val="006D37AF"/>
    <w:rsid w:val="006D51D0"/>
    <w:rsid w:val="006E564B"/>
    <w:rsid w:val="006E7191"/>
    <w:rsid w:val="006E73A7"/>
    <w:rsid w:val="006F4A04"/>
    <w:rsid w:val="00702574"/>
    <w:rsid w:val="00703577"/>
    <w:rsid w:val="00705894"/>
    <w:rsid w:val="0072632A"/>
    <w:rsid w:val="007313E3"/>
    <w:rsid w:val="007327D5"/>
    <w:rsid w:val="007427AD"/>
    <w:rsid w:val="00743291"/>
    <w:rsid w:val="00743E81"/>
    <w:rsid w:val="00753674"/>
    <w:rsid w:val="007611CF"/>
    <w:rsid w:val="007612FF"/>
    <w:rsid w:val="007629C8"/>
    <w:rsid w:val="0077047D"/>
    <w:rsid w:val="00777AC8"/>
    <w:rsid w:val="0078507B"/>
    <w:rsid w:val="00793939"/>
    <w:rsid w:val="00797575"/>
    <w:rsid w:val="007A787F"/>
    <w:rsid w:val="007B652C"/>
    <w:rsid w:val="007B6BA5"/>
    <w:rsid w:val="007B6C1C"/>
    <w:rsid w:val="007C3390"/>
    <w:rsid w:val="007C4F4B"/>
    <w:rsid w:val="007C5966"/>
    <w:rsid w:val="007C6780"/>
    <w:rsid w:val="007D3484"/>
    <w:rsid w:val="007E01E9"/>
    <w:rsid w:val="007E35CE"/>
    <w:rsid w:val="007E63F3"/>
    <w:rsid w:val="007F0F4A"/>
    <w:rsid w:val="007F29A5"/>
    <w:rsid w:val="007F6611"/>
    <w:rsid w:val="007F70AF"/>
    <w:rsid w:val="007F7106"/>
    <w:rsid w:val="007F7A86"/>
    <w:rsid w:val="007F7AB8"/>
    <w:rsid w:val="0080143A"/>
    <w:rsid w:val="008116D7"/>
    <w:rsid w:val="00811920"/>
    <w:rsid w:val="00815AD0"/>
    <w:rsid w:val="00815E91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67BF"/>
    <w:rsid w:val="00880848"/>
    <w:rsid w:val="00883999"/>
    <w:rsid w:val="00887652"/>
    <w:rsid w:val="008878DE"/>
    <w:rsid w:val="008979B1"/>
    <w:rsid w:val="008A2EF4"/>
    <w:rsid w:val="008A434B"/>
    <w:rsid w:val="008A6B25"/>
    <w:rsid w:val="008A6C4F"/>
    <w:rsid w:val="008B2335"/>
    <w:rsid w:val="008E0678"/>
    <w:rsid w:val="008F6CE6"/>
    <w:rsid w:val="00910803"/>
    <w:rsid w:val="009209F1"/>
    <w:rsid w:val="00921396"/>
    <w:rsid w:val="009223CA"/>
    <w:rsid w:val="00940F93"/>
    <w:rsid w:val="0094558F"/>
    <w:rsid w:val="009536F9"/>
    <w:rsid w:val="00961690"/>
    <w:rsid w:val="009760F3"/>
    <w:rsid w:val="00977203"/>
    <w:rsid w:val="00986578"/>
    <w:rsid w:val="009948F2"/>
    <w:rsid w:val="009A0E8D"/>
    <w:rsid w:val="009B1518"/>
    <w:rsid w:val="009B26E7"/>
    <w:rsid w:val="009C009E"/>
    <w:rsid w:val="009C454F"/>
    <w:rsid w:val="009D20A0"/>
    <w:rsid w:val="009D2A5B"/>
    <w:rsid w:val="009F2BB8"/>
    <w:rsid w:val="009F4B6E"/>
    <w:rsid w:val="00A00A3F"/>
    <w:rsid w:val="00A01489"/>
    <w:rsid w:val="00A12E50"/>
    <w:rsid w:val="00A14388"/>
    <w:rsid w:val="00A203A4"/>
    <w:rsid w:val="00A3009E"/>
    <w:rsid w:val="00A3026E"/>
    <w:rsid w:val="00A31D95"/>
    <w:rsid w:val="00A338F1"/>
    <w:rsid w:val="00A37CC1"/>
    <w:rsid w:val="00A57907"/>
    <w:rsid w:val="00A72F22"/>
    <w:rsid w:val="00A7360F"/>
    <w:rsid w:val="00A748A6"/>
    <w:rsid w:val="00A769F4"/>
    <w:rsid w:val="00A776B4"/>
    <w:rsid w:val="00A86FC0"/>
    <w:rsid w:val="00A94361"/>
    <w:rsid w:val="00AA293C"/>
    <w:rsid w:val="00AA66C0"/>
    <w:rsid w:val="00AB32F7"/>
    <w:rsid w:val="00AB4050"/>
    <w:rsid w:val="00AD44C2"/>
    <w:rsid w:val="00AD48FA"/>
    <w:rsid w:val="00AE4C4B"/>
    <w:rsid w:val="00AE503D"/>
    <w:rsid w:val="00AE5984"/>
    <w:rsid w:val="00B117CF"/>
    <w:rsid w:val="00B11BB4"/>
    <w:rsid w:val="00B22BC2"/>
    <w:rsid w:val="00B24F79"/>
    <w:rsid w:val="00B30179"/>
    <w:rsid w:val="00B36690"/>
    <w:rsid w:val="00B421C1"/>
    <w:rsid w:val="00B45E00"/>
    <w:rsid w:val="00B55C71"/>
    <w:rsid w:val="00B56E4A"/>
    <w:rsid w:val="00B56E9C"/>
    <w:rsid w:val="00B61320"/>
    <w:rsid w:val="00B61BB6"/>
    <w:rsid w:val="00B64B1F"/>
    <w:rsid w:val="00B6553F"/>
    <w:rsid w:val="00B70ED9"/>
    <w:rsid w:val="00B70F1E"/>
    <w:rsid w:val="00B77D05"/>
    <w:rsid w:val="00B81206"/>
    <w:rsid w:val="00B81E12"/>
    <w:rsid w:val="00B8394B"/>
    <w:rsid w:val="00B907A6"/>
    <w:rsid w:val="00BA4F47"/>
    <w:rsid w:val="00BB7CD1"/>
    <w:rsid w:val="00BC3FA0"/>
    <w:rsid w:val="00BC67E1"/>
    <w:rsid w:val="00BC74E9"/>
    <w:rsid w:val="00BD7F70"/>
    <w:rsid w:val="00BF0AE1"/>
    <w:rsid w:val="00BF4470"/>
    <w:rsid w:val="00BF68A8"/>
    <w:rsid w:val="00C10FE6"/>
    <w:rsid w:val="00C11A03"/>
    <w:rsid w:val="00C11B49"/>
    <w:rsid w:val="00C22C0C"/>
    <w:rsid w:val="00C25E1A"/>
    <w:rsid w:val="00C307E9"/>
    <w:rsid w:val="00C43462"/>
    <w:rsid w:val="00C4527F"/>
    <w:rsid w:val="00C45FBF"/>
    <w:rsid w:val="00C463DD"/>
    <w:rsid w:val="00C4724C"/>
    <w:rsid w:val="00C611A9"/>
    <w:rsid w:val="00C629A0"/>
    <w:rsid w:val="00C64629"/>
    <w:rsid w:val="00C6581B"/>
    <w:rsid w:val="00C72258"/>
    <w:rsid w:val="00C745C3"/>
    <w:rsid w:val="00C7755F"/>
    <w:rsid w:val="00C77BE5"/>
    <w:rsid w:val="00CA0E12"/>
    <w:rsid w:val="00CA3494"/>
    <w:rsid w:val="00CA39FB"/>
    <w:rsid w:val="00CB3E03"/>
    <w:rsid w:val="00CC5B3B"/>
    <w:rsid w:val="00CD1374"/>
    <w:rsid w:val="00CD1FCA"/>
    <w:rsid w:val="00CD57D2"/>
    <w:rsid w:val="00CE2C59"/>
    <w:rsid w:val="00CE306A"/>
    <w:rsid w:val="00CE4A8F"/>
    <w:rsid w:val="00CF18C9"/>
    <w:rsid w:val="00D2031B"/>
    <w:rsid w:val="00D25FE2"/>
    <w:rsid w:val="00D43252"/>
    <w:rsid w:val="00D47EEA"/>
    <w:rsid w:val="00D54606"/>
    <w:rsid w:val="00D550D4"/>
    <w:rsid w:val="00D72009"/>
    <w:rsid w:val="00D7419E"/>
    <w:rsid w:val="00D7523D"/>
    <w:rsid w:val="00D773DF"/>
    <w:rsid w:val="00D81C51"/>
    <w:rsid w:val="00D876F8"/>
    <w:rsid w:val="00D9255F"/>
    <w:rsid w:val="00D95303"/>
    <w:rsid w:val="00D978C6"/>
    <w:rsid w:val="00DA3C1C"/>
    <w:rsid w:val="00DB43CD"/>
    <w:rsid w:val="00DC12A9"/>
    <w:rsid w:val="00DC1792"/>
    <w:rsid w:val="00DE0FFA"/>
    <w:rsid w:val="00E01632"/>
    <w:rsid w:val="00E040DB"/>
    <w:rsid w:val="00E046DF"/>
    <w:rsid w:val="00E141EB"/>
    <w:rsid w:val="00E15557"/>
    <w:rsid w:val="00E15A83"/>
    <w:rsid w:val="00E269AA"/>
    <w:rsid w:val="00E27346"/>
    <w:rsid w:val="00E351E5"/>
    <w:rsid w:val="00E41337"/>
    <w:rsid w:val="00E71B51"/>
    <w:rsid w:val="00E71BC8"/>
    <w:rsid w:val="00E7260F"/>
    <w:rsid w:val="00E73F5D"/>
    <w:rsid w:val="00E75963"/>
    <w:rsid w:val="00E75AFC"/>
    <w:rsid w:val="00E77E4E"/>
    <w:rsid w:val="00E96630"/>
    <w:rsid w:val="00EB6A94"/>
    <w:rsid w:val="00EC01E1"/>
    <w:rsid w:val="00EC106A"/>
    <w:rsid w:val="00EC32A0"/>
    <w:rsid w:val="00EC5982"/>
    <w:rsid w:val="00ED7A2A"/>
    <w:rsid w:val="00EE6B3A"/>
    <w:rsid w:val="00EF1D7F"/>
    <w:rsid w:val="00F2266C"/>
    <w:rsid w:val="00F227A6"/>
    <w:rsid w:val="00F2699F"/>
    <w:rsid w:val="00F31170"/>
    <w:rsid w:val="00F31E5F"/>
    <w:rsid w:val="00F36D3B"/>
    <w:rsid w:val="00F36F0D"/>
    <w:rsid w:val="00F42999"/>
    <w:rsid w:val="00F50F30"/>
    <w:rsid w:val="00F51ECD"/>
    <w:rsid w:val="00F52055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68B7"/>
    <w:rsid w:val="00FE106A"/>
    <w:rsid w:val="00FF0BE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EC5982"/>
    <w:rPr>
      <w:rFonts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5982"/>
    <w:rPr>
      <w:rFonts w:cs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982"/>
    <w:rPr>
      <w:rFonts w:cs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5982"/>
    <w:rPr>
      <w:rFonts w:cs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5982"/>
    <w:rPr>
      <w:rFonts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5982"/>
    <w:rPr>
      <w:rFonts w:cs="Times New Roman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5982"/>
    <w:rPr>
      <w:rFonts w:cs="Times New Roman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5982"/>
    <w:rPr>
      <w:rFonts w:cs="Times New Roman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5982"/>
    <w:rPr>
      <w:rFonts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7E35CE"/>
    <w:pPr>
      <w:numPr>
        <w:numId w:val="10"/>
      </w:numPr>
      <w:tabs>
        <w:tab w:val="clear" w:pos="360"/>
        <w:tab w:val="num" w:pos="926"/>
      </w:tabs>
      <w:ind w:left="926"/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7E35CE"/>
  </w:style>
  <w:style w:type="character" w:customStyle="1" w:styleId="PlainTextChar">
    <w:name w:val="Plain Text Char"/>
    <w:basedOn w:val="DefaultParagraphFont"/>
    <w:link w:val="PlainText"/>
    <w:uiPriority w:val="99"/>
    <w:locked/>
    <w:rsid w:val="00EC5982"/>
    <w:rPr>
      <w:rFonts w:cs="Times New Roman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7E35CE"/>
  </w:style>
  <w:style w:type="character" w:customStyle="1" w:styleId="BodyTextChar">
    <w:name w:val="Body Text Char"/>
    <w:basedOn w:val="DefaultParagraphFont"/>
    <w:link w:val="BodyText"/>
    <w:uiPriority w:val="99"/>
    <w:locked/>
    <w:rsid w:val="00EC5982"/>
    <w:rPr>
      <w:rFonts w:cs="Times New Roman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E35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5982"/>
    <w:rPr>
      <w:rFonts w:cs="Times New Roman"/>
      <w:lang w:val="en-GB" w:eastAsia="en-US"/>
    </w:rPr>
  </w:style>
  <w:style w:type="paragraph" w:styleId="BlockText">
    <w:name w:val="Block Text"/>
    <w:basedOn w:val="Normal"/>
    <w:uiPriority w:val="99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A12E50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EC5982"/>
    <w:rPr>
      <w:rFonts w:cs="Times New Roman"/>
      <w:sz w:val="18"/>
      <w:lang w:eastAsia="en-US"/>
    </w:rPr>
  </w:style>
  <w:style w:type="character" w:styleId="CommentReference">
    <w:name w:val="annotation reference"/>
    <w:basedOn w:val="DefaultParagraphFont"/>
    <w:uiPriority w:val="99"/>
    <w:rsid w:val="007E35CE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7E35C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5982"/>
    <w:rPr>
      <w:rFonts w:cs="Times New Roman"/>
      <w:lang w:val="en-GB" w:eastAsia="en-US"/>
    </w:rPr>
  </w:style>
  <w:style w:type="character" w:styleId="LineNumber">
    <w:name w:val="line number"/>
    <w:basedOn w:val="DefaultParagraphFont"/>
    <w:uiPriority w:val="99"/>
    <w:rsid w:val="007E35C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982"/>
    <w:rPr>
      <w:rFonts w:cs="Times New Roman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982"/>
    <w:rPr>
      <w:rFonts w:cs="Times New Roman"/>
      <w:sz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EC5982"/>
    <w:rPr>
      <w:rFonts w:cs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C5982"/>
    <w:rPr>
      <w:rFonts w:cs="Times New Roman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5982"/>
    <w:rPr>
      <w:rFonts w:cs="Times New Roman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5982"/>
    <w:rPr>
      <w:rFonts w:cs="Times New Roman"/>
      <w:sz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EC5982"/>
    <w:rPr>
      <w:rFonts w:cs="Times New Roman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8A6C4F"/>
  </w:style>
  <w:style w:type="character" w:customStyle="1" w:styleId="DateChar">
    <w:name w:val="Date Char"/>
    <w:basedOn w:val="DefaultParagraphFont"/>
    <w:link w:val="Date"/>
    <w:uiPriority w:val="99"/>
    <w:locked/>
    <w:rsid w:val="00EC5982"/>
    <w:rPr>
      <w:rFonts w:cs="Times New Roman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EC5982"/>
    <w:rPr>
      <w:rFonts w:cs="Times New Roman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EC5982"/>
    <w:rPr>
      <w:rFonts w:cs="Times New Roman"/>
      <w:i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5982"/>
    <w:rPr>
      <w:rFonts w:ascii="Courier New" w:hAnsi="Courier New" w:cs="Times New Roman"/>
      <w:lang w:val="en-GB" w:eastAsia="en-US"/>
    </w:rPr>
  </w:style>
  <w:style w:type="character" w:styleId="HTMLSample">
    <w:name w:val="HTML Sample"/>
    <w:basedOn w:val="DefaultParagraphFont"/>
    <w:uiPriority w:val="99"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rsid w:val="008A6C4F"/>
    <w:pPr>
      <w:ind w:left="1132" w:hanging="283"/>
    </w:pPr>
  </w:style>
  <w:style w:type="paragraph" w:styleId="List5">
    <w:name w:val="List 5"/>
    <w:basedOn w:val="Normal"/>
    <w:uiPriority w:val="99"/>
    <w:rsid w:val="008A6C4F"/>
    <w:pPr>
      <w:ind w:left="1415" w:hanging="283"/>
    </w:pPr>
  </w:style>
  <w:style w:type="paragraph" w:styleId="ListBullet">
    <w:name w:val="List Bullet"/>
    <w:basedOn w:val="Normal"/>
    <w:uiPriority w:val="99"/>
    <w:rsid w:val="008A6C4F"/>
    <w:pPr>
      <w:numPr>
        <w:numId w:val="5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6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7"/>
      </w:numPr>
    </w:pPr>
  </w:style>
  <w:style w:type="paragraph" w:styleId="ListBullet4">
    <w:name w:val="List Bullet 4"/>
    <w:basedOn w:val="Normal"/>
    <w:uiPriority w:val="99"/>
    <w:rsid w:val="008A6C4F"/>
    <w:pPr>
      <w:numPr>
        <w:numId w:val="8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9"/>
      </w:numPr>
    </w:pPr>
  </w:style>
  <w:style w:type="paragraph" w:styleId="ListContinue">
    <w:name w:val="List Continue"/>
    <w:basedOn w:val="Normal"/>
    <w:uiPriority w:val="99"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rsid w:val="008A6C4F"/>
    <w:pPr>
      <w:numPr>
        <w:numId w:val="4"/>
      </w:numPr>
      <w:ind w:left="360"/>
    </w:pPr>
  </w:style>
  <w:style w:type="paragraph" w:styleId="ListNumber2">
    <w:name w:val="List Number 2"/>
    <w:basedOn w:val="Normal"/>
    <w:uiPriority w:val="99"/>
    <w:rsid w:val="008A6C4F"/>
    <w:pPr>
      <w:numPr>
        <w:numId w:val="3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8A6C4F"/>
    <w:pPr>
      <w:numPr>
        <w:numId w:val="2"/>
      </w:numPr>
    </w:pPr>
  </w:style>
  <w:style w:type="paragraph" w:styleId="ListNumber4">
    <w:name w:val="List Number 4"/>
    <w:basedOn w:val="Normal"/>
    <w:uiPriority w:val="99"/>
    <w:rsid w:val="008A6C4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8A6C4F"/>
    <w:pPr>
      <w:numPr>
        <w:numId w:val="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EC5982"/>
    <w:rPr>
      <w:rFonts w:ascii="Arial" w:hAnsi="Arial" w:cs="Times New Roman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C5982"/>
    <w:rPr>
      <w:rFonts w:cs="Times New Roman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A6C4F"/>
  </w:style>
  <w:style w:type="character" w:customStyle="1" w:styleId="SalutationChar">
    <w:name w:val="Salutation Char"/>
    <w:basedOn w:val="DefaultParagraphFont"/>
    <w:link w:val="Salutation"/>
    <w:uiPriority w:val="99"/>
    <w:locked/>
    <w:rsid w:val="00EC5982"/>
    <w:rPr>
      <w:rFonts w:cs="Times New Roman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EC5982"/>
    <w:rPr>
      <w:rFonts w:cs="Times New Roman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982"/>
    <w:rPr>
      <w:rFonts w:ascii="Arial" w:hAnsi="Arial" w:cs="Times New Roman"/>
      <w:sz w:val="24"/>
      <w:lang w:val="en-GB" w:eastAsia="en-US"/>
    </w:rPr>
  </w:style>
  <w:style w:type="table" w:styleId="Table3Deffects1">
    <w:name w:val="Table 3D effects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5982"/>
    <w:rPr>
      <w:rFonts w:ascii="Arial" w:hAnsi="Arial" w:cs="Times New Roman"/>
      <w:b/>
      <w:kern w:val="28"/>
      <w:sz w:val="32"/>
      <w:lang w:val="en-GB" w:eastAsia="en-US"/>
    </w:rPr>
  </w:style>
  <w:style w:type="paragraph" w:styleId="EnvelopeAddress">
    <w:name w:val="envelope address"/>
    <w:basedOn w:val="Normal"/>
    <w:uiPriority w:val="99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EC5982"/>
    <w:rPr>
      <w:rFonts w:cs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2321E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23GChar">
    <w:name w:val="_ H_2/3_G Char"/>
    <w:link w:val="H23G"/>
    <w:uiPriority w:val="99"/>
    <w:locked/>
    <w:rsid w:val="00835C5B"/>
    <w:rPr>
      <w:b/>
      <w:lang w:val="en-GB" w:eastAsia="en-US"/>
    </w:rPr>
  </w:style>
  <w:style w:type="paragraph" w:customStyle="1" w:styleId="H23">
    <w:name w:val="_ H_2/3"/>
    <w:basedOn w:val="Normal"/>
    <w:next w:val="Normal"/>
    <w:uiPriority w:val="99"/>
    <w:rsid w:val="00EC5982"/>
    <w:pPr>
      <w:keepNext/>
      <w:keepLines/>
      <w:spacing w:line="240" w:lineRule="exact"/>
      <w:outlineLvl w:val="1"/>
    </w:pPr>
    <w:rPr>
      <w:b/>
      <w:spacing w:val="2"/>
      <w:w w:val="103"/>
      <w:kern w:val="14"/>
      <w:szCs w:val="22"/>
      <w:lang w:val="fr-CA"/>
    </w:rPr>
  </w:style>
  <w:style w:type="character" w:customStyle="1" w:styleId="NotedebasdepageCar1">
    <w:name w:val="Note de bas de page Car1"/>
    <w:aliases w:val="5_G Car1"/>
    <w:uiPriority w:val="99"/>
    <w:semiHidden/>
    <w:rsid w:val="00EC5982"/>
    <w:rPr>
      <w:lang w:eastAsia="en-US"/>
    </w:rPr>
  </w:style>
  <w:style w:type="character" w:customStyle="1" w:styleId="En-tteCar1">
    <w:name w:val="En-tête Car1"/>
    <w:aliases w:val="6_G Car1"/>
    <w:uiPriority w:val="99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uiPriority w:val="99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uiPriority w:val="99"/>
    <w:semiHidden/>
    <w:rsid w:val="00EC5982"/>
    <w:rPr>
      <w:lang w:eastAsia="en-US"/>
    </w:rPr>
  </w:style>
  <w:style w:type="paragraph" w:styleId="Revision">
    <w:name w:val="Revision"/>
    <w:uiPriority w:val="99"/>
    <w:semiHidden/>
    <w:rsid w:val="00EC5982"/>
    <w:rPr>
      <w:sz w:val="20"/>
      <w:szCs w:val="20"/>
      <w:lang w:val="en-GB" w:eastAsia="en-US"/>
    </w:rPr>
  </w:style>
  <w:style w:type="table" w:customStyle="1" w:styleId="TableauWeb11">
    <w:name w:val="Tableau Web 1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21">
    <w:name w:val="Tableau Web 2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31">
    <w:name w:val="Tableau Web 3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numbering" w:styleId="ArticleSection">
    <w:name w:val="Outline List 3"/>
    <w:basedOn w:val="NoList"/>
    <w:uiPriority w:val="99"/>
    <w:semiHidden/>
    <w:unhideWhenUsed/>
    <w:locked/>
    <w:rsid w:val="001A5081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locked/>
    <w:rsid w:val="001A5081"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locked/>
    <w:rsid w:val="001A5081"/>
    <w:pPr>
      <w:numPr>
        <w:numId w:val="13"/>
      </w:numPr>
    </w:pPr>
  </w:style>
  <w:style w:type="paragraph" w:customStyle="1" w:styleId="ParNoG">
    <w:name w:val="_ParNo_G"/>
    <w:basedOn w:val="Normal"/>
    <w:qFormat/>
    <w:rsid w:val="009D20A0"/>
    <w:pPr>
      <w:numPr>
        <w:numId w:val="17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E35CE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E35CE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E35CE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E35CE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E35CE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E35CE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E35CE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E35C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EC5982"/>
    <w:rPr>
      <w:rFonts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5982"/>
    <w:rPr>
      <w:rFonts w:cs="Times New Roman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5982"/>
    <w:rPr>
      <w:rFonts w:cs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5982"/>
    <w:rPr>
      <w:rFonts w:cs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5982"/>
    <w:rPr>
      <w:rFonts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5982"/>
    <w:rPr>
      <w:rFonts w:cs="Times New Roman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5982"/>
    <w:rPr>
      <w:rFonts w:cs="Times New Roman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5982"/>
    <w:rPr>
      <w:rFonts w:cs="Times New Roman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5982"/>
    <w:rPr>
      <w:rFonts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E35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7E35CE"/>
    <w:pPr>
      <w:numPr>
        <w:numId w:val="10"/>
      </w:numPr>
      <w:tabs>
        <w:tab w:val="clear" w:pos="360"/>
        <w:tab w:val="num" w:pos="926"/>
      </w:tabs>
      <w:ind w:left="926"/>
    </w:pPr>
  </w:style>
  <w:style w:type="paragraph" w:customStyle="1" w:styleId="SingleTxtG">
    <w:name w:val="_ Single Txt_G"/>
    <w:basedOn w:val="Normal"/>
    <w:link w:val="SingleTxtGChar"/>
    <w:qFormat/>
    <w:rsid w:val="007E35CE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rsid w:val="007E35CE"/>
  </w:style>
  <w:style w:type="character" w:customStyle="1" w:styleId="PlainTextChar">
    <w:name w:val="Plain Text Char"/>
    <w:basedOn w:val="DefaultParagraphFont"/>
    <w:link w:val="PlainText"/>
    <w:uiPriority w:val="99"/>
    <w:locked/>
    <w:rsid w:val="00EC5982"/>
    <w:rPr>
      <w:rFonts w:cs="Times New Roman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7E35CE"/>
  </w:style>
  <w:style w:type="character" w:customStyle="1" w:styleId="BodyTextChar">
    <w:name w:val="Body Text Char"/>
    <w:basedOn w:val="DefaultParagraphFont"/>
    <w:link w:val="BodyText"/>
    <w:uiPriority w:val="99"/>
    <w:locked/>
    <w:rsid w:val="00EC5982"/>
    <w:rPr>
      <w:rFonts w:cs="Times New Roman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E35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5982"/>
    <w:rPr>
      <w:rFonts w:cs="Times New Roman"/>
      <w:lang w:val="en-GB" w:eastAsia="en-US"/>
    </w:rPr>
  </w:style>
  <w:style w:type="paragraph" w:styleId="BlockText">
    <w:name w:val="Block Text"/>
    <w:basedOn w:val="Normal"/>
    <w:uiPriority w:val="99"/>
    <w:rsid w:val="007E35CE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A12E50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EC5982"/>
    <w:rPr>
      <w:rFonts w:cs="Times New Roman"/>
      <w:sz w:val="18"/>
      <w:lang w:eastAsia="en-US"/>
    </w:rPr>
  </w:style>
  <w:style w:type="character" w:styleId="CommentReference">
    <w:name w:val="annotation reference"/>
    <w:basedOn w:val="DefaultParagraphFont"/>
    <w:uiPriority w:val="99"/>
    <w:rsid w:val="007E35CE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rsid w:val="007E35C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5982"/>
    <w:rPr>
      <w:rFonts w:cs="Times New Roman"/>
      <w:lang w:val="en-GB" w:eastAsia="en-US"/>
    </w:rPr>
  </w:style>
  <w:style w:type="character" w:styleId="LineNumber">
    <w:name w:val="line number"/>
    <w:basedOn w:val="DefaultParagraphFont"/>
    <w:uiPriority w:val="99"/>
    <w:rsid w:val="007E35CE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E35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E35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5982"/>
    <w:rPr>
      <w:rFonts w:cs="Times New Roman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C5982"/>
    <w:rPr>
      <w:rFonts w:cs="Times New Roman"/>
      <w:sz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EC5982"/>
    <w:rPr>
      <w:rFonts w:cs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C5982"/>
    <w:rPr>
      <w:rFonts w:cs="Times New Roman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5982"/>
    <w:rPr>
      <w:rFonts w:cs="Times New Roman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C5982"/>
    <w:rPr>
      <w:rFonts w:cs="Times New Roman"/>
      <w:sz w:val="16"/>
      <w:lang w:val="en-GB" w:eastAsia="en-US"/>
    </w:rPr>
  </w:style>
  <w:style w:type="paragraph" w:styleId="Closing">
    <w:name w:val="Closing"/>
    <w:basedOn w:val="Normal"/>
    <w:link w:val="ClosingChar"/>
    <w:uiPriority w:val="99"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EC5982"/>
    <w:rPr>
      <w:rFonts w:cs="Times New Roman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rsid w:val="008A6C4F"/>
  </w:style>
  <w:style w:type="character" w:customStyle="1" w:styleId="DateChar">
    <w:name w:val="Date Char"/>
    <w:basedOn w:val="DefaultParagraphFont"/>
    <w:link w:val="Date"/>
    <w:uiPriority w:val="99"/>
    <w:locked/>
    <w:rsid w:val="00EC5982"/>
    <w:rPr>
      <w:rFonts w:cs="Times New Roman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EC5982"/>
    <w:rPr>
      <w:rFonts w:cs="Times New Roman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EC5982"/>
    <w:rPr>
      <w:rFonts w:cs="Times New Roman"/>
      <w:i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5982"/>
    <w:rPr>
      <w:rFonts w:ascii="Courier New" w:hAnsi="Courier New" w:cs="Times New Roman"/>
      <w:lang w:val="en-GB" w:eastAsia="en-US"/>
    </w:rPr>
  </w:style>
  <w:style w:type="character" w:styleId="HTMLSample">
    <w:name w:val="HTML Sample"/>
    <w:basedOn w:val="DefaultParagraphFont"/>
    <w:uiPriority w:val="99"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rsid w:val="008A6C4F"/>
    <w:pPr>
      <w:ind w:left="1132" w:hanging="283"/>
    </w:pPr>
  </w:style>
  <w:style w:type="paragraph" w:styleId="List5">
    <w:name w:val="List 5"/>
    <w:basedOn w:val="Normal"/>
    <w:uiPriority w:val="99"/>
    <w:rsid w:val="008A6C4F"/>
    <w:pPr>
      <w:ind w:left="1415" w:hanging="283"/>
    </w:pPr>
  </w:style>
  <w:style w:type="paragraph" w:styleId="ListBullet">
    <w:name w:val="List Bullet"/>
    <w:basedOn w:val="Normal"/>
    <w:uiPriority w:val="99"/>
    <w:rsid w:val="008A6C4F"/>
    <w:pPr>
      <w:numPr>
        <w:numId w:val="5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6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7"/>
      </w:numPr>
    </w:pPr>
  </w:style>
  <w:style w:type="paragraph" w:styleId="ListBullet4">
    <w:name w:val="List Bullet 4"/>
    <w:basedOn w:val="Normal"/>
    <w:uiPriority w:val="99"/>
    <w:rsid w:val="008A6C4F"/>
    <w:pPr>
      <w:numPr>
        <w:numId w:val="8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9"/>
      </w:numPr>
    </w:pPr>
  </w:style>
  <w:style w:type="paragraph" w:styleId="ListContinue">
    <w:name w:val="List Continue"/>
    <w:basedOn w:val="Normal"/>
    <w:uiPriority w:val="99"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rsid w:val="008A6C4F"/>
    <w:pPr>
      <w:numPr>
        <w:numId w:val="4"/>
      </w:numPr>
      <w:ind w:left="360"/>
    </w:pPr>
  </w:style>
  <w:style w:type="paragraph" w:styleId="ListNumber2">
    <w:name w:val="List Number 2"/>
    <w:basedOn w:val="Normal"/>
    <w:uiPriority w:val="99"/>
    <w:rsid w:val="008A6C4F"/>
    <w:pPr>
      <w:numPr>
        <w:numId w:val="3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8A6C4F"/>
    <w:pPr>
      <w:numPr>
        <w:numId w:val="2"/>
      </w:numPr>
    </w:pPr>
  </w:style>
  <w:style w:type="paragraph" w:styleId="ListNumber4">
    <w:name w:val="List Number 4"/>
    <w:basedOn w:val="Normal"/>
    <w:uiPriority w:val="99"/>
    <w:rsid w:val="008A6C4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8A6C4F"/>
    <w:pPr>
      <w:numPr>
        <w:numId w:val="1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EC5982"/>
    <w:rPr>
      <w:rFonts w:ascii="Arial" w:hAnsi="Arial" w:cs="Times New Roman"/>
      <w:sz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EC5982"/>
    <w:rPr>
      <w:rFonts w:cs="Times New Roman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8A6C4F"/>
  </w:style>
  <w:style w:type="character" w:customStyle="1" w:styleId="SalutationChar">
    <w:name w:val="Salutation Char"/>
    <w:basedOn w:val="DefaultParagraphFont"/>
    <w:link w:val="Salutation"/>
    <w:uiPriority w:val="99"/>
    <w:locked/>
    <w:rsid w:val="00EC5982"/>
    <w:rPr>
      <w:rFonts w:cs="Times New Roman"/>
      <w:lang w:val="en-GB" w:eastAsia="en-US"/>
    </w:rPr>
  </w:style>
  <w:style w:type="paragraph" w:styleId="Signature">
    <w:name w:val="Signature"/>
    <w:basedOn w:val="Normal"/>
    <w:link w:val="SignatureChar"/>
    <w:uiPriority w:val="99"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EC5982"/>
    <w:rPr>
      <w:rFonts w:cs="Times New Roman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5982"/>
    <w:rPr>
      <w:rFonts w:ascii="Arial" w:hAnsi="Arial" w:cs="Times New Roman"/>
      <w:sz w:val="24"/>
      <w:lang w:val="en-GB" w:eastAsia="en-US"/>
    </w:rPr>
  </w:style>
  <w:style w:type="table" w:styleId="Table3Deffects1">
    <w:name w:val="Table 3D effects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5982"/>
    <w:rPr>
      <w:rFonts w:ascii="Arial" w:hAnsi="Arial" w:cs="Times New Roman"/>
      <w:b/>
      <w:kern w:val="28"/>
      <w:sz w:val="32"/>
      <w:lang w:val="en-GB" w:eastAsia="en-US"/>
    </w:rPr>
  </w:style>
  <w:style w:type="paragraph" w:styleId="EnvelopeAddress">
    <w:name w:val="envelope address"/>
    <w:basedOn w:val="Normal"/>
    <w:uiPriority w:val="99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EC5982"/>
    <w:rPr>
      <w:rFonts w:cs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2321E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H23GChar">
    <w:name w:val="_ H_2/3_G Char"/>
    <w:link w:val="H23G"/>
    <w:uiPriority w:val="99"/>
    <w:locked/>
    <w:rsid w:val="00835C5B"/>
    <w:rPr>
      <w:b/>
      <w:lang w:val="en-GB" w:eastAsia="en-US"/>
    </w:rPr>
  </w:style>
  <w:style w:type="paragraph" w:customStyle="1" w:styleId="H23">
    <w:name w:val="_ H_2/3"/>
    <w:basedOn w:val="Normal"/>
    <w:next w:val="Normal"/>
    <w:uiPriority w:val="99"/>
    <w:rsid w:val="00EC5982"/>
    <w:pPr>
      <w:keepNext/>
      <w:keepLines/>
      <w:spacing w:line="240" w:lineRule="exact"/>
      <w:outlineLvl w:val="1"/>
    </w:pPr>
    <w:rPr>
      <w:b/>
      <w:spacing w:val="2"/>
      <w:w w:val="103"/>
      <w:kern w:val="14"/>
      <w:szCs w:val="22"/>
      <w:lang w:val="fr-CA"/>
    </w:rPr>
  </w:style>
  <w:style w:type="character" w:customStyle="1" w:styleId="NotedebasdepageCar1">
    <w:name w:val="Note de bas de page Car1"/>
    <w:aliases w:val="5_G Car1"/>
    <w:uiPriority w:val="99"/>
    <w:semiHidden/>
    <w:rsid w:val="00EC5982"/>
    <w:rPr>
      <w:lang w:eastAsia="en-US"/>
    </w:rPr>
  </w:style>
  <w:style w:type="character" w:customStyle="1" w:styleId="En-tteCar1">
    <w:name w:val="En-tête Car1"/>
    <w:aliases w:val="6_G Car1"/>
    <w:uiPriority w:val="99"/>
    <w:semiHidden/>
    <w:rsid w:val="00EC5982"/>
    <w:rPr>
      <w:lang w:eastAsia="en-US"/>
    </w:rPr>
  </w:style>
  <w:style w:type="character" w:customStyle="1" w:styleId="PieddepageCar1">
    <w:name w:val="Pied de page Car1"/>
    <w:aliases w:val="3_G Car"/>
    <w:uiPriority w:val="99"/>
    <w:semiHidden/>
    <w:rsid w:val="00EC5982"/>
    <w:rPr>
      <w:lang w:eastAsia="en-US"/>
    </w:rPr>
  </w:style>
  <w:style w:type="character" w:customStyle="1" w:styleId="NotedefinCar1">
    <w:name w:val="Note de fin Car1"/>
    <w:aliases w:val="2_G Car"/>
    <w:uiPriority w:val="99"/>
    <w:semiHidden/>
    <w:rsid w:val="00EC5982"/>
    <w:rPr>
      <w:lang w:eastAsia="en-US"/>
    </w:rPr>
  </w:style>
  <w:style w:type="paragraph" w:styleId="Revision">
    <w:name w:val="Revision"/>
    <w:uiPriority w:val="99"/>
    <w:semiHidden/>
    <w:rsid w:val="00EC5982"/>
    <w:rPr>
      <w:sz w:val="20"/>
      <w:szCs w:val="20"/>
      <w:lang w:val="en-GB" w:eastAsia="en-US"/>
    </w:rPr>
  </w:style>
  <w:style w:type="table" w:customStyle="1" w:styleId="TableauWeb11">
    <w:name w:val="Tableau Web 1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21">
    <w:name w:val="Tableau Web 2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TableauWeb31">
    <w:name w:val="Tableau Web 31"/>
    <w:uiPriority w:val="99"/>
    <w:semiHidden/>
    <w:rsid w:val="00EC5982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numbering" w:styleId="ArticleSection">
    <w:name w:val="Outline List 3"/>
    <w:basedOn w:val="NoList"/>
    <w:uiPriority w:val="99"/>
    <w:semiHidden/>
    <w:unhideWhenUsed/>
    <w:locked/>
    <w:rsid w:val="001A5081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locked/>
    <w:rsid w:val="001A5081"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locked/>
    <w:rsid w:val="001A5081"/>
    <w:pPr>
      <w:numPr>
        <w:numId w:val="13"/>
      </w:numPr>
    </w:pPr>
  </w:style>
  <w:style w:type="paragraph" w:customStyle="1" w:styleId="ParNoG">
    <w:name w:val="_ParNo_G"/>
    <w:basedOn w:val="Normal"/>
    <w:qFormat/>
    <w:rsid w:val="009D20A0"/>
    <w:pPr>
      <w:numPr>
        <w:numId w:val="17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2</cp:revision>
  <cp:lastPrinted>2016-04-29T14:28:00Z</cp:lastPrinted>
  <dcterms:created xsi:type="dcterms:W3CDTF">2016-05-12T09:35:00Z</dcterms:created>
  <dcterms:modified xsi:type="dcterms:W3CDTF">2016-05-12T09:35:00Z</dcterms:modified>
</cp:coreProperties>
</file>