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8268C5" w:rsidTr="00B11BB4">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8268C5" w:rsidRDefault="00CD57D2" w:rsidP="0095551A">
            <w:pPr>
              <w:suppressAutoHyphens w:val="0"/>
              <w:spacing w:after="20"/>
              <w:jc w:val="right"/>
              <w:rPr>
                <w:b/>
                <w:sz w:val="28"/>
                <w:szCs w:val="28"/>
              </w:rPr>
            </w:pPr>
            <w:r w:rsidRPr="008268C5">
              <w:rPr>
                <w:b/>
                <w:sz w:val="28"/>
                <w:szCs w:val="28"/>
              </w:rPr>
              <w:t>INF.</w:t>
            </w:r>
            <w:r w:rsidR="0095551A">
              <w:rPr>
                <w:b/>
                <w:sz w:val="28"/>
                <w:szCs w:val="28"/>
              </w:rPr>
              <w:t>10</w:t>
            </w:r>
          </w:p>
        </w:tc>
      </w:tr>
    </w:tbl>
    <w:p w:rsidR="00AB32F7" w:rsidRPr="008268C5" w:rsidRDefault="00AB32F7" w:rsidP="00AB32F7">
      <w:pPr>
        <w:spacing w:before="120"/>
        <w:rPr>
          <w:b/>
          <w:sz w:val="28"/>
          <w:szCs w:val="28"/>
        </w:rPr>
      </w:pPr>
      <w:r w:rsidRPr="008268C5">
        <w:rPr>
          <w:b/>
          <w:sz w:val="28"/>
          <w:szCs w:val="28"/>
        </w:rPr>
        <w:t>Economic Commission for Europe</w:t>
      </w:r>
    </w:p>
    <w:p w:rsidR="00AB32F7" w:rsidRPr="008268C5" w:rsidRDefault="00AB32F7" w:rsidP="00AB32F7">
      <w:pPr>
        <w:spacing w:before="120"/>
        <w:rPr>
          <w:sz w:val="28"/>
          <w:szCs w:val="28"/>
        </w:rPr>
      </w:pPr>
      <w:r w:rsidRPr="008268C5">
        <w:rPr>
          <w:sz w:val="28"/>
          <w:szCs w:val="28"/>
        </w:rPr>
        <w:t>Inland Transport Committee</w:t>
      </w:r>
    </w:p>
    <w:p w:rsidR="00AB32F7" w:rsidRPr="008268C5" w:rsidRDefault="00AB32F7" w:rsidP="00AB32F7">
      <w:pPr>
        <w:spacing w:before="120"/>
        <w:rPr>
          <w:b/>
          <w:sz w:val="24"/>
          <w:szCs w:val="24"/>
        </w:rPr>
      </w:pPr>
      <w:r w:rsidRPr="008268C5">
        <w:rPr>
          <w:b/>
          <w:sz w:val="24"/>
          <w:szCs w:val="24"/>
        </w:rPr>
        <w:t>Working Party on the Transport of Dangerous Goods</w:t>
      </w:r>
    </w:p>
    <w:p w:rsidR="00AB32F7" w:rsidRPr="008268C5" w:rsidRDefault="00B25EB2" w:rsidP="00AB32F7">
      <w:pPr>
        <w:spacing w:before="120"/>
        <w:rPr>
          <w:b/>
        </w:rPr>
      </w:pPr>
      <w:proofErr w:type="gramStart"/>
      <w:r w:rsidRPr="008268C5">
        <w:rPr>
          <w:b/>
        </w:rPr>
        <w:t>100th</w:t>
      </w:r>
      <w:proofErr w:type="gramEnd"/>
      <w:r w:rsidR="00AB32F7" w:rsidRPr="008268C5">
        <w:rPr>
          <w:b/>
        </w:rPr>
        <w:t xml:space="preserve"> session</w:t>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95551A">
        <w:rPr>
          <w:b/>
        </w:rPr>
        <w:t>22</w:t>
      </w:r>
      <w:r w:rsidR="006162FB">
        <w:rPr>
          <w:b/>
        </w:rPr>
        <w:t xml:space="preserve"> April 2016</w:t>
      </w:r>
    </w:p>
    <w:p w:rsidR="00AB32F7" w:rsidRPr="008268C5" w:rsidRDefault="00AB32F7" w:rsidP="00AB32F7">
      <w:r w:rsidRPr="008268C5">
        <w:t xml:space="preserve">Geneva, </w:t>
      </w:r>
      <w:r w:rsidR="00B25EB2" w:rsidRPr="008268C5">
        <w:t>9</w:t>
      </w:r>
      <w:r w:rsidRPr="008268C5">
        <w:t>–</w:t>
      </w:r>
      <w:r w:rsidR="00B25EB2" w:rsidRPr="008268C5">
        <w:t>13</w:t>
      </w:r>
      <w:r w:rsidRPr="008268C5">
        <w:t xml:space="preserve"> May </w:t>
      </w:r>
      <w:r w:rsidR="00B25EB2" w:rsidRPr="008268C5">
        <w:t>2016</w:t>
      </w:r>
    </w:p>
    <w:p w:rsidR="0095551A" w:rsidRDefault="0095551A" w:rsidP="0095551A">
      <w:pPr>
        <w:rPr>
          <w:lang w:val="en-US"/>
        </w:rPr>
      </w:pPr>
      <w:r>
        <w:rPr>
          <w:lang w:val="en-US"/>
        </w:rPr>
        <w:t>Item 6 (b) of the Provisional agenda</w:t>
      </w:r>
    </w:p>
    <w:p w:rsidR="0095551A" w:rsidRPr="000402B3" w:rsidRDefault="0095551A" w:rsidP="0095551A">
      <w:pPr>
        <w:rPr>
          <w:b/>
          <w:bCs/>
          <w:lang w:val="en-US"/>
        </w:rPr>
      </w:pPr>
      <w:r w:rsidRPr="000402B3">
        <w:rPr>
          <w:b/>
          <w:bCs/>
          <w:lang w:val="en-US"/>
        </w:rPr>
        <w:t>Proposals for amendments to annexes A and B of ADR:</w:t>
      </w:r>
    </w:p>
    <w:p w:rsidR="0095551A" w:rsidRDefault="0095551A" w:rsidP="0095551A">
      <w:pPr>
        <w:rPr>
          <w:b/>
          <w:bCs/>
          <w:lang w:val="en-US"/>
        </w:rPr>
      </w:pPr>
      <w:proofErr w:type="gramStart"/>
      <w:r>
        <w:rPr>
          <w:b/>
          <w:bCs/>
          <w:lang w:val="en-US"/>
        </w:rPr>
        <w:t>m</w:t>
      </w:r>
      <w:bookmarkStart w:id="0" w:name="_GoBack"/>
      <w:bookmarkEnd w:id="0"/>
      <w:r w:rsidRPr="000402B3">
        <w:rPr>
          <w:b/>
          <w:bCs/>
          <w:lang w:val="en-US"/>
        </w:rPr>
        <w:t>iscellaneous</w:t>
      </w:r>
      <w:proofErr w:type="gramEnd"/>
      <w:r w:rsidRPr="000402B3">
        <w:rPr>
          <w:b/>
          <w:bCs/>
          <w:lang w:val="en-US"/>
        </w:rPr>
        <w:t xml:space="preserve"> proposals</w:t>
      </w:r>
    </w:p>
    <w:p w:rsidR="0095551A" w:rsidRPr="000402B3" w:rsidRDefault="0095551A" w:rsidP="0095551A">
      <w:pPr>
        <w:pStyle w:val="HChG"/>
      </w:pPr>
      <w:r w:rsidRPr="000402B3">
        <w:tab/>
      </w:r>
      <w:r w:rsidRPr="000402B3">
        <w:tab/>
      </w:r>
      <w:r>
        <w:t>Transition measure for vehicles and their equipment containing lithium cells and batteries not conforming to 2.2.9.1.7</w:t>
      </w:r>
    </w:p>
    <w:p w:rsidR="0095551A" w:rsidRDefault="0095551A" w:rsidP="0095551A">
      <w:pPr>
        <w:pStyle w:val="H1G"/>
      </w:pPr>
      <w:r w:rsidRPr="000402B3">
        <w:tab/>
      </w:r>
      <w:r w:rsidRPr="000402B3">
        <w:tab/>
        <w:t>Transmitted by the Government of Switzerland</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95551A" w:rsidTr="007C3639">
        <w:trPr>
          <w:cantSplit/>
          <w:trHeight w:val="293"/>
          <w:jc w:val="center"/>
        </w:trPr>
        <w:tc>
          <w:tcPr>
            <w:tcW w:w="9637" w:type="dxa"/>
            <w:shd w:val="clear" w:color="auto" w:fill="auto"/>
          </w:tcPr>
          <w:p w:rsidR="0095551A" w:rsidRPr="00A10A42" w:rsidRDefault="0095551A" w:rsidP="007C3639">
            <w:pPr>
              <w:spacing w:before="60" w:after="60"/>
              <w:ind w:left="255"/>
              <w:rPr>
                <w:i/>
                <w:sz w:val="24"/>
              </w:rPr>
            </w:pPr>
            <w:r w:rsidRPr="00A10A42">
              <w:rPr>
                <w:i/>
                <w:sz w:val="24"/>
              </w:rPr>
              <w:t>Summary</w:t>
            </w:r>
          </w:p>
        </w:tc>
      </w:tr>
      <w:tr w:rsidR="0095551A" w:rsidTr="007C3639">
        <w:trPr>
          <w:cantSplit/>
          <w:jc w:val="center"/>
        </w:trPr>
        <w:tc>
          <w:tcPr>
            <w:tcW w:w="9637" w:type="dxa"/>
            <w:shd w:val="clear" w:color="auto" w:fill="auto"/>
          </w:tcPr>
          <w:p w:rsidR="0095551A" w:rsidRDefault="0095551A" w:rsidP="0095551A">
            <w:pPr>
              <w:pStyle w:val="SingleTxtG"/>
              <w:spacing w:after="60"/>
              <w:ind w:left="3402" w:hanging="2268"/>
            </w:pPr>
            <w:r w:rsidRPr="00D25036">
              <w:rPr>
                <w:b/>
              </w:rPr>
              <w:t>Executive summary:</w:t>
            </w:r>
            <w:r w:rsidRPr="00A10A42">
              <w:rPr>
                <w:b/>
              </w:rPr>
              <w:t xml:space="preserve"> </w:t>
            </w:r>
            <w:r w:rsidRPr="00A10A42">
              <w:rPr>
                <w:b/>
              </w:rPr>
              <w:tab/>
            </w:r>
            <w:r>
              <w:t>Transitional measures are needed for vehicles and their equipment intended for use during carriage but containing lithium cells and batteries not conforming to 2.2.9.1.7 in order to allow the carriage for these vehicles and equipment as a load.</w:t>
            </w:r>
          </w:p>
        </w:tc>
      </w:tr>
      <w:tr w:rsidR="0095551A" w:rsidTr="007C3639">
        <w:trPr>
          <w:cantSplit/>
          <w:jc w:val="center"/>
        </w:trPr>
        <w:tc>
          <w:tcPr>
            <w:tcW w:w="9637" w:type="dxa"/>
            <w:shd w:val="clear" w:color="auto" w:fill="auto"/>
          </w:tcPr>
          <w:p w:rsidR="0095551A" w:rsidRPr="00C3386C" w:rsidRDefault="0095551A" w:rsidP="0095551A">
            <w:pPr>
              <w:pStyle w:val="SingleTxtG"/>
              <w:spacing w:after="60"/>
              <w:ind w:left="3402" w:hanging="2268"/>
            </w:pPr>
            <w:r w:rsidRPr="00D25036">
              <w:rPr>
                <w:b/>
              </w:rPr>
              <w:t>Action to be taken:</w:t>
            </w:r>
            <w:r w:rsidRPr="00A10A42">
              <w:rPr>
                <w:b/>
              </w:rPr>
              <w:tab/>
            </w:r>
            <w:r w:rsidRPr="00C3386C">
              <w:rPr>
                <w:spacing w:val="-2"/>
              </w:rPr>
              <w:t>.</w:t>
            </w:r>
          </w:p>
        </w:tc>
      </w:tr>
      <w:tr w:rsidR="0095551A" w:rsidTr="007C3639">
        <w:trPr>
          <w:cantSplit/>
          <w:jc w:val="center"/>
        </w:trPr>
        <w:tc>
          <w:tcPr>
            <w:tcW w:w="9637" w:type="dxa"/>
            <w:shd w:val="clear" w:color="auto" w:fill="auto"/>
          </w:tcPr>
          <w:p w:rsidR="0095551A" w:rsidRPr="00D25036" w:rsidRDefault="0095551A" w:rsidP="007C3639">
            <w:pPr>
              <w:pStyle w:val="SingleTxtG"/>
              <w:ind w:left="2834" w:hanging="2551"/>
              <w:rPr>
                <w:b/>
              </w:rPr>
            </w:pPr>
          </w:p>
        </w:tc>
      </w:tr>
    </w:tbl>
    <w:p w:rsidR="0095551A" w:rsidRPr="00D13384" w:rsidRDefault="0095551A" w:rsidP="0095551A">
      <w:pPr>
        <w:pStyle w:val="HChG"/>
      </w:pPr>
      <w:r w:rsidRPr="00D13384">
        <w:tab/>
      </w:r>
      <w:r w:rsidRPr="00D13384">
        <w:tab/>
        <w:t>Introduction</w:t>
      </w:r>
    </w:p>
    <w:p w:rsidR="0095551A" w:rsidRDefault="0095551A" w:rsidP="0095551A">
      <w:pPr>
        <w:pStyle w:val="SingleTxtG"/>
      </w:pPr>
      <w:r w:rsidRPr="00D13384">
        <w:t>1.</w:t>
      </w:r>
      <w:r w:rsidRPr="00D13384">
        <w:tab/>
      </w:r>
      <w:r w:rsidRPr="00AE4F10">
        <w:t xml:space="preserve">Taking into account </w:t>
      </w:r>
      <w:r>
        <w:t xml:space="preserve">that </w:t>
      </w:r>
      <w:r w:rsidRPr="00AE4F10">
        <w:t xml:space="preserve">for </w:t>
      </w:r>
      <w:r>
        <w:t xml:space="preserve">entries </w:t>
      </w:r>
      <w:r w:rsidRPr="00AE4F10">
        <w:t xml:space="preserve">UN 3166 and 3171 before 2017 no provision required a vehicle and its equipment </w:t>
      </w:r>
      <w:r>
        <w:t xml:space="preserve">intended </w:t>
      </w:r>
      <w:r w:rsidRPr="00AE4F10">
        <w:t xml:space="preserve">for use during transport to comply with the requirements of 2.2.9.1.7 when this vehicle was carried as a load, it seems necessary for vehicles already in circulation </w:t>
      </w:r>
      <w:r>
        <w:t xml:space="preserve">before 2017 to </w:t>
      </w:r>
      <w:r w:rsidRPr="00AE4F10">
        <w:t xml:space="preserve">include transitional provisions. This is </w:t>
      </w:r>
      <w:r>
        <w:t xml:space="preserve">even one of </w:t>
      </w:r>
      <w:r w:rsidRPr="00AE4F10">
        <w:t xml:space="preserve">the reasons which led, in contradiction with the </w:t>
      </w:r>
      <w:r>
        <w:t>SP</w:t>
      </w:r>
      <w:r w:rsidRPr="00AE4F10">
        <w:t xml:space="preserve">123 of the orange book, to introduce into ADR other special provisions of </w:t>
      </w:r>
      <w:r>
        <w:t>the O</w:t>
      </w:r>
      <w:r w:rsidRPr="00AE4F10">
        <w:t xml:space="preserve">range book for these topics. The </w:t>
      </w:r>
      <w:r>
        <w:t>SP123 of O</w:t>
      </w:r>
      <w:r w:rsidRPr="00AE4F10">
        <w:t>ran</w:t>
      </w:r>
      <w:r>
        <w:t xml:space="preserve">ge book assigned to UN 3166 and 3171 </w:t>
      </w:r>
      <w:r w:rsidRPr="00AE4F10">
        <w:t>reads as follows: '</w:t>
      </w:r>
      <w:r>
        <w:t>Subject to these Regulations only when transported by air or by sea.”</w:t>
      </w:r>
    </w:p>
    <w:p w:rsidR="0095551A" w:rsidRPr="00D13384" w:rsidRDefault="0095551A" w:rsidP="0095551A">
      <w:pPr>
        <w:pStyle w:val="SingleTxtG"/>
      </w:pPr>
      <w:r>
        <w:t>2.</w:t>
      </w:r>
      <w:r>
        <w:tab/>
      </w:r>
      <w:r w:rsidRPr="00AE4F10">
        <w:t>Therefore before 2017 any of th</w:t>
      </w:r>
      <w:r>
        <w:t>e SP 240, 312, and 385 nor of</w:t>
      </w:r>
      <w:r w:rsidRPr="00AE4F10">
        <w:t xml:space="preserve"> 2.2.9.1.7 </w:t>
      </w:r>
      <w:r>
        <w:t>w</w:t>
      </w:r>
      <w:r w:rsidRPr="00AE4F10">
        <w:t>ere applicable to vehicles and their equipment</w:t>
      </w:r>
      <w:r>
        <w:t xml:space="preserve"> for land transport</w:t>
      </w:r>
      <w:r w:rsidRPr="00AE4F10">
        <w:t>. The ADR itself provid</w:t>
      </w:r>
      <w:r>
        <w:t xml:space="preserve">es in </w:t>
      </w:r>
      <w:r w:rsidRPr="00AE4F10">
        <w:t xml:space="preserve">1.1.3 exemptions for vehicles and equipment </w:t>
      </w:r>
      <w:r>
        <w:t>intended to be used during carriage. After 2017 these exemptions are not applicable when those vehicles and equipment are going to be carried as a load.  In that case their lithium cells and batteries have to comply with 2.2.9.1.7.</w:t>
      </w:r>
    </w:p>
    <w:p w:rsidR="0095551A" w:rsidRDefault="0095551A" w:rsidP="0095551A">
      <w:pPr>
        <w:pStyle w:val="SingleTxtG"/>
      </w:pPr>
      <w:r>
        <w:t>3.</w:t>
      </w:r>
      <w:r>
        <w:tab/>
      </w:r>
      <w:r w:rsidRPr="000224B4">
        <w:t>The explanations provided by the France justifying the need t</w:t>
      </w:r>
      <w:r>
        <w:t xml:space="preserve">o apply 2.2.9.1.7 for lithium cells and batteries </w:t>
      </w:r>
      <w:r w:rsidRPr="000224B4">
        <w:t xml:space="preserve">installed on vehicles and their equipment show that these compliance requirements are currently not satisfied for all vehicles. It is therefore necessary, both from the formal point of view </w:t>
      </w:r>
      <w:r>
        <w:t xml:space="preserve">as well as for </w:t>
      </w:r>
      <w:r w:rsidRPr="000224B4">
        <w:t xml:space="preserve">practical </w:t>
      </w:r>
      <w:r>
        <w:t xml:space="preserve">reasons to provide </w:t>
      </w:r>
      <w:r w:rsidRPr="000224B4">
        <w:lastRenderedPageBreak/>
        <w:t xml:space="preserve">transitional </w:t>
      </w:r>
      <w:r>
        <w:t xml:space="preserve">measures </w:t>
      </w:r>
      <w:r w:rsidRPr="000224B4">
        <w:t xml:space="preserve">for vehicles and their equipment containing </w:t>
      </w:r>
      <w:r>
        <w:t xml:space="preserve">lithium cells and </w:t>
      </w:r>
      <w:r w:rsidRPr="000224B4">
        <w:t xml:space="preserve">batteries </w:t>
      </w:r>
      <w:r>
        <w:t>for the reasons explained</w:t>
      </w:r>
      <w:r w:rsidRPr="000224B4">
        <w:t>.</w:t>
      </w:r>
    </w:p>
    <w:p w:rsidR="0095551A" w:rsidRDefault="0095551A" w:rsidP="0095551A">
      <w:pPr>
        <w:pStyle w:val="SingleTxtG"/>
      </w:pPr>
      <w:r>
        <w:t>4.</w:t>
      </w:r>
      <w:r>
        <w:tab/>
      </w:r>
      <w:r w:rsidRPr="000224B4">
        <w:t xml:space="preserve">If such a transitional measure is not introduced these vehicles will not be able to be transported </w:t>
      </w:r>
      <w:r>
        <w:t>as a load. If after all</w:t>
      </w:r>
      <w:r w:rsidRPr="000224B4">
        <w:t xml:space="preserve"> one wants to carry them, in any case batteries </w:t>
      </w:r>
      <w:r>
        <w:t>shall be removed from the vehicle in order to be carried according to SP</w:t>
      </w:r>
      <w:r w:rsidRPr="000224B4">
        <w:t xml:space="preserve">376, except in the case where the vehicle or equipment is defective (DS667). </w:t>
      </w:r>
    </w:p>
    <w:p w:rsidR="0095551A" w:rsidRPr="00D13384" w:rsidRDefault="0095551A" w:rsidP="0095551A">
      <w:pPr>
        <w:pStyle w:val="SingleTxtG"/>
      </w:pPr>
      <w:r>
        <w:t>5.</w:t>
      </w:r>
      <w:r>
        <w:tab/>
      </w:r>
      <w:r w:rsidRPr="000224B4">
        <w:t xml:space="preserve">It seems to us that such a measure for the transport of vehicles, which ultimately are already registered, are not defective and circulate normally, is completely disproportionate. It </w:t>
      </w:r>
      <w:r>
        <w:t>is even more disproportionate if one considers that SP</w:t>
      </w:r>
      <w:r w:rsidRPr="000224B4">
        <w:t>667 provides the possibility of transporting vehicles and equipment</w:t>
      </w:r>
      <w:r>
        <w:t xml:space="preserve"> </w:t>
      </w:r>
      <w:r w:rsidRPr="000224B4">
        <w:t xml:space="preserve">defective or damaged </w:t>
      </w:r>
      <w:r>
        <w:t>exempted, containing lithium cells and batteries conforming to 2.2.9.1.7,</w:t>
      </w:r>
      <w:r w:rsidRPr="000224B4">
        <w:t xml:space="preserve"> </w:t>
      </w:r>
      <w:r>
        <w:t>according to the exemptions SP</w:t>
      </w:r>
      <w:r w:rsidRPr="000224B4">
        <w:t xml:space="preserve">666 or 363 if it </w:t>
      </w:r>
      <w:r>
        <w:t xml:space="preserve">is proved </w:t>
      </w:r>
      <w:r w:rsidRPr="000224B4">
        <w:t xml:space="preserve">that the damage or defect has no significant impact on safety. </w:t>
      </w:r>
      <w:r>
        <w:t>Instead of that in case of lithium cells and batteries not conforming to 2.2.9.1.7 but not damaged or defect more stringent procedures following SP376 will apply. It is for these reasons that we thing the following transitional measure is needed:</w:t>
      </w:r>
    </w:p>
    <w:p w:rsidR="0095551A" w:rsidRDefault="0095551A" w:rsidP="0095551A">
      <w:pPr>
        <w:pStyle w:val="HChG"/>
      </w:pPr>
      <w:r>
        <w:tab/>
      </w:r>
      <w:r>
        <w:tab/>
      </w:r>
      <w:r w:rsidRPr="00D13384">
        <w:t>Proposal</w:t>
      </w:r>
    </w:p>
    <w:p w:rsidR="0095551A" w:rsidRDefault="0095551A" w:rsidP="0095551A">
      <w:pPr>
        <w:pStyle w:val="SingleTxtG"/>
        <w:ind w:left="2268" w:hanging="1134"/>
      </w:pPr>
      <w:r>
        <w:t>“</w:t>
      </w:r>
      <w:r w:rsidRPr="00B37660">
        <w:t>1.6.</w:t>
      </w:r>
      <w:r>
        <w:t>5.X</w:t>
      </w:r>
      <w:r w:rsidRPr="00B37660">
        <w:tab/>
      </w:r>
      <w:r>
        <w:t xml:space="preserve">Vehicles and their equipment intended for use during carriage, registered or brought into service before 1 July 2017 containing lithium cells and batteries not conforming to the requirements of 2.2.9.1.7 but meeting </w:t>
      </w:r>
      <w:r w:rsidRPr="00EF2931">
        <w:t xml:space="preserve">the requirements applicable until 31 December 2016, may continue to be </w:t>
      </w:r>
      <w:r>
        <w:t xml:space="preserve">carried as a load </w:t>
      </w:r>
      <w:r w:rsidRPr="00EF2931">
        <w:t>after that date</w:t>
      </w:r>
      <w:r>
        <w:t>.”.</w:t>
      </w:r>
    </w:p>
    <w:p w:rsidR="0095551A" w:rsidRDefault="0095551A" w:rsidP="0095551A">
      <w:pPr>
        <w:pStyle w:val="SingleTxtG"/>
      </w:pPr>
      <w:r>
        <w:t>6.</w:t>
      </w:r>
      <w:r>
        <w:tab/>
        <w:t>This proposal only exempts vehicles as defined in the ADR agreement not however vehicles as defined in the SP 240 and 385 which include many other kind of “vehicles”, the so called “</w:t>
      </w:r>
      <w:r w:rsidRPr="000A2EE1">
        <w:t>self-propelled apparatus</w:t>
      </w:r>
      <w:r>
        <w:t>”. If the WP.15 prefers to exempt other kind of “</w:t>
      </w:r>
      <w:r w:rsidRPr="000A2EE1">
        <w:t>self-propelled apparatus</w:t>
      </w:r>
      <w:r>
        <w:t>”, then the transitional measure should be drafted as follows:</w:t>
      </w:r>
    </w:p>
    <w:p w:rsidR="0095551A" w:rsidRDefault="0095551A" w:rsidP="0095551A">
      <w:pPr>
        <w:pStyle w:val="SingleTxtG"/>
        <w:ind w:left="2268" w:hanging="1134"/>
      </w:pPr>
      <w:r>
        <w:t>“</w:t>
      </w:r>
      <w:r w:rsidRPr="00B37660">
        <w:t>1.6.</w:t>
      </w:r>
      <w:r>
        <w:t>5.X</w:t>
      </w:r>
      <w:r w:rsidRPr="00B37660">
        <w:tab/>
      </w:r>
      <w:r>
        <w:t xml:space="preserve">Vehicles as defined in SP240, SP385 and 669 and their equipment intended for use during carriage, registered or brought into service before 1 July 2017 containing lithium cells and batteries not conforming to the requirements of 2.2.9.1.7 but meeting </w:t>
      </w:r>
      <w:r w:rsidRPr="00EF2931">
        <w:t xml:space="preserve">the requirements applicable until 31 December 2016, may continue to be </w:t>
      </w:r>
      <w:r>
        <w:t xml:space="preserve">carried as a load </w:t>
      </w:r>
      <w:r w:rsidRPr="00EF2931">
        <w:t>after that date</w:t>
      </w:r>
      <w:r>
        <w:t>.”.</w:t>
      </w:r>
    </w:p>
    <w:p w:rsidR="0095551A" w:rsidRPr="0095551A" w:rsidRDefault="0095551A" w:rsidP="0095551A">
      <w:pPr>
        <w:pStyle w:val="SingleTxtG"/>
        <w:rPr>
          <w:lang w:val="en-GB"/>
        </w:rPr>
      </w:pPr>
      <w:r>
        <w:t>7.</w:t>
      </w:r>
      <w:r w:rsidRPr="0095551A">
        <w:rPr>
          <w:lang w:val="en-GB"/>
        </w:rPr>
        <w:tab/>
      </w:r>
      <w:r>
        <w:t>In doing so not only vehicles but also any kind of “</w:t>
      </w:r>
      <w:r w:rsidRPr="000A2EE1">
        <w:t>self-propelled apparatus</w:t>
      </w:r>
      <w:r>
        <w:t xml:space="preserve">” will also be subject to the transitional measure. </w:t>
      </w:r>
    </w:p>
    <w:p w:rsidR="0095551A" w:rsidRPr="0095551A" w:rsidRDefault="0095551A" w:rsidP="0095551A">
      <w:pPr>
        <w:pStyle w:val="SingleTxtG"/>
        <w:spacing w:before="240" w:after="0"/>
        <w:jc w:val="center"/>
        <w:rPr>
          <w:u w:val="single"/>
          <w:lang w:val="en-GB"/>
        </w:rPr>
      </w:pPr>
      <w:r w:rsidRPr="0095551A">
        <w:rPr>
          <w:u w:val="single"/>
          <w:lang w:val="en-GB"/>
        </w:rPr>
        <w:tab/>
      </w:r>
      <w:r w:rsidRPr="0095551A">
        <w:rPr>
          <w:u w:val="single"/>
          <w:lang w:val="en-GB"/>
        </w:rPr>
        <w:tab/>
      </w:r>
      <w:r w:rsidRPr="0095551A">
        <w:rPr>
          <w:u w:val="single"/>
          <w:lang w:val="en-GB"/>
        </w:rPr>
        <w:tab/>
      </w:r>
    </w:p>
    <w:sectPr w:rsidR="0095551A" w:rsidRPr="0095551A" w:rsidSect="009D2A5B">
      <w:headerReference w:type="even" r:id="rId9"/>
      <w:headerReference w:type="default" r:id="rId10"/>
      <w:footerReference w:type="even" r:id="rId11"/>
      <w:footerReference w:type="default" r:id="rId12"/>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AFF" w:rsidRDefault="008C7AFF"/>
  </w:endnote>
  <w:endnote w:type="continuationSeparator" w:id="0">
    <w:p w:rsidR="008C7AFF" w:rsidRDefault="008C7AFF"/>
  </w:endnote>
  <w:endnote w:type="continuationNotice" w:id="1">
    <w:p w:rsidR="008C7AFF" w:rsidRDefault="008C7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9D2A5B" w:rsidRDefault="008C7AFF"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95551A">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9D2A5B" w:rsidRDefault="008C7AFF"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95551A">
      <w:rPr>
        <w:b/>
        <w:noProof/>
        <w:sz w:val="18"/>
      </w:rPr>
      <w:t>21</w:t>
    </w:r>
    <w:r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AFF" w:rsidRPr="000B175B" w:rsidRDefault="008C7AFF" w:rsidP="000B175B">
      <w:pPr>
        <w:tabs>
          <w:tab w:val="right" w:pos="2155"/>
        </w:tabs>
        <w:spacing w:after="80"/>
        <w:ind w:left="680"/>
        <w:rPr>
          <w:u w:val="single"/>
        </w:rPr>
      </w:pPr>
      <w:r>
        <w:rPr>
          <w:u w:val="single"/>
        </w:rPr>
        <w:tab/>
      </w:r>
    </w:p>
  </w:footnote>
  <w:footnote w:type="continuationSeparator" w:id="0">
    <w:p w:rsidR="008C7AFF" w:rsidRPr="00FC68B7" w:rsidRDefault="008C7AFF" w:rsidP="00FC68B7">
      <w:pPr>
        <w:tabs>
          <w:tab w:val="left" w:pos="2155"/>
        </w:tabs>
        <w:spacing w:after="80"/>
        <w:ind w:left="680"/>
        <w:rPr>
          <w:u w:val="single"/>
        </w:rPr>
      </w:pPr>
      <w:r>
        <w:rPr>
          <w:u w:val="single"/>
        </w:rPr>
        <w:tab/>
      </w:r>
    </w:p>
  </w:footnote>
  <w:footnote w:type="continuationNotice" w:id="1">
    <w:p w:rsidR="008C7AFF" w:rsidRDefault="008C7A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FA7F6B" w:rsidRDefault="008C7AFF" w:rsidP="009D2A5B">
    <w:pPr>
      <w:pStyle w:val="Header"/>
      <w:rPr>
        <w:szCs w:val="18"/>
        <w:lang w:val="fr-CH"/>
      </w:rPr>
    </w:pPr>
    <w:r w:rsidRPr="00FA7F6B">
      <w:rPr>
        <w:szCs w:val="18"/>
        <w:lang w:val="fr-CH"/>
      </w:rPr>
      <w:t>INF.</w:t>
    </w:r>
    <w:r w:rsidR="0095551A">
      <w:rPr>
        <w:szCs w:val="18"/>
        <w:lang w:val="fr-CH"/>
      </w:rPr>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CD57D2" w:rsidRDefault="008C7AFF" w:rsidP="009D2A5B">
    <w:pPr>
      <w:pStyle w:val="Header"/>
      <w:jc w:val="right"/>
      <w:rPr>
        <w:lang w:val="fr-CH"/>
      </w:rPr>
    </w:pPr>
    <w:r>
      <w:rPr>
        <w:lang w:val="fr-CH"/>
      </w:rPr>
      <w:t>INF.3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7"/>
  </w:num>
  <w:num w:numId="18">
    <w:abstractNumId w:val="1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brina mansion">
    <w15:presenceInfo w15:providerId="Windows Live" w15:userId="e0550db0a9b16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numStart w:val="2"/>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35B8"/>
    <w:rsid w:val="00013E97"/>
    <w:rsid w:val="000149A1"/>
    <w:rsid w:val="000218B5"/>
    <w:rsid w:val="000260EE"/>
    <w:rsid w:val="00037F90"/>
    <w:rsid w:val="00046B1F"/>
    <w:rsid w:val="000470B0"/>
    <w:rsid w:val="00047EB7"/>
    <w:rsid w:val="00050F6B"/>
    <w:rsid w:val="00057E97"/>
    <w:rsid w:val="0006361C"/>
    <w:rsid w:val="00067232"/>
    <w:rsid w:val="00072C8C"/>
    <w:rsid w:val="000733B5"/>
    <w:rsid w:val="00081815"/>
    <w:rsid w:val="0008342E"/>
    <w:rsid w:val="00091557"/>
    <w:rsid w:val="000931C0"/>
    <w:rsid w:val="00093840"/>
    <w:rsid w:val="00096262"/>
    <w:rsid w:val="0009761A"/>
    <w:rsid w:val="000A0FD0"/>
    <w:rsid w:val="000A1785"/>
    <w:rsid w:val="000A3752"/>
    <w:rsid w:val="000A58D8"/>
    <w:rsid w:val="000A5CF8"/>
    <w:rsid w:val="000A77BB"/>
    <w:rsid w:val="000B0595"/>
    <w:rsid w:val="000B175B"/>
    <w:rsid w:val="000B3A0F"/>
    <w:rsid w:val="000B4EF7"/>
    <w:rsid w:val="000B633F"/>
    <w:rsid w:val="000B7AA1"/>
    <w:rsid w:val="000B7EDC"/>
    <w:rsid w:val="000C125A"/>
    <w:rsid w:val="000C2C03"/>
    <w:rsid w:val="000C2D2E"/>
    <w:rsid w:val="000C3305"/>
    <w:rsid w:val="000C4D51"/>
    <w:rsid w:val="000C7F79"/>
    <w:rsid w:val="000D1E89"/>
    <w:rsid w:val="000D3D97"/>
    <w:rsid w:val="000E0415"/>
    <w:rsid w:val="000E5C70"/>
    <w:rsid w:val="000E6237"/>
    <w:rsid w:val="00101DB8"/>
    <w:rsid w:val="00103CC1"/>
    <w:rsid w:val="00104CDA"/>
    <w:rsid w:val="001103AA"/>
    <w:rsid w:val="0011119B"/>
    <w:rsid w:val="0011666B"/>
    <w:rsid w:val="0012118B"/>
    <w:rsid w:val="001362A8"/>
    <w:rsid w:val="00141383"/>
    <w:rsid w:val="00142AB2"/>
    <w:rsid w:val="00155068"/>
    <w:rsid w:val="00165F3A"/>
    <w:rsid w:val="00177CE8"/>
    <w:rsid w:val="0018210E"/>
    <w:rsid w:val="00193CA7"/>
    <w:rsid w:val="001A6E55"/>
    <w:rsid w:val="001B13A5"/>
    <w:rsid w:val="001B4B04"/>
    <w:rsid w:val="001C03F9"/>
    <w:rsid w:val="001C0917"/>
    <w:rsid w:val="001C5A58"/>
    <w:rsid w:val="001C6663"/>
    <w:rsid w:val="001C7895"/>
    <w:rsid w:val="001D0C8C"/>
    <w:rsid w:val="001D1419"/>
    <w:rsid w:val="001D26DF"/>
    <w:rsid w:val="001D3A03"/>
    <w:rsid w:val="001E0B9E"/>
    <w:rsid w:val="001E29E7"/>
    <w:rsid w:val="001E5415"/>
    <w:rsid w:val="001E7451"/>
    <w:rsid w:val="001E7B67"/>
    <w:rsid w:val="001F679D"/>
    <w:rsid w:val="001F7435"/>
    <w:rsid w:val="00202DA8"/>
    <w:rsid w:val="0021157B"/>
    <w:rsid w:val="00211E0B"/>
    <w:rsid w:val="0022321E"/>
    <w:rsid w:val="00225730"/>
    <w:rsid w:val="00233955"/>
    <w:rsid w:val="0023539C"/>
    <w:rsid w:val="00236A96"/>
    <w:rsid w:val="0023771B"/>
    <w:rsid w:val="0024023A"/>
    <w:rsid w:val="00243217"/>
    <w:rsid w:val="00247BDC"/>
    <w:rsid w:val="00252290"/>
    <w:rsid w:val="00267F5F"/>
    <w:rsid w:val="00280A1D"/>
    <w:rsid w:val="00284DBC"/>
    <w:rsid w:val="00286B4D"/>
    <w:rsid w:val="002A0CC5"/>
    <w:rsid w:val="002A3C85"/>
    <w:rsid w:val="002A603B"/>
    <w:rsid w:val="002B46EB"/>
    <w:rsid w:val="002D0CE4"/>
    <w:rsid w:val="002D2E24"/>
    <w:rsid w:val="002D4643"/>
    <w:rsid w:val="002D4B6C"/>
    <w:rsid w:val="002F175C"/>
    <w:rsid w:val="00301D76"/>
    <w:rsid w:val="00302E18"/>
    <w:rsid w:val="0030606F"/>
    <w:rsid w:val="003173A5"/>
    <w:rsid w:val="003229D8"/>
    <w:rsid w:val="0033230E"/>
    <w:rsid w:val="003358CF"/>
    <w:rsid w:val="00335D02"/>
    <w:rsid w:val="0034605E"/>
    <w:rsid w:val="00352709"/>
    <w:rsid w:val="00354ED9"/>
    <w:rsid w:val="003706D8"/>
    <w:rsid w:val="0037107E"/>
    <w:rsid w:val="00371178"/>
    <w:rsid w:val="00375B70"/>
    <w:rsid w:val="0038452A"/>
    <w:rsid w:val="00393A3C"/>
    <w:rsid w:val="003A10AC"/>
    <w:rsid w:val="003A30E1"/>
    <w:rsid w:val="003A6498"/>
    <w:rsid w:val="003A6728"/>
    <w:rsid w:val="003A6810"/>
    <w:rsid w:val="003A7C69"/>
    <w:rsid w:val="003B36D1"/>
    <w:rsid w:val="003B7418"/>
    <w:rsid w:val="003C2CC4"/>
    <w:rsid w:val="003C74DD"/>
    <w:rsid w:val="003D30B0"/>
    <w:rsid w:val="003D3380"/>
    <w:rsid w:val="003D4B23"/>
    <w:rsid w:val="003E0B6D"/>
    <w:rsid w:val="003F310D"/>
    <w:rsid w:val="003F7107"/>
    <w:rsid w:val="004002CE"/>
    <w:rsid w:val="00406D5C"/>
    <w:rsid w:val="00410C89"/>
    <w:rsid w:val="0041397F"/>
    <w:rsid w:val="0041539A"/>
    <w:rsid w:val="00422E03"/>
    <w:rsid w:val="00426B9B"/>
    <w:rsid w:val="004325CB"/>
    <w:rsid w:val="004356D2"/>
    <w:rsid w:val="004428E6"/>
    <w:rsid w:val="00442A83"/>
    <w:rsid w:val="00446D76"/>
    <w:rsid w:val="0045495B"/>
    <w:rsid w:val="00454D98"/>
    <w:rsid w:val="00456890"/>
    <w:rsid w:val="00463984"/>
    <w:rsid w:val="00463B7B"/>
    <w:rsid w:val="004643FE"/>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EFB"/>
    <w:rsid w:val="004E77B2"/>
    <w:rsid w:val="004F68B6"/>
    <w:rsid w:val="004F7A1B"/>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628B6"/>
    <w:rsid w:val="00586DB8"/>
    <w:rsid w:val="0059363D"/>
    <w:rsid w:val="00596193"/>
    <w:rsid w:val="005A1668"/>
    <w:rsid w:val="005A280E"/>
    <w:rsid w:val="005A6437"/>
    <w:rsid w:val="005B3DB3"/>
    <w:rsid w:val="005B4E13"/>
    <w:rsid w:val="005C5CC2"/>
    <w:rsid w:val="005D01AA"/>
    <w:rsid w:val="005D0201"/>
    <w:rsid w:val="005D2A29"/>
    <w:rsid w:val="005E6A77"/>
    <w:rsid w:val="005F4EF7"/>
    <w:rsid w:val="005F7B75"/>
    <w:rsid w:val="006001EE"/>
    <w:rsid w:val="00600FA9"/>
    <w:rsid w:val="00605042"/>
    <w:rsid w:val="00611FC4"/>
    <w:rsid w:val="006162FB"/>
    <w:rsid w:val="006176FB"/>
    <w:rsid w:val="006309EF"/>
    <w:rsid w:val="00640B26"/>
    <w:rsid w:val="00642081"/>
    <w:rsid w:val="00651B2F"/>
    <w:rsid w:val="00652D0A"/>
    <w:rsid w:val="006623D5"/>
    <w:rsid w:val="00662531"/>
    <w:rsid w:val="00662BB6"/>
    <w:rsid w:val="006634C7"/>
    <w:rsid w:val="00667F8F"/>
    <w:rsid w:val="00670BBE"/>
    <w:rsid w:val="006713A7"/>
    <w:rsid w:val="00674897"/>
    <w:rsid w:val="00676B85"/>
    <w:rsid w:val="00684C21"/>
    <w:rsid w:val="006A2530"/>
    <w:rsid w:val="006B49F6"/>
    <w:rsid w:val="006B4DDD"/>
    <w:rsid w:val="006C18FA"/>
    <w:rsid w:val="006C3589"/>
    <w:rsid w:val="006D2B94"/>
    <w:rsid w:val="006D317D"/>
    <w:rsid w:val="006D37AF"/>
    <w:rsid w:val="006D51D0"/>
    <w:rsid w:val="006E3B48"/>
    <w:rsid w:val="006E4935"/>
    <w:rsid w:val="006E564B"/>
    <w:rsid w:val="006E7191"/>
    <w:rsid w:val="006E73A7"/>
    <w:rsid w:val="00702574"/>
    <w:rsid w:val="00703577"/>
    <w:rsid w:val="00705894"/>
    <w:rsid w:val="0071793F"/>
    <w:rsid w:val="0072632A"/>
    <w:rsid w:val="007327D5"/>
    <w:rsid w:val="00743E81"/>
    <w:rsid w:val="00753674"/>
    <w:rsid w:val="00754592"/>
    <w:rsid w:val="007611CF"/>
    <w:rsid w:val="007612FF"/>
    <w:rsid w:val="007629C8"/>
    <w:rsid w:val="0077047D"/>
    <w:rsid w:val="00781439"/>
    <w:rsid w:val="007816F1"/>
    <w:rsid w:val="0078507B"/>
    <w:rsid w:val="00791AC2"/>
    <w:rsid w:val="00793939"/>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116D7"/>
    <w:rsid w:val="00811920"/>
    <w:rsid w:val="00815AD0"/>
    <w:rsid w:val="00815E91"/>
    <w:rsid w:val="008242D7"/>
    <w:rsid w:val="00824EA3"/>
    <w:rsid w:val="008257B1"/>
    <w:rsid w:val="008268C5"/>
    <w:rsid w:val="00835C5B"/>
    <w:rsid w:val="00836F65"/>
    <w:rsid w:val="00841EA6"/>
    <w:rsid w:val="00842F17"/>
    <w:rsid w:val="00843767"/>
    <w:rsid w:val="00844141"/>
    <w:rsid w:val="00845E45"/>
    <w:rsid w:val="008544D5"/>
    <w:rsid w:val="00854501"/>
    <w:rsid w:val="008556FB"/>
    <w:rsid w:val="0085672F"/>
    <w:rsid w:val="008679D9"/>
    <w:rsid w:val="008711DC"/>
    <w:rsid w:val="00871389"/>
    <w:rsid w:val="008767BF"/>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C400E"/>
    <w:rsid w:val="008C7AFF"/>
    <w:rsid w:val="008D7341"/>
    <w:rsid w:val="008E0678"/>
    <w:rsid w:val="008E33CD"/>
    <w:rsid w:val="008E6480"/>
    <w:rsid w:val="008F5ACB"/>
    <w:rsid w:val="008F6CE6"/>
    <w:rsid w:val="00907BA5"/>
    <w:rsid w:val="0091190D"/>
    <w:rsid w:val="009223CA"/>
    <w:rsid w:val="00927829"/>
    <w:rsid w:val="00933E40"/>
    <w:rsid w:val="00934137"/>
    <w:rsid w:val="00940F93"/>
    <w:rsid w:val="0094558F"/>
    <w:rsid w:val="009536F9"/>
    <w:rsid w:val="0095551A"/>
    <w:rsid w:val="00961690"/>
    <w:rsid w:val="009760F3"/>
    <w:rsid w:val="00977203"/>
    <w:rsid w:val="00995AB4"/>
    <w:rsid w:val="009A0E8D"/>
    <w:rsid w:val="009B0F25"/>
    <w:rsid w:val="009B1518"/>
    <w:rsid w:val="009B26E7"/>
    <w:rsid w:val="009B350F"/>
    <w:rsid w:val="009C454F"/>
    <w:rsid w:val="009D2486"/>
    <w:rsid w:val="009D2A5B"/>
    <w:rsid w:val="009E1D30"/>
    <w:rsid w:val="009F2BB8"/>
    <w:rsid w:val="00A00A3F"/>
    <w:rsid w:val="00A01489"/>
    <w:rsid w:val="00A12E50"/>
    <w:rsid w:val="00A14388"/>
    <w:rsid w:val="00A1777D"/>
    <w:rsid w:val="00A3009E"/>
    <w:rsid w:val="00A3026E"/>
    <w:rsid w:val="00A31D95"/>
    <w:rsid w:val="00A338F1"/>
    <w:rsid w:val="00A45808"/>
    <w:rsid w:val="00A46763"/>
    <w:rsid w:val="00A477C4"/>
    <w:rsid w:val="00A5402C"/>
    <w:rsid w:val="00A56AAB"/>
    <w:rsid w:val="00A72F22"/>
    <w:rsid w:val="00A7360F"/>
    <w:rsid w:val="00A748A6"/>
    <w:rsid w:val="00A769F4"/>
    <w:rsid w:val="00A776B4"/>
    <w:rsid w:val="00A915B4"/>
    <w:rsid w:val="00A94361"/>
    <w:rsid w:val="00A970A8"/>
    <w:rsid w:val="00AA1F98"/>
    <w:rsid w:val="00AA293C"/>
    <w:rsid w:val="00AA5165"/>
    <w:rsid w:val="00AA66C0"/>
    <w:rsid w:val="00AB32F7"/>
    <w:rsid w:val="00AB4050"/>
    <w:rsid w:val="00AC5045"/>
    <w:rsid w:val="00AC6EC4"/>
    <w:rsid w:val="00AD44C2"/>
    <w:rsid w:val="00AD48FA"/>
    <w:rsid w:val="00B0614C"/>
    <w:rsid w:val="00B101E9"/>
    <w:rsid w:val="00B117CF"/>
    <w:rsid w:val="00B11BB4"/>
    <w:rsid w:val="00B12CA6"/>
    <w:rsid w:val="00B2148A"/>
    <w:rsid w:val="00B21F96"/>
    <w:rsid w:val="00B22BC2"/>
    <w:rsid w:val="00B24F79"/>
    <w:rsid w:val="00B25EB2"/>
    <w:rsid w:val="00B27148"/>
    <w:rsid w:val="00B30179"/>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7D05"/>
    <w:rsid w:val="00B8059B"/>
    <w:rsid w:val="00B81206"/>
    <w:rsid w:val="00B81E12"/>
    <w:rsid w:val="00B8394B"/>
    <w:rsid w:val="00B85D76"/>
    <w:rsid w:val="00B87639"/>
    <w:rsid w:val="00B94746"/>
    <w:rsid w:val="00BA4F47"/>
    <w:rsid w:val="00BB5635"/>
    <w:rsid w:val="00BB7CD1"/>
    <w:rsid w:val="00BC2725"/>
    <w:rsid w:val="00BC3FA0"/>
    <w:rsid w:val="00BC626B"/>
    <w:rsid w:val="00BC67E1"/>
    <w:rsid w:val="00BC74E9"/>
    <w:rsid w:val="00BE4F17"/>
    <w:rsid w:val="00BF3CC6"/>
    <w:rsid w:val="00BF68A8"/>
    <w:rsid w:val="00BF6B31"/>
    <w:rsid w:val="00C00247"/>
    <w:rsid w:val="00C0468A"/>
    <w:rsid w:val="00C10FE6"/>
    <w:rsid w:val="00C11A03"/>
    <w:rsid w:val="00C11B49"/>
    <w:rsid w:val="00C22C0C"/>
    <w:rsid w:val="00C23978"/>
    <w:rsid w:val="00C25E1A"/>
    <w:rsid w:val="00C30215"/>
    <w:rsid w:val="00C33407"/>
    <w:rsid w:val="00C43462"/>
    <w:rsid w:val="00C4527F"/>
    <w:rsid w:val="00C463DD"/>
    <w:rsid w:val="00C4724C"/>
    <w:rsid w:val="00C605F3"/>
    <w:rsid w:val="00C629A0"/>
    <w:rsid w:val="00C64629"/>
    <w:rsid w:val="00C66F1F"/>
    <w:rsid w:val="00C745C3"/>
    <w:rsid w:val="00C7755F"/>
    <w:rsid w:val="00C77BE5"/>
    <w:rsid w:val="00C97C39"/>
    <w:rsid w:val="00CA39FB"/>
    <w:rsid w:val="00CB2276"/>
    <w:rsid w:val="00CB3E03"/>
    <w:rsid w:val="00CB46A6"/>
    <w:rsid w:val="00CB5F84"/>
    <w:rsid w:val="00CC2A1B"/>
    <w:rsid w:val="00CC5B3B"/>
    <w:rsid w:val="00CD1FCA"/>
    <w:rsid w:val="00CD46A7"/>
    <w:rsid w:val="00CD57D2"/>
    <w:rsid w:val="00CE1761"/>
    <w:rsid w:val="00CE3E6E"/>
    <w:rsid w:val="00CE4A8F"/>
    <w:rsid w:val="00CF7AC0"/>
    <w:rsid w:val="00D11634"/>
    <w:rsid w:val="00D13F4D"/>
    <w:rsid w:val="00D2031B"/>
    <w:rsid w:val="00D224BF"/>
    <w:rsid w:val="00D22523"/>
    <w:rsid w:val="00D25FE2"/>
    <w:rsid w:val="00D43252"/>
    <w:rsid w:val="00D44198"/>
    <w:rsid w:val="00D47EEA"/>
    <w:rsid w:val="00D47F36"/>
    <w:rsid w:val="00D550D4"/>
    <w:rsid w:val="00D56292"/>
    <w:rsid w:val="00D62742"/>
    <w:rsid w:val="00D7419E"/>
    <w:rsid w:val="00D773DF"/>
    <w:rsid w:val="00D876F8"/>
    <w:rsid w:val="00D9255F"/>
    <w:rsid w:val="00D95303"/>
    <w:rsid w:val="00D978C6"/>
    <w:rsid w:val="00DA3C1C"/>
    <w:rsid w:val="00DA5024"/>
    <w:rsid w:val="00DB1304"/>
    <w:rsid w:val="00DB43CD"/>
    <w:rsid w:val="00DC12A9"/>
    <w:rsid w:val="00DE37C6"/>
    <w:rsid w:val="00DE4970"/>
    <w:rsid w:val="00DE7486"/>
    <w:rsid w:val="00E01B7D"/>
    <w:rsid w:val="00E046DF"/>
    <w:rsid w:val="00E14853"/>
    <w:rsid w:val="00E15557"/>
    <w:rsid w:val="00E261FA"/>
    <w:rsid w:val="00E26778"/>
    <w:rsid w:val="00E27346"/>
    <w:rsid w:val="00E51E40"/>
    <w:rsid w:val="00E54F0D"/>
    <w:rsid w:val="00E5731F"/>
    <w:rsid w:val="00E71BC8"/>
    <w:rsid w:val="00E7260F"/>
    <w:rsid w:val="00E73F5D"/>
    <w:rsid w:val="00E756DA"/>
    <w:rsid w:val="00E77E4E"/>
    <w:rsid w:val="00E836E7"/>
    <w:rsid w:val="00E879F6"/>
    <w:rsid w:val="00E955EE"/>
    <w:rsid w:val="00E96630"/>
    <w:rsid w:val="00E96B8D"/>
    <w:rsid w:val="00EA13FC"/>
    <w:rsid w:val="00EB65AE"/>
    <w:rsid w:val="00EC098C"/>
    <w:rsid w:val="00EC106A"/>
    <w:rsid w:val="00EC32A0"/>
    <w:rsid w:val="00ED7A2A"/>
    <w:rsid w:val="00EE6B3A"/>
    <w:rsid w:val="00EF1D7F"/>
    <w:rsid w:val="00F05E4B"/>
    <w:rsid w:val="00F16B7D"/>
    <w:rsid w:val="00F227A6"/>
    <w:rsid w:val="00F31170"/>
    <w:rsid w:val="00F31E5F"/>
    <w:rsid w:val="00F36F0D"/>
    <w:rsid w:val="00F42999"/>
    <w:rsid w:val="00F51ECD"/>
    <w:rsid w:val="00F57ED1"/>
    <w:rsid w:val="00F6100A"/>
    <w:rsid w:val="00F66565"/>
    <w:rsid w:val="00F8015D"/>
    <w:rsid w:val="00F93781"/>
    <w:rsid w:val="00FA26FD"/>
    <w:rsid w:val="00FA2814"/>
    <w:rsid w:val="00FA42D6"/>
    <w:rsid w:val="00FA7F6B"/>
    <w:rsid w:val="00FB4C10"/>
    <w:rsid w:val="00FB613B"/>
    <w:rsid w:val="00FB7B98"/>
    <w:rsid w:val="00FC1945"/>
    <w:rsid w:val="00FC2EA1"/>
    <w:rsid w:val="00FC3938"/>
    <w:rsid w:val="00FC3C87"/>
    <w:rsid w:val="00FC68B7"/>
    <w:rsid w:val="00FE106A"/>
    <w:rsid w:val="00FF145D"/>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Web11">
    <w:name w:val="Tableau Web 1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Web11">
    <w:name w:val="Tableau Web 1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CAD07-0698-4801-BA4C-39BDCBE6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692</Words>
  <Characters>3947</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3</cp:revision>
  <cp:lastPrinted>2014-04-24T12:30:00Z</cp:lastPrinted>
  <dcterms:created xsi:type="dcterms:W3CDTF">2016-04-22T09:07:00Z</dcterms:created>
  <dcterms:modified xsi:type="dcterms:W3CDTF">2016-04-22T09:12:00Z</dcterms:modified>
</cp:coreProperties>
</file>