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937CC" w:rsidRPr="007937CC" w:rsidTr="00070116">
        <w:trPr>
          <w:cantSplit/>
          <w:trHeight w:hRule="exact" w:val="851"/>
        </w:trPr>
        <w:tc>
          <w:tcPr>
            <w:tcW w:w="1276" w:type="dxa"/>
            <w:tcBorders>
              <w:bottom w:val="single" w:sz="4" w:space="0" w:color="auto"/>
            </w:tcBorders>
            <w:vAlign w:val="bottom"/>
          </w:tcPr>
          <w:p w:rsidR="007937CC" w:rsidRPr="007937CC" w:rsidRDefault="007937CC" w:rsidP="007937CC"/>
        </w:tc>
        <w:tc>
          <w:tcPr>
            <w:tcW w:w="8363" w:type="dxa"/>
            <w:gridSpan w:val="2"/>
            <w:tcBorders>
              <w:bottom w:val="single" w:sz="4" w:space="0" w:color="auto"/>
            </w:tcBorders>
            <w:vAlign w:val="bottom"/>
          </w:tcPr>
          <w:p w:rsidR="007937CC" w:rsidRPr="007937CC" w:rsidRDefault="007937CC" w:rsidP="007937CC">
            <w:pPr>
              <w:jc w:val="right"/>
            </w:pPr>
            <w:r w:rsidRPr="007937CC">
              <w:rPr>
                <w:b/>
                <w:sz w:val="40"/>
                <w:szCs w:val="40"/>
              </w:rPr>
              <w:t xml:space="preserve">INF. </w:t>
            </w:r>
            <w:r>
              <w:rPr>
                <w:b/>
                <w:sz w:val="40"/>
                <w:szCs w:val="40"/>
              </w:rPr>
              <w:t>2</w:t>
            </w:r>
          </w:p>
        </w:tc>
      </w:tr>
      <w:tr w:rsidR="007937CC" w:rsidRPr="007937CC" w:rsidTr="00070116">
        <w:trPr>
          <w:cantSplit/>
          <w:trHeight w:hRule="exact" w:val="2279"/>
        </w:trPr>
        <w:tc>
          <w:tcPr>
            <w:tcW w:w="6804" w:type="dxa"/>
            <w:gridSpan w:val="2"/>
            <w:tcBorders>
              <w:top w:val="single" w:sz="4" w:space="0" w:color="auto"/>
              <w:bottom w:val="single" w:sz="12" w:space="0" w:color="auto"/>
            </w:tcBorders>
          </w:tcPr>
          <w:p w:rsidR="007937CC" w:rsidRPr="007937CC" w:rsidRDefault="007937CC" w:rsidP="007937CC">
            <w:pPr>
              <w:spacing w:before="120" w:after="120"/>
              <w:rPr>
                <w:b/>
                <w:sz w:val="28"/>
                <w:szCs w:val="28"/>
              </w:rPr>
            </w:pPr>
            <w:r w:rsidRPr="007937CC">
              <w:rPr>
                <w:b/>
                <w:sz w:val="28"/>
                <w:szCs w:val="28"/>
              </w:rPr>
              <w:t xml:space="preserve">Economic Commission for </w:t>
            </w:r>
            <w:smartTag w:uri="urn:schemas-microsoft-com:office:smarttags" w:element="place">
              <w:r w:rsidRPr="007937CC">
                <w:rPr>
                  <w:b/>
                  <w:sz w:val="28"/>
                  <w:szCs w:val="28"/>
                </w:rPr>
                <w:t>Europe</w:t>
              </w:r>
            </w:smartTag>
          </w:p>
          <w:p w:rsidR="007937CC" w:rsidRPr="007937CC" w:rsidRDefault="007937CC" w:rsidP="007937CC">
            <w:pPr>
              <w:spacing w:before="120"/>
              <w:rPr>
                <w:b/>
              </w:rPr>
            </w:pPr>
            <w:r w:rsidRPr="007937CC">
              <w:rPr>
                <w:b/>
              </w:rPr>
              <w:t>ADN Administrative Committee</w:t>
            </w:r>
          </w:p>
          <w:p w:rsidR="007937CC" w:rsidRPr="007937CC" w:rsidRDefault="007937CC" w:rsidP="007937CC">
            <w:pPr>
              <w:spacing w:before="120"/>
              <w:rPr>
                <w:b/>
              </w:rPr>
            </w:pPr>
            <w:r>
              <w:rPr>
                <w:b/>
              </w:rPr>
              <w:t>Seventeenth</w:t>
            </w:r>
            <w:r w:rsidRPr="007937CC">
              <w:rPr>
                <w:b/>
              </w:rPr>
              <w:t xml:space="preserve"> session</w:t>
            </w:r>
          </w:p>
          <w:p w:rsidR="007937CC" w:rsidRPr="003F6022" w:rsidRDefault="007937CC" w:rsidP="007937CC">
            <w:pPr>
              <w:rPr>
                <w:b/>
              </w:rPr>
            </w:pPr>
            <w:r w:rsidRPr="007937CC">
              <w:t>Geneva, 2</w:t>
            </w:r>
            <w:r>
              <w:t>6</w:t>
            </w:r>
            <w:r w:rsidRPr="007937CC">
              <w:t xml:space="preserve"> </w:t>
            </w:r>
            <w:r>
              <w:t>August</w:t>
            </w:r>
            <w:r w:rsidRPr="007937CC">
              <w:t xml:space="preserve"> 2016</w:t>
            </w:r>
            <w:r w:rsidRPr="007937CC">
              <w:br/>
            </w:r>
            <w:r w:rsidR="003F6022" w:rsidRPr="003F6022">
              <w:t>Agenda item 3 (b)</w:t>
            </w:r>
            <w:r w:rsidR="003F6022">
              <w:rPr>
                <w:b/>
              </w:rPr>
              <w:br/>
            </w:r>
            <w:r w:rsidR="003F6022" w:rsidRPr="003F6022">
              <w:rPr>
                <w:b/>
              </w:rPr>
              <w:t>Matters relating to the implementation of ADN:</w:t>
            </w:r>
          </w:p>
          <w:p w:rsidR="003F6022" w:rsidRPr="007937CC" w:rsidRDefault="003F6022" w:rsidP="007937CC">
            <w:pPr>
              <w:rPr>
                <w:b/>
              </w:rPr>
            </w:pPr>
            <w:r w:rsidRPr="00DF3DE4">
              <w:rPr>
                <w:lang w:val="en-US"/>
              </w:rPr>
              <w:t>Special authorizations, derogations and equivalents</w:t>
            </w:r>
          </w:p>
        </w:tc>
        <w:tc>
          <w:tcPr>
            <w:tcW w:w="2835" w:type="dxa"/>
            <w:tcBorders>
              <w:top w:val="single" w:sz="4" w:space="0" w:color="auto"/>
              <w:bottom w:val="single" w:sz="12" w:space="0" w:color="auto"/>
            </w:tcBorders>
          </w:tcPr>
          <w:p w:rsidR="007937CC" w:rsidRPr="007937CC" w:rsidRDefault="007937CC" w:rsidP="007937CC">
            <w:pPr>
              <w:spacing w:before="120"/>
              <w:rPr>
                <w:b/>
              </w:rPr>
            </w:pPr>
          </w:p>
          <w:p w:rsidR="007937CC" w:rsidRPr="007937CC" w:rsidRDefault="007937CC" w:rsidP="003F6022">
            <w:pPr>
              <w:spacing w:before="120"/>
            </w:pPr>
            <w:r w:rsidRPr="007937CC">
              <w:rPr>
                <w:b/>
              </w:rPr>
              <w:t xml:space="preserve"> 1</w:t>
            </w:r>
            <w:r w:rsidR="003F6022">
              <w:rPr>
                <w:b/>
              </w:rPr>
              <w:t>8</w:t>
            </w:r>
            <w:r w:rsidRPr="007937CC">
              <w:rPr>
                <w:b/>
              </w:rPr>
              <w:t xml:space="preserve"> </w:t>
            </w:r>
            <w:r w:rsidR="003F6022">
              <w:rPr>
                <w:b/>
              </w:rPr>
              <w:t>August</w:t>
            </w:r>
            <w:r w:rsidRPr="007937CC">
              <w:rPr>
                <w:b/>
              </w:rPr>
              <w:t xml:space="preserve"> 2016</w:t>
            </w:r>
          </w:p>
        </w:tc>
      </w:tr>
    </w:tbl>
    <w:p w:rsidR="00B849E5" w:rsidRPr="005E0BA0" w:rsidRDefault="00643800" w:rsidP="00643800">
      <w:pPr>
        <w:pStyle w:val="HChG"/>
      </w:pPr>
      <w:r>
        <w:tab/>
      </w:r>
      <w:r>
        <w:tab/>
      </w:r>
      <w:r w:rsidRPr="005E0BA0">
        <w:t xml:space="preserve">Special authorisation, </w:t>
      </w:r>
      <w:r w:rsidRPr="00643800">
        <w:t>derogation</w:t>
      </w:r>
      <w:r w:rsidR="005E0BA0" w:rsidRPr="005E0BA0">
        <w:t xml:space="preserve"> </w:t>
      </w:r>
      <w:r w:rsidRPr="005E0BA0">
        <w:t xml:space="preserve">and </w:t>
      </w:r>
      <w:r w:rsidRPr="00643800">
        <w:t>equivalents</w:t>
      </w:r>
    </w:p>
    <w:p w:rsidR="005E0BA0" w:rsidRPr="00B82E79" w:rsidRDefault="007E1001" w:rsidP="007E1001">
      <w:pPr>
        <w:pStyle w:val="HChG"/>
      </w:pPr>
      <w:r>
        <w:tab/>
      </w:r>
      <w:r>
        <w:tab/>
      </w:r>
      <w:r w:rsidR="005E0BA0" w:rsidRPr="00B82E79">
        <w:t>Special Authorisation delivered to Monument Chemical Bvba – B – 9130 KALLO</w:t>
      </w:r>
    </w:p>
    <w:p w:rsidR="005E0BA0" w:rsidRDefault="00643800" w:rsidP="00643800">
      <w:pPr>
        <w:pStyle w:val="H1G"/>
      </w:pPr>
      <w:r>
        <w:tab/>
      </w:r>
      <w:r>
        <w:tab/>
      </w:r>
      <w:r w:rsidR="005E0BA0" w:rsidRPr="00B82E79">
        <w:t xml:space="preserve">Submitted by the </w:t>
      </w:r>
      <w:r w:rsidR="00C1255C">
        <w:t>G</w:t>
      </w:r>
      <w:r w:rsidR="005E0BA0" w:rsidRPr="00B82E79">
        <w:t>overnment of Belgium</w:t>
      </w:r>
      <w:bookmarkStart w:id="0" w:name="_GoBack"/>
      <w:bookmarkEnd w:id="0"/>
    </w:p>
    <w:p w:rsidR="005E0BA0" w:rsidRPr="002A4B7F" w:rsidRDefault="00643800" w:rsidP="00643800">
      <w:pPr>
        <w:pStyle w:val="HChG"/>
      </w:pPr>
      <w:r>
        <w:tab/>
        <w:t>I.</w:t>
      </w:r>
      <w:r>
        <w:tab/>
      </w:r>
      <w:r w:rsidRPr="002A4B7F">
        <w:t>Introduction</w:t>
      </w:r>
    </w:p>
    <w:p w:rsidR="005E0BA0" w:rsidRDefault="00643800" w:rsidP="00643800">
      <w:pPr>
        <w:pStyle w:val="SingleTxtG"/>
      </w:pPr>
      <w:r>
        <w:t>1.</w:t>
      </w:r>
      <w:r>
        <w:tab/>
      </w:r>
      <w:r w:rsidR="005E0BA0">
        <w:t>May 2016, the Belgian authority</w:t>
      </w:r>
      <w:r w:rsidR="00B82E79">
        <w:t xml:space="preserve"> (Flemish Government)</w:t>
      </w:r>
      <w:r w:rsidR="005E0BA0">
        <w:t xml:space="preserve"> received a written request from Monument Chemicals bvba to </w:t>
      </w:r>
      <w:r w:rsidR="00B82E79">
        <w:t>evaluate</w:t>
      </w:r>
      <w:r w:rsidR="005E0BA0">
        <w:t xml:space="preserve"> if there was a possibility to transport the substance UN 1148 DIACETON</w:t>
      </w:r>
      <w:r w:rsidR="002A4B7F">
        <w:t xml:space="preserve">E </w:t>
      </w:r>
      <w:r w:rsidR="005E0BA0">
        <w:t xml:space="preserve">ALCOHOL in tank vessels from </w:t>
      </w:r>
      <w:r w:rsidR="00B82E79">
        <w:t>Monument Chemicals</w:t>
      </w:r>
      <w:r w:rsidR="00D506FC">
        <w:t xml:space="preserve"> bvba – Ketenislaan 3 – Haven 1972 – 9130 </w:t>
      </w:r>
      <w:r w:rsidR="005E0BA0">
        <w:t>Kallo</w:t>
      </w:r>
      <w:r w:rsidR="00B82E79">
        <w:t>,</w:t>
      </w:r>
      <w:r w:rsidR="005E0BA0">
        <w:t xml:space="preserve"> Belgium to </w:t>
      </w:r>
      <w:r w:rsidR="00D506FC">
        <w:t>LBC Rotterdam BV – Haven 4035 – O</w:t>
      </w:r>
      <w:r w:rsidR="002A4B7F">
        <w:t>ude Maasweg 4 – 3197 KJ BOTLEK</w:t>
      </w:r>
      <w:r w:rsidR="00B82E79">
        <w:t>,</w:t>
      </w:r>
      <w:r w:rsidR="002A4B7F">
        <w:t xml:space="preserve"> The Netherlands.</w:t>
      </w:r>
      <w:r w:rsidR="00B82E79">
        <w:t xml:space="preserve"> </w:t>
      </w:r>
      <w:r w:rsidR="002A4B7F">
        <w:t>Monument Chemical</w:t>
      </w:r>
      <w:r w:rsidR="005E0BA0">
        <w:t xml:space="preserve"> mentioned that the substance could be found in part 3, table A of the annexes ADN, but not in table C.</w:t>
      </w:r>
    </w:p>
    <w:p w:rsidR="002A4B7F" w:rsidRPr="002A4B7F" w:rsidRDefault="00643800" w:rsidP="00643800">
      <w:pPr>
        <w:pStyle w:val="HChG"/>
      </w:pPr>
      <w:r>
        <w:tab/>
        <w:t>II.</w:t>
      </w:r>
      <w:r>
        <w:tab/>
      </w:r>
      <w:r w:rsidRPr="002A4B7F">
        <w:t xml:space="preserve">Notification </w:t>
      </w:r>
    </w:p>
    <w:p w:rsidR="00B23E4E" w:rsidRDefault="00643800" w:rsidP="00643800">
      <w:pPr>
        <w:pStyle w:val="SingleTxtG"/>
      </w:pPr>
      <w:r>
        <w:t>2.</w:t>
      </w:r>
      <w:r>
        <w:tab/>
      </w:r>
      <w:r w:rsidR="005E0BA0">
        <w:t>Referring to ADN</w:t>
      </w:r>
      <w:r w:rsidR="00B10EBB">
        <w:t xml:space="preserve"> 1.5.2.1 and in accordance with</w:t>
      </w:r>
      <w:r w:rsidR="005E0BA0">
        <w:t xml:space="preserve"> paragraph 2 of article 7 of ADN, a competent authority have the right to issue a special authorization to a carrier </w:t>
      </w:r>
      <w:r w:rsidR="00B23E4E">
        <w:t>for the international carriage in tank vessels of dangerous substances of which in tank vessels is</w:t>
      </w:r>
      <w:r w:rsidR="00094FA4">
        <w:t xml:space="preserve"> not authorized under the ADN</w:t>
      </w:r>
      <w:r w:rsidR="00B23E4E">
        <w:t xml:space="preserve"> regulations.</w:t>
      </w:r>
    </w:p>
    <w:p w:rsidR="00B849E5" w:rsidRDefault="00643800" w:rsidP="00643800">
      <w:pPr>
        <w:pStyle w:val="SingleTxtG"/>
      </w:pPr>
      <w:r>
        <w:t>3.</w:t>
      </w:r>
      <w:r>
        <w:tab/>
      </w:r>
      <w:r w:rsidR="00B23E4E">
        <w:t>Keeping in mind that the carriage shall take place not only on the territory of Belgium but also</w:t>
      </w:r>
      <w:r w:rsidR="00094FA4">
        <w:t xml:space="preserve"> </w:t>
      </w:r>
      <w:r w:rsidR="0089441D">
        <w:t>on the territory of a M</w:t>
      </w:r>
      <w:r w:rsidR="00B23E4E">
        <w:t xml:space="preserve">ember </w:t>
      </w:r>
      <w:r w:rsidR="0089441D">
        <w:t>S</w:t>
      </w:r>
      <w:r w:rsidR="00B10EBB">
        <w:t>tate (the Netherlands),</w:t>
      </w:r>
      <w:r w:rsidR="005E0BA0">
        <w:t xml:space="preserve"> </w:t>
      </w:r>
      <w:r w:rsidR="00094FA4">
        <w:t xml:space="preserve">the </w:t>
      </w:r>
      <w:r w:rsidR="0089441D">
        <w:t>M</w:t>
      </w:r>
      <w:r w:rsidR="00094FA4">
        <w:t xml:space="preserve">ember </w:t>
      </w:r>
      <w:r w:rsidR="0089441D">
        <w:t>S</w:t>
      </w:r>
      <w:r w:rsidR="00094FA4">
        <w:t xml:space="preserve">tate was immediately informed </w:t>
      </w:r>
      <w:r w:rsidR="0089441D">
        <w:t>about this request. A</w:t>
      </w:r>
      <w:r w:rsidR="00094FA4">
        <w:t xml:space="preserve">ll the necessary information </w:t>
      </w:r>
      <w:r w:rsidR="0089441D">
        <w:t>about the product, transportation mode, etc. was transferred to the Netherlands</w:t>
      </w:r>
      <w:r w:rsidR="00094FA4">
        <w:t>.</w:t>
      </w:r>
    </w:p>
    <w:p w:rsidR="00094FA4" w:rsidRDefault="00643800" w:rsidP="00643800">
      <w:pPr>
        <w:pStyle w:val="SingleTxtG"/>
      </w:pPr>
      <w:r>
        <w:t>4.</w:t>
      </w:r>
      <w:r>
        <w:tab/>
      </w:r>
      <w:r w:rsidR="000C6D98">
        <w:t>A</w:t>
      </w:r>
      <w:r w:rsidR="00094FA4">
        <w:t xml:space="preserve">ugust 2016, the government of the Netherlands informed the government of Belgium that </w:t>
      </w:r>
      <w:r w:rsidR="000C6D98">
        <w:t>had n</w:t>
      </w:r>
      <w:r w:rsidR="00BC4BB3">
        <w:t>o</w:t>
      </w:r>
      <w:r w:rsidR="00094FA4">
        <w:t xml:space="preserve"> objection and </w:t>
      </w:r>
      <w:r w:rsidR="000C6D98">
        <w:t xml:space="preserve">that </w:t>
      </w:r>
      <w:r w:rsidR="00094FA4">
        <w:t>they should allow the carriage of UN 1</w:t>
      </w:r>
      <w:r w:rsidR="00B10EBB">
        <w:t>1</w:t>
      </w:r>
      <w:r w:rsidR="00094FA4">
        <w:t>48 DIACETON</w:t>
      </w:r>
      <w:r w:rsidR="002A4B7F">
        <w:t xml:space="preserve">E </w:t>
      </w:r>
      <w:r w:rsidR="00094FA4">
        <w:t>ALCOHOL on the</w:t>
      </w:r>
      <w:r w:rsidR="000C6D98">
        <w:t>ir</w:t>
      </w:r>
      <w:r w:rsidR="00094FA4">
        <w:t xml:space="preserve"> territory.</w:t>
      </w:r>
    </w:p>
    <w:p w:rsidR="000C6D98" w:rsidRDefault="00643800" w:rsidP="00643800">
      <w:pPr>
        <w:pStyle w:val="SingleTxtG"/>
      </w:pPr>
      <w:r>
        <w:t>5.</w:t>
      </w:r>
      <w:r>
        <w:tab/>
      </w:r>
      <w:r w:rsidR="00BC4BB3">
        <w:t xml:space="preserve">A special authorisation was made with a validity </w:t>
      </w:r>
      <w:r w:rsidR="000C6D98">
        <w:t>from 01/09/</w:t>
      </w:r>
      <w:r w:rsidR="00BC4BB3">
        <w:t>2016 to 01/09/2018 and can be fou</w:t>
      </w:r>
      <w:r w:rsidR="000C6D98">
        <w:t>nd</w:t>
      </w:r>
      <w:r w:rsidR="00BC4BB3">
        <w:t xml:space="preserve"> in</w:t>
      </w:r>
      <w:r w:rsidR="000C6D98">
        <w:t xml:space="preserve"> annex to this document.</w:t>
      </w:r>
    </w:p>
    <w:p w:rsidR="000C6D98" w:rsidRDefault="00643800" w:rsidP="00643800">
      <w:pPr>
        <w:pStyle w:val="SingleTxtG"/>
      </w:pPr>
      <w:r>
        <w:t>6.</w:t>
      </w:r>
      <w:r>
        <w:tab/>
      </w:r>
      <w:r w:rsidR="000C6D98">
        <w:t xml:space="preserve">As stated in ADN 1.5.2.2.2 the competent authority </w:t>
      </w:r>
      <w:r w:rsidR="00BC4BB3">
        <w:t xml:space="preserve">would like to inform </w:t>
      </w:r>
      <w:r w:rsidR="000C6D98">
        <w:t xml:space="preserve">the Administrative Committee </w:t>
      </w:r>
      <w:r w:rsidR="00BC4BB3">
        <w:t xml:space="preserve">of </w:t>
      </w:r>
      <w:r w:rsidR="000C6D98">
        <w:t xml:space="preserve">the existence of this special authorisation. </w:t>
      </w:r>
    </w:p>
    <w:p w:rsidR="002A4B7F" w:rsidRPr="002A4B7F" w:rsidRDefault="00643800" w:rsidP="00643800">
      <w:pPr>
        <w:pStyle w:val="HChG"/>
      </w:pPr>
      <w:r>
        <w:lastRenderedPageBreak/>
        <w:tab/>
        <w:t>III.</w:t>
      </w:r>
      <w:r>
        <w:tab/>
      </w:r>
      <w:r w:rsidRPr="002A4B7F">
        <w:t>Proposal</w:t>
      </w:r>
    </w:p>
    <w:p w:rsidR="00AD7657" w:rsidRDefault="00643800" w:rsidP="00643800">
      <w:pPr>
        <w:pStyle w:val="SingleTxtG"/>
      </w:pPr>
      <w:r>
        <w:t>7.</w:t>
      </w:r>
      <w:r>
        <w:tab/>
      </w:r>
      <w:r w:rsidR="00AD7657">
        <w:t xml:space="preserve">The government of Belgium will </w:t>
      </w:r>
      <w:r w:rsidR="002A4B7F">
        <w:t>propose</w:t>
      </w:r>
      <w:r w:rsidR="00AD7657">
        <w:t xml:space="preserve"> the Administrative Committee </w:t>
      </w:r>
      <w:r w:rsidR="00D471B8">
        <w:t>to</w:t>
      </w:r>
      <w:r w:rsidR="00AD7657">
        <w:t xml:space="preserve"> evaluate if the substance is to be included in the list of substances (table C) authorized o</w:t>
      </w:r>
      <w:r w:rsidR="00D471B8">
        <w:t>f</w:t>
      </w:r>
      <w:r w:rsidR="00AD7657">
        <w:t xml:space="preserve"> carriage in tank vessels.  If positive, table A should also be adapted </w:t>
      </w:r>
      <w:r w:rsidR="00D471B8">
        <w:t>with a letter “T” in column 8.</w:t>
      </w:r>
    </w:p>
    <w:p w:rsidR="002A4B7F" w:rsidRPr="002A4B7F" w:rsidRDefault="00643800" w:rsidP="00643800">
      <w:pPr>
        <w:pStyle w:val="H1G"/>
      </w:pPr>
      <w:r>
        <w:tab/>
      </w:r>
      <w:r>
        <w:tab/>
      </w:r>
      <w:r w:rsidRPr="002A4B7F">
        <w:t>Attachments</w:t>
      </w:r>
    </w:p>
    <w:p w:rsidR="00EA64C9" w:rsidRDefault="00643800" w:rsidP="00643800">
      <w:pPr>
        <w:pStyle w:val="SingleTxtG"/>
      </w:pPr>
      <w:r>
        <w:t>8.</w:t>
      </w:r>
      <w:r>
        <w:tab/>
        <w:t>Please find attached</w:t>
      </w:r>
      <w:r w:rsidR="00EA64C9">
        <w:t>:</w:t>
      </w:r>
    </w:p>
    <w:p w:rsidR="00EA64C9" w:rsidRDefault="00EA64C9" w:rsidP="00643800">
      <w:pPr>
        <w:pStyle w:val="SingleTxtG"/>
      </w:pPr>
      <w:r>
        <w:t>The Special Authorisation</w:t>
      </w:r>
    </w:p>
    <w:p w:rsidR="00AD7657" w:rsidRDefault="00EA64C9" w:rsidP="00643800">
      <w:pPr>
        <w:pStyle w:val="SingleTxtG"/>
      </w:pPr>
      <w:r>
        <w:t>The Safety Data Sheet for UN1148 DIACETON</w:t>
      </w:r>
      <w:r w:rsidR="00B10EBB">
        <w:t>E</w:t>
      </w:r>
      <w:r>
        <w:t xml:space="preserve"> ALCOHOL</w:t>
      </w:r>
    </w:p>
    <w:p w:rsidR="000C6D98" w:rsidRDefault="00F50BD7" w:rsidP="00F50BD7">
      <w:pPr>
        <w:pStyle w:val="HChG"/>
      </w:pPr>
      <w:r>
        <w:br w:type="page"/>
      </w:r>
      <w:r>
        <w:lastRenderedPageBreak/>
        <w:t>Annex I</w:t>
      </w:r>
    </w:p>
    <w:p w:rsidR="00F50BD7" w:rsidRPr="00F50BD7" w:rsidRDefault="00F50BD7" w:rsidP="00F50BD7">
      <w:pPr>
        <w:pStyle w:val="HChG"/>
        <w:rPr>
          <w:rFonts w:eastAsia="Calibri"/>
        </w:rPr>
      </w:pPr>
      <w:r>
        <w:rPr>
          <w:rFonts w:eastAsia="Calibri"/>
        </w:rPr>
        <w:tab/>
      </w:r>
      <w:r>
        <w:rPr>
          <w:rFonts w:eastAsia="Calibri"/>
        </w:rPr>
        <w:tab/>
      </w:r>
      <w:r w:rsidRPr="00F50BD7">
        <w:rPr>
          <w:rFonts w:eastAsia="Calibri"/>
        </w:rPr>
        <w:t>Special authorization no.: ADN-001-2016</w:t>
      </w:r>
    </w:p>
    <w:p w:rsidR="00F50BD7" w:rsidRPr="00F50BD7" w:rsidRDefault="00AC6C1D" w:rsidP="00F50BD7">
      <w:pPr>
        <w:suppressAutoHyphens w:val="0"/>
        <w:spacing w:after="160" w:line="259" w:lineRule="auto"/>
        <w:jc w:val="center"/>
        <w:rPr>
          <w:rFonts w:ascii="Calibri" w:eastAsia="Calibri" w:hAnsi="Calibri"/>
          <w:sz w:val="22"/>
          <w:szCs w:val="22"/>
        </w:rPr>
      </w:pPr>
      <w:r>
        <w:rPr>
          <w:rFonts w:ascii="Calibri" w:eastAsia="Calibri" w:hAnsi="Calibri"/>
          <w:sz w:val="22"/>
          <w:szCs w:val="22"/>
        </w:rPr>
      </w:r>
      <w:r>
        <w:rPr>
          <w:rFonts w:ascii="Calibri" w:eastAsia="Calibri" w:hAnsi="Calibri"/>
          <w:sz w:val="22"/>
          <w:szCs w:val="22"/>
        </w:rPr>
        <w:pict>
          <v:shapetype id="_x0000_t202" coordsize="21600,21600" o:spt="202" path="m,l,21600r21600,l21600,xe">
            <v:stroke joinstyle="miter"/>
            <v:path gradientshapeok="t" o:connecttype="rect"/>
          </v:shapetype>
          <v:shape id="Text Box 2" o:spid="_x0000_s1026" type="#_x0000_t202" style="width:264.3pt;height:22.45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v:textbox>
              <w:txbxContent>
                <w:p w:rsidR="00F50BD7" w:rsidRDefault="00F50BD7" w:rsidP="00F50BD7">
                  <w:pPr>
                    <w:jc w:val="center"/>
                  </w:pPr>
                  <w:r>
                    <w:t>Pursuant to Article 5 – Royal Decree of 31 July 2009</w:t>
                  </w:r>
                </w:p>
              </w:txbxContent>
            </v:textbox>
            <w10:anchorlock/>
          </v:shape>
        </w:pict>
      </w:r>
    </w:p>
    <w:p w:rsidR="00F50BD7" w:rsidRPr="00F50BD7" w:rsidRDefault="00F50BD7" w:rsidP="00F50BD7">
      <w:pPr>
        <w:pStyle w:val="SingleTxtG"/>
        <w:rPr>
          <w:rFonts w:eastAsia="Calibri"/>
        </w:rPr>
      </w:pPr>
      <w:r w:rsidRPr="00F50BD7">
        <w:rPr>
          <w:rFonts w:eastAsia="Calibri"/>
        </w:rPr>
        <w:t>Having regard to the Royal Decree of 31 July 2009 on the carriage of dangerous goods by inland waterways (ADN), amended by the Royal Decree of 4 July 2011 amending the regulations governing the carriage of dangerous goods by inland waterways to scientific and technical progress, the carriage of the materials mentioned in this Special Authorization by tank vessels is authorized subject to the conditions laid down therein.</w:t>
      </w:r>
    </w:p>
    <w:p w:rsidR="00F50BD7" w:rsidRDefault="00F50BD7" w:rsidP="00F50BD7">
      <w:pPr>
        <w:pStyle w:val="SingleTxtG"/>
        <w:rPr>
          <w:rFonts w:eastAsia="Calibri"/>
        </w:rPr>
      </w:pPr>
      <w:r w:rsidRPr="00F50BD7">
        <w:rPr>
          <w:rFonts w:eastAsia="Calibri"/>
        </w:rPr>
        <w:t xml:space="preserve">Special Authorization ADN-001-2016 applies to </w:t>
      </w:r>
      <w:r w:rsidRPr="00F50BD7">
        <w:rPr>
          <w:rFonts w:eastAsia="Calibri"/>
          <w:b/>
        </w:rPr>
        <w:t>MONUMENT CHEMICAL, Port 1972 – Ketenislaan 3, B-9130 Kallo (Kieldrecht)</w:t>
      </w:r>
      <w:r w:rsidRPr="00F50BD7">
        <w:rPr>
          <w:rFonts w:eastAsia="Calibri"/>
        </w:rPr>
        <w:t xml:space="preserve"> for the carriage in tank vessels from Belgium (Monument Chemical bvba – Ketenislaan 3 – Port 1972 – 9130 Kallo) to the Netherlands (LBC Rotterdam BV – Oude Maasweg 4 – Port 4035 – 3197 KJ Botlek) of the following product:</w:t>
      </w:r>
    </w:p>
    <w:p w:rsidR="00F50BD7" w:rsidRPr="00F50BD7" w:rsidRDefault="00F50BD7" w:rsidP="00F50BD7">
      <w:pPr>
        <w:suppressAutoHyphens w:val="0"/>
        <w:spacing w:after="160" w:line="259" w:lineRule="auto"/>
        <w:jc w:val="center"/>
        <w:rPr>
          <w:rFonts w:eastAsia="Calibri"/>
          <w:b/>
        </w:rPr>
      </w:pPr>
      <w:r w:rsidRPr="00F50BD7">
        <w:rPr>
          <w:rFonts w:eastAsia="Calibri"/>
          <w:b/>
        </w:rPr>
        <w:t>UN 1148 DIACETON</w:t>
      </w:r>
      <w:r w:rsidR="00B10EBB">
        <w:rPr>
          <w:rFonts w:eastAsia="Calibri"/>
          <w:b/>
        </w:rPr>
        <w:t>E AL</w:t>
      </w:r>
      <w:r w:rsidRPr="00F50BD7">
        <w:rPr>
          <w:rFonts w:eastAsia="Calibri"/>
          <w:b/>
        </w:rPr>
        <w:t>COHOL, 3, III</w:t>
      </w:r>
    </w:p>
    <w:p w:rsidR="00F50BD7" w:rsidRPr="00F50BD7" w:rsidRDefault="00F50BD7" w:rsidP="00F50BD7">
      <w:pPr>
        <w:suppressAutoHyphens w:val="0"/>
        <w:spacing w:after="160" w:line="259" w:lineRule="auto"/>
        <w:ind w:left="1134" w:right="1134"/>
        <w:rPr>
          <w:rFonts w:eastAsia="Calibri"/>
        </w:rPr>
      </w:pPr>
      <w:r w:rsidRPr="00F50BD7">
        <w:rPr>
          <w:rFonts w:eastAsia="Calibri"/>
        </w:rPr>
        <w:t>This Special Authorization AND-001-2016 is valid, unless previously revoked, until 01/09/2018 inclusive.</w:t>
      </w:r>
    </w:p>
    <w:p w:rsidR="00F50BD7" w:rsidRPr="00F50BD7" w:rsidRDefault="00F50BD7" w:rsidP="00F50BD7">
      <w:pPr>
        <w:suppressAutoHyphens w:val="0"/>
        <w:spacing w:after="160" w:line="259" w:lineRule="auto"/>
        <w:ind w:left="1134" w:right="1134"/>
        <w:rPr>
          <w:rFonts w:eastAsia="Calibri"/>
        </w:rPr>
      </w:pPr>
      <w:r w:rsidRPr="00F50BD7">
        <w:rPr>
          <w:rFonts w:eastAsia="Calibri"/>
        </w:rPr>
        <w:t>Ostend, 01/09/2016</w:t>
      </w:r>
      <w:r w:rsidRPr="00F50BD7">
        <w:rPr>
          <w:rFonts w:eastAsia="Calibri"/>
        </w:rPr>
        <w:tab/>
      </w:r>
      <w:r w:rsidRPr="00F50BD7">
        <w:rPr>
          <w:rFonts w:eastAsia="Calibri"/>
        </w:rPr>
        <w:tab/>
      </w:r>
      <w:r w:rsidRPr="00F50BD7">
        <w:rPr>
          <w:rFonts w:eastAsia="Calibri"/>
        </w:rPr>
        <w:tab/>
      </w:r>
      <w:r w:rsidRPr="00F50BD7">
        <w:rPr>
          <w:rFonts w:eastAsia="Calibri"/>
        </w:rPr>
        <w:tab/>
        <w:t>Head of unit</w:t>
      </w:r>
      <w:r w:rsidRPr="00F50BD7">
        <w:rPr>
          <w:rFonts w:eastAsia="Calibri"/>
        </w:rPr>
        <w:br/>
      </w:r>
      <w:r w:rsidRPr="00F50BD7">
        <w:rPr>
          <w:rFonts w:eastAsia="Calibri"/>
        </w:rPr>
        <w:tab/>
      </w:r>
      <w:r w:rsidRPr="00F50BD7">
        <w:rPr>
          <w:rFonts w:eastAsia="Calibri"/>
        </w:rPr>
        <w:tab/>
      </w:r>
      <w:r w:rsidRPr="00F50BD7">
        <w:rPr>
          <w:rFonts w:eastAsia="Calibri"/>
        </w:rPr>
        <w:tab/>
      </w:r>
      <w:r w:rsidRPr="00F50BD7">
        <w:rPr>
          <w:rFonts w:eastAsia="Calibri"/>
        </w:rPr>
        <w:tab/>
      </w:r>
      <w:r w:rsidRPr="00F50BD7">
        <w:rPr>
          <w:rFonts w:eastAsia="Calibri"/>
        </w:rPr>
        <w:tab/>
      </w:r>
    </w:p>
    <w:p w:rsidR="00F50BD7" w:rsidRPr="00F50BD7" w:rsidRDefault="00F50BD7" w:rsidP="00F50BD7">
      <w:pPr>
        <w:suppressAutoHyphens w:val="0"/>
        <w:spacing w:after="160" w:line="259" w:lineRule="auto"/>
        <w:ind w:left="1134" w:right="1134"/>
        <w:rPr>
          <w:rFonts w:eastAsia="Calibri"/>
        </w:rPr>
      </w:pPr>
      <w:r w:rsidRPr="00F50BD7">
        <w:rPr>
          <w:rFonts w:eastAsia="Calibri"/>
        </w:rPr>
        <w:tab/>
      </w:r>
      <w:r w:rsidRPr="00F50BD7">
        <w:rPr>
          <w:rFonts w:eastAsia="Calibri"/>
        </w:rPr>
        <w:tab/>
      </w:r>
      <w:r w:rsidRPr="00F50BD7">
        <w:rPr>
          <w:rFonts w:eastAsia="Calibri"/>
        </w:rPr>
        <w:tab/>
      </w:r>
      <w:r w:rsidRPr="00F50BD7">
        <w:rPr>
          <w:rFonts w:eastAsia="Calibri"/>
        </w:rPr>
        <w:tab/>
      </w:r>
      <w:r w:rsidRPr="00F50BD7">
        <w:rPr>
          <w:rFonts w:eastAsia="Calibri"/>
        </w:rPr>
        <w:tab/>
      </w:r>
      <w:r w:rsidRPr="00F50BD7">
        <w:rPr>
          <w:rFonts w:eastAsia="Calibri"/>
        </w:rPr>
        <w:tab/>
        <w:t>Didier Delaere, Ing.</w:t>
      </w:r>
    </w:p>
    <w:p w:rsidR="00F50BD7" w:rsidRDefault="00B10EBB" w:rsidP="00B10EBB">
      <w:pPr>
        <w:pStyle w:val="HChG"/>
      </w:pPr>
      <w:r>
        <w:br w:type="page"/>
      </w:r>
      <w:r>
        <w:lastRenderedPageBreak/>
        <w:t>Annex II</w:t>
      </w:r>
    </w:p>
    <w:p w:rsidR="00B10EBB" w:rsidRDefault="00B10EBB" w:rsidP="00B10EBB">
      <w:pPr>
        <w:pStyle w:val="HChG"/>
      </w:pPr>
      <w:r>
        <w:tab/>
      </w:r>
      <w:r>
        <w:tab/>
      </w:r>
      <w:r w:rsidR="00EA64C9" w:rsidRPr="00B10EBB">
        <w:t>Safety Data Sheet for UN1148 DIACETON</w:t>
      </w:r>
      <w:r w:rsidRPr="00B10EBB">
        <w:t>E</w:t>
      </w:r>
      <w:r w:rsidR="00EA64C9" w:rsidRPr="00B10EBB">
        <w:t xml:space="preserve"> ALCOHOL</w:t>
      </w:r>
    </w:p>
    <w:tbl>
      <w:tblPr>
        <w:tblStyle w:val="TableGrid"/>
        <w:tblW w:w="9639" w:type="dxa"/>
        <w:tblLook w:val="04A0" w:firstRow="1" w:lastRow="0" w:firstColumn="1" w:lastColumn="0" w:noHBand="0" w:noVBand="1"/>
      </w:tblPr>
      <w:tblGrid>
        <w:gridCol w:w="576"/>
        <w:gridCol w:w="1246"/>
        <w:gridCol w:w="506"/>
        <w:gridCol w:w="517"/>
        <w:gridCol w:w="712"/>
        <w:gridCol w:w="577"/>
        <w:gridCol w:w="462"/>
        <w:gridCol w:w="507"/>
        <w:gridCol w:w="712"/>
        <w:gridCol w:w="577"/>
        <w:gridCol w:w="879"/>
        <w:gridCol w:w="637"/>
        <w:gridCol w:w="577"/>
        <w:gridCol w:w="577"/>
        <w:gridCol w:w="577"/>
      </w:tblGrid>
      <w:tr w:rsidR="00B10EBB" w:rsidRPr="00B10EBB" w:rsidTr="00C90E4A">
        <w:tc>
          <w:tcPr>
            <w:tcW w:w="592" w:type="dxa"/>
          </w:tcPr>
          <w:p w:rsidR="00B10EBB" w:rsidRPr="00B10EBB" w:rsidRDefault="00B10EBB" w:rsidP="00475712">
            <w:pPr>
              <w:rPr>
                <w:sz w:val="18"/>
                <w:szCs w:val="18"/>
              </w:rPr>
            </w:pPr>
            <w:r w:rsidRPr="00B10EBB">
              <w:rPr>
                <w:sz w:val="18"/>
                <w:szCs w:val="18"/>
              </w:rPr>
              <w:t>(1)</w:t>
            </w:r>
          </w:p>
        </w:tc>
        <w:tc>
          <w:tcPr>
            <w:tcW w:w="567" w:type="dxa"/>
          </w:tcPr>
          <w:p w:rsidR="00B10EBB" w:rsidRPr="00B10EBB" w:rsidRDefault="00B10EBB" w:rsidP="00475712">
            <w:pPr>
              <w:rPr>
                <w:sz w:val="18"/>
                <w:szCs w:val="18"/>
              </w:rPr>
            </w:pPr>
            <w:r w:rsidRPr="00B10EBB">
              <w:rPr>
                <w:sz w:val="18"/>
                <w:szCs w:val="18"/>
              </w:rPr>
              <w:t>(2)</w:t>
            </w:r>
          </w:p>
        </w:tc>
        <w:tc>
          <w:tcPr>
            <w:tcW w:w="520" w:type="dxa"/>
          </w:tcPr>
          <w:p w:rsidR="00B10EBB" w:rsidRPr="00B10EBB" w:rsidRDefault="00B10EBB" w:rsidP="00475712">
            <w:pPr>
              <w:rPr>
                <w:sz w:val="18"/>
                <w:szCs w:val="18"/>
              </w:rPr>
            </w:pPr>
            <w:r w:rsidRPr="00B10EBB">
              <w:rPr>
                <w:sz w:val="18"/>
                <w:szCs w:val="18"/>
              </w:rPr>
              <w:t>(3a)</w:t>
            </w:r>
          </w:p>
        </w:tc>
        <w:tc>
          <w:tcPr>
            <w:tcW w:w="531" w:type="dxa"/>
          </w:tcPr>
          <w:p w:rsidR="00B10EBB" w:rsidRPr="00B10EBB" w:rsidRDefault="00B10EBB" w:rsidP="00475712">
            <w:pPr>
              <w:rPr>
                <w:sz w:val="18"/>
                <w:szCs w:val="18"/>
              </w:rPr>
            </w:pPr>
            <w:r w:rsidRPr="00B10EBB">
              <w:rPr>
                <w:sz w:val="18"/>
                <w:szCs w:val="18"/>
              </w:rPr>
              <w:t>(3b)</w:t>
            </w:r>
          </w:p>
        </w:tc>
        <w:tc>
          <w:tcPr>
            <w:tcW w:w="735" w:type="dxa"/>
          </w:tcPr>
          <w:p w:rsidR="00B10EBB" w:rsidRPr="00B10EBB" w:rsidRDefault="00B10EBB" w:rsidP="00475712">
            <w:pPr>
              <w:rPr>
                <w:sz w:val="18"/>
                <w:szCs w:val="18"/>
              </w:rPr>
            </w:pPr>
            <w:r w:rsidRPr="00B10EBB">
              <w:rPr>
                <w:sz w:val="18"/>
                <w:szCs w:val="18"/>
              </w:rPr>
              <w:t>(4)</w:t>
            </w:r>
          </w:p>
        </w:tc>
        <w:tc>
          <w:tcPr>
            <w:tcW w:w="594" w:type="dxa"/>
          </w:tcPr>
          <w:p w:rsidR="00B10EBB" w:rsidRPr="00B10EBB" w:rsidRDefault="00B10EBB" w:rsidP="00475712">
            <w:pPr>
              <w:rPr>
                <w:sz w:val="18"/>
                <w:szCs w:val="18"/>
              </w:rPr>
            </w:pPr>
            <w:r w:rsidRPr="00B10EBB">
              <w:rPr>
                <w:sz w:val="18"/>
                <w:szCs w:val="18"/>
              </w:rPr>
              <w:t>(5)</w:t>
            </w:r>
          </w:p>
        </w:tc>
        <w:tc>
          <w:tcPr>
            <w:tcW w:w="462" w:type="dxa"/>
          </w:tcPr>
          <w:p w:rsidR="00B10EBB" w:rsidRPr="00B10EBB" w:rsidRDefault="00B10EBB" w:rsidP="00475712">
            <w:pPr>
              <w:rPr>
                <w:sz w:val="18"/>
                <w:szCs w:val="18"/>
              </w:rPr>
            </w:pPr>
            <w:r w:rsidRPr="00B10EBB">
              <w:rPr>
                <w:sz w:val="18"/>
                <w:szCs w:val="18"/>
              </w:rPr>
              <w:t>(6)</w:t>
            </w:r>
          </w:p>
        </w:tc>
        <w:tc>
          <w:tcPr>
            <w:tcW w:w="520" w:type="dxa"/>
          </w:tcPr>
          <w:p w:rsidR="00B10EBB" w:rsidRPr="00B10EBB" w:rsidRDefault="00B10EBB" w:rsidP="00475712">
            <w:pPr>
              <w:rPr>
                <w:sz w:val="18"/>
                <w:szCs w:val="18"/>
              </w:rPr>
            </w:pPr>
            <w:r w:rsidRPr="00B10EBB">
              <w:rPr>
                <w:sz w:val="18"/>
                <w:szCs w:val="18"/>
              </w:rPr>
              <w:t>(7a)</w:t>
            </w:r>
          </w:p>
        </w:tc>
        <w:tc>
          <w:tcPr>
            <w:tcW w:w="735" w:type="dxa"/>
          </w:tcPr>
          <w:p w:rsidR="00B10EBB" w:rsidRPr="00B10EBB" w:rsidRDefault="00B10EBB" w:rsidP="00475712">
            <w:pPr>
              <w:rPr>
                <w:sz w:val="18"/>
                <w:szCs w:val="18"/>
              </w:rPr>
            </w:pPr>
            <w:r w:rsidRPr="00B10EBB">
              <w:rPr>
                <w:sz w:val="18"/>
                <w:szCs w:val="18"/>
              </w:rPr>
              <w:t>(7b)</w:t>
            </w:r>
          </w:p>
        </w:tc>
        <w:tc>
          <w:tcPr>
            <w:tcW w:w="594" w:type="dxa"/>
          </w:tcPr>
          <w:p w:rsidR="00B10EBB" w:rsidRPr="00B10EBB" w:rsidRDefault="00B10EBB" w:rsidP="00475712">
            <w:pPr>
              <w:rPr>
                <w:sz w:val="18"/>
                <w:szCs w:val="18"/>
              </w:rPr>
            </w:pPr>
            <w:r w:rsidRPr="00B10EBB">
              <w:rPr>
                <w:sz w:val="18"/>
                <w:szCs w:val="18"/>
              </w:rPr>
              <w:t>(8)</w:t>
            </w:r>
          </w:p>
        </w:tc>
        <w:tc>
          <w:tcPr>
            <w:tcW w:w="909" w:type="dxa"/>
          </w:tcPr>
          <w:p w:rsidR="00B10EBB" w:rsidRPr="00B10EBB" w:rsidRDefault="00B10EBB" w:rsidP="00475712">
            <w:pPr>
              <w:rPr>
                <w:sz w:val="18"/>
                <w:szCs w:val="18"/>
              </w:rPr>
            </w:pPr>
            <w:r w:rsidRPr="00B10EBB">
              <w:rPr>
                <w:sz w:val="18"/>
                <w:szCs w:val="18"/>
              </w:rPr>
              <w:t>(9)</w:t>
            </w:r>
          </w:p>
        </w:tc>
        <w:tc>
          <w:tcPr>
            <w:tcW w:w="657" w:type="dxa"/>
          </w:tcPr>
          <w:p w:rsidR="00B10EBB" w:rsidRPr="00B10EBB" w:rsidRDefault="00B10EBB" w:rsidP="00475712">
            <w:pPr>
              <w:rPr>
                <w:sz w:val="18"/>
                <w:szCs w:val="18"/>
              </w:rPr>
            </w:pPr>
            <w:r w:rsidRPr="00B10EBB">
              <w:rPr>
                <w:sz w:val="18"/>
                <w:szCs w:val="18"/>
              </w:rPr>
              <w:t>(10)</w:t>
            </w:r>
          </w:p>
        </w:tc>
        <w:tc>
          <w:tcPr>
            <w:tcW w:w="594" w:type="dxa"/>
          </w:tcPr>
          <w:p w:rsidR="00B10EBB" w:rsidRPr="00B10EBB" w:rsidRDefault="00B10EBB" w:rsidP="00475712">
            <w:pPr>
              <w:rPr>
                <w:sz w:val="18"/>
                <w:szCs w:val="18"/>
              </w:rPr>
            </w:pPr>
            <w:r w:rsidRPr="00B10EBB">
              <w:rPr>
                <w:sz w:val="18"/>
                <w:szCs w:val="18"/>
              </w:rPr>
              <w:t>(11)</w:t>
            </w:r>
          </w:p>
        </w:tc>
        <w:tc>
          <w:tcPr>
            <w:tcW w:w="594" w:type="dxa"/>
          </w:tcPr>
          <w:p w:rsidR="00B10EBB" w:rsidRPr="00B10EBB" w:rsidRDefault="00B10EBB" w:rsidP="00475712">
            <w:pPr>
              <w:rPr>
                <w:sz w:val="18"/>
                <w:szCs w:val="18"/>
              </w:rPr>
            </w:pPr>
            <w:r w:rsidRPr="00B10EBB">
              <w:rPr>
                <w:sz w:val="18"/>
                <w:szCs w:val="18"/>
              </w:rPr>
              <w:t>(12)</w:t>
            </w:r>
          </w:p>
        </w:tc>
        <w:tc>
          <w:tcPr>
            <w:tcW w:w="594" w:type="dxa"/>
          </w:tcPr>
          <w:p w:rsidR="00B10EBB" w:rsidRPr="00B10EBB" w:rsidRDefault="00B10EBB" w:rsidP="00475712">
            <w:pPr>
              <w:rPr>
                <w:sz w:val="18"/>
                <w:szCs w:val="18"/>
              </w:rPr>
            </w:pPr>
            <w:r w:rsidRPr="00B10EBB">
              <w:rPr>
                <w:sz w:val="18"/>
                <w:szCs w:val="18"/>
              </w:rPr>
              <w:t>(13)</w:t>
            </w:r>
          </w:p>
        </w:tc>
      </w:tr>
      <w:tr w:rsidR="00B10EBB" w:rsidRPr="00B10EBB" w:rsidTr="00C90E4A">
        <w:tc>
          <w:tcPr>
            <w:tcW w:w="592" w:type="dxa"/>
          </w:tcPr>
          <w:p w:rsidR="00B10EBB" w:rsidRPr="00B10EBB" w:rsidRDefault="00B10EBB" w:rsidP="00475712">
            <w:pPr>
              <w:rPr>
                <w:sz w:val="18"/>
                <w:szCs w:val="18"/>
              </w:rPr>
            </w:pPr>
          </w:p>
        </w:tc>
        <w:tc>
          <w:tcPr>
            <w:tcW w:w="567" w:type="dxa"/>
          </w:tcPr>
          <w:p w:rsidR="00B10EBB" w:rsidRPr="00B10EBB" w:rsidRDefault="00B10EBB" w:rsidP="00475712">
            <w:pPr>
              <w:rPr>
                <w:sz w:val="18"/>
                <w:szCs w:val="18"/>
              </w:rPr>
            </w:pPr>
            <w:r w:rsidRPr="00B10EBB">
              <w:rPr>
                <w:sz w:val="18"/>
                <w:szCs w:val="18"/>
              </w:rPr>
              <w:t>3.1.2</w:t>
            </w:r>
          </w:p>
        </w:tc>
        <w:tc>
          <w:tcPr>
            <w:tcW w:w="520" w:type="dxa"/>
          </w:tcPr>
          <w:p w:rsidR="00B10EBB" w:rsidRPr="00B10EBB" w:rsidRDefault="00B10EBB" w:rsidP="00475712">
            <w:pPr>
              <w:rPr>
                <w:sz w:val="18"/>
                <w:szCs w:val="18"/>
              </w:rPr>
            </w:pPr>
            <w:r w:rsidRPr="00B10EBB">
              <w:rPr>
                <w:sz w:val="18"/>
                <w:szCs w:val="18"/>
              </w:rPr>
              <w:t>2.2</w:t>
            </w:r>
          </w:p>
        </w:tc>
        <w:tc>
          <w:tcPr>
            <w:tcW w:w="531" w:type="dxa"/>
          </w:tcPr>
          <w:p w:rsidR="00B10EBB" w:rsidRPr="00B10EBB" w:rsidRDefault="00B10EBB" w:rsidP="00475712">
            <w:pPr>
              <w:rPr>
                <w:sz w:val="18"/>
                <w:szCs w:val="18"/>
              </w:rPr>
            </w:pPr>
            <w:r w:rsidRPr="00B10EBB">
              <w:rPr>
                <w:sz w:val="18"/>
                <w:szCs w:val="18"/>
              </w:rPr>
              <w:t>2.2</w:t>
            </w:r>
          </w:p>
        </w:tc>
        <w:tc>
          <w:tcPr>
            <w:tcW w:w="735" w:type="dxa"/>
          </w:tcPr>
          <w:p w:rsidR="00B10EBB" w:rsidRPr="00B10EBB" w:rsidRDefault="00B10EBB" w:rsidP="00475712">
            <w:pPr>
              <w:rPr>
                <w:sz w:val="18"/>
                <w:szCs w:val="18"/>
              </w:rPr>
            </w:pPr>
            <w:r w:rsidRPr="00B10EBB">
              <w:rPr>
                <w:sz w:val="18"/>
                <w:szCs w:val="18"/>
              </w:rPr>
              <w:t>2.1.1.3</w:t>
            </w:r>
          </w:p>
        </w:tc>
        <w:tc>
          <w:tcPr>
            <w:tcW w:w="594" w:type="dxa"/>
          </w:tcPr>
          <w:p w:rsidR="00B10EBB" w:rsidRPr="00B10EBB" w:rsidRDefault="00B10EBB" w:rsidP="00475712">
            <w:pPr>
              <w:rPr>
                <w:sz w:val="18"/>
                <w:szCs w:val="18"/>
              </w:rPr>
            </w:pPr>
            <w:r w:rsidRPr="00B10EBB">
              <w:rPr>
                <w:sz w:val="18"/>
                <w:szCs w:val="18"/>
              </w:rPr>
              <w:t>5.2.2</w:t>
            </w:r>
          </w:p>
        </w:tc>
        <w:tc>
          <w:tcPr>
            <w:tcW w:w="462" w:type="dxa"/>
          </w:tcPr>
          <w:p w:rsidR="00B10EBB" w:rsidRPr="00B10EBB" w:rsidRDefault="00B10EBB" w:rsidP="00475712">
            <w:pPr>
              <w:rPr>
                <w:sz w:val="18"/>
                <w:szCs w:val="18"/>
              </w:rPr>
            </w:pPr>
            <w:r w:rsidRPr="00B10EBB">
              <w:rPr>
                <w:sz w:val="18"/>
                <w:szCs w:val="18"/>
              </w:rPr>
              <w:t>3.3</w:t>
            </w:r>
          </w:p>
        </w:tc>
        <w:tc>
          <w:tcPr>
            <w:tcW w:w="520" w:type="dxa"/>
          </w:tcPr>
          <w:p w:rsidR="00B10EBB" w:rsidRPr="00B10EBB" w:rsidRDefault="00B10EBB" w:rsidP="00475712">
            <w:pPr>
              <w:rPr>
                <w:sz w:val="18"/>
                <w:szCs w:val="18"/>
              </w:rPr>
            </w:pPr>
            <w:r w:rsidRPr="00B10EBB">
              <w:rPr>
                <w:sz w:val="18"/>
                <w:szCs w:val="18"/>
              </w:rPr>
              <w:t>3.4</w:t>
            </w:r>
          </w:p>
        </w:tc>
        <w:tc>
          <w:tcPr>
            <w:tcW w:w="735" w:type="dxa"/>
          </w:tcPr>
          <w:p w:rsidR="00B10EBB" w:rsidRPr="00B10EBB" w:rsidRDefault="00B10EBB" w:rsidP="00475712">
            <w:pPr>
              <w:rPr>
                <w:sz w:val="18"/>
                <w:szCs w:val="18"/>
              </w:rPr>
            </w:pPr>
            <w:r w:rsidRPr="00B10EBB">
              <w:rPr>
                <w:sz w:val="18"/>
                <w:szCs w:val="18"/>
              </w:rPr>
              <w:t>3.5.1.2</w:t>
            </w:r>
          </w:p>
        </w:tc>
        <w:tc>
          <w:tcPr>
            <w:tcW w:w="594" w:type="dxa"/>
          </w:tcPr>
          <w:p w:rsidR="00B10EBB" w:rsidRPr="00B10EBB" w:rsidRDefault="00B10EBB" w:rsidP="00475712">
            <w:pPr>
              <w:rPr>
                <w:sz w:val="18"/>
                <w:szCs w:val="18"/>
              </w:rPr>
            </w:pPr>
            <w:r w:rsidRPr="00B10EBB">
              <w:rPr>
                <w:sz w:val="18"/>
                <w:szCs w:val="18"/>
              </w:rPr>
              <w:t>3.2.1</w:t>
            </w:r>
          </w:p>
        </w:tc>
        <w:tc>
          <w:tcPr>
            <w:tcW w:w="909" w:type="dxa"/>
          </w:tcPr>
          <w:p w:rsidR="00B10EBB" w:rsidRPr="00B10EBB" w:rsidRDefault="00B10EBB" w:rsidP="00475712">
            <w:pPr>
              <w:rPr>
                <w:sz w:val="18"/>
                <w:szCs w:val="18"/>
              </w:rPr>
            </w:pPr>
            <w:r w:rsidRPr="00B10EBB">
              <w:rPr>
                <w:sz w:val="18"/>
                <w:szCs w:val="18"/>
              </w:rPr>
              <w:t>8.1.5</w:t>
            </w:r>
          </w:p>
        </w:tc>
        <w:tc>
          <w:tcPr>
            <w:tcW w:w="657" w:type="dxa"/>
          </w:tcPr>
          <w:p w:rsidR="00B10EBB" w:rsidRPr="00B10EBB" w:rsidRDefault="00B10EBB" w:rsidP="00475712">
            <w:pPr>
              <w:rPr>
                <w:sz w:val="18"/>
                <w:szCs w:val="18"/>
              </w:rPr>
            </w:pPr>
            <w:r w:rsidRPr="00B10EBB">
              <w:rPr>
                <w:sz w:val="18"/>
                <w:szCs w:val="18"/>
              </w:rPr>
              <w:t>7.1.6</w:t>
            </w:r>
          </w:p>
        </w:tc>
        <w:tc>
          <w:tcPr>
            <w:tcW w:w="594" w:type="dxa"/>
          </w:tcPr>
          <w:p w:rsidR="00B10EBB" w:rsidRPr="00B10EBB" w:rsidRDefault="00B10EBB" w:rsidP="00475712">
            <w:pPr>
              <w:rPr>
                <w:sz w:val="18"/>
                <w:szCs w:val="18"/>
              </w:rPr>
            </w:pPr>
            <w:r w:rsidRPr="00B10EBB">
              <w:rPr>
                <w:sz w:val="18"/>
                <w:szCs w:val="18"/>
              </w:rPr>
              <w:t>7.1.6</w:t>
            </w:r>
          </w:p>
        </w:tc>
        <w:tc>
          <w:tcPr>
            <w:tcW w:w="594" w:type="dxa"/>
          </w:tcPr>
          <w:p w:rsidR="00B10EBB" w:rsidRPr="00B10EBB" w:rsidRDefault="00B10EBB" w:rsidP="00475712">
            <w:pPr>
              <w:rPr>
                <w:sz w:val="18"/>
                <w:szCs w:val="18"/>
              </w:rPr>
            </w:pPr>
            <w:r w:rsidRPr="00B10EBB">
              <w:rPr>
                <w:sz w:val="18"/>
                <w:szCs w:val="18"/>
              </w:rPr>
              <w:t>7.1.5</w:t>
            </w:r>
          </w:p>
        </w:tc>
        <w:tc>
          <w:tcPr>
            <w:tcW w:w="594" w:type="dxa"/>
          </w:tcPr>
          <w:p w:rsidR="00B10EBB" w:rsidRPr="00B10EBB" w:rsidRDefault="00B10EBB" w:rsidP="00475712">
            <w:pPr>
              <w:rPr>
                <w:sz w:val="18"/>
                <w:szCs w:val="18"/>
              </w:rPr>
            </w:pPr>
            <w:r w:rsidRPr="00B10EBB">
              <w:rPr>
                <w:sz w:val="18"/>
                <w:szCs w:val="18"/>
              </w:rPr>
              <w:t>3.2.1</w:t>
            </w:r>
          </w:p>
        </w:tc>
      </w:tr>
      <w:tr w:rsidR="00B10EBB" w:rsidRPr="00B10EBB" w:rsidTr="00C90E4A">
        <w:trPr>
          <w:cantSplit/>
          <w:trHeight w:val="2849"/>
        </w:trPr>
        <w:tc>
          <w:tcPr>
            <w:tcW w:w="592" w:type="dxa"/>
            <w:textDirection w:val="tbRl"/>
          </w:tcPr>
          <w:p w:rsidR="00B10EBB" w:rsidRPr="00B10EBB" w:rsidRDefault="00B10EBB" w:rsidP="00B10EBB">
            <w:pPr>
              <w:ind w:left="113" w:right="113"/>
              <w:rPr>
                <w:sz w:val="18"/>
                <w:szCs w:val="18"/>
              </w:rPr>
            </w:pPr>
            <w:r w:rsidRPr="00B10EBB">
              <w:rPr>
                <w:sz w:val="18"/>
                <w:szCs w:val="18"/>
              </w:rPr>
              <w:t>UN no./substance no.</w:t>
            </w:r>
          </w:p>
        </w:tc>
        <w:tc>
          <w:tcPr>
            <w:tcW w:w="567" w:type="dxa"/>
          </w:tcPr>
          <w:p w:rsidR="00B10EBB" w:rsidRPr="00B10EBB" w:rsidRDefault="00B10EBB" w:rsidP="00B10EBB">
            <w:pPr>
              <w:rPr>
                <w:sz w:val="18"/>
                <w:szCs w:val="18"/>
              </w:rPr>
            </w:pPr>
            <w:r w:rsidRPr="00B10EBB">
              <w:rPr>
                <w:sz w:val="18"/>
                <w:szCs w:val="18"/>
              </w:rPr>
              <w:t>Name and description</w:t>
            </w:r>
          </w:p>
        </w:tc>
        <w:tc>
          <w:tcPr>
            <w:tcW w:w="520" w:type="dxa"/>
            <w:textDirection w:val="tbRl"/>
          </w:tcPr>
          <w:p w:rsidR="00B10EBB" w:rsidRPr="00B10EBB" w:rsidRDefault="00B10EBB" w:rsidP="00B10EBB">
            <w:pPr>
              <w:ind w:left="113" w:right="113"/>
              <w:rPr>
                <w:sz w:val="18"/>
                <w:szCs w:val="18"/>
              </w:rPr>
            </w:pPr>
            <w:r w:rsidRPr="00B10EBB">
              <w:rPr>
                <w:sz w:val="18"/>
                <w:szCs w:val="18"/>
              </w:rPr>
              <w:t>Class</w:t>
            </w:r>
          </w:p>
        </w:tc>
        <w:tc>
          <w:tcPr>
            <w:tcW w:w="531" w:type="dxa"/>
            <w:textDirection w:val="tbRl"/>
          </w:tcPr>
          <w:p w:rsidR="00B10EBB" w:rsidRPr="00B10EBB" w:rsidRDefault="00B10EBB" w:rsidP="00B10EBB">
            <w:pPr>
              <w:ind w:left="113" w:right="113"/>
              <w:rPr>
                <w:sz w:val="18"/>
                <w:szCs w:val="18"/>
              </w:rPr>
            </w:pPr>
            <w:r w:rsidRPr="00B10EBB">
              <w:rPr>
                <w:sz w:val="18"/>
                <w:szCs w:val="18"/>
              </w:rPr>
              <w:t>Classification code</w:t>
            </w:r>
          </w:p>
        </w:tc>
        <w:tc>
          <w:tcPr>
            <w:tcW w:w="735" w:type="dxa"/>
            <w:textDirection w:val="tbRl"/>
          </w:tcPr>
          <w:p w:rsidR="00B10EBB" w:rsidRPr="00B10EBB" w:rsidRDefault="00B10EBB" w:rsidP="00B10EBB">
            <w:pPr>
              <w:ind w:left="113" w:right="113"/>
              <w:rPr>
                <w:sz w:val="18"/>
                <w:szCs w:val="18"/>
              </w:rPr>
            </w:pPr>
            <w:r w:rsidRPr="00B10EBB">
              <w:rPr>
                <w:sz w:val="18"/>
                <w:szCs w:val="18"/>
              </w:rPr>
              <w:t>Packing group</w:t>
            </w:r>
          </w:p>
        </w:tc>
        <w:tc>
          <w:tcPr>
            <w:tcW w:w="594" w:type="dxa"/>
            <w:textDirection w:val="tbRl"/>
          </w:tcPr>
          <w:p w:rsidR="00B10EBB" w:rsidRPr="00B10EBB" w:rsidRDefault="00B10EBB" w:rsidP="00B10EBB">
            <w:pPr>
              <w:ind w:left="113" w:right="113"/>
              <w:rPr>
                <w:sz w:val="18"/>
                <w:szCs w:val="18"/>
              </w:rPr>
            </w:pPr>
            <w:r w:rsidRPr="00B10EBB">
              <w:rPr>
                <w:sz w:val="18"/>
                <w:szCs w:val="18"/>
              </w:rPr>
              <w:t>Labels</w:t>
            </w:r>
          </w:p>
        </w:tc>
        <w:tc>
          <w:tcPr>
            <w:tcW w:w="462" w:type="dxa"/>
            <w:textDirection w:val="tbRl"/>
          </w:tcPr>
          <w:p w:rsidR="00B10EBB" w:rsidRPr="00B10EBB" w:rsidRDefault="00B10EBB" w:rsidP="00B10EBB">
            <w:pPr>
              <w:ind w:left="113" w:right="113"/>
              <w:rPr>
                <w:sz w:val="18"/>
                <w:szCs w:val="18"/>
              </w:rPr>
            </w:pPr>
            <w:r w:rsidRPr="00B10EBB">
              <w:rPr>
                <w:sz w:val="18"/>
                <w:szCs w:val="18"/>
              </w:rPr>
              <w:t>Special provisions</w:t>
            </w:r>
          </w:p>
        </w:tc>
        <w:tc>
          <w:tcPr>
            <w:tcW w:w="520" w:type="dxa"/>
            <w:textDirection w:val="tbRl"/>
          </w:tcPr>
          <w:p w:rsidR="00B10EBB" w:rsidRPr="00B10EBB" w:rsidRDefault="00B10EBB" w:rsidP="00B10EBB">
            <w:pPr>
              <w:ind w:left="113" w:right="113"/>
              <w:rPr>
                <w:sz w:val="18"/>
                <w:szCs w:val="18"/>
              </w:rPr>
            </w:pPr>
            <w:r w:rsidRPr="00B10EBB">
              <w:rPr>
                <w:sz w:val="18"/>
                <w:szCs w:val="18"/>
              </w:rPr>
              <w:t>Limited quantity</w:t>
            </w:r>
          </w:p>
        </w:tc>
        <w:tc>
          <w:tcPr>
            <w:tcW w:w="735" w:type="dxa"/>
            <w:textDirection w:val="tbRl"/>
          </w:tcPr>
          <w:p w:rsidR="00B10EBB" w:rsidRPr="00B10EBB" w:rsidRDefault="00B10EBB" w:rsidP="00B10EBB">
            <w:pPr>
              <w:ind w:left="113" w:right="113"/>
              <w:rPr>
                <w:sz w:val="18"/>
                <w:szCs w:val="18"/>
              </w:rPr>
            </w:pPr>
            <w:r w:rsidRPr="00B10EBB">
              <w:rPr>
                <w:sz w:val="18"/>
                <w:szCs w:val="18"/>
              </w:rPr>
              <w:t>Excepted quantity</w:t>
            </w:r>
          </w:p>
        </w:tc>
        <w:tc>
          <w:tcPr>
            <w:tcW w:w="594" w:type="dxa"/>
            <w:textDirection w:val="tbRl"/>
          </w:tcPr>
          <w:p w:rsidR="00B10EBB" w:rsidRPr="00B10EBB" w:rsidRDefault="00B10EBB" w:rsidP="00B10EBB">
            <w:pPr>
              <w:ind w:left="113" w:right="113"/>
              <w:rPr>
                <w:sz w:val="18"/>
                <w:szCs w:val="18"/>
              </w:rPr>
            </w:pPr>
            <w:r w:rsidRPr="00B10EBB">
              <w:rPr>
                <w:sz w:val="18"/>
                <w:szCs w:val="18"/>
              </w:rPr>
              <w:t>Carriage permitted</w:t>
            </w:r>
          </w:p>
        </w:tc>
        <w:tc>
          <w:tcPr>
            <w:tcW w:w="909" w:type="dxa"/>
            <w:textDirection w:val="tbRl"/>
          </w:tcPr>
          <w:p w:rsidR="00B10EBB" w:rsidRPr="00B10EBB" w:rsidRDefault="00B10EBB" w:rsidP="00B10EBB">
            <w:pPr>
              <w:ind w:left="113" w:right="113"/>
              <w:rPr>
                <w:sz w:val="18"/>
                <w:szCs w:val="18"/>
              </w:rPr>
            </w:pPr>
            <w:r w:rsidRPr="00B10EBB">
              <w:rPr>
                <w:sz w:val="18"/>
                <w:szCs w:val="18"/>
              </w:rPr>
              <w:t>Equipment required</w:t>
            </w:r>
          </w:p>
        </w:tc>
        <w:tc>
          <w:tcPr>
            <w:tcW w:w="657" w:type="dxa"/>
            <w:textDirection w:val="tbRl"/>
          </w:tcPr>
          <w:p w:rsidR="00B10EBB" w:rsidRPr="00B10EBB" w:rsidRDefault="00B10EBB" w:rsidP="00B10EBB">
            <w:pPr>
              <w:ind w:left="113" w:right="113"/>
              <w:rPr>
                <w:sz w:val="18"/>
                <w:szCs w:val="18"/>
              </w:rPr>
            </w:pPr>
            <w:r w:rsidRPr="00B10EBB">
              <w:rPr>
                <w:sz w:val="18"/>
                <w:szCs w:val="18"/>
              </w:rPr>
              <w:t>Ventilation</w:t>
            </w:r>
          </w:p>
        </w:tc>
        <w:tc>
          <w:tcPr>
            <w:tcW w:w="594" w:type="dxa"/>
            <w:textDirection w:val="tbRl"/>
            <w:vAlign w:val="center"/>
          </w:tcPr>
          <w:p w:rsidR="00B10EBB" w:rsidRPr="00B10EBB" w:rsidRDefault="00B10EBB" w:rsidP="00C90E4A">
            <w:pPr>
              <w:ind w:left="113" w:right="113"/>
              <w:rPr>
                <w:sz w:val="18"/>
                <w:szCs w:val="18"/>
              </w:rPr>
            </w:pPr>
            <w:r w:rsidRPr="00B10EBB">
              <w:rPr>
                <w:sz w:val="18"/>
                <w:szCs w:val="18"/>
              </w:rPr>
              <w:t>Measures to be taken during loading, unloading and carriage</w:t>
            </w:r>
          </w:p>
        </w:tc>
        <w:tc>
          <w:tcPr>
            <w:tcW w:w="594" w:type="dxa"/>
            <w:textDirection w:val="tbRl"/>
          </w:tcPr>
          <w:p w:rsidR="00B10EBB" w:rsidRPr="00B10EBB" w:rsidRDefault="00B10EBB" w:rsidP="00B10EBB">
            <w:pPr>
              <w:ind w:left="113" w:right="113"/>
              <w:rPr>
                <w:sz w:val="18"/>
                <w:szCs w:val="18"/>
              </w:rPr>
            </w:pPr>
            <w:r w:rsidRPr="00B10EBB">
              <w:rPr>
                <w:sz w:val="18"/>
                <w:szCs w:val="18"/>
              </w:rPr>
              <w:t>Number of blue lights</w:t>
            </w:r>
          </w:p>
        </w:tc>
        <w:tc>
          <w:tcPr>
            <w:tcW w:w="594" w:type="dxa"/>
            <w:textDirection w:val="tbRl"/>
          </w:tcPr>
          <w:p w:rsidR="00B10EBB" w:rsidRPr="00B10EBB" w:rsidRDefault="00B10EBB" w:rsidP="00B10EBB">
            <w:pPr>
              <w:ind w:left="113" w:right="113"/>
              <w:rPr>
                <w:sz w:val="18"/>
                <w:szCs w:val="18"/>
              </w:rPr>
            </w:pPr>
            <w:r w:rsidRPr="00B10EBB">
              <w:rPr>
                <w:sz w:val="18"/>
                <w:szCs w:val="18"/>
              </w:rPr>
              <w:t>Extra requirements or remarks</w:t>
            </w:r>
          </w:p>
        </w:tc>
      </w:tr>
      <w:tr w:rsidR="00B10EBB" w:rsidRPr="00B10EBB" w:rsidTr="00C90E4A">
        <w:tc>
          <w:tcPr>
            <w:tcW w:w="592" w:type="dxa"/>
          </w:tcPr>
          <w:p w:rsidR="00B10EBB" w:rsidRPr="00B10EBB" w:rsidRDefault="00B10EBB" w:rsidP="00475712">
            <w:pPr>
              <w:rPr>
                <w:sz w:val="18"/>
                <w:szCs w:val="18"/>
              </w:rPr>
            </w:pPr>
            <w:r w:rsidRPr="00B10EBB">
              <w:rPr>
                <w:sz w:val="18"/>
                <w:szCs w:val="18"/>
              </w:rPr>
              <w:t>1148</w:t>
            </w:r>
          </w:p>
        </w:tc>
        <w:tc>
          <w:tcPr>
            <w:tcW w:w="567" w:type="dxa"/>
          </w:tcPr>
          <w:p w:rsidR="00B10EBB" w:rsidRPr="00B10EBB" w:rsidRDefault="00B10EBB" w:rsidP="00475712">
            <w:pPr>
              <w:rPr>
                <w:sz w:val="18"/>
                <w:szCs w:val="18"/>
              </w:rPr>
            </w:pPr>
            <w:r>
              <w:rPr>
                <w:sz w:val="18"/>
                <w:szCs w:val="18"/>
              </w:rPr>
              <w:t>DIACETONE AL</w:t>
            </w:r>
            <w:r w:rsidRPr="00B10EBB">
              <w:rPr>
                <w:sz w:val="18"/>
                <w:szCs w:val="18"/>
              </w:rPr>
              <w:t>COHOL</w:t>
            </w:r>
          </w:p>
        </w:tc>
        <w:tc>
          <w:tcPr>
            <w:tcW w:w="520" w:type="dxa"/>
          </w:tcPr>
          <w:p w:rsidR="00B10EBB" w:rsidRPr="00B10EBB" w:rsidRDefault="00B10EBB" w:rsidP="00475712">
            <w:pPr>
              <w:rPr>
                <w:sz w:val="18"/>
                <w:szCs w:val="18"/>
              </w:rPr>
            </w:pPr>
            <w:r w:rsidRPr="00B10EBB">
              <w:rPr>
                <w:sz w:val="18"/>
                <w:szCs w:val="18"/>
              </w:rPr>
              <w:t>3</w:t>
            </w:r>
          </w:p>
        </w:tc>
        <w:tc>
          <w:tcPr>
            <w:tcW w:w="531" w:type="dxa"/>
          </w:tcPr>
          <w:p w:rsidR="00B10EBB" w:rsidRPr="00B10EBB" w:rsidRDefault="00B10EBB" w:rsidP="00475712">
            <w:pPr>
              <w:rPr>
                <w:sz w:val="18"/>
                <w:szCs w:val="18"/>
              </w:rPr>
            </w:pPr>
            <w:r w:rsidRPr="00B10EBB">
              <w:rPr>
                <w:sz w:val="18"/>
                <w:szCs w:val="18"/>
              </w:rPr>
              <w:t>F1</w:t>
            </w:r>
          </w:p>
        </w:tc>
        <w:tc>
          <w:tcPr>
            <w:tcW w:w="735" w:type="dxa"/>
          </w:tcPr>
          <w:p w:rsidR="00B10EBB" w:rsidRPr="00B10EBB" w:rsidRDefault="00B10EBB" w:rsidP="00475712">
            <w:pPr>
              <w:rPr>
                <w:sz w:val="18"/>
                <w:szCs w:val="18"/>
              </w:rPr>
            </w:pPr>
            <w:r w:rsidRPr="00B10EBB">
              <w:rPr>
                <w:sz w:val="18"/>
                <w:szCs w:val="18"/>
              </w:rPr>
              <w:t>III</w:t>
            </w:r>
          </w:p>
        </w:tc>
        <w:tc>
          <w:tcPr>
            <w:tcW w:w="594" w:type="dxa"/>
          </w:tcPr>
          <w:p w:rsidR="00B10EBB" w:rsidRPr="00B10EBB" w:rsidRDefault="00B10EBB" w:rsidP="00475712">
            <w:pPr>
              <w:rPr>
                <w:sz w:val="18"/>
                <w:szCs w:val="18"/>
              </w:rPr>
            </w:pPr>
            <w:r w:rsidRPr="00B10EBB">
              <w:rPr>
                <w:sz w:val="18"/>
                <w:szCs w:val="18"/>
              </w:rPr>
              <w:t>3</w:t>
            </w:r>
          </w:p>
        </w:tc>
        <w:tc>
          <w:tcPr>
            <w:tcW w:w="462" w:type="dxa"/>
          </w:tcPr>
          <w:p w:rsidR="00B10EBB" w:rsidRPr="00B10EBB" w:rsidRDefault="00B10EBB" w:rsidP="00475712">
            <w:pPr>
              <w:rPr>
                <w:sz w:val="18"/>
                <w:szCs w:val="18"/>
              </w:rPr>
            </w:pPr>
            <w:r w:rsidRPr="00B10EBB">
              <w:rPr>
                <w:sz w:val="18"/>
                <w:szCs w:val="18"/>
              </w:rPr>
              <w:t>---</w:t>
            </w:r>
          </w:p>
        </w:tc>
        <w:tc>
          <w:tcPr>
            <w:tcW w:w="520" w:type="dxa"/>
          </w:tcPr>
          <w:p w:rsidR="00B10EBB" w:rsidRPr="00B10EBB" w:rsidRDefault="00B10EBB" w:rsidP="00475712">
            <w:pPr>
              <w:rPr>
                <w:sz w:val="18"/>
                <w:szCs w:val="18"/>
              </w:rPr>
            </w:pPr>
            <w:r w:rsidRPr="00B10EBB">
              <w:rPr>
                <w:sz w:val="18"/>
                <w:szCs w:val="18"/>
              </w:rPr>
              <w:t>5I</w:t>
            </w:r>
          </w:p>
        </w:tc>
        <w:tc>
          <w:tcPr>
            <w:tcW w:w="735" w:type="dxa"/>
          </w:tcPr>
          <w:p w:rsidR="00B10EBB" w:rsidRPr="00B10EBB" w:rsidRDefault="00B10EBB" w:rsidP="00475712">
            <w:pPr>
              <w:rPr>
                <w:sz w:val="18"/>
                <w:szCs w:val="18"/>
              </w:rPr>
            </w:pPr>
            <w:r w:rsidRPr="00B10EBB">
              <w:rPr>
                <w:sz w:val="18"/>
                <w:szCs w:val="18"/>
              </w:rPr>
              <w:t>E1</w:t>
            </w:r>
          </w:p>
        </w:tc>
        <w:tc>
          <w:tcPr>
            <w:tcW w:w="594" w:type="dxa"/>
          </w:tcPr>
          <w:p w:rsidR="00B10EBB" w:rsidRPr="00B10EBB" w:rsidRDefault="00B10EBB" w:rsidP="00475712">
            <w:pPr>
              <w:rPr>
                <w:sz w:val="18"/>
                <w:szCs w:val="18"/>
              </w:rPr>
            </w:pPr>
            <w:r w:rsidRPr="00B10EBB">
              <w:rPr>
                <w:sz w:val="18"/>
                <w:szCs w:val="18"/>
              </w:rPr>
              <w:t>---</w:t>
            </w:r>
          </w:p>
        </w:tc>
        <w:tc>
          <w:tcPr>
            <w:tcW w:w="909" w:type="dxa"/>
          </w:tcPr>
          <w:p w:rsidR="00B10EBB" w:rsidRPr="00B10EBB" w:rsidRDefault="00B10EBB" w:rsidP="00475712">
            <w:pPr>
              <w:rPr>
                <w:sz w:val="18"/>
                <w:szCs w:val="18"/>
              </w:rPr>
            </w:pPr>
            <w:r w:rsidRPr="00B10EBB">
              <w:rPr>
                <w:sz w:val="18"/>
                <w:szCs w:val="18"/>
              </w:rPr>
              <w:t>PP,A,EX</w:t>
            </w:r>
          </w:p>
        </w:tc>
        <w:tc>
          <w:tcPr>
            <w:tcW w:w="657" w:type="dxa"/>
          </w:tcPr>
          <w:p w:rsidR="00B10EBB" w:rsidRPr="00B10EBB" w:rsidRDefault="00B10EBB" w:rsidP="00475712">
            <w:pPr>
              <w:rPr>
                <w:sz w:val="18"/>
                <w:szCs w:val="18"/>
              </w:rPr>
            </w:pPr>
            <w:r w:rsidRPr="00B10EBB">
              <w:rPr>
                <w:sz w:val="18"/>
                <w:szCs w:val="18"/>
              </w:rPr>
              <w:t>VE01</w:t>
            </w:r>
          </w:p>
        </w:tc>
        <w:tc>
          <w:tcPr>
            <w:tcW w:w="594" w:type="dxa"/>
          </w:tcPr>
          <w:p w:rsidR="00B10EBB" w:rsidRPr="00B10EBB" w:rsidRDefault="00B10EBB" w:rsidP="00475712">
            <w:pPr>
              <w:rPr>
                <w:sz w:val="18"/>
                <w:szCs w:val="18"/>
              </w:rPr>
            </w:pPr>
          </w:p>
        </w:tc>
        <w:tc>
          <w:tcPr>
            <w:tcW w:w="594" w:type="dxa"/>
          </w:tcPr>
          <w:p w:rsidR="00B10EBB" w:rsidRPr="00B10EBB" w:rsidRDefault="00B10EBB" w:rsidP="00475712">
            <w:pPr>
              <w:rPr>
                <w:sz w:val="18"/>
                <w:szCs w:val="18"/>
              </w:rPr>
            </w:pPr>
            <w:r w:rsidRPr="00B10EBB">
              <w:rPr>
                <w:sz w:val="18"/>
                <w:szCs w:val="18"/>
              </w:rPr>
              <w:t>0</w:t>
            </w:r>
          </w:p>
        </w:tc>
        <w:tc>
          <w:tcPr>
            <w:tcW w:w="594" w:type="dxa"/>
          </w:tcPr>
          <w:p w:rsidR="00B10EBB" w:rsidRPr="00B10EBB" w:rsidRDefault="00B10EBB" w:rsidP="00475712">
            <w:pPr>
              <w:rPr>
                <w:sz w:val="18"/>
                <w:szCs w:val="18"/>
              </w:rPr>
            </w:pPr>
          </w:p>
        </w:tc>
      </w:tr>
    </w:tbl>
    <w:p w:rsidR="00B10EBB" w:rsidRDefault="00B10EBB" w:rsidP="00B10EBB"/>
    <w:p w:rsidR="00B10EBB" w:rsidRPr="00C90E4A" w:rsidRDefault="00B10EBB" w:rsidP="00B10EBB">
      <w:pPr>
        <w:pStyle w:val="SingleTxtG"/>
        <w:rPr>
          <w:b/>
        </w:rPr>
      </w:pPr>
      <w:r w:rsidRPr="00C90E4A">
        <w:rPr>
          <w:b/>
        </w:rPr>
        <w:t>The following requirements apply to the transport:</w:t>
      </w:r>
    </w:p>
    <w:p w:rsidR="00B10EBB" w:rsidRDefault="00C90E4A" w:rsidP="00B10EBB">
      <w:pPr>
        <w:pStyle w:val="SingleTxtG"/>
      </w:pPr>
      <w:r>
        <w:t>1.</w:t>
      </w:r>
      <w:r>
        <w:tab/>
      </w:r>
      <w:r w:rsidR="00B10EBB" w:rsidRPr="00B10EBB">
        <w:t>The transport must take place with a classified tank vessel:</w:t>
      </w:r>
    </w:p>
    <w:p w:rsidR="00B10EBB" w:rsidRDefault="00B10EBB" w:rsidP="00C90E4A">
      <w:pPr>
        <w:pStyle w:val="SingleTxtG"/>
        <w:ind w:left="1701"/>
      </w:pPr>
      <w:r w:rsidRPr="00B10EBB">
        <w:t>a. type N (condition of cargo tank / type of cargo tank) 3.2 / 2.2 / 2.3</w:t>
      </w:r>
    </w:p>
    <w:p w:rsidR="00B10EBB" w:rsidRPr="00B10EBB" w:rsidRDefault="00B10EBB" w:rsidP="00C90E4A">
      <w:pPr>
        <w:pStyle w:val="SingleTxtG"/>
        <w:ind w:left="1701"/>
      </w:pPr>
      <w:r w:rsidRPr="00B10EBB">
        <w:t>b. type C</w:t>
      </w:r>
    </w:p>
    <w:p w:rsidR="00B10EBB" w:rsidRPr="00B10EBB" w:rsidRDefault="00C90E4A" w:rsidP="00C90E4A">
      <w:pPr>
        <w:pStyle w:val="SingleTxtG"/>
      </w:pPr>
      <w:r>
        <w:t>2.</w:t>
      </w:r>
      <w:r>
        <w:tab/>
      </w:r>
      <w:r w:rsidR="00B10EBB" w:rsidRPr="00B10EBB">
        <w:t>The transport must take place according to the minimum requirements stated in the request.</w:t>
      </w:r>
    </w:p>
    <w:p w:rsidR="00B10EBB" w:rsidRPr="00C90E4A" w:rsidRDefault="00C90E4A" w:rsidP="00C90E4A">
      <w:pPr>
        <w:pStyle w:val="SingleTxtG"/>
        <w:spacing w:before="240" w:after="0"/>
        <w:jc w:val="center"/>
        <w:rPr>
          <w:u w:val="single"/>
        </w:rPr>
      </w:pPr>
      <w:r>
        <w:rPr>
          <w:u w:val="single"/>
        </w:rPr>
        <w:tab/>
      </w:r>
      <w:r>
        <w:rPr>
          <w:u w:val="single"/>
        </w:rPr>
        <w:tab/>
      </w:r>
      <w:r>
        <w:rPr>
          <w:u w:val="single"/>
        </w:rPr>
        <w:tab/>
      </w:r>
    </w:p>
    <w:sectPr w:rsidR="00B10EBB" w:rsidRPr="00C90E4A" w:rsidSect="00C90E4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7B0" w:rsidRDefault="00F537B0"/>
  </w:endnote>
  <w:endnote w:type="continuationSeparator" w:id="0">
    <w:p w:rsidR="00F537B0" w:rsidRDefault="00F537B0"/>
  </w:endnote>
  <w:endnote w:type="continuationNotice" w:id="1">
    <w:p w:rsidR="00F537B0" w:rsidRDefault="00F53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7F" w:rsidRPr="00843878" w:rsidRDefault="0097737F" w:rsidP="00843878">
    <w:pPr>
      <w:pStyle w:val="Footer"/>
      <w:tabs>
        <w:tab w:val="right" w:pos="9598"/>
      </w:tabs>
    </w:pPr>
    <w:r w:rsidRPr="00843878">
      <w:rPr>
        <w:b/>
        <w:sz w:val="18"/>
      </w:rPr>
      <w:fldChar w:fldCharType="begin"/>
    </w:r>
    <w:r w:rsidRPr="00843878">
      <w:rPr>
        <w:b/>
        <w:sz w:val="18"/>
      </w:rPr>
      <w:instrText xml:space="preserve"> PAGE  \* MERGEFORMAT </w:instrText>
    </w:r>
    <w:r w:rsidRPr="00843878">
      <w:rPr>
        <w:b/>
        <w:sz w:val="18"/>
      </w:rPr>
      <w:fldChar w:fldCharType="separate"/>
    </w:r>
    <w:r w:rsidR="00AC6C1D">
      <w:rPr>
        <w:b/>
        <w:noProof/>
        <w:sz w:val="18"/>
      </w:rPr>
      <w:t>4</w:t>
    </w:r>
    <w:r w:rsidRPr="0084387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7F" w:rsidRPr="00843878" w:rsidRDefault="0097737F" w:rsidP="00843878">
    <w:pPr>
      <w:pStyle w:val="Footer"/>
      <w:tabs>
        <w:tab w:val="right" w:pos="9598"/>
      </w:tabs>
      <w:rPr>
        <w:b/>
        <w:sz w:val="18"/>
      </w:rPr>
    </w:pPr>
    <w:r>
      <w:tab/>
    </w:r>
    <w:r w:rsidRPr="00843878">
      <w:rPr>
        <w:b/>
        <w:sz w:val="18"/>
      </w:rPr>
      <w:fldChar w:fldCharType="begin"/>
    </w:r>
    <w:r w:rsidRPr="00843878">
      <w:rPr>
        <w:b/>
        <w:sz w:val="18"/>
      </w:rPr>
      <w:instrText xml:space="preserve"> PAGE  \* MERGEFORMAT </w:instrText>
    </w:r>
    <w:r w:rsidRPr="00843878">
      <w:rPr>
        <w:b/>
        <w:sz w:val="18"/>
      </w:rPr>
      <w:fldChar w:fldCharType="separate"/>
    </w:r>
    <w:r w:rsidR="00AC6C1D">
      <w:rPr>
        <w:b/>
        <w:noProof/>
        <w:sz w:val="18"/>
      </w:rPr>
      <w:t>3</w:t>
    </w:r>
    <w:r w:rsidRPr="008438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7F" w:rsidRPr="00643800" w:rsidRDefault="00643800" w:rsidP="00643800">
    <w:pPr>
      <w:tabs>
        <w:tab w:val="right" w:pos="9598"/>
      </w:tabs>
      <w:spacing w:line="240" w:lineRule="auto"/>
      <w:jc w:val="right"/>
      <w:rPr>
        <w:b/>
        <w:sz w:val="18"/>
      </w:rPr>
    </w:pPr>
    <w:r w:rsidRPr="00643800">
      <w:rPr>
        <w:b/>
        <w:sz w:val="18"/>
      </w:rPr>
      <w:fldChar w:fldCharType="begin"/>
    </w:r>
    <w:r w:rsidRPr="00643800">
      <w:rPr>
        <w:b/>
        <w:sz w:val="18"/>
      </w:rPr>
      <w:instrText xml:space="preserve"> PAGE  \* MERGEFORMAT </w:instrText>
    </w:r>
    <w:r w:rsidRPr="00643800">
      <w:rPr>
        <w:b/>
        <w:sz w:val="18"/>
      </w:rPr>
      <w:fldChar w:fldCharType="separate"/>
    </w:r>
    <w:r w:rsidR="00AC6C1D">
      <w:rPr>
        <w:b/>
        <w:noProof/>
        <w:sz w:val="18"/>
      </w:rPr>
      <w:t>1</w:t>
    </w:r>
    <w:r w:rsidRPr="0064380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7B0" w:rsidRPr="000B175B" w:rsidRDefault="00F537B0" w:rsidP="000B175B">
      <w:pPr>
        <w:tabs>
          <w:tab w:val="right" w:pos="2155"/>
        </w:tabs>
        <w:spacing w:after="80"/>
        <w:ind w:left="680"/>
        <w:rPr>
          <w:u w:val="single"/>
        </w:rPr>
      </w:pPr>
      <w:r>
        <w:rPr>
          <w:u w:val="single"/>
        </w:rPr>
        <w:tab/>
      </w:r>
    </w:p>
  </w:footnote>
  <w:footnote w:type="continuationSeparator" w:id="0">
    <w:p w:rsidR="00F537B0" w:rsidRPr="00FC68B7" w:rsidRDefault="00F537B0" w:rsidP="00FC68B7">
      <w:pPr>
        <w:tabs>
          <w:tab w:val="left" w:pos="2155"/>
        </w:tabs>
        <w:spacing w:after="80"/>
        <w:ind w:left="680"/>
        <w:rPr>
          <w:u w:val="single"/>
        </w:rPr>
      </w:pPr>
      <w:r>
        <w:rPr>
          <w:u w:val="single"/>
        </w:rPr>
        <w:tab/>
      </w:r>
    </w:p>
  </w:footnote>
  <w:footnote w:type="continuationNotice" w:id="1">
    <w:p w:rsidR="00F537B0" w:rsidRDefault="00F537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7F" w:rsidRPr="00643800" w:rsidRDefault="00643800" w:rsidP="00643800">
    <w:pPr>
      <w:pBdr>
        <w:bottom w:val="single" w:sz="4" w:space="1" w:color="auto"/>
      </w:pBdr>
      <w:rPr>
        <w:b/>
        <w:sz w:val="18"/>
        <w:szCs w:val="18"/>
      </w:rPr>
    </w:pPr>
    <w:r w:rsidRPr="00643800">
      <w:rPr>
        <w:b/>
        <w:sz w:val="18"/>
        <w:szCs w:val="18"/>
        <w:lang w:val="fr-CH"/>
      </w:rPr>
      <w:t>WP.15/AC.2/29/</w:t>
    </w:r>
    <w:r>
      <w:rPr>
        <w:b/>
        <w:sz w:val="18"/>
        <w:szCs w:val="18"/>
      </w:rPr>
      <w:t>INF.19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7F" w:rsidRPr="00841BFC" w:rsidRDefault="00841BFC" w:rsidP="00841BFC">
    <w:pPr>
      <w:pStyle w:val="Header"/>
      <w:jc w:val="right"/>
    </w:pPr>
    <w:r w:rsidRPr="00841BFC">
      <w:t>WP.15/AC.2/29/INF.19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337A57"/>
    <w:multiLevelType w:val="hybridMultilevel"/>
    <w:tmpl w:val="57BAE63A"/>
    <w:lvl w:ilvl="0" w:tplc="BF7817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5A0A80"/>
    <w:multiLevelType w:val="hybridMultilevel"/>
    <w:tmpl w:val="8E643D9C"/>
    <w:lvl w:ilvl="0" w:tplc="D6949A5E">
      <w:start w:val="1"/>
      <w:numFmt w:val="decimal"/>
      <w:lvlText w:val="%1."/>
      <w:lvlJc w:val="left"/>
      <w:pPr>
        <w:ind w:left="464" w:hanging="360"/>
      </w:pPr>
      <w:rPr>
        <w:rFonts w:eastAsia="Calibri" w:hint="default"/>
        <w:b w:val="0"/>
      </w:rPr>
    </w:lvl>
    <w:lvl w:ilvl="1" w:tplc="04130019" w:tentative="1">
      <w:start w:val="1"/>
      <w:numFmt w:val="lowerLetter"/>
      <w:lvlText w:val="%2."/>
      <w:lvlJc w:val="left"/>
      <w:pPr>
        <w:ind w:left="1184" w:hanging="360"/>
      </w:pPr>
    </w:lvl>
    <w:lvl w:ilvl="2" w:tplc="0413001B" w:tentative="1">
      <w:start w:val="1"/>
      <w:numFmt w:val="lowerRoman"/>
      <w:lvlText w:val="%3."/>
      <w:lvlJc w:val="right"/>
      <w:pPr>
        <w:ind w:left="1904" w:hanging="180"/>
      </w:pPr>
    </w:lvl>
    <w:lvl w:ilvl="3" w:tplc="0413000F" w:tentative="1">
      <w:start w:val="1"/>
      <w:numFmt w:val="decimal"/>
      <w:lvlText w:val="%4."/>
      <w:lvlJc w:val="left"/>
      <w:pPr>
        <w:ind w:left="2624" w:hanging="360"/>
      </w:pPr>
    </w:lvl>
    <w:lvl w:ilvl="4" w:tplc="04130019" w:tentative="1">
      <w:start w:val="1"/>
      <w:numFmt w:val="lowerLetter"/>
      <w:lvlText w:val="%5."/>
      <w:lvlJc w:val="left"/>
      <w:pPr>
        <w:ind w:left="3344" w:hanging="360"/>
      </w:pPr>
    </w:lvl>
    <w:lvl w:ilvl="5" w:tplc="0413001B" w:tentative="1">
      <w:start w:val="1"/>
      <w:numFmt w:val="lowerRoman"/>
      <w:lvlText w:val="%6."/>
      <w:lvlJc w:val="right"/>
      <w:pPr>
        <w:ind w:left="4064" w:hanging="180"/>
      </w:pPr>
    </w:lvl>
    <w:lvl w:ilvl="6" w:tplc="0413000F" w:tentative="1">
      <w:start w:val="1"/>
      <w:numFmt w:val="decimal"/>
      <w:lvlText w:val="%7."/>
      <w:lvlJc w:val="left"/>
      <w:pPr>
        <w:ind w:left="4784" w:hanging="360"/>
      </w:pPr>
    </w:lvl>
    <w:lvl w:ilvl="7" w:tplc="04130019" w:tentative="1">
      <w:start w:val="1"/>
      <w:numFmt w:val="lowerLetter"/>
      <w:lvlText w:val="%8."/>
      <w:lvlJc w:val="left"/>
      <w:pPr>
        <w:ind w:left="5504" w:hanging="360"/>
      </w:pPr>
    </w:lvl>
    <w:lvl w:ilvl="8" w:tplc="0413001B" w:tentative="1">
      <w:start w:val="1"/>
      <w:numFmt w:val="lowerRoman"/>
      <w:lvlText w:val="%9."/>
      <w:lvlJc w:val="right"/>
      <w:pPr>
        <w:ind w:left="6224" w:hanging="180"/>
      </w:pPr>
    </w:lvl>
  </w:abstractNum>
  <w:abstractNum w:abstractNumId="14" w15:restartNumberingAfterBreak="0">
    <w:nsid w:val="0F1C524C"/>
    <w:multiLevelType w:val="hybridMultilevel"/>
    <w:tmpl w:val="F1C4A10A"/>
    <w:lvl w:ilvl="0" w:tplc="75DABC36">
      <w:start w:val="2"/>
      <w:numFmt w:val="decimal"/>
      <w:lvlText w:val="%1."/>
      <w:lvlJc w:val="left"/>
      <w:pPr>
        <w:ind w:left="1569" w:hanging="360"/>
      </w:pPr>
      <w:rPr>
        <w:rFonts w:hint="default"/>
        <w:b/>
      </w:rPr>
    </w:lvl>
    <w:lvl w:ilvl="1" w:tplc="04130019" w:tentative="1">
      <w:start w:val="1"/>
      <w:numFmt w:val="lowerLetter"/>
      <w:lvlText w:val="%2."/>
      <w:lvlJc w:val="left"/>
      <w:pPr>
        <w:ind w:left="2289" w:hanging="360"/>
      </w:pPr>
    </w:lvl>
    <w:lvl w:ilvl="2" w:tplc="0413001B" w:tentative="1">
      <w:start w:val="1"/>
      <w:numFmt w:val="lowerRoman"/>
      <w:lvlText w:val="%3."/>
      <w:lvlJc w:val="right"/>
      <w:pPr>
        <w:ind w:left="3009" w:hanging="180"/>
      </w:pPr>
    </w:lvl>
    <w:lvl w:ilvl="3" w:tplc="0413000F" w:tentative="1">
      <w:start w:val="1"/>
      <w:numFmt w:val="decimal"/>
      <w:lvlText w:val="%4."/>
      <w:lvlJc w:val="left"/>
      <w:pPr>
        <w:ind w:left="3729" w:hanging="360"/>
      </w:pPr>
    </w:lvl>
    <w:lvl w:ilvl="4" w:tplc="04130019" w:tentative="1">
      <w:start w:val="1"/>
      <w:numFmt w:val="lowerLetter"/>
      <w:lvlText w:val="%5."/>
      <w:lvlJc w:val="left"/>
      <w:pPr>
        <w:ind w:left="4449" w:hanging="360"/>
      </w:pPr>
    </w:lvl>
    <w:lvl w:ilvl="5" w:tplc="0413001B" w:tentative="1">
      <w:start w:val="1"/>
      <w:numFmt w:val="lowerRoman"/>
      <w:lvlText w:val="%6."/>
      <w:lvlJc w:val="right"/>
      <w:pPr>
        <w:ind w:left="5169" w:hanging="180"/>
      </w:pPr>
    </w:lvl>
    <w:lvl w:ilvl="6" w:tplc="0413000F" w:tentative="1">
      <w:start w:val="1"/>
      <w:numFmt w:val="decimal"/>
      <w:lvlText w:val="%7."/>
      <w:lvlJc w:val="left"/>
      <w:pPr>
        <w:ind w:left="5889" w:hanging="360"/>
      </w:pPr>
    </w:lvl>
    <w:lvl w:ilvl="7" w:tplc="04130019" w:tentative="1">
      <w:start w:val="1"/>
      <w:numFmt w:val="lowerLetter"/>
      <w:lvlText w:val="%8."/>
      <w:lvlJc w:val="left"/>
      <w:pPr>
        <w:ind w:left="6609" w:hanging="360"/>
      </w:pPr>
    </w:lvl>
    <w:lvl w:ilvl="8" w:tplc="0413001B" w:tentative="1">
      <w:start w:val="1"/>
      <w:numFmt w:val="lowerRoman"/>
      <w:lvlText w:val="%9."/>
      <w:lvlJc w:val="right"/>
      <w:pPr>
        <w:ind w:left="7329"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DC24E1"/>
    <w:multiLevelType w:val="hybridMultilevel"/>
    <w:tmpl w:val="AC7C86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8133D2E"/>
    <w:multiLevelType w:val="hybridMultilevel"/>
    <w:tmpl w:val="BAC6C8DC"/>
    <w:lvl w:ilvl="0" w:tplc="33AA7BD6">
      <w:start w:val="1"/>
      <w:numFmt w:val="decimal"/>
      <w:lvlText w:val="%1."/>
      <w:lvlJc w:val="left"/>
      <w:pPr>
        <w:ind w:hanging="567"/>
      </w:pPr>
      <w:rPr>
        <w:rFonts w:ascii="Verdana" w:eastAsia="Verdana" w:hAnsi="Verdana" w:hint="default"/>
        <w:b/>
        <w:bCs/>
        <w:spacing w:val="-1"/>
        <w:sz w:val="24"/>
        <w:szCs w:val="24"/>
      </w:rPr>
    </w:lvl>
    <w:lvl w:ilvl="1" w:tplc="4F8C21B2">
      <w:start w:val="1"/>
      <w:numFmt w:val="bullet"/>
      <w:lvlText w:val="•"/>
      <w:lvlJc w:val="left"/>
      <w:rPr>
        <w:rFonts w:hint="default"/>
      </w:rPr>
    </w:lvl>
    <w:lvl w:ilvl="2" w:tplc="24AC5D20">
      <w:start w:val="1"/>
      <w:numFmt w:val="bullet"/>
      <w:lvlText w:val="•"/>
      <w:lvlJc w:val="left"/>
      <w:rPr>
        <w:rFonts w:hint="default"/>
      </w:rPr>
    </w:lvl>
    <w:lvl w:ilvl="3" w:tplc="16786F96">
      <w:start w:val="1"/>
      <w:numFmt w:val="bullet"/>
      <w:lvlText w:val="•"/>
      <w:lvlJc w:val="left"/>
      <w:rPr>
        <w:rFonts w:hint="default"/>
      </w:rPr>
    </w:lvl>
    <w:lvl w:ilvl="4" w:tplc="3F20FE56">
      <w:start w:val="1"/>
      <w:numFmt w:val="bullet"/>
      <w:lvlText w:val="•"/>
      <w:lvlJc w:val="left"/>
      <w:rPr>
        <w:rFonts w:hint="default"/>
      </w:rPr>
    </w:lvl>
    <w:lvl w:ilvl="5" w:tplc="EB86281C">
      <w:start w:val="1"/>
      <w:numFmt w:val="bullet"/>
      <w:lvlText w:val="•"/>
      <w:lvlJc w:val="left"/>
      <w:rPr>
        <w:rFonts w:hint="default"/>
      </w:rPr>
    </w:lvl>
    <w:lvl w:ilvl="6" w:tplc="3274D7BA">
      <w:start w:val="1"/>
      <w:numFmt w:val="bullet"/>
      <w:lvlText w:val="•"/>
      <w:lvlJc w:val="left"/>
      <w:rPr>
        <w:rFonts w:hint="default"/>
      </w:rPr>
    </w:lvl>
    <w:lvl w:ilvl="7" w:tplc="8E827868">
      <w:start w:val="1"/>
      <w:numFmt w:val="bullet"/>
      <w:lvlText w:val="•"/>
      <w:lvlJc w:val="left"/>
      <w:rPr>
        <w:rFonts w:hint="default"/>
      </w:rPr>
    </w:lvl>
    <w:lvl w:ilvl="8" w:tplc="C9DC757A">
      <w:start w:val="1"/>
      <w:numFmt w:val="bullet"/>
      <w:lvlText w:val="•"/>
      <w:lvlJc w:val="left"/>
      <w:rPr>
        <w:rFonts w:hint="default"/>
      </w:r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E26DE6"/>
    <w:multiLevelType w:val="hybridMultilevel"/>
    <w:tmpl w:val="C2F24D96"/>
    <w:lvl w:ilvl="0" w:tplc="1C60FB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3C7F0C"/>
    <w:multiLevelType w:val="hybridMultilevel"/>
    <w:tmpl w:val="0400AF8C"/>
    <w:lvl w:ilvl="0" w:tplc="6534D14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BCB3C15"/>
    <w:multiLevelType w:val="hybridMultilevel"/>
    <w:tmpl w:val="AC7C86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377DFA"/>
    <w:multiLevelType w:val="hybridMultilevel"/>
    <w:tmpl w:val="6B1233CE"/>
    <w:lvl w:ilvl="0" w:tplc="09B6C9D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15:restartNumberingAfterBreak="0">
    <w:nsid w:val="45CD79C2"/>
    <w:multiLevelType w:val="hybridMultilevel"/>
    <w:tmpl w:val="52E6D2D2"/>
    <w:lvl w:ilvl="0" w:tplc="F612AFAE">
      <w:start w:val="1"/>
      <w:numFmt w:val="decimal"/>
      <w:lvlText w:val="%1."/>
      <w:lvlJc w:val="left"/>
      <w:pPr>
        <w:ind w:left="464" w:hanging="360"/>
      </w:pPr>
      <w:rPr>
        <w:rFonts w:eastAsia="Calibri" w:hint="default"/>
      </w:rPr>
    </w:lvl>
    <w:lvl w:ilvl="1" w:tplc="04130019" w:tentative="1">
      <w:start w:val="1"/>
      <w:numFmt w:val="lowerLetter"/>
      <w:lvlText w:val="%2."/>
      <w:lvlJc w:val="left"/>
      <w:pPr>
        <w:ind w:left="1184" w:hanging="360"/>
      </w:pPr>
    </w:lvl>
    <w:lvl w:ilvl="2" w:tplc="0413001B" w:tentative="1">
      <w:start w:val="1"/>
      <w:numFmt w:val="lowerRoman"/>
      <w:lvlText w:val="%3."/>
      <w:lvlJc w:val="right"/>
      <w:pPr>
        <w:ind w:left="1904" w:hanging="180"/>
      </w:pPr>
    </w:lvl>
    <w:lvl w:ilvl="3" w:tplc="0413000F" w:tentative="1">
      <w:start w:val="1"/>
      <w:numFmt w:val="decimal"/>
      <w:lvlText w:val="%4."/>
      <w:lvlJc w:val="left"/>
      <w:pPr>
        <w:ind w:left="2624" w:hanging="360"/>
      </w:pPr>
    </w:lvl>
    <w:lvl w:ilvl="4" w:tplc="04130019" w:tentative="1">
      <w:start w:val="1"/>
      <w:numFmt w:val="lowerLetter"/>
      <w:lvlText w:val="%5."/>
      <w:lvlJc w:val="left"/>
      <w:pPr>
        <w:ind w:left="3344" w:hanging="360"/>
      </w:pPr>
    </w:lvl>
    <w:lvl w:ilvl="5" w:tplc="0413001B" w:tentative="1">
      <w:start w:val="1"/>
      <w:numFmt w:val="lowerRoman"/>
      <w:lvlText w:val="%6."/>
      <w:lvlJc w:val="right"/>
      <w:pPr>
        <w:ind w:left="4064" w:hanging="180"/>
      </w:pPr>
    </w:lvl>
    <w:lvl w:ilvl="6" w:tplc="0413000F" w:tentative="1">
      <w:start w:val="1"/>
      <w:numFmt w:val="decimal"/>
      <w:lvlText w:val="%7."/>
      <w:lvlJc w:val="left"/>
      <w:pPr>
        <w:ind w:left="4784" w:hanging="360"/>
      </w:pPr>
    </w:lvl>
    <w:lvl w:ilvl="7" w:tplc="04130019" w:tentative="1">
      <w:start w:val="1"/>
      <w:numFmt w:val="lowerLetter"/>
      <w:lvlText w:val="%8."/>
      <w:lvlJc w:val="left"/>
      <w:pPr>
        <w:ind w:left="5504" w:hanging="360"/>
      </w:pPr>
    </w:lvl>
    <w:lvl w:ilvl="8" w:tplc="0413001B" w:tentative="1">
      <w:start w:val="1"/>
      <w:numFmt w:val="lowerRoman"/>
      <w:lvlText w:val="%9."/>
      <w:lvlJc w:val="right"/>
      <w:pPr>
        <w:ind w:left="6224" w:hanging="180"/>
      </w:pPr>
    </w:lvl>
  </w:abstractNum>
  <w:abstractNum w:abstractNumId="25" w15:restartNumberingAfterBreak="0">
    <w:nsid w:val="4B6A6208"/>
    <w:multiLevelType w:val="hybridMultilevel"/>
    <w:tmpl w:val="DF8C968A"/>
    <w:lvl w:ilvl="0" w:tplc="5BF42A6C">
      <w:start w:val="1"/>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0"/>
  </w:num>
  <w:num w:numId="14">
    <w:abstractNumId w:val="26"/>
  </w:num>
  <w:num w:numId="15">
    <w:abstractNumId w:val="15"/>
  </w:num>
  <w:num w:numId="16">
    <w:abstractNumId w:val="12"/>
  </w:num>
  <w:num w:numId="17">
    <w:abstractNumId w:val="17"/>
  </w:num>
  <w:num w:numId="18">
    <w:abstractNumId w:val="13"/>
  </w:num>
  <w:num w:numId="19">
    <w:abstractNumId w:val="24"/>
  </w:num>
  <w:num w:numId="20">
    <w:abstractNumId w:val="14"/>
  </w:num>
  <w:num w:numId="21">
    <w:abstractNumId w:val="23"/>
  </w:num>
  <w:num w:numId="22">
    <w:abstractNumId w:val="19"/>
  </w:num>
  <w:num w:numId="23">
    <w:abstractNumId w:val="25"/>
  </w:num>
  <w:num w:numId="24">
    <w:abstractNumId w:val="20"/>
  </w:num>
  <w:num w:numId="25">
    <w:abstractNumId w:val="16"/>
  </w:num>
  <w:num w:numId="26">
    <w:abstractNumId w:val="21"/>
  </w:num>
  <w:num w:numId="2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81F"/>
    <w:rsid w:val="00001687"/>
    <w:rsid w:val="000038CB"/>
    <w:rsid w:val="00014855"/>
    <w:rsid w:val="0002242E"/>
    <w:rsid w:val="00041983"/>
    <w:rsid w:val="000428BE"/>
    <w:rsid w:val="000448B6"/>
    <w:rsid w:val="00046B1F"/>
    <w:rsid w:val="00050F6B"/>
    <w:rsid w:val="0005496C"/>
    <w:rsid w:val="00057588"/>
    <w:rsid w:val="00057E97"/>
    <w:rsid w:val="00062809"/>
    <w:rsid w:val="0007087E"/>
    <w:rsid w:val="00072C8C"/>
    <w:rsid w:val="000733B5"/>
    <w:rsid w:val="00081591"/>
    <w:rsid w:val="00081815"/>
    <w:rsid w:val="00087C77"/>
    <w:rsid w:val="0009246D"/>
    <w:rsid w:val="000931C0"/>
    <w:rsid w:val="00094681"/>
    <w:rsid w:val="00094FA4"/>
    <w:rsid w:val="000B0595"/>
    <w:rsid w:val="000B175B"/>
    <w:rsid w:val="000B3A0F"/>
    <w:rsid w:val="000B4EF7"/>
    <w:rsid w:val="000B6C54"/>
    <w:rsid w:val="000C1F67"/>
    <w:rsid w:val="000C2C03"/>
    <w:rsid w:val="000C2D2E"/>
    <w:rsid w:val="000C4FF2"/>
    <w:rsid w:val="000C6A7D"/>
    <w:rsid w:val="000C6D98"/>
    <w:rsid w:val="000D3E41"/>
    <w:rsid w:val="000E0415"/>
    <w:rsid w:val="000E06D7"/>
    <w:rsid w:val="000E334B"/>
    <w:rsid w:val="000E6C3F"/>
    <w:rsid w:val="001046B3"/>
    <w:rsid w:val="001103AA"/>
    <w:rsid w:val="00111D24"/>
    <w:rsid w:val="0011666B"/>
    <w:rsid w:val="00117C8A"/>
    <w:rsid w:val="001257D1"/>
    <w:rsid w:val="00134490"/>
    <w:rsid w:val="00136AD9"/>
    <w:rsid w:val="00136FB5"/>
    <w:rsid w:val="00145622"/>
    <w:rsid w:val="00147CD2"/>
    <w:rsid w:val="001523E7"/>
    <w:rsid w:val="00154EA1"/>
    <w:rsid w:val="00157778"/>
    <w:rsid w:val="00160537"/>
    <w:rsid w:val="00165F3A"/>
    <w:rsid w:val="001667E5"/>
    <w:rsid w:val="00182B08"/>
    <w:rsid w:val="001906F3"/>
    <w:rsid w:val="00196E63"/>
    <w:rsid w:val="001A6CA2"/>
    <w:rsid w:val="001B4B04"/>
    <w:rsid w:val="001C6663"/>
    <w:rsid w:val="001C7895"/>
    <w:rsid w:val="001D0C8C"/>
    <w:rsid w:val="001D1419"/>
    <w:rsid w:val="001D26DF"/>
    <w:rsid w:val="001D3A03"/>
    <w:rsid w:val="001D72BD"/>
    <w:rsid w:val="001E23D5"/>
    <w:rsid w:val="001E7B67"/>
    <w:rsid w:val="001F1915"/>
    <w:rsid w:val="002018DB"/>
    <w:rsid w:val="0020295A"/>
    <w:rsid w:val="00202DA8"/>
    <w:rsid w:val="00211E0B"/>
    <w:rsid w:val="002238CA"/>
    <w:rsid w:val="002349C5"/>
    <w:rsid w:val="00236A7A"/>
    <w:rsid w:val="00241762"/>
    <w:rsid w:val="00242AE0"/>
    <w:rsid w:val="002510BD"/>
    <w:rsid w:val="002525D7"/>
    <w:rsid w:val="00254877"/>
    <w:rsid w:val="00267F5F"/>
    <w:rsid w:val="0027126C"/>
    <w:rsid w:val="00274DB5"/>
    <w:rsid w:val="002756C1"/>
    <w:rsid w:val="00286B4D"/>
    <w:rsid w:val="00293A89"/>
    <w:rsid w:val="002A4B7F"/>
    <w:rsid w:val="002A4D02"/>
    <w:rsid w:val="002B15D4"/>
    <w:rsid w:val="002B612A"/>
    <w:rsid w:val="002C4176"/>
    <w:rsid w:val="002C5187"/>
    <w:rsid w:val="002C5B8B"/>
    <w:rsid w:val="002D3C06"/>
    <w:rsid w:val="002D4643"/>
    <w:rsid w:val="002E2EA6"/>
    <w:rsid w:val="002E4876"/>
    <w:rsid w:val="002F175C"/>
    <w:rsid w:val="002F42D7"/>
    <w:rsid w:val="002F621E"/>
    <w:rsid w:val="00302E18"/>
    <w:rsid w:val="00307905"/>
    <w:rsid w:val="00314CE1"/>
    <w:rsid w:val="0031784A"/>
    <w:rsid w:val="003229D8"/>
    <w:rsid w:val="00330253"/>
    <w:rsid w:val="00331403"/>
    <w:rsid w:val="00352709"/>
    <w:rsid w:val="00356A3F"/>
    <w:rsid w:val="0036378B"/>
    <w:rsid w:val="00365603"/>
    <w:rsid w:val="0036660A"/>
    <w:rsid w:val="00367FB9"/>
    <w:rsid w:val="00371178"/>
    <w:rsid w:val="00376C2C"/>
    <w:rsid w:val="003853C7"/>
    <w:rsid w:val="00392C07"/>
    <w:rsid w:val="003A1BD5"/>
    <w:rsid w:val="003A6810"/>
    <w:rsid w:val="003B0332"/>
    <w:rsid w:val="003B0AAE"/>
    <w:rsid w:val="003B2D81"/>
    <w:rsid w:val="003B5530"/>
    <w:rsid w:val="003B5B5C"/>
    <w:rsid w:val="003B7D8B"/>
    <w:rsid w:val="003C276D"/>
    <w:rsid w:val="003C2CC4"/>
    <w:rsid w:val="003D4B23"/>
    <w:rsid w:val="003E0DC1"/>
    <w:rsid w:val="003E3B1A"/>
    <w:rsid w:val="003E6E0E"/>
    <w:rsid w:val="003F36AF"/>
    <w:rsid w:val="003F6022"/>
    <w:rsid w:val="00402331"/>
    <w:rsid w:val="004034B5"/>
    <w:rsid w:val="00410C89"/>
    <w:rsid w:val="00417C02"/>
    <w:rsid w:val="00417D99"/>
    <w:rsid w:val="004208B5"/>
    <w:rsid w:val="00421CEE"/>
    <w:rsid w:val="00422E03"/>
    <w:rsid w:val="00425B17"/>
    <w:rsid w:val="00426B9B"/>
    <w:rsid w:val="004325CB"/>
    <w:rsid w:val="00436D40"/>
    <w:rsid w:val="00442A83"/>
    <w:rsid w:val="00446DD3"/>
    <w:rsid w:val="00447C99"/>
    <w:rsid w:val="00450896"/>
    <w:rsid w:val="00451E1C"/>
    <w:rsid w:val="00452B35"/>
    <w:rsid w:val="0045495B"/>
    <w:rsid w:val="00457725"/>
    <w:rsid w:val="00471CEE"/>
    <w:rsid w:val="004741AA"/>
    <w:rsid w:val="0048397A"/>
    <w:rsid w:val="00487092"/>
    <w:rsid w:val="00492F90"/>
    <w:rsid w:val="004A61C9"/>
    <w:rsid w:val="004B4D0A"/>
    <w:rsid w:val="004C0EB3"/>
    <w:rsid w:val="004C1E36"/>
    <w:rsid w:val="004C1E90"/>
    <w:rsid w:val="004C2461"/>
    <w:rsid w:val="004C670A"/>
    <w:rsid w:val="004C7462"/>
    <w:rsid w:val="004D59AA"/>
    <w:rsid w:val="004D6B73"/>
    <w:rsid w:val="004E77B2"/>
    <w:rsid w:val="004F3D74"/>
    <w:rsid w:val="004F537A"/>
    <w:rsid w:val="005002B0"/>
    <w:rsid w:val="00504B2D"/>
    <w:rsid w:val="005074AC"/>
    <w:rsid w:val="00514165"/>
    <w:rsid w:val="00517D7A"/>
    <w:rsid w:val="0052136D"/>
    <w:rsid w:val="00522B58"/>
    <w:rsid w:val="0052699B"/>
    <w:rsid w:val="0052775E"/>
    <w:rsid w:val="0053263C"/>
    <w:rsid w:val="005420F2"/>
    <w:rsid w:val="00544A2F"/>
    <w:rsid w:val="005474FB"/>
    <w:rsid w:val="00547F66"/>
    <w:rsid w:val="00553DA2"/>
    <w:rsid w:val="00557B88"/>
    <w:rsid w:val="005628B6"/>
    <w:rsid w:val="00570EAD"/>
    <w:rsid w:val="00573CB9"/>
    <w:rsid w:val="005744BC"/>
    <w:rsid w:val="00584721"/>
    <w:rsid w:val="00593F53"/>
    <w:rsid w:val="00594368"/>
    <w:rsid w:val="005950AF"/>
    <w:rsid w:val="00595630"/>
    <w:rsid w:val="005A07FC"/>
    <w:rsid w:val="005A2BCD"/>
    <w:rsid w:val="005B3DB3"/>
    <w:rsid w:val="005B4E13"/>
    <w:rsid w:val="005C4080"/>
    <w:rsid w:val="005D0212"/>
    <w:rsid w:val="005E0BA0"/>
    <w:rsid w:val="005E13BA"/>
    <w:rsid w:val="005E1BE1"/>
    <w:rsid w:val="005E2B57"/>
    <w:rsid w:val="005E3F00"/>
    <w:rsid w:val="005F0630"/>
    <w:rsid w:val="005F1247"/>
    <w:rsid w:val="005F7209"/>
    <w:rsid w:val="005F7B75"/>
    <w:rsid w:val="006001EE"/>
    <w:rsid w:val="00605042"/>
    <w:rsid w:val="00606DAB"/>
    <w:rsid w:val="006110A6"/>
    <w:rsid w:val="00611FC4"/>
    <w:rsid w:val="0061530D"/>
    <w:rsid w:val="00616E73"/>
    <w:rsid w:val="006176FB"/>
    <w:rsid w:val="00617A88"/>
    <w:rsid w:val="00621AAC"/>
    <w:rsid w:val="00622AD4"/>
    <w:rsid w:val="006238BE"/>
    <w:rsid w:val="0063293E"/>
    <w:rsid w:val="00640B26"/>
    <w:rsid w:val="00643800"/>
    <w:rsid w:val="00652D0A"/>
    <w:rsid w:val="00655CC3"/>
    <w:rsid w:val="006623D5"/>
    <w:rsid w:val="00662BB6"/>
    <w:rsid w:val="006646D3"/>
    <w:rsid w:val="00682870"/>
    <w:rsid w:val="00683D28"/>
    <w:rsid w:val="00684C21"/>
    <w:rsid w:val="00687A39"/>
    <w:rsid w:val="00690DE1"/>
    <w:rsid w:val="00691FC8"/>
    <w:rsid w:val="00693B3F"/>
    <w:rsid w:val="006A2530"/>
    <w:rsid w:val="006A4E3C"/>
    <w:rsid w:val="006B0BBE"/>
    <w:rsid w:val="006B6D76"/>
    <w:rsid w:val="006C3589"/>
    <w:rsid w:val="006C3864"/>
    <w:rsid w:val="006D2620"/>
    <w:rsid w:val="006D37AF"/>
    <w:rsid w:val="006D4E33"/>
    <w:rsid w:val="006D51D0"/>
    <w:rsid w:val="006E404B"/>
    <w:rsid w:val="006E564B"/>
    <w:rsid w:val="006E7191"/>
    <w:rsid w:val="00703577"/>
    <w:rsid w:val="00705894"/>
    <w:rsid w:val="007059C0"/>
    <w:rsid w:val="00705B96"/>
    <w:rsid w:val="00707B15"/>
    <w:rsid w:val="0071235D"/>
    <w:rsid w:val="007177F9"/>
    <w:rsid w:val="00725372"/>
    <w:rsid w:val="0072632A"/>
    <w:rsid w:val="007327D5"/>
    <w:rsid w:val="00740175"/>
    <w:rsid w:val="00745C97"/>
    <w:rsid w:val="00753D69"/>
    <w:rsid w:val="007629C8"/>
    <w:rsid w:val="00767735"/>
    <w:rsid w:val="0077047D"/>
    <w:rsid w:val="00770BA2"/>
    <w:rsid w:val="00785536"/>
    <w:rsid w:val="007937CC"/>
    <w:rsid w:val="007940BC"/>
    <w:rsid w:val="00795B8D"/>
    <w:rsid w:val="007A3C5F"/>
    <w:rsid w:val="007A6382"/>
    <w:rsid w:val="007A77B2"/>
    <w:rsid w:val="007B00B3"/>
    <w:rsid w:val="007B6BA5"/>
    <w:rsid w:val="007C3390"/>
    <w:rsid w:val="007C4F4B"/>
    <w:rsid w:val="007C60A9"/>
    <w:rsid w:val="007E01E9"/>
    <w:rsid w:val="007E0EE2"/>
    <w:rsid w:val="007E1001"/>
    <w:rsid w:val="007E63F3"/>
    <w:rsid w:val="007E792A"/>
    <w:rsid w:val="007F1F76"/>
    <w:rsid w:val="007F2B45"/>
    <w:rsid w:val="007F6611"/>
    <w:rsid w:val="0080133D"/>
    <w:rsid w:val="00804D14"/>
    <w:rsid w:val="00811920"/>
    <w:rsid w:val="00815AD0"/>
    <w:rsid w:val="0081681F"/>
    <w:rsid w:val="00820C19"/>
    <w:rsid w:val="00820EFD"/>
    <w:rsid w:val="00823310"/>
    <w:rsid w:val="008242D7"/>
    <w:rsid w:val="008257B1"/>
    <w:rsid w:val="00841BFC"/>
    <w:rsid w:val="00843767"/>
    <w:rsid w:val="00843878"/>
    <w:rsid w:val="008476D8"/>
    <w:rsid w:val="00862315"/>
    <w:rsid w:val="008679D9"/>
    <w:rsid w:val="00880020"/>
    <w:rsid w:val="00881B5C"/>
    <w:rsid w:val="008832CB"/>
    <w:rsid w:val="008839C9"/>
    <w:rsid w:val="008878DE"/>
    <w:rsid w:val="008932AC"/>
    <w:rsid w:val="00894060"/>
    <w:rsid w:val="0089441D"/>
    <w:rsid w:val="008979B1"/>
    <w:rsid w:val="008A699A"/>
    <w:rsid w:val="008A6B25"/>
    <w:rsid w:val="008A6C4F"/>
    <w:rsid w:val="008A77A7"/>
    <w:rsid w:val="008B0A0E"/>
    <w:rsid w:val="008B2335"/>
    <w:rsid w:val="008B384A"/>
    <w:rsid w:val="008C1F82"/>
    <w:rsid w:val="008D2203"/>
    <w:rsid w:val="008D3F21"/>
    <w:rsid w:val="008D769E"/>
    <w:rsid w:val="008E0678"/>
    <w:rsid w:val="00902399"/>
    <w:rsid w:val="00911A6D"/>
    <w:rsid w:val="00912068"/>
    <w:rsid w:val="0091491D"/>
    <w:rsid w:val="009210C9"/>
    <w:rsid w:val="00921E8E"/>
    <w:rsid w:val="009223CA"/>
    <w:rsid w:val="009233A9"/>
    <w:rsid w:val="009240A7"/>
    <w:rsid w:val="009307E6"/>
    <w:rsid w:val="009314AE"/>
    <w:rsid w:val="009366C1"/>
    <w:rsid w:val="00940F93"/>
    <w:rsid w:val="009457DE"/>
    <w:rsid w:val="00954691"/>
    <w:rsid w:val="0096470F"/>
    <w:rsid w:val="00964DE1"/>
    <w:rsid w:val="00965A7D"/>
    <w:rsid w:val="00965AE6"/>
    <w:rsid w:val="00966CF7"/>
    <w:rsid w:val="00970700"/>
    <w:rsid w:val="00974076"/>
    <w:rsid w:val="009760F3"/>
    <w:rsid w:val="0097737F"/>
    <w:rsid w:val="009819F2"/>
    <w:rsid w:val="009821E8"/>
    <w:rsid w:val="00982273"/>
    <w:rsid w:val="009837E3"/>
    <w:rsid w:val="009863F1"/>
    <w:rsid w:val="009924D2"/>
    <w:rsid w:val="009964BC"/>
    <w:rsid w:val="009A0E8D"/>
    <w:rsid w:val="009A3B4F"/>
    <w:rsid w:val="009A3B65"/>
    <w:rsid w:val="009A4D49"/>
    <w:rsid w:val="009B26E7"/>
    <w:rsid w:val="009E6E6B"/>
    <w:rsid w:val="00A00A3F"/>
    <w:rsid w:val="00A01489"/>
    <w:rsid w:val="00A046C6"/>
    <w:rsid w:val="00A2518B"/>
    <w:rsid w:val="00A3026E"/>
    <w:rsid w:val="00A338F1"/>
    <w:rsid w:val="00A338F4"/>
    <w:rsid w:val="00A33FA8"/>
    <w:rsid w:val="00A34600"/>
    <w:rsid w:val="00A36DC2"/>
    <w:rsid w:val="00A56748"/>
    <w:rsid w:val="00A56916"/>
    <w:rsid w:val="00A62236"/>
    <w:rsid w:val="00A64B32"/>
    <w:rsid w:val="00A72F22"/>
    <w:rsid w:val="00A7360F"/>
    <w:rsid w:val="00A748A6"/>
    <w:rsid w:val="00A769F4"/>
    <w:rsid w:val="00A776B4"/>
    <w:rsid w:val="00A80FFE"/>
    <w:rsid w:val="00A87396"/>
    <w:rsid w:val="00A94361"/>
    <w:rsid w:val="00A97567"/>
    <w:rsid w:val="00AA26CB"/>
    <w:rsid w:val="00AA293C"/>
    <w:rsid w:val="00AA5B44"/>
    <w:rsid w:val="00AB2EE8"/>
    <w:rsid w:val="00AB4F3C"/>
    <w:rsid w:val="00AB6C02"/>
    <w:rsid w:val="00AB73ED"/>
    <w:rsid w:val="00AC0AB3"/>
    <w:rsid w:val="00AC317F"/>
    <w:rsid w:val="00AC6C1D"/>
    <w:rsid w:val="00AC7F8C"/>
    <w:rsid w:val="00AD4DB9"/>
    <w:rsid w:val="00AD7657"/>
    <w:rsid w:val="00AD7892"/>
    <w:rsid w:val="00AE1237"/>
    <w:rsid w:val="00AE52E4"/>
    <w:rsid w:val="00B00DED"/>
    <w:rsid w:val="00B107E5"/>
    <w:rsid w:val="00B10EBB"/>
    <w:rsid w:val="00B147F1"/>
    <w:rsid w:val="00B23E4E"/>
    <w:rsid w:val="00B30179"/>
    <w:rsid w:val="00B3516E"/>
    <w:rsid w:val="00B3739D"/>
    <w:rsid w:val="00B4121E"/>
    <w:rsid w:val="00B421C1"/>
    <w:rsid w:val="00B476B7"/>
    <w:rsid w:val="00B5308E"/>
    <w:rsid w:val="00B55C71"/>
    <w:rsid w:val="00B5634C"/>
    <w:rsid w:val="00B56E4A"/>
    <w:rsid w:val="00B56E9C"/>
    <w:rsid w:val="00B60E70"/>
    <w:rsid w:val="00B64B13"/>
    <w:rsid w:val="00B64B1F"/>
    <w:rsid w:val="00B6553F"/>
    <w:rsid w:val="00B655ED"/>
    <w:rsid w:val="00B76732"/>
    <w:rsid w:val="00B77D05"/>
    <w:rsid w:val="00B81206"/>
    <w:rsid w:val="00B81E12"/>
    <w:rsid w:val="00B82E79"/>
    <w:rsid w:val="00B83975"/>
    <w:rsid w:val="00B849E5"/>
    <w:rsid w:val="00B862A9"/>
    <w:rsid w:val="00B96968"/>
    <w:rsid w:val="00B97C25"/>
    <w:rsid w:val="00BA2DF7"/>
    <w:rsid w:val="00BB2B89"/>
    <w:rsid w:val="00BB422D"/>
    <w:rsid w:val="00BB47CB"/>
    <w:rsid w:val="00BC26DE"/>
    <w:rsid w:val="00BC3FA0"/>
    <w:rsid w:val="00BC4BB3"/>
    <w:rsid w:val="00BC74E9"/>
    <w:rsid w:val="00BD535A"/>
    <w:rsid w:val="00BE0515"/>
    <w:rsid w:val="00BE111E"/>
    <w:rsid w:val="00BE23B2"/>
    <w:rsid w:val="00BE66E8"/>
    <w:rsid w:val="00BF4153"/>
    <w:rsid w:val="00BF54CB"/>
    <w:rsid w:val="00BF68A8"/>
    <w:rsid w:val="00C00A01"/>
    <w:rsid w:val="00C03FF0"/>
    <w:rsid w:val="00C04BC3"/>
    <w:rsid w:val="00C11A03"/>
    <w:rsid w:val="00C1255C"/>
    <w:rsid w:val="00C22C0C"/>
    <w:rsid w:val="00C255D7"/>
    <w:rsid w:val="00C44864"/>
    <w:rsid w:val="00C4527F"/>
    <w:rsid w:val="00C463DD"/>
    <w:rsid w:val="00C46E04"/>
    <w:rsid w:val="00C4724C"/>
    <w:rsid w:val="00C6286A"/>
    <w:rsid w:val="00C629A0"/>
    <w:rsid w:val="00C64629"/>
    <w:rsid w:val="00C64B53"/>
    <w:rsid w:val="00C71362"/>
    <w:rsid w:val="00C72742"/>
    <w:rsid w:val="00C745C3"/>
    <w:rsid w:val="00C84C4C"/>
    <w:rsid w:val="00C90E4A"/>
    <w:rsid w:val="00C92D07"/>
    <w:rsid w:val="00CB28D4"/>
    <w:rsid w:val="00CB3E03"/>
    <w:rsid w:val="00CC0853"/>
    <w:rsid w:val="00CC196B"/>
    <w:rsid w:val="00CC53E8"/>
    <w:rsid w:val="00CC5AF4"/>
    <w:rsid w:val="00CD6BF0"/>
    <w:rsid w:val="00CE2DDE"/>
    <w:rsid w:val="00CE2E2C"/>
    <w:rsid w:val="00CE4A8F"/>
    <w:rsid w:val="00CE6AF8"/>
    <w:rsid w:val="00CE72EA"/>
    <w:rsid w:val="00D058C6"/>
    <w:rsid w:val="00D125A6"/>
    <w:rsid w:val="00D16C6A"/>
    <w:rsid w:val="00D171A4"/>
    <w:rsid w:val="00D2031B"/>
    <w:rsid w:val="00D25FE2"/>
    <w:rsid w:val="00D27689"/>
    <w:rsid w:val="00D36120"/>
    <w:rsid w:val="00D43252"/>
    <w:rsid w:val="00D471B8"/>
    <w:rsid w:val="00D47EEA"/>
    <w:rsid w:val="00D506FC"/>
    <w:rsid w:val="00D55398"/>
    <w:rsid w:val="00D5592C"/>
    <w:rsid w:val="00D57605"/>
    <w:rsid w:val="00D65574"/>
    <w:rsid w:val="00D67388"/>
    <w:rsid w:val="00D678E2"/>
    <w:rsid w:val="00D74DB2"/>
    <w:rsid w:val="00D773DF"/>
    <w:rsid w:val="00D846B1"/>
    <w:rsid w:val="00D86A30"/>
    <w:rsid w:val="00D92DDC"/>
    <w:rsid w:val="00D93345"/>
    <w:rsid w:val="00D95303"/>
    <w:rsid w:val="00D978C6"/>
    <w:rsid w:val="00DA3C1C"/>
    <w:rsid w:val="00DA5657"/>
    <w:rsid w:val="00DB3036"/>
    <w:rsid w:val="00DB37E9"/>
    <w:rsid w:val="00DB3B48"/>
    <w:rsid w:val="00DB498A"/>
    <w:rsid w:val="00DC0684"/>
    <w:rsid w:val="00DD7218"/>
    <w:rsid w:val="00DE05F9"/>
    <w:rsid w:val="00DE67AA"/>
    <w:rsid w:val="00DF0D62"/>
    <w:rsid w:val="00DF640B"/>
    <w:rsid w:val="00E0182A"/>
    <w:rsid w:val="00E046DF"/>
    <w:rsid w:val="00E0549E"/>
    <w:rsid w:val="00E16F72"/>
    <w:rsid w:val="00E227A2"/>
    <w:rsid w:val="00E22851"/>
    <w:rsid w:val="00E27346"/>
    <w:rsid w:val="00E27C3E"/>
    <w:rsid w:val="00E31D85"/>
    <w:rsid w:val="00E3503B"/>
    <w:rsid w:val="00E3528E"/>
    <w:rsid w:val="00E4075E"/>
    <w:rsid w:val="00E465F0"/>
    <w:rsid w:val="00E46C24"/>
    <w:rsid w:val="00E4755B"/>
    <w:rsid w:val="00E478A8"/>
    <w:rsid w:val="00E52648"/>
    <w:rsid w:val="00E6405A"/>
    <w:rsid w:val="00E672B8"/>
    <w:rsid w:val="00E71BC8"/>
    <w:rsid w:val="00E7232E"/>
    <w:rsid w:val="00E7236D"/>
    <w:rsid w:val="00E7260F"/>
    <w:rsid w:val="00E73F5D"/>
    <w:rsid w:val="00E76FDD"/>
    <w:rsid w:val="00E77435"/>
    <w:rsid w:val="00E77CC1"/>
    <w:rsid w:val="00E77E4E"/>
    <w:rsid w:val="00E84DF8"/>
    <w:rsid w:val="00E8536E"/>
    <w:rsid w:val="00E94FD4"/>
    <w:rsid w:val="00E96630"/>
    <w:rsid w:val="00EA0F11"/>
    <w:rsid w:val="00EA47ED"/>
    <w:rsid w:val="00EA64C9"/>
    <w:rsid w:val="00EA79C8"/>
    <w:rsid w:val="00EC4D2A"/>
    <w:rsid w:val="00ED16C7"/>
    <w:rsid w:val="00ED7A2A"/>
    <w:rsid w:val="00ED7BC3"/>
    <w:rsid w:val="00EE01A7"/>
    <w:rsid w:val="00EE192A"/>
    <w:rsid w:val="00EE1FBA"/>
    <w:rsid w:val="00EF1D7F"/>
    <w:rsid w:val="00EF31DD"/>
    <w:rsid w:val="00EF5DAA"/>
    <w:rsid w:val="00F01FE8"/>
    <w:rsid w:val="00F051F8"/>
    <w:rsid w:val="00F0549E"/>
    <w:rsid w:val="00F05EA6"/>
    <w:rsid w:val="00F10CA1"/>
    <w:rsid w:val="00F13051"/>
    <w:rsid w:val="00F31E5F"/>
    <w:rsid w:val="00F326C6"/>
    <w:rsid w:val="00F345A2"/>
    <w:rsid w:val="00F368CF"/>
    <w:rsid w:val="00F43356"/>
    <w:rsid w:val="00F47E60"/>
    <w:rsid w:val="00F50BD7"/>
    <w:rsid w:val="00F537B0"/>
    <w:rsid w:val="00F6100A"/>
    <w:rsid w:val="00F64DE7"/>
    <w:rsid w:val="00F93781"/>
    <w:rsid w:val="00FB03D5"/>
    <w:rsid w:val="00FB421C"/>
    <w:rsid w:val="00FB613B"/>
    <w:rsid w:val="00FC68B7"/>
    <w:rsid w:val="00FD3111"/>
    <w:rsid w:val="00FE106A"/>
    <w:rsid w:val="00FE2AF5"/>
    <w:rsid w:val="00FF145D"/>
    <w:rsid w:val="00FF5E5C"/>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1"/>
    <o:shapelayout v:ext="edit">
      <o:idmap v:ext="edit" data="1"/>
    </o:shapelayout>
  </w:shapeDefaults>
  <w:decimalSymbol w:val="."/>
  <w:listSeparator w:val=","/>
  <w14:docId w14:val="673EE37A"/>
  <w15:chartTrackingRefBased/>
  <w15:docId w15:val="{B61073F4-0CEB-46AF-9745-D67B1BA4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9964BC"/>
    <w:pPr>
      <w:spacing w:line="240" w:lineRule="auto"/>
      <w:outlineLvl w:val="1"/>
    </w:pPr>
  </w:style>
  <w:style w:type="paragraph" w:styleId="Heading3">
    <w:name w:val="heading 3"/>
    <w:basedOn w:val="Normal"/>
    <w:next w:val="Normal"/>
    <w:qFormat/>
    <w:rsid w:val="009964BC"/>
    <w:pPr>
      <w:spacing w:line="240" w:lineRule="auto"/>
      <w:outlineLvl w:val="2"/>
    </w:pPr>
  </w:style>
  <w:style w:type="paragraph" w:styleId="Heading4">
    <w:name w:val="heading 4"/>
    <w:basedOn w:val="Normal"/>
    <w:next w:val="Normal"/>
    <w:qFormat/>
    <w:rsid w:val="009964BC"/>
    <w:pPr>
      <w:spacing w:line="240" w:lineRule="auto"/>
      <w:outlineLvl w:val="3"/>
    </w:pPr>
  </w:style>
  <w:style w:type="paragraph" w:styleId="Heading5">
    <w:name w:val="heading 5"/>
    <w:basedOn w:val="Normal"/>
    <w:next w:val="Normal"/>
    <w:qFormat/>
    <w:rsid w:val="009964BC"/>
    <w:pPr>
      <w:spacing w:line="240" w:lineRule="auto"/>
      <w:outlineLvl w:val="4"/>
    </w:pPr>
  </w:style>
  <w:style w:type="paragraph" w:styleId="Heading6">
    <w:name w:val="heading 6"/>
    <w:basedOn w:val="Normal"/>
    <w:next w:val="Normal"/>
    <w:qFormat/>
    <w:rsid w:val="009964BC"/>
    <w:pPr>
      <w:spacing w:line="240" w:lineRule="auto"/>
      <w:outlineLvl w:val="5"/>
    </w:pPr>
  </w:style>
  <w:style w:type="paragraph" w:styleId="Heading7">
    <w:name w:val="heading 7"/>
    <w:basedOn w:val="Normal"/>
    <w:next w:val="Normal"/>
    <w:qFormat/>
    <w:rsid w:val="009964BC"/>
    <w:pPr>
      <w:spacing w:line="240" w:lineRule="auto"/>
      <w:outlineLvl w:val="6"/>
    </w:pPr>
  </w:style>
  <w:style w:type="paragraph" w:styleId="Heading8">
    <w:name w:val="heading 8"/>
    <w:basedOn w:val="Normal"/>
    <w:next w:val="Normal"/>
    <w:qFormat/>
    <w:rsid w:val="009964BC"/>
    <w:pPr>
      <w:spacing w:line="240" w:lineRule="auto"/>
      <w:outlineLvl w:val="7"/>
    </w:pPr>
  </w:style>
  <w:style w:type="paragraph" w:styleId="Heading9">
    <w:name w:val="heading 9"/>
    <w:basedOn w:val="Normal"/>
    <w:next w:val="Normal"/>
    <w:qFormat/>
    <w:rsid w:val="009964BC"/>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964B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964BC"/>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9964BC"/>
    <w:pPr>
      <w:numPr>
        <w:numId w:val="13"/>
      </w:numPr>
      <w:tabs>
        <w:tab w:val="clear" w:pos="1494"/>
      </w:tabs>
    </w:pPr>
  </w:style>
  <w:style w:type="paragraph" w:customStyle="1" w:styleId="SingleTxtG">
    <w:name w:val="_ Single Txt_G"/>
    <w:basedOn w:val="Normal"/>
    <w:rsid w:val="009964BC"/>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9964BC"/>
    <w:rPr>
      <w:rFonts w:cs="Courier New"/>
    </w:rPr>
  </w:style>
  <w:style w:type="paragraph" w:styleId="BodyText">
    <w:name w:val="Body Text"/>
    <w:basedOn w:val="Normal"/>
    <w:next w:val="Normal"/>
    <w:uiPriority w:val="1"/>
    <w:qFormat/>
    <w:rsid w:val="009964BC"/>
  </w:style>
  <w:style w:type="paragraph" w:styleId="BodyTextIndent">
    <w:name w:val="Body Text Indent"/>
    <w:basedOn w:val="Normal"/>
    <w:semiHidden/>
    <w:rsid w:val="009964BC"/>
    <w:pPr>
      <w:spacing w:after="120"/>
      <w:ind w:left="283"/>
    </w:pPr>
  </w:style>
  <w:style w:type="paragraph" w:styleId="BlockText">
    <w:name w:val="Block Text"/>
    <w:basedOn w:val="Normal"/>
    <w:semiHidden/>
    <w:rsid w:val="009964BC"/>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9964BC"/>
    <w:rPr>
      <w:sz w:val="6"/>
    </w:rPr>
  </w:style>
  <w:style w:type="paragraph" w:styleId="CommentText">
    <w:name w:val="annotation text"/>
    <w:basedOn w:val="Normal"/>
    <w:link w:val="CommentTextChar"/>
    <w:semiHidden/>
    <w:rsid w:val="009964BC"/>
  </w:style>
  <w:style w:type="character" w:styleId="LineNumber">
    <w:name w:val="line number"/>
    <w:semiHidden/>
    <w:rsid w:val="009964BC"/>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rsid w:val="009964B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964B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964B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964BC"/>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A36DC2"/>
    <w:pPr>
      <w:spacing w:line="240" w:lineRule="auto"/>
    </w:pPr>
    <w:rPr>
      <w:rFonts w:ascii="Tahoma" w:hAnsi="Tahoma"/>
      <w:sz w:val="16"/>
      <w:szCs w:val="16"/>
    </w:rPr>
  </w:style>
  <w:style w:type="character" w:customStyle="1" w:styleId="BalloonTextChar">
    <w:name w:val="Balloon Text Char"/>
    <w:link w:val="BalloonText"/>
    <w:rsid w:val="00A36DC2"/>
    <w:rPr>
      <w:rFonts w:ascii="Tahoma" w:hAnsi="Tahoma" w:cs="Tahoma"/>
      <w:sz w:val="16"/>
      <w:szCs w:val="16"/>
      <w:lang w:eastAsia="en-US"/>
    </w:rPr>
  </w:style>
  <w:style w:type="character" w:customStyle="1" w:styleId="FooterChar">
    <w:name w:val="Footer Char"/>
    <w:aliases w:val="3_G Char"/>
    <w:link w:val="Footer"/>
    <w:rsid w:val="000E334B"/>
    <w:rPr>
      <w:sz w:val="16"/>
      <w:lang w:eastAsia="en-US"/>
    </w:rPr>
  </w:style>
  <w:style w:type="table" w:customStyle="1" w:styleId="TableNormal1">
    <w:name w:val="Table Normal1"/>
    <w:uiPriority w:val="2"/>
    <w:semiHidden/>
    <w:unhideWhenUsed/>
    <w:qFormat/>
    <w:rsid w:val="00BE66E8"/>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Kop11">
    <w:name w:val="Kop 11"/>
    <w:basedOn w:val="Normal"/>
    <w:uiPriority w:val="1"/>
    <w:qFormat/>
    <w:rsid w:val="00BE66E8"/>
    <w:pPr>
      <w:widowControl w:val="0"/>
      <w:suppressAutoHyphens w:val="0"/>
      <w:spacing w:before="57" w:line="240" w:lineRule="auto"/>
      <w:ind w:left="554" w:hanging="339"/>
      <w:outlineLvl w:val="1"/>
    </w:pPr>
    <w:rPr>
      <w:rFonts w:ascii="Verdana" w:eastAsia="Verdana" w:hAnsi="Verdana"/>
      <w:b/>
      <w:bCs/>
      <w:sz w:val="24"/>
      <w:szCs w:val="24"/>
      <w:lang w:val="en-US"/>
    </w:rPr>
  </w:style>
  <w:style w:type="paragraph" w:customStyle="1" w:styleId="Kop21">
    <w:name w:val="Kop 21"/>
    <w:basedOn w:val="Normal"/>
    <w:uiPriority w:val="1"/>
    <w:qFormat/>
    <w:rsid w:val="00BE66E8"/>
    <w:pPr>
      <w:widowControl w:val="0"/>
      <w:suppressAutoHyphens w:val="0"/>
      <w:spacing w:line="240" w:lineRule="auto"/>
      <w:ind w:left="216"/>
      <w:outlineLvl w:val="2"/>
    </w:pPr>
    <w:rPr>
      <w:rFonts w:ascii="Verdana" w:eastAsia="Verdana" w:hAnsi="Verdana"/>
      <w:b/>
      <w:bCs/>
      <w:sz w:val="18"/>
      <w:szCs w:val="18"/>
      <w:lang w:val="en-US"/>
    </w:rPr>
  </w:style>
  <w:style w:type="paragraph" w:styleId="ListParagraph">
    <w:name w:val="List Paragraph"/>
    <w:basedOn w:val="Normal"/>
    <w:uiPriority w:val="34"/>
    <w:qFormat/>
    <w:rsid w:val="00BE66E8"/>
    <w:pPr>
      <w:widowControl w:val="0"/>
      <w:suppressAutoHyphens w:val="0"/>
      <w:spacing w:line="240" w:lineRule="auto"/>
    </w:pPr>
    <w:rPr>
      <w:rFonts w:ascii="Calibri" w:eastAsia="Calibri" w:hAnsi="Calibri"/>
      <w:sz w:val="22"/>
      <w:szCs w:val="22"/>
      <w:lang w:val="en-US"/>
    </w:rPr>
  </w:style>
  <w:style w:type="paragraph" w:customStyle="1" w:styleId="TableParagraph">
    <w:name w:val="Table Paragraph"/>
    <w:basedOn w:val="Normal"/>
    <w:uiPriority w:val="1"/>
    <w:qFormat/>
    <w:rsid w:val="00BE66E8"/>
    <w:pPr>
      <w:widowControl w:val="0"/>
      <w:suppressAutoHyphens w:val="0"/>
      <w:spacing w:line="240"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5F0630"/>
    <w:rPr>
      <w:b/>
      <w:bCs/>
    </w:rPr>
  </w:style>
  <w:style w:type="character" w:customStyle="1" w:styleId="CommentTextChar">
    <w:name w:val="Comment Text Char"/>
    <w:link w:val="CommentText"/>
    <w:semiHidden/>
    <w:rsid w:val="005F0630"/>
    <w:rPr>
      <w:lang w:val="en-GB" w:eastAsia="en-US"/>
    </w:rPr>
  </w:style>
  <w:style w:type="character" w:customStyle="1" w:styleId="CommentSubjectChar">
    <w:name w:val="Comment Subject Char"/>
    <w:link w:val="CommentSubject"/>
    <w:rsid w:val="005F0630"/>
    <w:rPr>
      <w:lang w:val="en-GB" w:eastAsia="en-US"/>
    </w:rPr>
  </w:style>
  <w:style w:type="paragraph" w:customStyle="1" w:styleId="N5">
    <w:name w:val="N5"/>
    <w:basedOn w:val="Normal"/>
    <w:rsid w:val="00D55398"/>
    <w:pPr>
      <w:widowControl w:val="0"/>
      <w:suppressAutoHyphens w:val="0"/>
      <w:overflowPunct w:val="0"/>
      <w:autoSpaceDE w:val="0"/>
      <w:autoSpaceDN w:val="0"/>
      <w:adjustRightInd w:val="0"/>
      <w:spacing w:line="240" w:lineRule="auto"/>
      <w:ind w:left="1418" w:hanging="284"/>
      <w:jc w:val="both"/>
      <w:textAlignment w:val="baseline"/>
    </w:pPr>
    <w:rPr>
      <w:rFonts w:ascii="Arial" w:hAnsi="Arial"/>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3595">
      <w:bodyDiv w:val="1"/>
      <w:marLeft w:val="0"/>
      <w:marRight w:val="0"/>
      <w:marTop w:val="0"/>
      <w:marBottom w:val="0"/>
      <w:divBdr>
        <w:top w:val="none" w:sz="0" w:space="0" w:color="auto"/>
        <w:left w:val="none" w:sz="0" w:space="0" w:color="auto"/>
        <w:bottom w:val="none" w:sz="0" w:space="0" w:color="auto"/>
        <w:right w:val="none" w:sz="0" w:space="0" w:color="auto"/>
      </w:divBdr>
    </w:div>
    <w:div w:id="660541511">
      <w:bodyDiv w:val="1"/>
      <w:marLeft w:val="0"/>
      <w:marRight w:val="0"/>
      <w:marTop w:val="0"/>
      <w:marBottom w:val="0"/>
      <w:divBdr>
        <w:top w:val="none" w:sz="0" w:space="0" w:color="auto"/>
        <w:left w:val="none" w:sz="0" w:space="0" w:color="auto"/>
        <w:bottom w:val="none" w:sz="0" w:space="0" w:color="auto"/>
        <w:right w:val="none" w:sz="0" w:space="0" w:color="auto"/>
      </w:divBdr>
    </w:div>
    <w:div w:id="15832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26B6-6001-4DBA-8F34-833233F5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656</Words>
  <Characters>3745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1421974(E)</vt:lpstr>
      <vt:lpstr>1421974(E)</vt:lpstr>
    </vt:vector>
  </TitlesOfParts>
  <Company>CSD</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1421974(E)</dc:title>
  <dc:subject/>
  <dc:creator>PAE</dc:creator>
  <cp:keywords>ECE/TRANS/WP.15/AC.2/2014/27</cp:keywords>
  <dc:description>final</dc:description>
  <cp:lastModifiedBy>Caillot</cp:lastModifiedBy>
  <cp:revision>3</cp:revision>
  <cp:lastPrinted>2016-08-11T07:19:00Z</cp:lastPrinted>
  <dcterms:created xsi:type="dcterms:W3CDTF">2016-08-18T14:22:00Z</dcterms:created>
  <dcterms:modified xsi:type="dcterms:W3CDTF">2016-08-18T14:26:00Z</dcterms:modified>
</cp:coreProperties>
</file>