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CE5DEB">
            <w:pPr>
              <w:jc w:val="right"/>
              <w:rPr>
                <w:b/>
                <w:sz w:val="40"/>
                <w:szCs w:val="40"/>
              </w:rPr>
            </w:pPr>
            <w:r w:rsidRPr="0099001C">
              <w:rPr>
                <w:b/>
                <w:sz w:val="40"/>
                <w:szCs w:val="40"/>
              </w:rPr>
              <w:t>UN/SCEGHS/</w:t>
            </w:r>
            <w:r w:rsidR="00A8760B">
              <w:rPr>
                <w:b/>
                <w:sz w:val="40"/>
                <w:szCs w:val="40"/>
              </w:rPr>
              <w:t>31</w:t>
            </w:r>
            <w:r w:rsidRPr="0099001C">
              <w:rPr>
                <w:b/>
                <w:sz w:val="40"/>
                <w:szCs w:val="40"/>
              </w:rPr>
              <w:t>/INF.</w:t>
            </w:r>
            <w:r w:rsidR="00CE5DEB">
              <w:rPr>
                <w:b/>
                <w:sz w:val="40"/>
                <w:szCs w:val="40"/>
              </w:rPr>
              <w:t>21</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535176" w:rsidRPr="00535176">
              <w:rPr>
                <w:b/>
                <w:lang w:val="en-US"/>
              </w:rPr>
              <w:t>30</w:t>
            </w:r>
            <w:r w:rsidR="006A7757" w:rsidRPr="00535176">
              <w:rPr>
                <w:b/>
                <w:lang w:val="en-US"/>
              </w:rPr>
              <w:t xml:space="preserve"> </w:t>
            </w:r>
            <w:r w:rsidR="00535176" w:rsidRPr="00535176">
              <w:rPr>
                <w:b/>
                <w:lang w:val="en-US"/>
              </w:rPr>
              <w:t>June</w:t>
            </w:r>
            <w:r w:rsidR="00E70DF5" w:rsidRPr="00535176">
              <w:rPr>
                <w:b/>
                <w:lang w:val="en-US"/>
              </w:rPr>
              <w:t xml:space="preserve"> </w:t>
            </w:r>
            <w:r w:rsidR="00A8760B" w:rsidRPr="00535176">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7D7D1A" w:rsidRPr="00DD2DCD" w:rsidRDefault="007D7D1A" w:rsidP="007D7D1A">
            <w:pPr>
              <w:contextualSpacing/>
            </w:pPr>
            <w:r>
              <w:t>Geneva, 5-8 July 2016</w:t>
            </w:r>
          </w:p>
          <w:p w:rsidR="007D7D1A" w:rsidRPr="00DD2DCD" w:rsidRDefault="007D7D1A" w:rsidP="007D7D1A">
            <w:pPr>
              <w:contextualSpacing/>
            </w:pPr>
            <w:r w:rsidRPr="00535176">
              <w:t>Item 5 (a) of the provisional agenda</w:t>
            </w:r>
          </w:p>
          <w:p w:rsidR="00535176" w:rsidRDefault="007D7D1A" w:rsidP="007D7D1A">
            <w:pPr>
              <w:jc w:val="both"/>
            </w:pPr>
            <w:r w:rsidRPr="00DD2DCD">
              <w:rPr>
                <w:b/>
              </w:rPr>
              <w:t>Implementation of the GHS</w:t>
            </w:r>
            <w:r>
              <w:rPr>
                <w:b/>
              </w:rPr>
              <w:t xml:space="preserve">: </w:t>
            </w:r>
            <w:r w:rsidR="00535176">
              <w:t xml:space="preserve"> </w:t>
            </w:r>
          </w:p>
          <w:p w:rsidR="009F3D53" w:rsidRPr="00535176" w:rsidRDefault="00535176" w:rsidP="007D7D1A">
            <w:pPr>
              <w:jc w:val="both"/>
              <w:rPr>
                <w:b/>
              </w:rPr>
            </w:pPr>
            <w:r w:rsidRPr="00535176">
              <w:rPr>
                <w:b/>
              </w:rPr>
              <w:t>Development of a list of chemicals classified in accordance with the GHS</w:t>
            </w:r>
          </w:p>
          <w:p w:rsidR="0099001C" w:rsidRDefault="0099001C" w:rsidP="006A7757">
            <w:pPr>
              <w:spacing w:line="240" w:lineRule="exact"/>
            </w:pPr>
          </w:p>
        </w:tc>
      </w:tr>
    </w:tbl>
    <w:p w:rsidR="007D7D1A" w:rsidRPr="008617A1" w:rsidRDefault="0099001C" w:rsidP="007D7D1A">
      <w:pPr>
        <w:pStyle w:val="HMG"/>
        <w:rPr>
          <w:rFonts w:eastAsia="MS Mincho"/>
        </w:rPr>
      </w:pPr>
      <w:r w:rsidRPr="009E7ABD">
        <w:rPr>
          <w:rFonts w:eastAsia="MS Mincho"/>
          <w:lang w:val="en-US" w:eastAsia="ja-JP"/>
        </w:rPr>
        <w:tab/>
      </w:r>
      <w:r w:rsidR="006A7757">
        <w:rPr>
          <w:rFonts w:eastAsia="MS Mincho"/>
          <w:lang w:val="en-US" w:eastAsia="ja-JP"/>
        </w:rPr>
        <w:tab/>
      </w:r>
      <w:r w:rsidR="007D7D1A">
        <w:rPr>
          <w:rFonts w:eastAsia="MS Mincho"/>
        </w:rPr>
        <w:t xml:space="preserve">Assessing the potential development of a global list of classified chemicals </w:t>
      </w:r>
    </w:p>
    <w:p w:rsidR="007D7D1A" w:rsidRPr="00E54B3C" w:rsidRDefault="007D7D1A" w:rsidP="007D7D1A">
      <w:pPr>
        <w:pStyle w:val="H23G"/>
        <w:rPr>
          <w:rFonts w:eastAsia="MS Mincho"/>
        </w:rPr>
      </w:pPr>
      <w:r>
        <w:rPr>
          <w:rFonts w:eastAsia="MS Mincho"/>
        </w:rPr>
        <w:tab/>
      </w:r>
      <w:r>
        <w:rPr>
          <w:rFonts w:eastAsia="MS Mincho"/>
        </w:rPr>
        <w:tab/>
      </w:r>
      <w:r w:rsidRPr="00E54B3C">
        <w:rPr>
          <w:rFonts w:eastAsia="MS Mincho"/>
        </w:rPr>
        <w:t>Transmitted by the expert from the United States of America on behalf of the i</w:t>
      </w:r>
      <w:r>
        <w:rPr>
          <w:rFonts w:eastAsia="MS Mincho"/>
        </w:rPr>
        <w:t>nformal correspondence group</w:t>
      </w:r>
    </w:p>
    <w:p w:rsidR="007D7D1A" w:rsidRPr="007D7D1A" w:rsidRDefault="007D7D1A" w:rsidP="007D7D1A">
      <w:pPr>
        <w:pStyle w:val="HMG"/>
        <w:rPr>
          <w:rFonts w:eastAsia="MS Mincho"/>
        </w:rPr>
      </w:pPr>
      <w:r>
        <w:rPr>
          <w:rFonts w:eastAsia="MS Mincho"/>
        </w:rPr>
        <w:tab/>
      </w:r>
      <w:r>
        <w:rPr>
          <w:rFonts w:eastAsia="MS Mincho"/>
        </w:rPr>
        <w:tab/>
      </w:r>
      <w:r w:rsidRPr="007D7D1A">
        <w:rPr>
          <w:rFonts w:eastAsia="MS Mincho"/>
        </w:rPr>
        <w:t>Purpose</w:t>
      </w:r>
    </w:p>
    <w:p w:rsidR="007D7D1A" w:rsidRPr="007D7D1A" w:rsidRDefault="007D7D1A" w:rsidP="007D7D1A">
      <w:pPr>
        <w:pStyle w:val="SingleTxtG"/>
      </w:pPr>
      <w:r>
        <w:t>1.</w:t>
      </w:r>
      <w:r>
        <w:tab/>
      </w:r>
      <w:r w:rsidRPr="007D7D1A">
        <w:t xml:space="preserve">The purpose of this document is to provide an update on the work undertaken by the informal correspondence group assessing the potential development of a global list of classified chemicals, and an agenda for the </w:t>
      </w:r>
      <w:proofErr w:type="gramStart"/>
      <w:r w:rsidRPr="007D7D1A">
        <w:t>group’s</w:t>
      </w:r>
      <w:proofErr w:type="gramEnd"/>
      <w:r w:rsidRPr="007D7D1A">
        <w:t xml:space="preserve"> meeting at the 31st</w:t>
      </w:r>
      <w:r w:rsidR="006315A9">
        <w:t xml:space="preserve"> s</w:t>
      </w:r>
      <w:r w:rsidRPr="007D7D1A">
        <w:t>ession.</w:t>
      </w:r>
    </w:p>
    <w:p w:rsidR="007D7D1A" w:rsidRPr="007D7D1A" w:rsidRDefault="007D7D1A" w:rsidP="007D7D1A">
      <w:pPr>
        <w:pStyle w:val="HMG"/>
        <w:rPr>
          <w:rFonts w:eastAsia="MS Mincho"/>
        </w:rPr>
      </w:pPr>
      <w:r>
        <w:rPr>
          <w:rFonts w:eastAsia="MS Mincho"/>
        </w:rPr>
        <w:tab/>
      </w:r>
      <w:r>
        <w:rPr>
          <w:rFonts w:eastAsia="MS Mincho"/>
        </w:rPr>
        <w:tab/>
      </w:r>
      <w:r w:rsidRPr="007D7D1A">
        <w:rPr>
          <w:rFonts w:eastAsia="MS Mincho"/>
        </w:rPr>
        <w:t xml:space="preserve">Background and </w:t>
      </w:r>
      <w:r>
        <w:rPr>
          <w:rFonts w:eastAsia="MS Mincho"/>
        </w:rPr>
        <w:t>u</w:t>
      </w:r>
      <w:r w:rsidRPr="007D7D1A">
        <w:rPr>
          <w:rFonts w:eastAsia="MS Mincho"/>
        </w:rPr>
        <w:t>pdate</w:t>
      </w:r>
    </w:p>
    <w:p w:rsidR="007D7D1A" w:rsidRPr="007D7D1A" w:rsidRDefault="007D7D1A" w:rsidP="007D7D1A">
      <w:pPr>
        <w:pStyle w:val="SingleTxtG"/>
      </w:pPr>
      <w:r>
        <w:t>2.</w:t>
      </w:r>
      <w:r>
        <w:tab/>
      </w:r>
      <w:r w:rsidRPr="007D7D1A">
        <w:t xml:space="preserve">During the 28th session, the Sub-Committee agreed to a plan of work in the pilot classification project, the three chemicals that </w:t>
      </w:r>
      <w:proofErr w:type="gramStart"/>
      <w:r w:rsidRPr="007D7D1A">
        <w:t>would be evaluated</w:t>
      </w:r>
      <w:proofErr w:type="gramEnd"/>
      <w:r w:rsidRPr="007D7D1A">
        <w:t xml:space="preserve"> in the pilot, and a provisional timeline for the project (ST/SG/AC.10/C.4/56, paragraphs 50-53; </w:t>
      </w:r>
      <w:r w:rsidR="006315A9">
        <w:t>INF. 22, 28th s</w:t>
      </w:r>
      <w:r w:rsidRPr="007D7D1A">
        <w:t>ess</w:t>
      </w:r>
      <w:r w:rsidR="00AC06E0">
        <w:t>ion</w:t>
      </w:r>
      <w:r w:rsidRPr="007D7D1A">
        <w:t>)</w:t>
      </w:r>
      <w:r w:rsidR="00AC06E0">
        <w:t>.</w:t>
      </w:r>
    </w:p>
    <w:p w:rsidR="007D7D1A" w:rsidRPr="007D7D1A" w:rsidRDefault="007D7D1A" w:rsidP="007D7D1A">
      <w:pPr>
        <w:pStyle w:val="SingleTxtG"/>
      </w:pPr>
      <w:r>
        <w:t>3.</w:t>
      </w:r>
      <w:r>
        <w:tab/>
      </w:r>
      <w:r w:rsidRPr="007D7D1A">
        <w:t xml:space="preserve">The OECD agreed to coordinate the development of draft classifications and data assessments in the pilot project.  Under the agreed procedures, each sponsor country developed an initial draft data assessment and </w:t>
      </w:r>
      <w:proofErr w:type="gramStart"/>
      <w:r w:rsidRPr="007D7D1A">
        <w:t>classification which</w:t>
      </w:r>
      <w:proofErr w:type="gramEnd"/>
      <w:r w:rsidRPr="007D7D1A">
        <w:t xml:space="preserve"> was posted on a dedicated website.  Any interested party </w:t>
      </w:r>
      <w:proofErr w:type="gramStart"/>
      <w:r w:rsidRPr="007D7D1A">
        <w:t>was provided</w:t>
      </w:r>
      <w:proofErr w:type="gramEnd"/>
      <w:r w:rsidRPr="007D7D1A">
        <w:t xml:space="preserve"> access to the website.  Interested parties provided written comments and sponsors provided responses and revisions in response.  This </w:t>
      </w:r>
      <w:proofErr w:type="gramStart"/>
      <w:r w:rsidRPr="007D7D1A">
        <w:t>was followed</w:t>
      </w:r>
      <w:proofErr w:type="gramEnd"/>
      <w:r w:rsidRPr="007D7D1A">
        <w:t xml:space="preserve"> by teleconferences to resolve remaining issues.  Participants </w:t>
      </w:r>
      <w:proofErr w:type="gramStart"/>
      <w:r w:rsidRPr="007D7D1A">
        <w:t>were asked</w:t>
      </w:r>
      <w:proofErr w:type="gramEnd"/>
      <w:r w:rsidRPr="007D7D1A">
        <w:t xml:space="preserve"> to prepare forms tracking the resources used to participate in the process.</w:t>
      </w:r>
    </w:p>
    <w:p w:rsidR="007D7D1A" w:rsidRDefault="007D7D1A" w:rsidP="007D7D1A">
      <w:pPr>
        <w:pStyle w:val="SingleTxtG"/>
      </w:pPr>
      <w:r>
        <w:t>4.</w:t>
      </w:r>
      <w:r>
        <w:tab/>
      </w:r>
      <w:r w:rsidRPr="00B131A1">
        <w:t>The OECD’s work is</w:t>
      </w:r>
      <w:r>
        <w:t xml:space="preserve"> almost complete.  </w:t>
      </w:r>
      <w:proofErr w:type="gramStart"/>
      <w:r>
        <w:t>Attached</w:t>
      </w:r>
      <w:proofErr w:type="gramEnd"/>
      <w:r>
        <w:t xml:space="preserve"> as A</w:t>
      </w:r>
      <w:r w:rsidRPr="00B131A1">
        <w:t xml:space="preserve">nnex 1 is a draft report presented to the OECD Task Force on Hazard Assessment.  Although the OECD’s work </w:t>
      </w:r>
      <w:proofErr w:type="gramStart"/>
      <w:r w:rsidRPr="00B131A1">
        <w:t>will not be completed</w:t>
      </w:r>
      <w:proofErr w:type="gramEnd"/>
      <w:r w:rsidRPr="00B131A1">
        <w:t xml:space="preserve"> </w:t>
      </w:r>
      <w:r w:rsidR="006315A9">
        <w:t xml:space="preserve">for </w:t>
      </w:r>
      <w:r w:rsidRPr="00B131A1">
        <w:t xml:space="preserve">the 31st </w:t>
      </w:r>
      <w:r w:rsidR="006315A9">
        <w:t>s</w:t>
      </w:r>
      <w:r w:rsidRPr="00B131A1">
        <w:t>ession of the Sub</w:t>
      </w:r>
      <w:r>
        <w:t>-</w:t>
      </w:r>
      <w:r w:rsidR="006315A9">
        <w:t>C</w:t>
      </w:r>
      <w:r w:rsidRPr="00B131A1">
        <w:t>om</w:t>
      </w:r>
      <w:r w:rsidR="006315A9">
        <w:t>m</w:t>
      </w:r>
      <w:r w:rsidRPr="00B131A1">
        <w:t xml:space="preserve">ittee, it is expected to be completed soon thereafter.  </w:t>
      </w:r>
    </w:p>
    <w:p w:rsidR="007D7D1A" w:rsidRDefault="007D7D1A" w:rsidP="007D7D1A">
      <w:pPr>
        <w:pStyle w:val="SingleTxtG"/>
      </w:pPr>
      <w:r>
        <w:t>5.</w:t>
      </w:r>
      <w:r>
        <w:tab/>
        <w:t>An overview of the project to date is as follows:</w:t>
      </w:r>
    </w:p>
    <w:p w:rsidR="007D7D1A" w:rsidRPr="007D7D1A" w:rsidRDefault="007D7D1A" w:rsidP="006315A9">
      <w:pPr>
        <w:pStyle w:val="SingleTxtG"/>
        <w:ind w:left="2160" w:hanging="450"/>
      </w:pPr>
      <w:r>
        <w:t>(a)</w:t>
      </w:r>
      <w:r>
        <w:tab/>
      </w:r>
      <w:r w:rsidRPr="007D7D1A">
        <w:t xml:space="preserve">The three pilot chemicals were selected in October 2014 and </w:t>
      </w:r>
      <w:proofErr w:type="gramStart"/>
      <w:r w:rsidRPr="007D7D1A">
        <w:t xml:space="preserve">a work plan was agreed by the </w:t>
      </w:r>
      <w:r w:rsidR="006315A9">
        <w:t>Sub-Committee</w:t>
      </w:r>
      <w:proofErr w:type="gramEnd"/>
      <w:r w:rsidRPr="007D7D1A">
        <w:t xml:space="preserve"> in December 2014.  The three chemicals are: </w:t>
      </w:r>
    </w:p>
    <w:p w:rsidR="007D7D1A" w:rsidRPr="00317737" w:rsidRDefault="007D7D1A" w:rsidP="006315A9">
      <w:pPr>
        <w:pStyle w:val="SingleTxtG"/>
        <w:ind w:left="2610" w:hanging="450"/>
      </w:pPr>
      <w:r>
        <w:t>(</w:t>
      </w:r>
      <w:proofErr w:type="spellStart"/>
      <w:r>
        <w:t>i</w:t>
      </w:r>
      <w:proofErr w:type="spellEnd"/>
      <w:r>
        <w:t>)</w:t>
      </w:r>
      <w:r>
        <w:tab/>
      </w:r>
      <w:proofErr w:type="spellStart"/>
      <w:r w:rsidRPr="00317737">
        <w:t>Dimethyltin</w:t>
      </w:r>
      <w:proofErr w:type="spellEnd"/>
      <w:r w:rsidRPr="00317737">
        <w:t xml:space="preserve"> dichloride, CAS No. 753-73-1 (DMTC) </w:t>
      </w:r>
      <w:r w:rsidR="006315A9">
        <w:t>(</w:t>
      </w:r>
      <w:r w:rsidRPr="00317737">
        <w:t>Nominated by the European Chemicals Agency)</w:t>
      </w:r>
    </w:p>
    <w:p w:rsidR="007D7D1A" w:rsidRPr="00317737" w:rsidRDefault="007D7D1A" w:rsidP="006315A9">
      <w:pPr>
        <w:pStyle w:val="SingleTxtG"/>
        <w:ind w:left="2610" w:hanging="450"/>
      </w:pPr>
      <w:r>
        <w:lastRenderedPageBreak/>
        <w:t>(ii)</w:t>
      </w:r>
      <w:r>
        <w:tab/>
      </w:r>
      <w:proofErr w:type="spellStart"/>
      <w:r w:rsidRPr="00317737">
        <w:t>Dicyclopentadiene</w:t>
      </w:r>
      <w:proofErr w:type="spellEnd"/>
      <w:r w:rsidRPr="00317737">
        <w:t>, CAS No. 77-73-6 (DCPD) (Nominated by the Russian Federation)</w:t>
      </w:r>
    </w:p>
    <w:p w:rsidR="007D7D1A" w:rsidRPr="00317737" w:rsidRDefault="007D7D1A" w:rsidP="006315A9">
      <w:pPr>
        <w:pStyle w:val="SingleTxtG"/>
        <w:ind w:left="2610" w:hanging="450"/>
      </w:pPr>
      <w:r>
        <w:t>(iii)</w:t>
      </w:r>
      <w:r>
        <w:tab/>
      </w:r>
      <w:r w:rsidRPr="00317737">
        <w:t>Di-n-butyl phthalate, CAS No. 84-74-2 (DBP) (Nominated by the United States</w:t>
      </w:r>
      <w:r w:rsidR="006315A9">
        <w:t xml:space="preserve"> of America</w:t>
      </w:r>
      <w:r w:rsidRPr="00317737">
        <w:t>)</w:t>
      </w:r>
    </w:p>
    <w:p w:rsidR="007D7D1A" w:rsidRDefault="007D7D1A" w:rsidP="006315A9">
      <w:pPr>
        <w:pStyle w:val="SingleTxtG"/>
        <w:ind w:left="2160" w:hanging="450"/>
      </w:pPr>
      <w:r>
        <w:t>(b)</w:t>
      </w:r>
      <w:r>
        <w:tab/>
      </w:r>
      <w:r w:rsidRPr="00755C7E">
        <w:t xml:space="preserve">The sponsor countries agreed on an initial reporting format in October 2014, which was refined throughout the drafting process. </w:t>
      </w:r>
    </w:p>
    <w:p w:rsidR="007D7D1A" w:rsidRDefault="007D7D1A" w:rsidP="006315A9">
      <w:pPr>
        <w:pStyle w:val="SingleTxtG"/>
        <w:ind w:left="2160" w:hanging="450"/>
      </w:pPr>
      <w:r>
        <w:t>(c)</w:t>
      </w:r>
      <w:r>
        <w:tab/>
      </w:r>
      <w:r w:rsidRPr="00755C7E">
        <w:t xml:space="preserve">The sponsor countries completed their draft classification and labelling reports July-August, 2015 and they </w:t>
      </w:r>
      <w:proofErr w:type="gramStart"/>
      <w:r w:rsidRPr="00755C7E">
        <w:t>were provided</w:t>
      </w:r>
      <w:proofErr w:type="gramEnd"/>
      <w:r w:rsidRPr="00755C7E">
        <w:t xml:space="preserve"> to reviewers on 2 September 2015 for a 6</w:t>
      </w:r>
      <w:r>
        <w:t>-</w:t>
      </w:r>
      <w:r w:rsidRPr="00755C7E">
        <w:t xml:space="preserve">week review period.  </w:t>
      </w:r>
    </w:p>
    <w:p w:rsidR="007D7D1A" w:rsidRDefault="007D7D1A" w:rsidP="006315A9">
      <w:pPr>
        <w:pStyle w:val="SingleTxtG"/>
        <w:ind w:left="2160" w:hanging="450"/>
      </w:pPr>
      <w:r>
        <w:t>(d)</w:t>
      </w:r>
      <w:r>
        <w:tab/>
      </w:r>
      <w:r w:rsidRPr="00755C7E">
        <w:t xml:space="preserve">Comments </w:t>
      </w:r>
      <w:proofErr w:type="gramStart"/>
      <w:r w:rsidRPr="00755C7E">
        <w:t>were received</w:t>
      </w:r>
      <w:proofErr w:type="gramEnd"/>
      <w:r w:rsidRPr="00755C7E">
        <w:t xml:space="preserve"> from approximately 10 countries and organizations, and the comments were all uploaded to the OECD site by 5 November 2015. </w:t>
      </w:r>
    </w:p>
    <w:p w:rsidR="007D7D1A" w:rsidRDefault="007D7D1A" w:rsidP="006315A9">
      <w:pPr>
        <w:pStyle w:val="SingleTxtG"/>
        <w:ind w:left="2160" w:hanging="450"/>
      </w:pPr>
      <w:r>
        <w:t>(e)</w:t>
      </w:r>
      <w:r>
        <w:tab/>
      </w:r>
      <w:r w:rsidRPr="00755C7E">
        <w:t xml:space="preserve">The OECD prepared comments summaries for each chemical.  They show that </w:t>
      </w:r>
      <w:proofErr w:type="gramStart"/>
      <w:r w:rsidRPr="00755C7E">
        <w:t>6</w:t>
      </w:r>
      <w:proofErr w:type="gramEnd"/>
      <w:r w:rsidRPr="00755C7E">
        <w:t xml:space="preserve"> commenters provided a total of 217 discrete comments on the DCPD draft assessment; 7 commenters provided a total of 118 comments on the DBP draft assessment; and 5 commenters provided a total of 38 comments on DMTC.</w:t>
      </w:r>
    </w:p>
    <w:p w:rsidR="007D7D1A" w:rsidRDefault="007D7D1A" w:rsidP="006315A9">
      <w:pPr>
        <w:pStyle w:val="SingleTxtG"/>
        <w:ind w:left="2160" w:hanging="450"/>
      </w:pPr>
      <w:r>
        <w:t>(f)</w:t>
      </w:r>
      <w:r>
        <w:tab/>
      </w:r>
      <w:r w:rsidRPr="00755C7E">
        <w:t xml:space="preserve">The chemical sponsors updated their reports based on comments received and provided written responses to comments.  </w:t>
      </w:r>
    </w:p>
    <w:p w:rsidR="007D7D1A" w:rsidRDefault="007D7D1A" w:rsidP="006315A9">
      <w:pPr>
        <w:pStyle w:val="SingleTxtG"/>
        <w:ind w:left="2160" w:hanging="450"/>
      </w:pPr>
      <w:r>
        <w:t>(g)</w:t>
      </w:r>
      <w:r>
        <w:tab/>
      </w:r>
      <w:r w:rsidRPr="00755C7E">
        <w:t xml:space="preserve">For DMTC, the sponsor (ECHA) provided a written response to comments and a revised report </w:t>
      </w:r>
      <w:r>
        <w:t xml:space="preserve">on </w:t>
      </w:r>
      <w:r w:rsidRPr="00755C7E">
        <w:t>15 December 2015</w:t>
      </w:r>
      <w:r>
        <w:t>.  O</w:t>
      </w:r>
      <w:r w:rsidRPr="00755C7E">
        <w:t>n 22 January</w:t>
      </w:r>
      <w:r>
        <w:t>,</w:t>
      </w:r>
      <w:r w:rsidRPr="00755C7E">
        <w:t xml:space="preserve"> a teleconference call with was held with interested parties.  Based on further feedback received on the call the report </w:t>
      </w:r>
      <w:proofErr w:type="gramStart"/>
      <w:r w:rsidRPr="00755C7E">
        <w:t>was revised</w:t>
      </w:r>
      <w:proofErr w:type="gramEnd"/>
      <w:r w:rsidRPr="00755C7E">
        <w:t xml:space="preserve">, and an additional teleconference was held on 7 April at which time the report was agreed. </w:t>
      </w:r>
      <w:proofErr w:type="gramStart"/>
      <w:r w:rsidRPr="00755C7E">
        <w:t xml:space="preserve">A finalized report was received </w:t>
      </w:r>
      <w:r>
        <w:t>by the OECD</w:t>
      </w:r>
      <w:proofErr w:type="gramEnd"/>
      <w:r>
        <w:t xml:space="preserve"> </w:t>
      </w:r>
      <w:r w:rsidRPr="00755C7E">
        <w:t xml:space="preserve">on 29 April, 2016. </w:t>
      </w:r>
    </w:p>
    <w:p w:rsidR="007D7D1A" w:rsidRDefault="007D7D1A" w:rsidP="006315A9">
      <w:pPr>
        <w:pStyle w:val="SingleTxtG"/>
        <w:ind w:left="2160" w:hanging="450"/>
      </w:pPr>
      <w:r>
        <w:t>(h)</w:t>
      </w:r>
      <w:r>
        <w:tab/>
      </w:r>
      <w:r w:rsidRPr="0031070F">
        <w:t>For DCPD, the sponsor (Russia</w:t>
      </w:r>
      <w:r w:rsidR="006315A9">
        <w:t>n Federation</w:t>
      </w:r>
      <w:r w:rsidRPr="0031070F">
        <w:t xml:space="preserve">) provided a written response to comments and revised report on 9 March and a teleconference </w:t>
      </w:r>
      <w:proofErr w:type="gramStart"/>
      <w:r w:rsidRPr="0031070F">
        <w:t>was</w:t>
      </w:r>
      <w:proofErr w:type="gramEnd"/>
      <w:r w:rsidRPr="0031070F">
        <w:t xml:space="preserve"> held 13 April with interested parties.  Based on further feedback received during the call, a revised report </w:t>
      </w:r>
      <w:proofErr w:type="gramStart"/>
      <w:r w:rsidRPr="0031070F">
        <w:t>was received 13 May and commented on by written procedure</w:t>
      </w:r>
      <w:proofErr w:type="gramEnd"/>
      <w:r w:rsidRPr="0031070F">
        <w:t xml:space="preserve">.  </w:t>
      </w:r>
      <w:r>
        <w:t xml:space="preserve">In response to additional </w:t>
      </w:r>
      <w:proofErr w:type="gramStart"/>
      <w:r>
        <w:t>comments</w:t>
      </w:r>
      <w:proofErr w:type="gramEnd"/>
      <w:r>
        <w:t xml:space="preserve"> </w:t>
      </w:r>
      <w:r w:rsidRPr="0031070F">
        <w:t xml:space="preserve">Russia provided another revised report on 15 June.  </w:t>
      </w:r>
    </w:p>
    <w:p w:rsidR="007D7D1A" w:rsidRPr="0031070F" w:rsidRDefault="007D7D1A" w:rsidP="006315A9">
      <w:pPr>
        <w:pStyle w:val="SingleTxtG"/>
        <w:ind w:left="2160" w:hanging="450"/>
      </w:pPr>
      <w:r>
        <w:t>(</w:t>
      </w:r>
      <w:proofErr w:type="spellStart"/>
      <w:r>
        <w:t>i</w:t>
      </w:r>
      <w:proofErr w:type="spellEnd"/>
      <w:r>
        <w:t>)</w:t>
      </w:r>
      <w:r>
        <w:tab/>
      </w:r>
      <w:r w:rsidRPr="0031070F">
        <w:t>For DBP, the sponsor (United States</w:t>
      </w:r>
      <w:r w:rsidR="006315A9">
        <w:t xml:space="preserve"> of America</w:t>
      </w:r>
      <w:r w:rsidRPr="0031070F">
        <w:t xml:space="preserve">) provided written responses to the comments and a revised report on 7 March and 26 February respectively, and a teleconference </w:t>
      </w:r>
      <w:proofErr w:type="gramStart"/>
      <w:r w:rsidRPr="0031070F">
        <w:t>was held</w:t>
      </w:r>
      <w:proofErr w:type="gramEnd"/>
      <w:r w:rsidRPr="0031070F">
        <w:t xml:space="preserve"> 7 April with interested parties. Based on further feedback received during a revised report was received 26 May and discussed during a teleconference on 8 June.   Final comments received on the call were with respect to clarification of a few aspects of the report.  </w:t>
      </w:r>
      <w:proofErr w:type="gramStart"/>
      <w:r w:rsidRPr="0031070F">
        <w:t xml:space="preserve">A revised version was received </w:t>
      </w:r>
      <w:r>
        <w:t>by the OECD</w:t>
      </w:r>
      <w:proofErr w:type="gramEnd"/>
      <w:r>
        <w:t xml:space="preserve"> </w:t>
      </w:r>
      <w:r w:rsidRPr="0031070F">
        <w:t xml:space="preserve">on </w:t>
      </w:r>
      <w:r>
        <w:t>9 June</w:t>
      </w:r>
      <w:r w:rsidRPr="0031070F">
        <w:t>.</w:t>
      </w:r>
    </w:p>
    <w:p w:rsidR="007D7D1A" w:rsidRPr="006315A9" w:rsidRDefault="006315A9" w:rsidP="006315A9">
      <w:pPr>
        <w:pStyle w:val="SingleTxtG"/>
      </w:pPr>
      <w:r>
        <w:t>6.</w:t>
      </w:r>
      <w:r>
        <w:tab/>
      </w:r>
      <w:r w:rsidR="007D7D1A" w:rsidRPr="0031070F">
        <w:t>Though the draft report shows several specific learnings, in general</w:t>
      </w:r>
      <w:r w:rsidR="007D7D1A">
        <w:t>,</w:t>
      </w:r>
      <w:r w:rsidR="007D7D1A" w:rsidRPr="0031070F">
        <w:t xml:space="preserve"> the pilot to date has shown that it was possible to reach agreed nonbinding classifications</w:t>
      </w:r>
      <w:r w:rsidR="007D7D1A">
        <w:t xml:space="preserve"> through the process.  A</w:t>
      </w:r>
      <w:r w:rsidR="007D7D1A" w:rsidRPr="0031070F">
        <w:t xml:space="preserve">lthough </w:t>
      </w:r>
      <w:proofErr w:type="gramStart"/>
      <w:r w:rsidR="007D7D1A" w:rsidRPr="0031070F">
        <w:t>resources expended to date have not yet been tabulated by the OECD</w:t>
      </w:r>
      <w:proofErr w:type="gramEnd"/>
      <w:r w:rsidR="007D7D1A" w:rsidRPr="0031070F">
        <w:t xml:space="preserve">, it is expected that they </w:t>
      </w:r>
      <w:r w:rsidR="007D7D1A">
        <w:t>will be</w:t>
      </w:r>
      <w:r w:rsidR="007D7D1A" w:rsidRPr="0031070F">
        <w:t xml:space="preserve"> substantial.  </w:t>
      </w:r>
    </w:p>
    <w:p w:rsidR="007D7D1A" w:rsidRDefault="00590D42" w:rsidP="007D7D1A">
      <w:pPr>
        <w:pStyle w:val="SingleTxtG"/>
        <w:tabs>
          <w:tab w:val="right" w:pos="0"/>
        </w:tabs>
        <w:ind w:left="0"/>
        <w:rPr>
          <w:sz w:val="24"/>
          <w:szCs w:val="24"/>
        </w:rPr>
      </w:pPr>
      <w:r>
        <w:rPr>
          <w:b/>
          <w:sz w:val="24"/>
          <w:szCs w:val="24"/>
        </w:rPr>
        <w:tab/>
      </w:r>
      <w:r>
        <w:rPr>
          <w:b/>
          <w:sz w:val="24"/>
          <w:szCs w:val="24"/>
        </w:rPr>
        <w:tab/>
      </w:r>
      <w:r w:rsidR="007D7D1A">
        <w:rPr>
          <w:b/>
          <w:sz w:val="24"/>
          <w:szCs w:val="24"/>
        </w:rPr>
        <w:t xml:space="preserve">Meeting </w:t>
      </w:r>
      <w:r w:rsidR="006315A9">
        <w:rPr>
          <w:b/>
          <w:sz w:val="24"/>
          <w:szCs w:val="24"/>
        </w:rPr>
        <w:t>a</w:t>
      </w:r>
      <w:r w:rsidR="007D7D1A">
        <w:rPr>
          <w:b/>
          <w:sz w:val="24"/>
          <w:szCs w:val="24"/>
        </w:rPr>
        <w:t>genda</w:t>
      </w:r>
    </w:p>
    <w:p w:rsidR="007D7D1A" w:rsidRDefault="006315A9" w:rsidP="006315A9">
      <w:pPr>
        <w:pStyle w:val="SingleTxtG"/>
      </w:pPr>
      <w:r>
        <w:t>7.</w:t>
      </w:r>
      <w:r>
        <w:tab/>
      </w:r>
      <w:r w:rsidR="007D7D1A">
        <w:t xml:space="preserve">Interested persons </w:t>
      </w:r>
      <w:proofErr w:type="gramStart"/>
      <w:r w:rsidR="007D7D1A">
        <w:t>are invited</w:t>
      </w:r>
      <w:proofErr w:type="gramEnd"/>
      <w:r w:rsidR="007D7D1A">
        <w:t xml:space="preserve"> to attend the meeting of the correspondence group in the plenary room during a break in the 31st </w:t>
      </w:r>
      <w:r>
        <w:t>s</w:t>
      </w:r>
      <w:r w:rsidR="007D7D1A">
        <w:t xml:space="preserve">ession of the </w:t>
      </w:r>
      <w:r>
        <w:t>Sub-Committee</w:t>
      </w:r>
      <w:r w:rsidR="007D7D1A">
        <w:t xml:space="preserve"> on the afternoon of 7 July 2016.  A proposed agenda follows:</w:t>
      </w:r>
    </w:p>
    <w:p w:rsidR="007D7D1A" w:rsidRDefault="006315A9" w:rsidP="006315A9">
      <w:pPr>
        <w:pStyle w:val="SingleTxtG"/>
        <w:ind w:left="2160" w:hanging="450"/>
      </w:pPr>
      <w:proofErr w:type="gramStart"/>
      <w:r>
        <w:t>(a)</w:t>
      </w:r>
      <w:r>
        <w:tab/>
      </w:r>
      <w:r w:rsidR="007D7D1A">
        <w:t>Pilot project to date and draft OECD report.</w:t>
      </w:r>
      <w:proofErr w:type="gramEnd"/>
    </w:p>
    <w:p w:rsidR="007D7D1A" w:rsidRDefault="006315A9" w:rsidP="006315A9">
      <w:pPr>
        <w:pStyle w:val="SingleTxtG"/>
        <w:ind w:left="2160" w:hanging="450"/>
      </w:pPr>
      <w:proofErr w:type="gramStart"/>
      <w:r>
        <w:lastRenderedPageBreak/>
        <w:t>(b)</w:t>
      </w:r>
      <w:r>
        <w:tab/>
      </w:r>
      <w:r w:rsidR="007D7D1A">
        <w:t>Planning the final phase of the pilot project regarding reception and evaluation of the final OECD report and draft classifications.</w:t>
      </w:r>
      <w:proofErr w:type="gramEnd"/>
      <w:r w:rsidR="007D7D1A">
        <w:t xml:space="preserve">  (See Annex 2, Thought Starter 1)</w:t>
      </w:r>
    </w:p>
    <w:p w:rsidR="007D7D1A" w:rsidRDefault="006315A9" w:rsidP="006315A9">
      <w:pPr>
        <w:pStyle w:val="SingleTxtG"/>
        <w:ind w:left="2160" w:hanging="450"/>
      </w:pPr>
      <w:r>
        <w:t>(c)</w:t>
      </w:r>
      <w:r>
        <w:tab/>
      </w:r>
      <w:r w:rsidR="007D7D1A">
        <w:t xml:space="preserve">Consideration of how classifications adopted as a part of a Global List might </w:t>
      </w:r>
      <w:proofErr w:type="gramStart"/>
      <w:r w:rsidR="007D7D1A">
        <w:t>impact</w:t>
      </w:r>
      <w:proofErr w:type="gramEnd"/>
      <w:r w:rsidR="007D7D1A">
        <w:t xml:space="preserve"> the Model Regulations.  (See Annex 2, Thought Starter 2)</w:t>
      </w:r>
    </w:p>
    <w:p w:rsidR="007D7D1A" w:rsidRDefault="006315A9" w:rsidP="006315A9">
      <w:pPr>
        <w:pStyle w:val="SingleTxtG"/>
        <w:ind w:left="2160" w:hanging="450"/>
      </w:pPr>
      <w:r>
        <w:t>(d)</w:t>
      </w:r>
      <w:r>
        <w:tab/>
      </w:r>
      <w:r w:rsidR="007D7D1A">
        <w:t>Next steps, including possible list comparison exercise. (See Annex 2, Thought Starter 3 and Annex 3)</w:t>
      </w:r>
      <w:r w:rsidR="00093D86">
        <w:t>.</w:t>
      </w:r>
    </w:p>
    <w:p w:rsidR="00093D86" w:rsidRPr="00093D86" w:rsidRDefault="00093D86" w:rsidP="00093D86">
      <w:pPr>
        <w:pStyle w:val="SingleTxtG"/>
        <w:tabs>
          <w:tab w:val="right" w:pos="0"/>
        </w:tabs>
        <w:ind w:left="0"/>
        <w:rPr>
          <w:b/>
          <w:sz w:val="24"/>
          <w:szCs w:val="24"/>
        </w:rPr>
      </w:pPr>
      <w:r>
        <w:rPr>
          <w:b/>
          <w:sz w:val="24"/>
          <w:szCs w:val="24"/>
        </w:rPr>
        <w:tab/>
      </w:r>
      <w:r>
        <w:rPr>
          <w:b/>
          <w:sz w:val="24"/>
          <w:szCs w:val="24"/>
        </w:rPr>
        <w:tab/>
      </w:r>
      <w:r w:rsidRPr="00093D86">
        <w:rPr>
          <w:b/>
          <w:sz w:val="24"/>
          <w:szCs w:val="24"/>
        </w:rPr>
        <w:t xml:space="preserve">Annexes </w:t>
      </w:r>
    </w:p>
    <w:p w:rsidR="00093D86" w:rsidRPr="001F204C" w:rsidRDefault="00093D86" w:rsidP="001F204C">
      <w:pPr>
        <w:pStyle w:val="SingleTxtG"/>
      </w:pPr>
      <w:r w:rsidRPr="001F204C">
        <w:t>8.</w:t>
      </w:r>
      <w:r w:rsidRPr="001F204C">
        <w:tab/>
        <w:t xml:space="preserve">Three annexes </w:t>
      </w:r>
      <w:proofErr w:type="gramStart"/>
      <w:r w:rsidRPr="001F204C">
        <w:t>are attached</w:t>
      </w:r>
      <w:proofErr w:type="gramEnd"/>
      <w:r w:rsidRPr="001F204C">
        <w:t xml:space="preserve"> to this document as follows:</w:t>
      </w:r>
    </w:p>
    <w:p w:rsidR="00093D86" w:rsidRPr="00535176" w:rsidRDefault="00093D86" w:rsidP="001F204C">
      <w:pPr>
        <w:pStyle w:val="Bullet1G"/>
      </w:pPr>
      <w:r w:rsidRPr="00535176">
        <w:t>Annex I: Draft OECD report (see INF</w:t>
      </w:r>
      <w:r w:rsidR="00535176" w:rsidRPr="00535176">
        <w:t>.</w:t>
      </w:r>
      <w:r w:rsidR="00CE5DEB">
        <w:t>21</w:t>
      </w:r>
      <w:r w:rsidR="001F204C" w:rsidRPr="00535176">
        <w:t>/Add.1)</w:t>
      </w:r>
    </w:p>
    <w:p w:rsidR="001F204C" w:rsidRPr="00535176" w:rsidRDefault="001F204C" w:rsidP="001F204C">
      <w:pPr>
        <w:pStyle w:val="Bullet1G"/>
      </w:pPr>
      <w:r w:rsidRPr="00535176">
        <w:t>Annex II: Thought starters</w:t>
      </w:r>
    </w:p>
    <w:p w:rsidR="001F204C" w:rsidRPr="00535176" w:rsidRDefault="001F204C" w:rsidP="001F204C">
      <w:pPr>
        <w:pStyle w:val="Bullet1G"/>
        <w:rPr>
          <w:lang w:val="en-US"/>
        </w:rPr>
      </w:pPr>
      <w:r w:rsidRPr="00535176">
        <w:rPr>
          <w:lang w:val="en-US"/>
        </w:rPr>
        <w:t xml:space="preserve">Annex III: </w:t>
      </w:r>
      <w:r w:rsidR="00535176" w:rsidRPr="00535176">
        <w:t xml:space="preserve">European Union-Japan list comparison </w:t>
      </w:r>
      <w:r w:rsidRPr="00535176">
        <w:t>(see INF</w:t>
      </w:r>
      <w:r w:rsidR="00535176" w:rsidRPr="00535176">
        <w:t>.</w:t>
      </w:r>
      <w:r w:rsidR="00CE5DEB">
        <w:t>21</w:t>
      </w:r>
      <w:r w:rsidR="00535176" w:rsidRPr="00535176">
        <w:t>/Add.</w:t>
      </w:r>
      <w:r w:rsidRPr="00535176">
        <w:t>2)</w:t>
      </w:r>
    </w:p>
    <w:p w:rsidR="00093D86" w:rsidRPr="00535176" w:rsidRDefault="00093D86" w:rsidP="006315A9">
      <w:pPr>
        <w:pStyle w:val="SingleTxtG"/>
        <w:ind w:left="2160" w:hanging="450"/>
        <w:rPr>
          <w:lang w:val="en-US"/>
        </w:rPr>
      </w:pPr>
    </w:p>
    <w:p w:rsidR="006315A9" w:rsidRPr="00535176" w:rsidRDefault="006315A9" w:rsidP="006315A9">
      <w:pPr>
        <w:pStyle w:val="SingleTxtG"/>
        <w:ind w:left="2160" w:hanging="450"/>
        <w:rPr>
          <w:lang w:val="en-US"/>
        </w:rPr>
      </w:pPr>
    </w:p>
    <w:p w:rsidR="001F204C" w:rsidRDefault="001F204C" w:rsidP="001F204C">
      <w:pPr>
        <w:pStyle w:val="SSG"/>
      </w:pPr>
      <w:r w:rsidRPr="001F204C">
        <w:rPr>
          <w:lang w:val="en-US"/>
        </w:rPr>
        <w:br w:type="page"/>
      </w:r>
      <w:r w:rsidR="00093D86">
        <w:lastRenderedPageBreak/>
        <w:t xml:space="preserve">ANNEX </w:t>
      </w:r>
      <w:r>
        <w:t>II</w:t>
      </w:r>
      <w:r>
        <w:tab/>
      </w:r>
    </w:p>
    <w:p w:rsidR="00093D86" w:rsidRDefault="00093D86" w:rsidP="001F204C">
      <w:pPr>
        <w:pStyle w:val="SSG"/>
      </w:pPr>
      <w:r>
        <w:t xml:space="preserve">Thought </w:t>
      </w:r>
      <w:r w:rsidR="001F204C">
        <w:t>s</w:t>
      </w:r>
      <w:r>
        <w:t>tarters</w:t>
      </w:r>
    </w:p>
    <w:p w:rsidR="00093D86" w:rsidRDefault="001F204C" w:rsidP="001F204C">
      <w:pPr>
        <w:pStyle w:val="H23G"/>
      </w:pPr>
      <w:r>
        <w:tab/>
      </w:r>
      <w:r>
        <w:tab/>
        <w:t>Thought s</w:t>
      </w:r>
      <w:r w:rsidR="00093D86">
        <w:t>tarter 1</w:t>
      </w:r>
      <w:r>
        <w:t>: Final s</w:t>
      </w:r>
      <w:r w:rsidR="00093D86">
        <w:t>teps</w:t>
      </w:r>
      <w:r>
        <w:t xml:space="preserve"> of the pilot p</w:t>
      </w:r>
      <w:r w:rsidR="00093D86">
        <w:t>roject</w:t>
      </w:r>
    </w:p>
    <w:p w:rsidR="00093D86" w:rsidRPr="001F204C" w:rsidRDefault="00093D86" w:rsidP="001F204C">
      <w:pPr>
        <w:pStyle w:val="SingleTxtG"/>
      </w:pPr>
      <w:r w:rsidRPr="001F204C">
        <w:t>The purpose of the classification pilot project is to obtain information on the process and resources needed if the Sub-</w:t>
      </w:r>
      <w:r w:rsidR="001F204C" w:rsidRPr="001F204C">
        <w:t>Co</w:t>
      </w:r>
      <w:r w:rsidRPr="001F204C">
        <w:t xml:space="preserve">mmittee were to adopt harmonized classifications rather than actually obtain harmonized classifications of the selected chemicals.  Thus, although it is not within the scope of the pilot for the Sub-committee to adopt classifications for DMTC, DCPD, and DBP based on the OECD’s report, it </w:t>
      </w:r>
      <w:proofErr w:type="gramStart"/>
      <w:r w:rsidRPr="001F204C">
        <w:t>is proposed</w:t>
      </w:r>
      <w:proofErr w:type="gramEnd"/>
      <w:r w:rsidRPr="001F204C">
        <w:t xml:space="preserve"> that the pilot should consider what process and resources would be involved if the Sub-</w:t>
      </w:r>
      <w:r w:rsidR="001F204C">
        <w:t>C</w:t>
      </w:r>
      <w:r w:rsidRPr="001F204C">
        <w:t>ommittee were to consider adopting classifications for those chemicals.</w:t>
      </w:r>
    </w:p>
    <w:p w:rsidR="00093D86" w:rsidRDefault="00093D86" w:rsidP="001F204C">
      <w:pPr>
        <w:pStyle w:val="SingleTxtG"/>
      </w:pPr>
      <w:r w:rsidRPr="001F204C">
        <w:t>One way to do this is to conduct a mock exercise modelling the decision</w:t>
      </w:r>
      <w:r w:rsidR="001F204C" w:rsidRPr="001F204C">
        <w:t xml:space="preserve"> </w:t>
      </w:r>
      <w:r w:rsidRPr="001F204C">
        <w:t>making necessary if the Sub-committee were to consider and adopt harmonized classifications for DMTC, DCPD, and DBP based on the OECD report.  Again, the Sub-</w:t>
      </w:r>
      <w:r w:rsidR="001F204C" w:rsidRPr="001F204C">
        <w:t>C</w:t>
      </w:r>
      <w:r w:rsidRPr="001F204C">
        <w:t>ommittee would not actually adopt classifications, but such an exercise would allow the Sub-</w:t>
      </w:r>
      <w:r w:rsidR="001F204C" w:rsidRPr="001F204C">
        <w:t>C</w:t>
      </w:r>
      <w:r w:rsidRPr="001F204C">
        <w:t>ommittee to examine the process and track resources that would be involved in adopting a harmonized classification for these chemicals</w:t>
      </w:r>
      <w:r>
        <w:t xml:space="preserve">. </w:t>
      </w:r>
    </w:p>
    <w:p w:rsidR="00093D86" w:rsidRPr="001F204C" w:rsidRDefault="00093D86" w:rsidP="001F204C">
      <w:pPr>
        <w:pStyle w:val="SingleTxtG"/>
      </w:pPr>
      <w:r w:rsidRPr="001F204C">
        <w:t xml:space="preserve">Among the issues to </w:t>
      </w:r>
      <w:proofErr w:type="gramStart"/>
      <w:r w:rsidRPr="001F204C">
        <w:t>be considered</w:t>
      </w:r>
      <w:proofErr w:type="gramEnd"/>
      <w:r w:rsidRPr="001F204C">
        <w:t xml:space="preserve"> in this phase of the process:</w:t>
      </w:r>
    </w:p>
    <w:p w:rsidR="00093D86" w:rsidRDefault="00093D86" w:rsidP="001F204C">
      <w:pPr>
        <w:pStyle w:val="SingleTxtG"/>
        <w:numPr>
          <w:ilvl w:val="0"/>
          <w:numId w:val="12"/>
        </w:numPr>
        <w:tabs>
          <w:tab w:val="right" w:pos="0"/>
        </w:tabs>
        <w:ind w:left="1440"/>
        <w:jc w:val="left"/>
      </w:pPr>
      <w:r>
        <w:t>Should the Sub-</w:t>
      </w:r>
      <w:r w:rsidR="001F204C">
        <w:t>C</w:t>
      </w:r>
      <w:r>
        <w:t>ommittee provide any additional notice to member states and stakeholders that the Sub-committee is considering adopting a harmonized classification?  If so, what form should that take?</w:t>
      </w:r>
    </w:p>
    <w:p w:rsidR="00093D86" w:rsidRDefault="00093D86" w:rsidP="001F204C">
      <w:pPr>
        <w:pStyle w:val="SingleTxtG"/>
        <w:numPr>
          <w:ilvl w:val="0"/>
          <w:numId w:val="12"/>
        </w:numPr>
        <w:tabs>
          <w:tab w:val="right" w:pos="0"/>
        </w:tabs>
        <w:ind w:left="1440"/>
        <w:jc w:val="left"/>
      </w:pPr>
      <w:r>
        <w:t>Are the normal Sub-</w:t>
      </w:r>
      <w:r w:rsidR="001F204C">
        <w:t>C</w:t>
      </w:r>
      <w:r>
        <w:t xml:space="preserve">ommittee procedures, including informal documents, working papers, and working groups adequate to provide avenues for comment on the OECD draft assessments?  </w:t>
      </w:r>
      <w:proofErr w:type="gramStart"/>
      <w:r>
        <w:t>Would it be an adequate process to attach the draft assessment to a working document, so that it may be considered first by a working group and then by the full Sub-committee?</w:t>
      </w:r>
      <w:proofErr w:type="gramEnd"/>
    </w:p>
    <w:p w:rsidR="00093D86" w:rsidRDefault="00093D86" w:rsidP="001F204C">
      <w:pPr>
        <w:pStyle w:val="SingleTxtG"/>
        <w:numPr>
          <w:ilvl w:val="0"/>
          <w:numId w:val="12"/>
        </w:numPr>
        <w:tabs>
          <w:tab w:val="right" w:pos="0"/>
        </w:tabs>
        <w:ind w:left="1440"/>
        <w:jc w:val="left"/>
      </w:pPr>
      <w:r>
        <w:t>Would the harmonized list be a part of the Purple Book, or its own stand-alone list, perhaps published on the UNECE website?</w:t>
      </w:r>
    </w:p>
    <w:p w:rsidR="00093D86" w:rsidRDefault="00093D86" w:rsidP="001F204C">
      <w:pPr>
        <w:pStyle w:val="SingleTxtG"/>
        <w:numPr>
          <w:ilvl w:val="0"/>
          <w:numId w:val="12"/>
        </w:numPr>
        <w:tabs>
          <w:tab w:val="right" w:pos="0"/>
        </w:tabs>
        <w:ind w:left="1440"/>
        <w:jc w:val="left"/>
      </w:pPr>
      <w:r>
        <w:t xml:space="preserve">Are there any other procedural steps to </w:t>
      </w:r>
      <w:proofErr w:type="gramStart"/>
      <w:r>
        <w:t>be considered</w:t>
      </w:r>
      <w:proofErr w:type="gramEnd"/>
      <w:r>
        <w:t xml:space="preserve"> in this process?</w:t>
      </w:r>
    </w:p>
    <w:p w:rsidR="00093D86" w:rsidRDefault="00093D86" w:rsidP="001F204C">
      <w:pPr>
        <w:pStyle w:val="SingleTxtG"/>
        <w:numPr>
          <w:ilvl w:val="0"/>
          <w:numId w:val="12"/>
        </w:numPr>
        <w:tabs>
          <w:tab w:val="right" w:pos="0"/>
        </w:tabs>
        <w:ind w:left="1440"/>
        <w:jc w:val="left"/>
      </w:pPr>
      <w:r>
        <w:t xml:space="preserve">How </w:t>
      </w:r>
      <w:proofErr w:type="gramStart"/>
      <w:r>
        <w:t>should the resources used be tracked</w:t>
      </w:r>
      <w:proofErr w:type="gramEnd"/>
      <w:r>
        <w:t>?</w:t>
      </w:r>
    </w:p>
    <w:p w:rsidR="00093D86" w:rsidRDefault="001F204C" w:rsidP="001F204C">
      <w:pPr>
        <w:pStyle w:val="H23G"/>
      </w:pPr>
      <w:r>
        <w:tab/>
      </w:r>
      <w:r>
        <w:tab/>
      </w:r>
      <w:r w:rsidR="00351BFD">
        <w:t>Thought Starter 2</w:t>
      </w:r>
      <w:r>
        <w:t>: I</w:t>
      </w:r>
      <w:r w:rsidR="00093D86">
        <w:t>mplications for the Model Regulations</w:t>
      </w:r>
    </w:p>
    <w:p w:rsidR="00093D86" w:rsidRPr="001F204C" w:rsidRDefault="00093D86" w:rsidP="001F204C">
      <w:pPr>
        <w:pStyle w:val="SingleTxtG"/>
      </w:pPr>
      <w:proofErr w:type="gramStart"/>
      <w:r w:rsidRPr="001F204C">
        <w:t>It is possible that harmonized classifications adopted by the Sub-</w:t>
      </w:r>
      <w:r w:rsidR="001F204C">
        <w:t>C</w:t>
      </w:r>
      <w:r w:rsidRPr="001F204C">
        <w:t>ommittee might</w:t>
      </w:r>
      <w:proofErr w:type="gramEnd"/>
      <w:r w:rsidRPr="001F204C">
        <w:t xml:space="preserve"> have impacts on the way those chemicals are treated under the Model Regulations for the Transport of Dangerous Goods.  For example, the Secretariat noted that the draft classification reached in the OECD process for DCPD classified the chemical as Acute Toxicity, category 2, which would require packing group II under the Model Regulations.  Currently, DCPD </w:t>
      </w:r>
      <w:proofErr w:type="gramStart"/>
      <w:r w:rsidRPr="001F204C">
        <w:t>is assigned</w:t>
      </w:r>
      <w:proofErr w:type="gramEnd"/>
      <w:r w:rsidRPr="001F204C">
        <w:t xml:space="preserve"> packing group III.</w:t>
      </w:r>
    </w:p>
    <w:p w:rsidR="00093D86" w:rsidRDefault="00093D86" w:rsidP="00093D86">
      <w:pPr>
        <w:pStyle w:val="SingleTxtG"/>
        <w:numPr>
          <w:ilvl w:val="0"/>
          <w:numId w:val="13"/>
        </w:numPr>
        <w:tabs>
          <w:tab w:val="right" w:pos="0"/>
        </w:tabs>
        <w:jc w:val="left"/>
      </w:pPr>
      <w:r>
        <w:t xml:space="preserve">In adopting a harmonized classification, how </w:t>
      </w:r>
      <w:proofErr w:type="gramStart"/>
      <w:r>
        <w:t>should potential impacts on the Model Regulations be considered</w:t>
      </w:r>
      <w:proofErr w:type="gramEnd"/>
      <w:r>
        <w:t xml:space="preserve">?  </w:t>
      </w:r>
    </w:p>
    <w:p w:rsidR="00093D86" w:rsidRDefault="00093D86" w:rsidP="00093D86">
      <w:pPr>
        <w:pStyle w:val="SingleTxtG"/>
        <w:numPr>
          <w:ilvl w:val="0"/>
          <w:numId w:val="13"/>
        </w:numPr>
        <w:tabs>
          <w:tab w:val="right" w:pos="0"/>
        </w:tabs>
        <w:jc w:val="left"/>
      </w:pPr>
      <w:r>
        <w:t>Should the TDG Sub-</w:t>
      </w:r>
      <w:r w:rsidR="00351BFD">
        <w:t>C</w:t>
      </w:r>
      <w:r>
        <w:t xml:space="preserve">ommittee be involved in the classification process in some fashion? </w:t>
      </w:r>
      <w:proofErr w:type="gramStart"/>
      <w:r>
        <w:t>If so, how and when?</w:t>
      </w:r>
      <w:proofErr w:type="gramEnd"/>
    </w:p>
    <w:p w:rsidR="00093D86" w:rsidRDefault="00093D86" w:rsidP="00093D86">
      <w:pPr>
        <w:pStyle w:val="SingleTxtG"/>
        <w:numPr>
          <w:ilvl w:val="0"/>
          <w:numId w:val="13"/>
        </w:numPr>
        <w:tabs>
          <w:tab w:val="right" w:pos="0"/>
        </w:tabs>
        <w:jc w:val="left"/>
      </w:pPr>
      <w:r>
        <w:t>Are there other ways to address potential conflicts between harmonized classifications and TDG classifications?</w:t>
      </w:r>
    </w:p>
    <w:p w:rsidR="00093D86" w:rsidRDefault="00093D86" w:rsidP="00093D86">
      <w:pPr>
        <w:pStyle w:val="SingleTxtG"/>
        <w:tabs>
          <w:tab w:val="right" w:pos="0"/>
        </w:tabs>
        <w:ind w:left="0"/>
        <w:jc w:val="left"/>
      </w:pPr>
    </w:p>
    <w:p w:rsidR="00093D86" w:rsidRDefault="00351BFD" w:rsidP="00351BFD">
      <w:pPr>
        <w:pStyle w:val="H23G"/>
      </w:pPr>
      <w:r>
        <w:lastRenderedPageBreak/>
        <w:tab/>
      </w:r>
      <w:r>
        <w:tab/>
        <w:t>Thought starter 3: N</w:t>
      </w:r>
      <w:r w:rsidR="00093D86">
        <w:t xml:space="preserve">ext </w:t>
      </w:r>
      <w:r>
        <w:t>s</w:t>
      </w:r>
      <w:r w:rsidR="00093D86">
        <w:t>teps</w:t>
      </w:r>
    </w:p>
    <w:p w:rsidR="00093D86" w:rsidRPr="00351BFD" w:rsidRDefault="00093D86" w:rsidP="00AC06E0">
      <w:pPr>
        <w:pStyle w:val="SingleTxtG"/>
        <w:spacing w:line="200" w:lineRule="atLeast"/>
      </w:pPr>
      <w:r w:rsidRPr="00351BFD">
        <w:t xml:space="preserve">Though the pilot exercise is not yet complete, this thought starter proposes that the working group begin consideration of the next steps the Sub-committee should take in the investigation of the possibility of developing a global list.  This consideration will </w:t>
      </w:r>
      <w:proofErr w:type="gramStart"/>
      <w:r w:rsidRPr="00351BFD">
        <w:t>hopefully</w:t>
      </w:r>
      <w:proofErr w:type="gramEnd"/>
      <w:r w:rsidRPr="00351BFD">
        <w:t xml:space="preserve"> facilitate developing a scope of work for the next biennium.</w:t>
      </w:r>
    </w:p>
    <w:p w:rsidR="00093D86" w:rsidRPr="00351BFD" w:rsidRDefault="00093D86" w:rsidP="00AC06E0">
      <w:pPr>
        <w:pStyle w:val="SingleTxtG"/>
        <w:spacing w:line="200" w:lineRule="atLeast"/>
      </w:pPr>
      <w:r w:rsidRPr="00351BFD">
        <w:t xml:space="preserve">In the past, there had been interest in comparing national classification lists for common classifications.  As background for considering these next steps, a comparison of classifications between two lists was prepared.  These are classification opinions prepared by the ECHA Committee on Risk Assessment (RAC) under the harmonized classification process in the EU CLP Directive, and the list of classifications prepared by the Japanese National Institute of Technology and Evaluation. </w:t>
      </w:r>
    </w:p>
    <w:p w:rsidR="00093D86" w:rsidRPr="00351BFD" w:rsidRDefault="00093D86" w:rsidP="00AC06E0">
      <w:pPr>
        <w:pStyle w:val="SingleTxtG"/>
        <w:spacing w:line="200" w:lineRule="atLeast"/>
      </w:pPr>
      <w:r w:rsidRPr="00351BFD">
        <w:t xml:space="preserve">These lists </w:t>
      </w:r>
      <w:proofErr w:type="gramStart"/>
      <w:r w:rsidRPr="00351BFD">
        <w:t>were chosen</w:t>
      </w:r>
      <w:proofErr w:type="gramEnd"/>
      <w:r w:rsidRPr="00351BFD">
        <w:t xml:space="preserve"> because, though they do not completely conform to the guiding principles, they comply with them in part.  Both lists </w:t>
      </w:r>
      <w:proofErr w:type="gramStart"/>
      <w:r w:rsidRPr="00351BFD">
        <w:t>are supported</w:t>
      </w:r>
      <w:proofErr w:type="gramEnd"/>
      <w:r w:rsidRPr="00351BFD">
        <w:t xml:space="preserve"> by explanations of the classification determinations and references to the data relied on, though often the sources cited in the Japanese list are not readily accessible.  The CLP harmonized classification process also provides opportunities for public comment.  The RAC opinions do not necessarily consider all endpoints, but it appears that the Japanese list does.</w:t>
      </w:r>
    </w:p>
    <w:p w:rsidR="00093D86" w:rsidRPr="00351BFD" w:rsidRDefault="00093D86" w:rsidP="00AC06E0">
      <w:pPr>
        <w:pStyle w:val="SingleTxtG"/>
        <w:spacing w:line="200" w:lineRule="atLeast"/>
      </w:pPr>
      <w:r w:rsidRPr="00351BFD">
        <w:t xml:space="preserve">The ECHA RAC Opinions </w:t>
      </w:r>
      <w:proofErr w:type="gramStart"/>
      <w:r w:rsidRPr="00351BFD">
        <w:t>may be found</w:t>
      </w:r>
      <w:proofErr w:type="gramEnd"/>
      <w:r w:rsidRPr="00351BFD">
        <w:t xml:space="preserve"> at the following link: </w:t>
      </w:r>
      <w:hyperlink r:id="rId9" w:history="1">
        <w:r w:rsidRPr="00351BFD">
          <w:rPr>
            <w:rStyle w:val="Hyperlink"/>
          </w:rPr>
          <w:t>http://echa.europa.eu/web/guest/opinions-of-the-committee-for-risk-assessment-on-proposals-for-harmonised-classification-and-labelling</w:t>
        </w:r>
      </w:hyperlink>
    </w:p>
    <w:p w:rsidR="00093D86" w:rsidRDefault="00093D86" w:rsidP="00AC06E0">
      <w:pPr>
        <w:pStyle w:val="SingleTxtG"/>
        <w:spacing w:line="200" w:lineRule="atLeast"/>
      </w:pPr>
      <w:r w:rsidRPr="00351BFD">
        <w:t xml:space="preserve">The Japanese classification list </w:t>
      </w:r>
      <w:proofErr w:type="gramStart"/>
      <w:r w:rsidRPr="00351BFD">
        <w:t>may be found</w:t>
      </w:r>
      <w:proofErr w:type="gramEnd"/>
      <w:r w:rsidRPr="00351BFD">
        <w:t xml:space="preserve"> at the following link:</w:t>
      </w:r>
      <w:r>
        <w:t xml:space="preserve"> </w:t>
      </w:r>
      <w:hyperlink r:id="rId10" w:history="1">
        <w:r w:rsidRPr="004C243A">
          <w:rPr>
            <w:rStyle w:val="Hyperlink"/>
          </w:rPr>
          <w:t>http://www.safe.nite.go.jp/english/ghs/ghs_download.html</w:t>
        </w:r>
      </w:hyperlink>
    </w:p>
    <w:p w:rsidR="00093D86" w:rsidRPr="00351BFD" w:rsidRDefault="00093D86" w:rsidP="00AC06E0">
      <w:pPr>
        <w:pStyle w:val="SingleTxtG"/>
        <w:spacing w:line="200" w:lineRule="atLeast"/>
      </w:pPr>
      <w:r w:rsidRPr="00351BFD">
        <w:t xml:space="preserve">Annex 3 to this informal paper contains a side-by-side comparison of the 89 chemicals appearing on both lists.  The classifications appearing under the EU column include both the RAC classification opinions and, for other endpoints not considered by the RAC, historical classifications from Annex VI of the CLP, where they appear.  The RAC classifications are in </w:t>
      </w:r>
      <w:r w:rsidRPr="00351BFD">
        <w:rPr>
          <w:b/>
          <w:color w:val="FF0000"/>
        </w:rPr>
        <w:t>red bold font</w:t>
      </w:r>
      <w:r w:rsidRPr="00351BFD">
        <w:t>.</w:t>
      </w:r>
    </w:p>
    <w:p w:rsidR="00093D86" w:rsidRPr="00351BFD" w:rsidRDefault="00093D86" w:rsidP="00AC06E0">
      <w:pPr>
        <w:pStyle w:val="SingleTxtG"/>
        <w:spacing w:line="200" w:lineRule="atLeast"/>
      </w:pPr>
      <w:r w:rsidRPr="00351BFD">
        <w:t>Time did not allow for any further analysis of the Annex, but causal inspection shows some overlap, both in classification endpoint and category.  It does not appear that there is any chemical classified identically in the two lists.</w:t>
      </w:r>
    </w:p>
    <w:p w:rsidR="00093D86" w:rsidRPr="00351BFD" w:rsidRDefault="00093D86" w:rsidP="00AC06E0">
      <w:pPr>
        <w:pStyle w:val="SingleTxtG"/>
        <w:spacing w:line="200" w:lineRule="atLeast"/>
      </w:pPr>
      <w:r w:rsidRPr="00351BFD">
        <w:t>Topics for conversation:</w:t>
      </w:r>
    </w:p>
    <w:p w:rsidR="00093D86" w:rsidRDefault="00093D86" w:rsidP="00AC06E0">
      <w:pPr>
        <w:pStyle w:val="Bullet1G"/>
        <w:spacing w:line="200" w:lineRule="atLeast"/>
      </w:pPr>
      <w:r>
        <w:t xml:space="preserve">The comparison might generate ideas for next steps in the global list project.   </w:t>
      </w:r>
    </w:p>
    <w:p w:rsidR="00093D86" w:rsidRDefault="00093D86" w:rsidP="00AC06E0">
      <w:pPr>
        <w:pStyle w:val="Bullet2G"/>
        <w:numPr>
          <w:ilvl w:val="0"/>
          <w:numId w:val="15"/>
        </w:numPr>
        <w:tabs>
          <w:tab w:val="clear" w:pos="2268"/>
        </w:tabs>
        <w:spacing w:line="200" w:lineRule="atLeast"/>
        <w:ind w:left="1988" w:right="1138" w:hanging="274"/>
      </w:pPr>
      <w:r>
        <w:t>For example, it might be possible to identify chemicals through such a comparison that warrant further consideration by the Sub-</w:t>
      </w:r>
      <w:r w:rsidR="00AC06E0">
        <w:t>C</w:t>
      </w:r>
      <w:r>
        <w:t xml:space="preserve">ommittee for inclusion on a list of harmonized classifications.  Do you agree?  If so, how might the list </w:t>
      </w:r>
      <w:proofErr w:type="gramStart"/>
      <w:r>
        <w:t>be</w:t>
      </w:r>
      <w:proofErr w:type="gramEnd"/>
      <w:r>
        <w:t xml:space="preserve"> used in this way?</w:t>
      </w:r>
    </w:p>
    <w:p w:rsidR="00093D86" w:rsidRDefault="00093D86" w:rsidP="00AC06E0">
      <w:pPr>
        <w:pStyle w:val="Bullet2G"/>
        <w:numPr>
          <w:ilvl w:val="0"/>
          <w:numId w:val="15"/>
        </w:numPr>
        <w:tabs>
          <w:tab w:val="clear" w:pos="2268"/>
        </w:tabs>
        <w:spacing w:line="200" w:lineRule="atLeast"/>
        <w:ind w:left="1988" w:right="1138" w:hanging="274"/>
      </w:pPr>
      <w:r>
        <w:t xml:space="preserve">What further analysis of the list comparison </w:t>
      </w:r>
      <w:proofErr w:type="gramStart"/>
      <w:r>
        <w:t>should be done</w:t>
      </w:r>
      <w:proofErr w:type="gramEnd"/>
      <w:r>
        <w:t xml:space="preserve">?  Is there additional information about the chemicals listed there that </w:t>
      </w:r>
      <w:proofErr w:type="gramStart"/>
      <w:r>
        <w:t>should be gathered</w:t>
      </w:r>
      <w:proofErr w:type="gramEnd"/>
      <w:r>
        <w:t>?</w:t>
      </w:r>
    </w:p>
    <w:p w:rsidR="00093D86" w:rsidRDefault="00093D86" w:rsidP="00AC06E0">
      <w:pPr>
        <w:pStyle w:val="Bullet2G"/>
        <w:numPr>
          <w:ilvl w:val="0"/>
          <w:numId w:val="15"/>
        </w:numPr>
        <w:tabs>
          <w:tab w:val="clear" w:pos="2268"/>
        </w:tabs>
        <w:spacing w:line="200" w:lineRule="atLeast"/>
        <w:ind w:left="1980" w:hanging="270"/>
      </w:pPr>
      <w:r>
        <w:t xml:space="preserve">Are there other national lists that </w:t>
      </w:r>
      <w:proofErr w:type="gramStart"/>
      <w:r>
        <w:t>should be considered</w:t>
      </w:r>
      <w:proofErr w:type="gramEnd"/>
      <w:r>
        <w:t xml:space="preserve"> in a list comparison exercise?  Last session, Canada noted that it </w:t>
      </w:r>
      <w:proofErr w:type="gramStart"/>
      <w:r>
        <w:t>may</w:t>
      </w:r>
      <w:proofErr w:type="gramEnd"/>
      <w:r>
        <w:t xml:space="preserve"> soon issue a list of GHS </w:t>
      </w:r>
      <w:r w:rsidR="00351BFD">
        <w:t>classifications (I</w:t>
      </w:r>
      <w:r w:rsidR="00AC06E0">
        <w:t>NF.</w:t>
      </w:r>
      <w:r w:rsidR="00351BFD">
        <w:t>18, 30th s</w:t>
      </w:r>
      <w:r>
        <w:t xml:space="preserve">ession).  Should it be included in a list comparison? What criteria </w:t>
      </w:r>
      <w:proofErr w:type="gramStart"/>
      <w:r>
        <w:t>should be used</w:t>
      </w:r>
      <w:proofErr w:type="gramEnd"/>
      <w:r>
        <w:t xml:space="preserve"> to identify lists to include?</w:t>
      </w:r>
    </w:p>
    <w:p w:rsidR="00093D86" w:rsidRPr="009F0913" w:rsidRDefault="00093D86" w:rsidP="00AC06E0">
      <w:pPr>
        <w:pStyle w:val="Bullet1G"/>
        <w:spacing w:line="200" w:lineRule="atLeast"/>
      </w:pPr>
      <w:r w:rsidRPr="009F0913">
        <w:t xml:space="preserve">Once the pilot project </w:t>
      </w:r>
      <w:proofErr w:type="gramStart"/>
      <w:r w:rsidRPr="009F0913">
        <w:t>is concluded</w:t>
      </w:r>
      <w:proofErr w:type="gramEnd"/>
      <w:r w:rsidRPr="009F0913">
        <w:t>, will we be ready to consider the selection of chemicals for a harmonized classification list?  If not, what additional information or analysis would be useful evaluating next steps?</w:t>
      </w:r>
    </w:p>
    <w:p w:rsidR="00093D86" w:rsidRDefault="00093D86" w:rsidP="00351BFD">
      <w:pPr>
        <w:pStyle w:val="Bullet1G"/>
      </w:pPr>
      <w:r>
        <w:t>Are there other considerations that should be involved in the selection of chemicals for inclusion on a list of harmonized classifications?  If so, what might they be?</w:t>
      </w:r>
    </w:p>
    <w:p w:rsidR="0025322D" w:rsidRPr="0025322D" w:rsidRDefault="00AC06E0" w:rsidP="00AC06E0">
      <w:pPr>
        <w:pStyle w:val="Bullet1G"/>
        <w:numPr>
          <w:ilvl w:val="0"/>
          <w:numId w:val="0"/>
        </w:numPr>
        <w:spacing w:after="0" w:line="240" w:lineRule="auto"/>
        <w:ind w:left="1699" w:right="1138"/>
        <w:jc w:val="center"/>
        <w:rPr>
          <w:u w:val="single"/>
        </w:rPr>
      </w:pPr>
      <w:r>
        <w:t>____________________</w:t>
      </w:r>
    </w:p>
    <w:sectPr w:rsidR="0025322D" w:rsidRPr="0025322D"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44202">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44202">
      <w:rPr>
        <w:b/>
        <w:noProof/>
        <w:sz w:val="18"/>
      </w:rPr>
      <w:t>5</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C4420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AC06E0">
      <w:t>UN/SCEGHS/</w:t>
    </w:r>
    <w:r w:rsidR="00A8760B" w:rsidRPr="00AC06E0">
      <w:t>31</w:t>
    </w:r>
    <w:r w:rsidRPr="00AC06E0">
      <w:t>/INF.</w:t>
    </w:r>
    <w:r w:rsidR="00C44202">
      <w:t>21</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44202">
      <w:t>31</w:t>
    </w:r>
    <w:r>
      <w:t>/INF.</w:t>
    </w:r>
    <w:r w:rsidR="00C44202">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02" w:rsidRDefault="00C4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0B0606E4"/>
    <w:multiLevelType w:val="hybridMultilevel"/>
    <w:tmpl w:val="D6DEAF26"/>
    <w:lvl w:ilvl="0" w:tplc="BA7C9E3E">
      <w:start w:val="1"/>
      <w:numFmt w:val="decimal"/>
      <w:lvlText w:val="%1."/>
      <w:lvlJc w:val="left"/>
      <w:pPr>
        <w:tabs>
          <w:tab w:val="num" w:pos="930"/>
        </w:tabs>
        <w:ind w:left="930" w:hanging="570"/>
      </w:pPr>
      <w:rPr>
        <w:rFonts w:cs="Times New Roman"/>
        <w:b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30445E74"/>
    <w:multiLevelType w:val="multilevel"/>
    <w:tmpl w:val="48C066F2"/>
    <w:lvl w:ilvl="0">
      <w:start w:val="1"/>
      <w:numFmt w:val="lowerLetter"/>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3A15071A"/>
    <w:multiLevelType w:val="hybridMultilevel"/>
    <w:tmpl w:val="707E2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5076B"/>
    <w:multiLevelType w:val="hybridMultilevel"/>
    <w:tmpl w:val="87484550"/>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E2F7365"/>
    <w:multiLevelType w:val="hybridMultilevel"/>
    <w:tmpl w:val="7B026204"/>
    <w:lvl w:ilvl="0" w:tplc="04090003">
      <w:start w:val="1"/>
      <w:numFmt w:val="bullet"/>
      <w:lvlText w:val="o"/>
      <w:lvlJc w:val="left"/>
      <w:pPr>
        <w:tabs>
          <w:tab w:val="num" w:pos="2268"/>
        </w:tabs>
        <w:ind w:left="2268" w:hanging="170"/>
      </w:pPr>
      <w:rPr>
        <w:rFonts w:ascii="Courier New" w:hAnsi="Courier New" w:cs="Courier New"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24B243D"/>
    <w:multiLevelType w:val="multilevel"/>
    <w:tmpl w:val="A4BE9CB0"/>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DCA1D90"/>
    <w:multiLevelType w:val="multilevel"/>
    <w:tmpl w:val="CD6C2EA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nsid w:val="75D07BBD"/>
    <w:multiLevelType w:val="multilevel"/>
    <w:tmpl w:val="CD6C2EA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0"/>
  </w:num>
  <w:num w:numId="2">
    <w:abstractNumId w:val="12"/>
  </w:num>
  <w:num w:numId="3">
    <w:abstractNumId w:val="9"/>
  </w:num>
  <w:num w:numId="4">
    <w:abstractNumId w:val="3"/>
  </w:num>
  <w:num w:numId="5">
    <w:abstractNumId w:val="4"/>
  </w:num>
  <w:num w:numId="6">
    <w:abstractNumId w:val="5"/>
  </w:num>
  <w:num w:numId="7">
    <w:abstractNumId w:val="2"/>
  </w:num>
  <w:num w:numId="8">
    <w:abstractNumId w:val="8"/>
  </w:num>
  <w:num w:numId="9">
    <w:abstractNumId w:val="6"/>
  </w:num>
  <w:num w:numId="10">
    <w:abstractNumId w:val="1"/>
  </w:num>
  <w:num w:numId="11">
    <w:abstractNumId w:val="13"/>
  </w:num>
  <w:num w:numId="12">
    <w:abstractNumId w:val="11"/>
  </w:num>
  <w:num w:numId="13">
    <w:abstractNumId w:val="14"/>
  </w:num>
  <w:num w:numId="14">
    <w:abstractNumId w:val="7"/>
  </w:num>
  <w:num w:numId="15">
    <w:abstractNumId w:val="10"/>
  </w:num>
  <w:num w:numId="16">
    <w:abstractNumId w:val="12"/>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93D86"/>
    <w:rsid w:val="000B175B"/>
    <w:rsid w:val="000B3A0F"/>
    <w:rsid w:val="000C6544"/>
    <w:rsid w:val="000D10AA"/>
    <w:rsid w:val="000E0415"/>
    <w:rsid w:val="001220B8"/>
    <w:rsid w:val="00156F3C"/>
    <w:rsid w:val="00161DCD"/>
    <w:rsid w:val="00162BF7"/>
    <w:rsid w:val="00190AEA"/>
    <w:rsid w:val="001B4B04"/>
    <w:rsid w:val="001C6663"/>
    <w:rsid w:val="001C7895"/>
    <w:rsid w:val="001D26DF"/>
    <w:rsid w:val="001E47FD"/>
    <w:rsid w:val="001F204C"/>
    <w:rsid w:val="00211E0B"/>
    <w:rsid w:val="002405A7"/>
    <w:rsid w:val="0025322D"/>
    <w:rsid w:val="00257E45"/>
    <w:rsid w:val="00262488"/>
    <w:rsid w:val="002D59D3"/>
    <w:rsid w:val="003107FA"/>
    <w:rsid w:val="003127A2"/>
    <w:rsid w:val="003229D8"/>
    <w:rsid w:val="0033745A"/>
    <w:rsid w:val="00351BFD"/>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35176"/>
    <w:rsid w:val="005420F2"/>
    <w:rsid w:val="00590D42"/>
    <w:rsid w:val="005B2C89"/>
    <w:rsid w:val="005B3DB3"/>
    <w:rsid w:val="005E22FE"/>
    <w:rsid w:val="00611FC4"/>
    <w:rsid w:val="006176FB"/>
    <w:rsid w:val="00627ED0"/>
    <w:rsid w:val="006315A9"/>
    <w:rsid w:val="00640B26"/>
    <w:rsid w:val="00665595"/>
    <w:rsid w:val="00686046"/>
    <w:rsid w:val="00691F20"/>
    <w:rsid w:val="00693543"/>
    <w:rsid w:val="006A7392"/>
    <w:rsid w:val="006A7757"/>
    <w:rsid w:val="006E564B"/>
    <w:rsid w:val="00705504"/>
    <w:rsid w:val="0071349F"/>
    <w:rsid w:val="00720DEB"/>
    <w:rsid w:val="0072632A"/>
    <w:rsid w:val="00733AAE"/>
    <w:rsid w:val="00781A60"/>
    <w:rsid w:val="007A0B22"/>
    <w:rsid w:val="007B6BA5"/>
    <w:rsid w:val="007C3390"/>
    <w:rsid w:val="007C4F4B"/>
    <w:rsid w:val="007D7D1A"/>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60B"/>
    <w:rsid w:val="00A879A4"/>
    <w:rsid w:val="00AA496B"/>
    <w:rsid w:val="00AC06E0"/>
    <w:rsid w:val="00AE71F3"/>
    <w:rsid w:val="00B30179"/>
    <w:rsid w:val="00B30E8F"/>
    <w:rsid w:val="00B33EC0"/>
    <w:rsid w:val="00B81E12"/>
    <w:rsid w:val="00B97D28"/>
    <w:rsid w:val="00BC74E9"/>
    <w:rsid w:val="00BD2146"/>
    <w:rsid w:val="00BE4F74"/>
    <w:rsid w:val="00BE618E"/>
    <w:rsid w:val="00C17699"/>
    <w:rsid w:val="00C1778D"/>
    <w:rsid w:val="00C41A28"/>
    <w:rsid w:val="00C44202"/>
    <w:rsid w:val="00C463DD"/>
    <w:rsid w:val="00C745C3"/>
    <w:rsid w:val="00C945EB"/>
    <w:rsid w:val="00CE4A8F"/>
    <w:rsid w:val="00CE5DEB"/>
    <w:rsid w:val="00D055EB"/>
    <w:rsid w:val="00D2031B"/>
    <w:rsid w:val="00D25FE2"/>
    <w:rsid w:val="00D317BB"/>
    <w:rsid w:val="00D35D8F"/>
    <w:rsid w:val="00D43252"/>
    <w:rsid w:val="00D63881"/>
    <w:rsid w:val="00D7387D"/>
    <w:rsid w:val="00D978C6"/>
    <w:rsid w:val="00DA67AD"/>
    <w:rsid w:val="00DB5D0F"/>
    <w:rsid w:val="00DC3242"/>
    <w:rsid w:val="00DE4F74"/>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SingleTxtGChar1">
    <w:name w:val="_ Single Txt_G Char1"/>
    <w:locked/>
    <w:rsid w:val="007D7D1A"/>
    <w:rPr>
      <w:lang w:val="en-GB"/>
    </w:rPr>
  </w:style>
  <w:style w:type="character" w:customStyle="1" w:styleId="H1GChar">
    <w:name w:val="_ H_1_G Char"/>
    <w:link w:val="H1G"/>
    <w:uiPriority w:val="99"/>
    <w:locked/>
    <w:rsid w:val="007D7D1A"/>
    <w:rPr>
      <w:b/>
      <w:sz w:val="24"/>
      <w:lang w:eastAsia="en-US"/>
    </w:rPr>
  </w:style>
  <w:style w:type="paragraph" w:styleId="ListBullet">
    <w:name w:val="List Bullet"/>
    <w:basedOn w:val="Normal"/>
    <w:unhideWhenUsed/>
    <w:rsid w:val="007D7D1A"/>
    <w:pPr>
      <w:numPr>
        <w:numId w:val="10"/>
      </w:numPr>
      <w:suppressAutoHyphens w:val="0"/>
      <w:spacing w:after="240" w:line="240" w:lineRule="auto"/>
      <w:jc w:val="both"/>
    </w:pPr>
    <w:rPr>
      <w:sz w:val="22"/>
      <w:szCs w:val="22"/>
      <w:lang w:eastAsia="zh-CN"/>
    </w:rPr>
  </w:style>
  <w:style w:type="paragraph" w:styleId="ListParagraph">
    <w:name w:val="List Paragraph"/>
    <w:basedOn w:val="Normal"/>
    <w:uiPriority w:val="34"/>
    <w:qFormat/>
    <w:rsid w:val="00093D86"/>
    <w:pPr>
      <w:suppressAutoHyphens w:val="0"/>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fe.nite.go.jp/english/ghs/ghs_download.html" TargetMode="External"/><Relationship Id="rId4" Type="http://schemas.microsoft.com/office/2007/relationships/stylesWithEffects" Target="stylesWithEffects.xml"/><Relationship Id="rId9" Type="http://schemas.openxmlformats.org/officeDocument/2006/relationships/hyperlink" Target="http://echa.europa.eu/web/guest/opinions-of-the-committee-for-risk-assessment-on-proposals-for-harmonised-classification-and-labell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0F95-87FD-4831-B760-9B4DCE3E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81</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15</cp:revision>
  <cp:lastPrinted>2008-09-29T11:49:00Z</cp:lastPrinted>
  <dcterms:created xsi:type="dcterms:W3CDTF">2015-06-23T07:37:00Z</dcterms:created>
  <dcterms:modified xsi:type="dcterms:W3CDTF">2016-06-30T15:43:00Z</dcterms:modified>
</cp:coreProperties>
</file>