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662ABF" w:rsidRPr="00C920F1" w:rsidTr="008B2E94">
        <w:trPr>
          <w:cantSplit/>
          <w:trHeight w:hRule="exact" w:val="99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7B0D" w:rsidRPr="00B7240B" w:rsidRDefault="009E7B0D" w:rsidP="009E7B0D">
            <w:pPr>
              <w:jc w:val="right"/>
              <w:rPr>
                <w:b/>
                <w:sz w:val="40"/>
                <w:szCs w:val="40"/>
                <w:lang w:val="fr-CA"/>
              </w:rPr>
            </w:pPr>
            <w:bookmarkStart w:id="0" w:name="_GoBack"/>
            <w:bookmarkEnd w:id="0"/>
            <w:r w:rsidRPr="00B7240B">
              <w:rPr>
                <w:b/>
                <w:sz w:val="40"/>
                <w:szCs w:val="40"/>
                <w:lang w:val="fr-CA"/>
              </w:rPr>
              <w:t>UN/SCETDG/49/INF.</w:t>
            </w:r>
            <w:r w:rsidR="009B69E8">
              <w:rPr>
                <w:b/>
                <w:sz w:val="40"/>
                <w:szCs w:val="40"/>
                <w:lang w:val="fr-CA"/>
              </w:rPr>
              <w:t>45</w:t>
            </w:r>
          </w:p>
          <w:p w:rsidR="00280D2B" w:rsidRPr="00DA5A3D" w:rsidRDefault="009E7B0D" w:rsidP="009B69E8">
            <w:pPr>
              <w:spacing w:after="240"/>
              <w:jc w:val="right"/>
              <w:rPr>
                <w:b/>
                <w:color w:val="000000" w:themeColor="text1"/>
                <w:sz w:val="40"/>
                <w:szCs w:val="40"/>
                <w:lang w:val="fr-CA"/>
              </w:rPr>
            </w:pPr>
            <w:r w:rsidRPr="00B7240B">
              <w:rPr>
                <w:b/>
                <w:sz w:val="40"/>
                <w:szCs w:val="40"/>
                <w:lang w:val="fr-CA"/>
              </w:rPr>
              <w:t>UN/SCEGHS/31/INF.</w:t>
            </w:r>
            <w:r w:rsidR="009B69E8">
              <w:rPr>
                <w:b/>
                <w:sz w:val="40"/>
                <w:szCs w:val="40"/>
                <w:lang w:val="fr-CA"/>
              </w:rPr>
              <w:t>12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09"/>
      </w:tblGrid>
      <w:tr w:rsidR="008A5A78" w:rsidRPr="009E7B0D" w:rsidTr="008B2E94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8A5A78" w:rsidRPr="000B4919" w:rsidRDefault="008A5A78" w:rsidP="00C920F1">
            <w:pPr>
              <w:tabs>
                <w:tab w:val="right" w:pos="9214"/>
              </w:tabs>
            </w:pPr>
            <w:r w:rsidRPr="000B4919">
              <w:rPr>
                <w:b/>
                <w:sz w:val="24"/>
                <w:szCs w:val="24"/>
              </w:rPr>
              <w:t>Committee of Experts on the Transport of Dangerous Goods</w:t>
            </w:r>
            <w:r w:rsidRPr="000B4919">
              <w:rPr>
                <w:b/>
                <w:sz w:val="24"/>
                <w:szCs w:val="24"/>
              </w:rPr>
              <w:tab/>
            </w:r>
            <w:r w:rsidRPr="000B491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B4919">
              <w:rPr>
                <w:b/>
                <w:sz w:val="24"/>
                <w:szCs w:val="24"/>
              </w:rPr>
              <w:br/>
              <w:t>and Labelling of Chemicals</w:t>
            </w:r>
            <w:r w:rsidRPr="000B4919">
              <w:rPr>
                <w:b/>
              </w:rPr>
              <w:tab/>
            </w:r>
            <w:r w:rsidR="009B69E8">
              <w:rPr>
                <w:b/>
              </w:rPr>
              <w:t>21</w:t>
            </w:r>
            <w:r w:rsidR="00623312" w:rsidRPr="00623312">
              <w:rPr>
                <w:b/>
                <w:sz w:val="18"/>
                <w:szCs w:val="24"/>
              </w:rPr>
              <w:t xml:space="preserve"> </w:t>
            </w:r>
            <w:r w:rsidR="0040520D">
              <w:rPr>
                <w:b/>
                <w:sz w:val="18"/>
                <w:szCs w:val="24"/>
              </w:rPr>
              <w:t>June</w:t>
            </w:r>
            <w:r w:rsidR="00623312" w:rsidRPr="00623312">
              <w:rPr>
                <w:b/>
                <w:sz w:val="18"/>
                <w:szCs w:val="24"/>
              </w:rPr>
              <w:t xml:space="preserve"> </w:t>
            </w:r>
            <w:r w:rsidRPr="00623312">
              <w:rPr>
                <w:b/>
                <w:sz w:val="18"/>
                <w:szCs w:val="24"/>
              </w:rPr>
              <w:t>2016</w:t>
            </w:r>
          </w:p>
        </w:tc>
      </w:tr>
      <w:tr w:rsidR="008A5A78" w:rsidRPr="009E7B0D" w:rsidTr="0043430A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A5A78" w:rsidRPr="0040520D" w:rsidRDefault="008A5A78">
            <w:pPr>
              <w:spacing w:before="120"/>
              <w:rPr>
                <w:b/>
                <w:highlight w:val="green"/>
                <w:lang w:val="en-CA"/>
              </w:rPr>
            </w:pPr>
            <w:r w:rsidRPr="000B4919">
              <w:rPr>
                <w:b/>
              </w:rPr>
              <w:t xml:space="preserve">Sub-Committee of Experts on the </w:t>
            </w:r>
            <w:r w:rsidRPr="000B4919">
              <w:rPr>
                <w:b/>
              </w:rPr>
              <w:br/>
              <w:t>Transport of Dangerous Goods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A5A78" w:rsidRPr="000B4919" w:rsidRDefault="008A5A78" w:rsidP="007D59D1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8A5A78" w:rsidRPr="000A1D9E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A5A78" w:rsidRPr="000A1D9E" w:rsidRDefault="008A5A78" w:rsidP="00D77FB6">
            <w:pPr>
              <w:spacing w:before="120"/>
              <w:ind w:left="34" w:hanging="34"/>
              <w:rPr>
                <w:b/>
                <w:lang w:val="fr-CA"/>
              </w:rPr>
            </w:pPr>
            <w:r w:rsidRPr="000B4919">
              <w:rPr>
                <w:b/>
              </w:rPr>
              <w:t>Forty-</w:t>
            </w:r>
            <w:r>
              <w:rPr>
                <w:b/>
              </w:rPr>
              <w:t>ninth</w:t>
            </w:r>
            <w:r w:rsidRPr="000B4919">
              <w:rPr>
                <w:b/>
              </w:rPr>
              <w:t xml:space="preserve"> session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A5A78" w:rsidRPr="000B4919" w:rsidRDefault="008A5A78" w:rsidP="007D59D1">
            <w:pPr>
              <w:spacing w:before="120"/>
              <w:rPr>
                <w:b/>
              </w:rPr>
            </w:pPr>
            <w:r>
              <w:rPr>
                <w:b/>
              </w:rPr>
              <w:t>Thirty-first</w:t>
            </w:r>
            <w:r w:rsidRPr="000B4919">
              <w:rPr>
                <w:b/>
              </w:rPr>
              <w:t xml:space="preserve"> session</w:t>
            </w:r>
          </w:p>
        </w:tc>
      </w:tr>
      <w:tr w:rsidR="008A5A78" w:rsidRPr="009E7B0D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A5A78" w:rsidRPr="000B4919" w:rsidRDefault="008A5A78" w:rsidP="00977C08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0B4919">
              <w:rPr>
                <w:bCs/>
              </w:rPr>
              <w:t xml:space="preserve">Geneva, </w:t>
            </w:r>
            <w:r>
              <w:rPr>
                <w:bCs/>
              </w:rPr>
              <w:t xml:space="preserve">27 June </w:t>
            </w:r>
            <w:r w:rsidRPr="000B4919">
              <w:t xml:space="preserve">– </w:t>
            </w:r>
            <w:r>
              <w:t>6 July 2016</w:t>
            </w:r>
          </w:p>
          <w:p w:rsidR="008A5A78" w:rsidRPr="000B4919" w:rsidRDefault="008A5A78" w:rsidP="00977C08">
            <w:pPr>
              <w:spacing w:before="40"/>
            </w:pPr>
            <w:r w:rsidRPr="000B4919">
              <w:t xml:space="preserve">Item </w:t>
            </w:r>
            <w:r w:rsidR="00623312">
              <w:t>2</w:t>
            </w:r>
            <w:r w:rsidRPr="000B4919">
              <w:t xml:space="preserve"> </w:t>
            </w:r>
            <w:r w:rsidR="00A33866">
              <w:t xml:space="preserve">(h) </w:t>
            </w:r>
            <w:r w:rsidRPr="000B4919">
              <w:t>of the provisional agenda</w:t>
            </w:r>
          </w:p>
          <w:p w:rsidR="008A5A78" w:rsidRPr="00977C08" w:rsidRDefault="00A33866" w:rsidP="00977C08">
            <w:pPr>
              <w:spacing w:before="40"/>
              <w:rPr>
                <w:b/>
                <w:bCs/>
              </w:rPr>
            </w:pPr>
            <w:r w:rsidRPr="00977C08">
              <w:rPr>
                <w:b/>
              </w:rPr>
              <w:t>Explosives and rel</w:t>
            </w:r>
            <w:r w:rsidR="00977C08" w:rsidRPr="00977C08">
              <w:rPr>
                <w:b/>
              </w:rPr>
              <w:t>ated matters: Review of Chapter </w:t>
            </w:r>
            <w:r w:rsidRPr="00977C08">
              <w:rPr>
                <w:b/>
              </w:rPr>
              <w:t>2.1 of the GHS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A5A78" w:rsidRPr="000B4919" w:rsidRDefault="008A5A78" w:rsidP="008A5A78">
            <w:pPr>
              <w:jc w:val="both"/>
            </w:pPr>
            <w:r w:rsidRPr="00283442">
              <w:t xml:space="preserve">Geneva, </w:t>
            </w:r>
            <w:r>
              <w:t>5</w:t>
            </w:r>
            <w:r w:rsidRPr="00283442">
              <w:t xml:space="preserve">– </w:t>
            </w:r>
            <w:r>
              <w:t>8</w:t>
            </w:r>
            <w:r w:rsidRPr="00283442">
              <w:t xml:space="preserve"> </w:t>
            </w:r>
            <w:r>
              <w:t>July 2016</w:t>
            </w:r>
          </w:p>
          <w:p w:rsidR="008A5A78" w:rsidRPr="000B4919" w:rsidRDefault="008A5A78" w:rsidP="008A5A78">
            <w:pPr>
              <w:spacing w:before="40"/>
            </w:pPr>
            <w:r w:rsidRPr="000B4919">
              <w:t xml:space="preserve">Item </w:t>
            </w:r>
            <w:r w:rsidR="00A33866">
              <w:t>2</w:t>
            </w:r>
            <w:r w:rsidRPr="000B4919">
              <w:t xml:space="preserve"> of the provisional agenda</w:t>
            </w:r>
          </w:p>
          <w:p w:rsidR="008A5A78" w:rsidRPr="0040520D" w:rsidRDefault="00A33866" w:rsidP="008A5A78">
            <w:pPr>
              <w:suppressAutoHyphens w:val="0"/>
              <w:spacing w:line="240" w:lineRule="auto"/>
              <w:rPr>
                <w:b/>
                <w:lang w:val="en-CA"/>
              </w:rPr>
            </w:pPr>
            <w:r w:rsidRPr="00623312">
              <w:rPr>
                <w:b/>
              </w:rPr>
              <w:t>Joint work with the Sub-Committee of Experts on the Transport of Dangerous Goods (TDG Sub-Committee)</w:t>
            </w:r>
          </w:p>
        </w:tc>
      </w:tr>
    </w:tbl>
    <w:p w:rsidR="00530B4A" w:rsidRPr="0040520D" w:rsidRDefault="00440E44" w:rsidP="00440E44">
      <w:pPr>
        <w:pStyle w:val="HChG"/>
        <w:rPr>
          <w:lang w:val="en-CA"/>
        </w:rPr>
      </w:pPr>
      <w:r>
        <w:tab/>
      </w:r>
      <w:r>
        <w:tab/>
      </w:r>
      <w:r w:rsidR="008A5A78">
        <w:t>Review of Chapter 2.1 of the GHS</w:t>
      </w:r>
    </w:p>
    <w:p w:rsidR="00440E44" w:rsidRPr="0040520D" w:rsidRDefault="00440E44" w:rsidP="00440E44">
      <w:pPr>
        <w:pStyle w:val="H1G"/>
        <w:rPr>
          <w:lang w:val="en-CA"/>
        </w:rPr>
      </w:pPr>
      <w:r w:rsidRPr="0040520D">
        <w:rPr>
          <w:lang w:val="en-CA"/>
        </w:rPr>
        <w:tab/>
      </w:r>
      <w:r w:rsidRPr="0040520D">
        <w:rPr>
          <w:lang w:val="en-CA"/>
        </w:rPr>
        <w:tab/>
      </w:r>
      <w:r w:rsidR="0040520D">
        <w:rPr>
          <w:lang w:val="en-CA"/>
        </w:rPr>
        <w:t>Transmitted</w:t>
      </w:r>
      <w:r w:rsidRPr="0040520D">
        <w:rPr>
          <w:lang w:val="en-CA"/>
        </w:rPr>
        <w:t xml:space="preserve"> by the </w:t>
      </w:r>
      <w:r w:rsidR="0040520D">
        <w:rPr>
          <w:lang w:val="en-CA"/>
        </w:rPr>
        <w:t>expert from Canada</w:t>
      </w:r>
    </w:p>
    <w:p w:rsidR="00440E44" w:rsidRPr="00996C93" w:rsidRDefault="00440E44" w:rsidP="00440E44">
      <w:pPr>
        <w:pStyle w:val="HChG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 w:rsidRPr="00996C93">
        <w:rPr>
          <w:lang w:eastAsia="fr-FR"/>
        </w:rPr>
        <w:t>Introduction</w:t>
      </w:r>
    </w:p>
    <w:p w:rsidR="00440E44" w:rsidRDefault="00440E44" w:rsidP="00440E44">
      <w:pPr>
        <w:pStyle w:val="SingleTxtG"/>
        <w:rPr>
          <w:lang w:eastAsia="fr-FR"/>
        </w:rPr>
      </w:pPr>
      <w:r>
        <w:rPr>
          <w:lang w:eastAsia="fr-FR"/>
        </w:rPr>
        <w:t>1.</w:t>
      </w:r>
      <w:r>
        <w:rPr>
          <w:lang w:eastAsia="fr-FR"/>
        </w:rPr>
        <w:tab/>
        <w:t>This informal paper pr</w:t>
      </w:r>
      <w:r w:rsidR="001260E8">
        <w:rPr>
          <w:lang w:eastAsia="fr-FR"/>
        </w:rPr>
        <w:t xml:space="preserve">oposes additional </w:t>
      </w:r>
      <w:r>
        <w:rPr>
          <w:lang w:eastAsia="fr-FR"/>
        </w:rPr>
        <w:t>draft text</w:t>
      </w:r>
      <w:r w:rsidR="001260E8">
        <w:rPr>
          <w:lang w:eastAsia="fr-FR"/>
        </w:rPr>
        <w:t xml:space="preserve"> to the document ST/SG/AC.10/C.3/2016/47 – ST/SG/AC/C.4/2016/10 transmitted by the Sporting Arms and Ammunition Manufacturers’ Institute (SAAMI) on proposed revisions to GHS section 2.1.3.  </w:t>
      </w:r>
    </w:p>
    <w:p w:rsidR="00440E44" w:rsidRDefault="00440E44" w:rsidP="00440E44">
      <w:pPr>
        <w:pStyle w:val="SingleTxtG"/>
        <w:rPr>
          <w:lang w:eastAsia="fr-FR"/>
        </w:rPr>
      </w:pPr>
      <w:r>
        <w:rPr>
          <w:lang w:eastAsia="fr-FR"/>
        </w:rPr>
        <w:t>2.</w:t>
      </w:r>
      <w:r>
        <w:rPr>
          <w:lang w:eastAsia="fr-FR"/>
        </w:rPr>
        <w:tab/>
      </w:r>
      <w:r w:rsidR="008F0D66">
        <w:rPr>
          <w:lang w:eastAsia="fr-FR"/>
        </w:rPr>
        <w:t xml:space="preserve">While Canada is supportive of the </w:t>
      </w:r>
      <w:r w:rsidR="00FC6E10">
        <w:rPr>
          <w:lang w:eastAsia="fr-FR"/>
        </w:rPr>
        <w:t xml:space="preserve">additional </w:t>
      </w:r>
      <w:r w:rsidR="008F0D66">
        <w:rPr>
          <w:lang w:eastAsia="fr-FR"/>
        </w:rPr>
        <w:t>work being done</w:t>
      </w:r>
      <w:r w:rsidR="00FC6E10">
        <w:rPr>
          <w:lang w:eastAsia="fr-FR"/>
        </w:rPr>
        <w:t xml:space="preserve"> </w:t>
      </w:r>
      <w:r w:rsidR="008F0D66">
        <w:rPr>
          <w:lang w:eastAsia="fr-FR"/>
        </w:rPr>
        <w:t xml:space="preserve">to revise Chapter 2.1 as a whole for addressing the treatment of explosives within the GHS </w:t>
      </w:r>
      <w:r w:rsidR="00CE23B8">
        <w:rPr>
          <w:lang w:eastAsia="fr-FR"/>
        </w:rPr>
        <w:t>through</w:t>
      </w:r>
      <w:r w:rsidR="008F0D66">
        <w:rPr>
          <w:lang w:eastAsia="fr-FR"/>
        </w:rPr>
        <w:t xml:space="preserve"> various on-going initiatives, it supports SAAMI’s proposals of above mentioned document that </w:t>
      </w:r>
      <w:r w:rsidR="00E8648C">
        <w:rPr>
          <w:lang w:eastAsia="fr-FR"/>
        </w:rPr>
        <w:t>focuses</w:t>
      </w:r>
      <w:r w:rsidR="008F0D66">
        <w:rPr>
          <w:lang w:eastAsia="fr-FR"/>
        </w:rPr>
        <w:t xml:space="preserve"> on section 2.1.3. Additional proposals</w:t>
      </w:r>
      <w:r w:rsidR="00CE23B8">
        <w:rPr>
          <w:lang w:eastAsia="fr-FR"/>
        </w:rPr>
        <w:t xml:space="preserve"> are being made for addressing the exemption of very low hazard explosives </w:t>
      </w:r>
      <w:r w:rsidR="00E8648C">
        <w:rPr>
          <w:lang w:eastAsia="fr-FR"/>
        </w:rPr>
        <w:t>articles, which</w:t>
      </w:r>
      <w:r w:rsidR="00FC6E10">
        <w:rPr>
          <w:lang w:eastAsia="fr-FR"/>
        </w:rPr>
        <w:t xml:space="preserve"> are also relevant to the work being done by the Informal Correspondence Group lead by Sweden</w:t>
      </w:r>
      <w:r w:rsidR="00CE23B8">
        <w:rPr>
          <w:lang w:eastAsia="fr-FR"/>
        </w:rPr>
        <w:t>.</w:t>
      </w:r>
      <w:r w:rsidR="008F0D66">
        <w:rPr>
          <w:lang w:eastAsia="fr-FR"/>
        </w:rPr>
        <w:t xml:space="preserve"> </w:t>
      </w:r>
    </w:p>
    <w:p w:rsidR="00440E44" w:rsidRPr="00996C93" w:rsidRDefault="00440E44" w:rsidP="00440E44">
      <w:pPr>
        <w:pStyle w:val="HChG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 w:rsidR="00D95349">
        <w:rPr>
          <w:lang w:eastAsia="fr-FR"/>
        </w:rPr>
        <w:t>Considerations</w:t>
      </w:r>
    </w:p>
    <w:p w:rsidR="00440E44" w:rsidRDefault="00440E44" w:rsidP="0001131C">
      <w:pPr>
        <w:pStyle w:val="SingleTxtG"/>
        <w:rPr>
          <w:lang w:eastAsia="fr-FR"/>
        </w:rPr>
      </w:pPr>
      <w:r>
        <w:rPr>
          <w:lang w:eastAsia="fr-FR"/>
        </w:rPr>
        <w:t>3.</w:t>
      </w:r>
      <w:r>
        <w:rPr>
          <w:lang w:eastAsia="fr-FR"/>
        </w:rPr>
        <w:tab/>
      </w:r>
      <w:r w:rsidR="00D95349">
        <w:rPr>
          <w:lang w:eastAsia="fr-FR"/>
        </w:rPr>
        <w:t>Explosives (substances and articles) of division 1.4 are assigned in Compatibility Group S if they are so packaged or designed that any hazardous effects arising from accidental functioning are confined within the package unless the package has been degraded by fire</w:t>
      </w:r>
      <w:r w:rsidR="008D1566">
        <w:rPr>
          <w:lang w:eastAsia="fr-FR"/>
        </w:rPr>
        <w:t>, in</w:t>
      </w:r>
      <w:r w:rsidR="0001131C">
        <w:rPr>
          <w:lang w:eastAsia="fr-FR"/>
        </w:rPr>
        <w:t xml:space="preserve"> which case all blast or projection effects are limited to the extent that they do not significantly hinder fire-fighting or other emergency response efforts in the immediate vicinity of the package. </w:t>
      </w:r>
    </w:p>
    <w:p w:rsidR="00C350ED" w:rsidRDefault="00440E44" w:rsidP="00440E44">
      <w:pPr>
        <w:pStyle w:val="SingleTxtG"/>
        <w:rPr>
          <w:lang w:eastAsia="fr-FR"/>
        </w:rPr>
      </w:pPr>
      <w:r>
        <w:rPr>
          <w:lang w:eastAsia="fr-FR"/>
        </w:rPr>
        <w:t>4.</w:t>
      </w:r>
      <w:r>
        <w:rPr>
          <w:lang w:eastAsia="fr-FR"/>
        </w:rPr>
        <w:tab/>
      </w:r>
      <w:r w:rsidR="00C350ED">
        <w:rPr>
          <w:lang w:eastAsia="fr-FR"/>
        </w:rPr>
        <w:t xml:space="preserve">Explosives that are “so packaged” to be assigned a division 1.4 with compatibility group S should be subjected by Competent Authorities to Test Series 6 type (d) – unconfined package test to confirm the classification. The 1.4S entries whose classification depends upon special packaging are subject to special provision 347.  </w:t>
      </w:r>
      <w:r w:rsidR="00E158D0">
        <w:rPr>
          <w:lang w:eastAsia="fr-FR"/>
        </w:rPr>
        <w:t>N.O.S. entries are also subject to special provision 347.</w:t>
      </w:r>
    </w:p>
    <w:p w:rsidR="00E158D0" w:rsidRDefault="00440E44" w:rsidP="00440E44">
      <w:pPr>
        <w:pStyle w:val="SingleTxtG"/>
        <w:rPr>
          <w:lang w:eastAsia="fr-FR"/>
        </w:rPr>
      </w:pPr>
      <w:r>
        <w:rPr>
          <w:lang w:eastAsia="fr-FR"/>
        </w:rPr>
        <w:t>5.</w:t>
      </w:r>
      <w:r>
        <w:rPr>
          <w:lang w:eastAsia="fr-FR"/>
        </w:rPr>
        <w:tab/>
      </w:r>
      <w:r w:rsidR="00E158D0">
        <w:rPr>
          <w:lang w:eastAsia="fr-FR"/>
        </w:rPr>
        <w:t xml:space="preserve">Other explosives that are “so packaged” to be assigned a division 1.4 with compatibility group S include articles that are not subject to special provision 347, but that are subject to the packing instruction P133 for which trays are required to prevent a propagation between small articles such as primers used in small arms cartridges. </w:t>
      </w:r>
    </w:p>
    <w:p w:rsidR="00440E44" w:rsidRDefault="00440E44" w:rsidP="00440E44">
      <w:pPr>
        <w:pStyle w:val="SingleTxtG"/>
        <w:rPr>
          <w:lang w:eastAsia="fr-FR"/>
        </w:rPr>
      </w:pPr>
      <w:r>
        <w:rPr>
          <w:lang w:eastAsia="fr-FR"/>
        </w:rPr>
        <w:lastRenderedPageBreak/>
        <w:t>6.</w:t>
      </w:r>
      <w:r>
        <w:rPr>
          <w:lang w:eastAsia="fr-FR"/>
        </w:rPr>
        <w:tab/>
      </w:r>
      <w:r w:rsidR="00D10AE1">
        <w:rPr>
          <w:lang w:eastAsia="fr-FR"/>
        </w:rPr>
        <w:t>O</w:t>
      </w:r>
      <w:r w:rsidR="00E158D0">
        <w:rPr>
          <w:lang w:eastAsia="fr-FR"/>
        </w:rPr>
        <w:t>ther than explosives articles</w:t>
      </w:r>
      <w:r w:rsidR="00D10AE1">
        <w:rPr>
          <w:lang w:eastAsia="fr-FR"/>
        </w:rPr>
        <w:t xml:space="preserve"> and substances that are referred to in sections 4 and 5, explosives that are assigned to division 1.4 with compatibility group S are very low hazard explosives that do not have hazardous effects in case of an accidental functioning, whether they are in their transport package or outside of the package. A hazard statement that would communicate </w:t>
      </w:r>
      <w:r w:rsidR="006A67DE">
        <w:rPr>
          <w:lang w:eastAsia="fr-FR"/>
        </w:rPr>
        <w:t xml:space="preserve">their low hazard </w:t>
      </w:r>
      <w:r w:rsidR="00D10AE1">
        <w:rPr>
          <w:lang w:eastAsia="fr-FR"/>
        </w:rPr>
        <w:t>would be</w:t>
      </w:r>
      <w:r w:rsidR="006A67DE">
        <w:rPr>
          <w:lang w:eastAsia="fr-FR"/>
        </w:rPr>
        <w:t xml:space="preserve"> more appropriate</w:t>
      </w:r>
      <w:r w:rsidR="00D10AE1">
        <w:rPr>
          <w:lang w:eastAsia="fr-FR"/>
        </w:rPr>
        <w:t xml:space="preserve">. </w:t>
      </w:r>
      <w:r w:rsidR="000A0A49">
        <w:rPr>
          <w:lang w:eastAsia="fr-FR"/>
        </w:rPr>
        <w:t>The list of such UN entries, that can be associated to specific articles are as follows: 0012, 0014, 0055, 0070, 0105, 0110, 0131, 0173, 0174, 0193, 0337, 0345, 0368, 0373, 0404, 0405, 0432, 0454, 0506, 0507.</w:t>
      </w:r>
    </w:p>
    <w:p w:rsidR="00440E44" w:rsidRPr="00D57212" w:rsidRDefault="00440E44" w:rsidP="00440E44">
      <w:pPr>
        <w:pStyle w:val="HChG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  <w:t>Pro</w:t>
      </w:r>
      <w:r w:rsidR="00FE7E1C">
        <w:rPr>
          <w:lang w:eastAsia="fr-FR"/>
        </w:rPr>
        <w:t>posal</w:t>
      </w:r>
    </w:p>
    <w:p w:rsidR="00FE7E1C" w:rsidRDefault="00440E44" w:rsidP="00440E44">
      <w:pPr>
        <w:pStyle w:val="SingleTxtG"/>
        <w:rPr>
          <w:lang w:eastAsia="fr-FR"/>
        </w:rPr>
      </w:pPr>
      <w:r>
        <w:rPr>
          <w:lang w:eastAsia="fr-FR"/>
        </w:rPr>
        <w:t>7.</w:t>
      </w:r>
      <w:r>
        <w:rPr>
          <w:lang w:eastAsia="fr-FR"/>
        </w:rPr>
        <w:tab/>
      </w:r>
      <w:r w:rsidR="00FE7E1C">
        <w:rPr>
          <w:lang w:eastAsia="fr-FR"/>
        </w:rPr>
        <w:t>Canada</w:t>
      </w:r>
      <w:r>
        <w:rPr>
          <w:lang w:eastAsia="fr-FR"/>
        </w:rPr>
        <w:t xml:space="preserve"> is propos</w:t>
      </w:r>
      <w:r w:rsidR="00FE7E1C">
        <w:rPr>
          <w:lang w:eastAsia="fr-FR"/>
        </w:rPr>
        <w:t>ing</w:t>
      </w:r>
      <w:r>
        <w:rPr>
          <w:lang w:eastAsia="fr-FR"/>
        </w:rPr>
        <w:t xml:space="preserve"> to</w:t>
      </w:r>
      <w:r w:rsidR="00FE7E1C">
        <w:rPr>
          <w:lang w:eastAsia="fr-FR"/>
        </w:rPr>
        <w:t xml:space="preserve"> </w:t>
      </w:r>
      <w:r w:rsidR="004568A9">
        <w:rPr>
          <w:lang w:eastAsia="fr-FR"/>
        </w:rPr>
        <w:t>amend</w:t>
      </w:r>
      <w:r w:rsidR="00FE7E1C">
        <w:rPr>
          <w:lang w:eastAsia="fr-FR"/>
        </w:rPr>
        <w:t xml:space="preserve"> the following text to the Note under Table 2.1.2 as proposed by SAAMI:</w:t>
      </w:r>
    </w:p>
    <w:p w:rsidR="004568A9" w:rsidRPr="004568A9" w:rsidRDefault="004568A9" w:rsidP="004568A9">
      <w:pPr>
        <w:spacing w:after="120"/>
        <w:ind w:left="1701" w:right="1134"/>
        <w:jc w:val="both"/>
        <w:rPr>
          <w:i/>
          <w:u w:val="single"/>
        </w:rPr>
      </w:pPr>
      <w:r w:rsidRPr="004568A9">
        <w:rPr>
          <w:i/>
          <w:u w:val="single"/>
        </w:rPr>
        <w:t>Inner packagings of Division 1.4 explosives in a form classified for transport but absent the transport packaging may be labelled according to Table 2.1.2.</w:t>
      </w:r>
    </w:p>
    <w:p w:rsidR="004568A9" w:rsidRDefault="006A67DE" w:rsidP="00440E44">
      <w:pPr>
        <w:pStyle w:val="SingleTxtG"/>
        <w:rPr>
          <w:lang w:eastAsia="fr-FR"/>
        </w:rPr>
      </w:pPr>
      <w:r>
        <w:rPr>
          <w:lang w:eastAsia="fr-FR"/>
        </w:rPr>
        <w:t>with</w:t>
      </w:r>
      <w:r w:rsidR="004568A9">
        <w:rPr>
          <w:lang w:eastAsia="fr-FR"/>
        </w:rPr>
        <w:t xml:space="preserve"> this text:</w:t>
      </w:r>
    </w:p>
    <w:p w:rsidR="00440E44" w:rsidRPr="004568A9" w:rsidRDefault="003B4219" w:rsidP="009B69E8">
      <w:pPr>
        <w:pStyle w:val="SingleTxtG"/>
        <w:ind w:left="1701"/>
        <w:rPr>
          <w:i/>
          <w:u w:val="single"/>
          <w:lang w:eastAsia="fr-FR"/>
        </w:rPr>
      </w:pPr>
      <w:r w:rsidRPr="004568A9">
        <w:rPr>
          <w:i/>
          <w:u w:val="single"/>
          <w:lang w:eastAsia="fr-FR"/>
        </w:rPr>
        <w:t xml:space="preserve">GHS labelling for explosives that are in their transport packaging or not and assigned division 1.4 with compatibility group S </w:t>
      </w:r>
      <w:r w:rsidR="000C610D" w:rsidRPr="004568A9">
        <w:rPr>
          <w:i/>
          <w:u w:val="single"/>
          <w:lang w:eastAsia="fr-FR"/>
        </w:rPr>
        <w:t xml:space="preserve">may be labelled as per Table 2.1.2 </w:t>
      </w:r>
      <w:r w:rsidRPr="004568A9">
        <w:rPr>
          <w:i/>
          <w:u w:val="single"/>
          <w:lang w:eastAsia="fr-FR"/>
        </w:rPr>
        <w:t>for the</w:t>
      </w:r>
      <w:r w:rsidR="000C610D" w:rsidRPr="004568A9">
        <w:rPr>
          <w:i/>
          <w:u w:val="single"/>
          <w:lang w:eastAsia="fr-FR"/>
        </w:rPr>
        <w:t>se</w:t>
      </w:r>
      <w:r w:rsidRPr="004568A9">
        <w:rPr>
          <w:i/>
          <w:u w:val="single"/>
          <w:lang w:eastAsia="fr-FR"/>
        </w:rPr>
        <w:t xml:space="preserve"> UN entries</w:t>
      </w:r>
      <w:r w:rsidR="00FE7E1C" w:rsidRPr="004568A9">
        <w:rPr>
          <w:i/>
          <w:u w:val="single"/>
          <w:lang w:eastAsia="fr-FR"/>
        </w:rPr>
        <w:t xml:space="preserve">: 0012, 0014, 0055, 0070, 0105, 0110, 0131, 0173, 0174, 0193, 0337, 0345, 0368, 0373, 0404, 0405, 0432, 0454, 0506, 0507. </w:t>
      </w:r>
      <w:r w:rsidR="000C610D" w:rsidRPr="004568A9">
        <w:rPr>
          <w:i/>
          <w:u w:val="single"/>
          <w:lang w:eastAsia="fr-FR"/>
        </w:rPr>
        <w:t xml:space="preserve">For other explosives assigned division 1.4 with compatibility group S, </w:t>
      </w:r>
      <w:r w:rsidR="006A67DE">
        <w:rPr>
          <w:i/>
          <w:u w:val="single"/>
          <w:lang w:eastAsia="fr-FR"/>
        </w:rPr>
        <w:t>GHS labelling is also as per Table 2.1.2 but with a differentiation between explosives that are in their transport packaging, or in a form not classified for transport.</w:t>
      </w:r>
      <w:r w:rsidR="000C610D" w:rsidRPr="004568A9">
        <w:rPr>
          <w:i/>
          <w:u w:val="single"/>
          <w:lang w:eastAsia="fr-FR"/>
        </w:rPr>
        <w:t xml:space="preserve"> </w:t>
      </w:r>
      <w:r w:rsidR="00FE7E1C" w:rsidRPr="004568A9">
        <w:rPr>
          <w:i/>
          <w:u w:val="single"/>
          <w:lang w:eastAsia="fr-FR"/>
        </w:rPr>
        <w:t xml:space="preserve"> </w:t>
      </w:r>
    </w:p>
    <w:p w:rsidR="003B4219" w:rsidRDefault="003B4219" w:rsidP="003B4219">
      <w:pPr>
        <w:pStyle w:val="SingleTxtG"/>
        <w:rPr>
          <w:lang w:eastAsia="fr-FR"/>
        </w:rPr>
      </w:pPr>
      <w:r>
        <w:rPr>
          <w:lang w:eastAsia="fr-FR"/>
        </w:rPr>
        <w:t>Accordingly, it is also proposed to amend Table 2.1.2 as follows:</w:t>
      </w:r>
    </w:p>
    <w:tbl>
      <w:tblPr>
        <w:tblW w:w="10597" w:type="dxa"/>
        <w:jc w:val="center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28"/>
        <w:gridCol w:w="1134"/>
        <w:gridCol w:w="1212"/>
        <w:gridCol w:w="1276"/>
        <w:gridCol w:w="1276"/>
        <w:gridCol w:w="1080"/>
        <w:gridCol w:w="1461"/>
        <w:gridCol w:w="1072"/>
        <w:gridCol w:w="1058"/>
      </w:tblGrid>
      <w:tr w:rsidR="003B4219" w:rsidRPr="009B69E8" w:rsidTr="009B69E8">
        <w:trPr>
          <w:jc w:val="center"/>
        </w:trPr>
        <w:tc>
          <w:tcPr>
            <w:tcW w:w="102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trike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trike/>
                <w:sz w:val="18"/>
                <w:szCs w:val="18"/>
              </w:rPr>
              <w:t>Unstable Explosive</w:t>
            </w:r>
          </w:p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9B69E8">
              <w:rPr>
                <w:rFonts w:eastAsiaTheme="minorHAnsi"/>
                <w:b/>
                <w:sz w:val="18"/>
                <w:szCs w:val="18"/>
                <w:u w:val="single"/>
              </w:rPr>
              <w:t>In a form not classified for transport</w:t>
            </w:r>
          </w:p>
        </w:tc>
        <w:tc>
          <w:tcPr>
            <w:tcW w:w="121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>Division 1.1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>Division 1.2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>Division 1.3</w:t>
            </w:r>
          </w:p>
        </w:tc>
        <w:tc>
          <w:tcPr>
            <w:tcW w:w="1080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 xml:space="preserve">Division </w:t>
            </w:r>
            <w:r w:rsidRPr="009B69E8">
              <w:rPr>
                <w:rFonts w:eastAsiaTheme="minorHAnsi"/>
                <w:b/>
                <w:sz w:val="18"/>
                <w:szCs w:val="18"/>
              </w:rPr>
              <w:br/>
              <w:t>1.4</w:t>
            </w:r>
          </w:p>
        </w:tc>
        <w:tc>
          <w:tcPr>
            <w:tcW w:w="1461" w:type="dxa"/>
          </w:tcPr>
          <w:p w:rsidR="003B4219" w:rsidRPr="009B69E8" w:rsidRDefault="003B4219" w:rsidP="008706C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9B69E8">
              <w:rPr>
                <w:rFonts w:eastAsiaTheme="minorHAnsi"/>
                <w:b/>
                <w:sz w:val="18"/>
                <w:szCs w:val="18"/>
                <w:u w:val="single"/>
              </w:rPr>
              <w:t>Division 1.4</w:t>
            </w:r>
            <w:r w:rsidR="008706C9" w:rsidRPr="009B69E8">
              <w:rPr>
                <w:rFonts w:eastAsiaTheme="minorHAnsi"/>
                <w:b/>
                <w:sz w:val="18"/>
                <w:szCs w:val="18"/>
                <w:u w:val="single"/>
              </w:rPr>
              <w:t>,</w:t>
            </w:r>
            <w:r w:rsidRPr="009B69E8">
              <w:rPr>
                <w:rFonts w:eastAsiaTheme="minorHAnsi"/>
                <w:b/>
                <w:sz w:val="18"/>
                <w:szCs w:val="18"/>
                <w:u w:val="single"/>
              </w:rPr>
              <w:t xml:space="preserve">  compatibility group S</w:t>
            </w:r>
            <w:r w:rsidR="000C610D" w:rsidRPr="009B69E8">
              <w:rPr>
                <w:rFonts w:eastAsiaTheme="minorHAnsi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7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 xml:space="preserve">Division </w:t>
            </w:r>
            <w:r w:rsidRPr="009B69E8">
              <w:rPr>
                <w:rFonts w:eastAsiaTheme="minorHAnsi"/>
                <w:b/>
                <w:sz w:val="18"/>
                <w:szCs w:val="18"/>
              </w:rPr>
              <w:br/>
              <w:t>1.5</w:t>
            </w:r>
          </w:p>
        </w:tc>
        <w:tc>
          <w:tcPr>
            <w:tcW w:w="105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 xml:space="preserve">Division </w:t>
            </w:r>
            <w:r w:rsidRPr="009B69E8">
              <w:rPr>
                <w:rFonts w:eastAsiaTheme="minorHAnsi"/>
                <w:b/>
                <w:sz w:val="18"/>
                <w:szCs w:val="18"/>
              </w:rPr>
              <w:br/>
              <w:t>1.6</w:t>
            </w:r>
          </w:p>
        </w:tc>
      </w:tr>
      <w:tr w:rsidR="003B4219" w:rsidRPr="009B69E8" w:rsidTr="009B69E8">
        <w:trPr>
          <w:jc w:val="center"/>
        </w:trPr>
        <w:tc>
          <w:tcPr>
            <w:tcW w:w="102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>Symbol</w:t>
            </w:r>
          </w:p>
        </w:tc>
        <w:tc>
          <w:tcPr>
            <w:tcW w:w="1134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Exploding bomb</w:t>
            </w:r>
          </w:p>
        </w:tc>
        <w:tc>
          <w:tcPr>
            <w:tcW w:w="121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Exploding bomb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Exploding bomb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Exploding bomb</w:t>
            </w:r>
          </w:p>
        </w:tc>
        <w:tc>
          <w:tcPr>
            <w:tcW w:w="1080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  <w:vertAlign w:val="superscript"/>
              </w:rPr>
            </w:pPr>
            <w:r w:rsidRPr="009B69E8">
              <w:rPr>
                <w:rFonts w:eastAsiaTheme="minorHAnsi"/>
                <w:sz w:val="18"/>
                <w:szCs w:val="18"/>
              </w:rPr>
              <w:t xml:space="preserve">Exploding bomb; </w:t>
            </w:r>
            <w:r w:rsidRPr="009B69E8">
              <w:rPr>
                <w:rFonts w:eastAsiaTheme="minorHAnsi"/>
                <w:sz w:val="18"/>
                <w:szCs w:val="18"/>
              </w:rPr>
              <w:br/>
            </w:r>
            <w:r w:rsidRPr="009B69E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or</w:t>
            </w:r>
            <w:r w:rsidRPr="009B69E8">
              <w:rPr>
                <w:rFonts w:eastAsiaTheme="minorHAnsi"/>
                <w:sz w:val="18"/>
                <w:szCs w:val="18"/>
              </w:rPr>
              <w:t xml:space="preserve"> </w:t>
            </w:r>
            <w:r w:rsidRPr="009B69E8">
              <w:rPr>
                <w:rFonts w:eastAsiaTheme="minorHAnsi"/>
                <w:sz w:val="18"/>
                <w:szCs w:val="18"/>
              </w:rPr>
              <w:br/>
              <w:t>1.4 on orange background</w:t>
            </w:r>
            <w:r w:rsidRPr="009B69E8">
              <w:rPr>
                <w:rFonts w:eastAsiaTheme="minorHAnsi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61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9B69E8">
              <w:rPr>
                <w:rFonts w:eastAsiaTheme="minorHAnsi"/>
                <w:sz w:val="18"/>
                <w:szCs w:val="18"/>
                <w:u w:val="single"/>
              </w:rPr>
              <w:t>1.4 on orange background</w:t>
            </w:r>
            <w:r w:rsidRPr="009B69E8">
              <w:rPr>
                <w:rFonts w:eastAsiaTheme="minorHAnsi"/>
                <w:b/>
                <w:sz w:val="18"/>
                <w:szCs w:val="18"/>
                <w:u w:val="single"/>
                <w:vertAlign w:val="superscript"/>
              </w:rPr>
              <w:t>a</w:t>
            </w:r>
          </w:p>
        </w:tc>
        <w:tc>
          <w:tcPr>
            <w:tcW w:w="107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1.5 on orange background</w:t>
            </w:r>
            <w:r w:rsidRPr="009B69E8">
              <w:rPr>
                <w:rFonts w:eastAsiaTheme="minorHAnsi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5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1.6 on orange background</w:t>
            </w:r>
            <w:r w:rsidRPr="009B69E8">
              <w:rPr>
                <w:rFonts w:eastAsiaTheme="minorHAnsi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3B4219" w:rsidRPr="009B69E8" w:rsidTr="009B69E8">
        <w:trPr>
          <w:jc w:val="center"/>
        </w:trPr>
        <w:tc>
          <w:tcPr>
            <w:tcW w:w="102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>Signal word</w:t>
            </w:r>
          </w:p>
        </w:tc>
        <w:tc>
          <w:tcPr>
            <w:tcW w:w="1134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Danger</w:t>
            </w:r>
          </w:p>
        </w:tc>
        <w:tc>
          <w:tcPr>
            <w:tcW w:w="121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Danger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Danger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Danger</w:t>
            </w:r>
          </w:p>
        </w:tc>
        <w:tc>
          <w:tcPr>
            <w:tcW w:w="1080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Warning</w:t>
            </w:r>
          </w:p>
        </w:tc>
        <w:tc>
          <w:tcPr>
            <w:tcW w:w="1461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9B69E8">
              <w:rPr>
                <w:rFonts w:eastAsiaTheme="minorHAnsi"/>
                <w:sz w:val="18"/>
                <w:szCs w:val="18"/>
                <w:u w:val="single"/>
              </w:rPr>
              <w:t>Warning</w:t>
            </w:r>
          </w:p>
        </w:tc>
        <w:tc>
          <w:tcPr>
            <w:tcW w:w="107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Danger</w:t>
            </w:r>
          </w:p>
        </w:tc>
        <w:tc>
          <w:tcPr>
            <w:tcW w:w="105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i/>
                <w:iCs/>
                <w:sz w:val="18"/>
                <w:szCs w:val="18"/>
              </w:rPr>
            </w:pPr>
            <w:r w:rsidRPr="009B69E8">
              <w:rPr>
                <w:rFonts w:eastAsiaTheme="minorHAnsi"/>
                <w:i/>
                <w:iCs/>
                <w:sz w:val="18"/>
                <w:szCs w:val="18"/>
              </w:rPr>
              <w:t>No signal word</w:t>
            </w:r>
          </w:p>
        </w:tc>
      </w:tr>
      <w:tr w:rsidR="003B4219" w:rsidRPr="009B69E8" w:rsidTr="009B69E8">
        <w:trPr>
          <w:jc w:val="center"/>
        </w:trPr>
        <w:tc>
          <w:tcPr>
            <w:tcW w:w="102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>Hazard statement</w:t>
            </w:r>
          </w:p>
        </w:tc>
        <w:tc>
          <w:tcPr>
            <w:tcW w:w="1134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trike/>
                <w:sz w:val="18"/>
                <w:szCs w:val="18"/>
              </w:rPr>
              <w:t xml:space="preserve">Unstable </w:t>
            </w:r>
            <w:r w:rsidRPr="009B69E8">
              <w:rPr>
                <w:rFonts w:eastAsiaTheme="minorHAnsi"/>
                <w:sz w:val="18"/>
                <w:szCs w:val="18"/>
              </w:rPr>
              <w:t>Explosive</w:t>
            </w:r>
          </w:p>
        </w:tc>
        <w:tc>
          <w:tcPr>
            <w:tcW w:w="121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Explosive; mass explosion hazard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Explosive; severe projection hazard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Explosive; fire, blast or projection hazard.</w:t>
            </w:r>
          </w:p>
        </w:tc>
        <w:tc>
          <w:tcPr>
            <w:tcW w:w="1080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Fire or projection hazard</w:t>
            </w:r>
          </w:p>
        </w:tc>
        <w:tc>
          <w:tcPr>
            <w:tcW w:w="1461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9B69E8">
              <w:rPr>
                <w:rFonts w:eastAsiaTheme="minorHAnsi"/>
                <w:sz w:val="18"/>
                <w:szCs w:val="18"/>
                <w:u w:val="single"/>
              </w:rPr>
              <w:t>Low hazard</w:t>
            </w:r>
          </w:p>
        </w:tc>
        <w:tc>
          <w:tcPr>
            <w:tcW w:w="107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May mass explode in fire</w:t>
            </w:r>
          </w:p>
        </w:tc>
        <w:tc>
          <w:tcPr>
            <w:tcW w:w="105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i/>
                <w:iCs/>
                <w:sz w:val="18"/>
                <w:szCs w:val="18"/>
              </w:rPr>
            </w:pPr>
            <w:r w:rsidRPr="009B69E8">
              <w:rPr>
                <w:rFonts w:eastAsiaTheme="minorHAnsi"/>
                <w:i/>
                <w:iCs/>
                <w:sz w:val="18"/>
                <w:szCs w:val="18"/>
              </w:rPr>
              <w:t>No hazard statement</w:t>
            </w:r>
          </w:p>
        </w:tc>
      </w:tr>
    </w:tbl>
    <w:p w:rsidR="003B4219" w:rsidRPr="009B69E8" w:rsidRDefault="009B69E8" w:rsidP="009B69E8">
      <w:pPr>
        <w:spacing w:before="240"/>
        <w:ind w:left="1134" w:right="1134"/>
        <w:jc w:val="center"/>
        <w:rPr>
          <w:rFonts w:eastAsiaTheme="minorHAnsi"/>
          <w:u w:val="single"/>
          <w:lang w:val="en-CA"/>
        </w:rPr>
      </w:pPr>
      <w:r>
        <w:rPr>
          <w:rFonts w:eastAsiaTheme="minorHAnsi"/>
          <w:u w:val="single"/>
          <w:lang w:val="en-CA"/>
        </w:rPr>
        <w:tab/>
      </w:r>
      <w:r>
        <w:rPr>
          <w:rFonts w:eastAsiaTheme="minorHAnsi"/>
          <w:u w:val="single"/>
          <w:lang w:val="en-CA"/>
        </w:rPr>
        <w:tab/>
      </w:r>
      <w:r>
        <w:rPr>
          <w:rFonts w:eastAsiaTheme="minorHAnsi"/>
          <w:u w:val="single"/>
          <w:lang w:val="en-CA"/>
        </w:rPr>
        <w:tab/>
      </w:r>
    </w:p>
    <w:p w:rsidR="00715170" w:rsidRPr="009B69E8" w:rsidRDefault="00715170" w:rsidP="009B69E8">
      <w:pPr>
        <w:pStyle w:val="SingleTxtG"/>
        <w:rPr>
          <w:lang w:eastAsia="fr-FR"/>
        </w:rPr>
      </w:pPr>
    </w:p>
    <w:sectPr w:rsidR="00715170" w:rsidRPr="009B69E8" w:rsidSect="0005570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A3" w:rsidRDefault="004A3AA3"/>
  </w:endnote>
  <w:endnote w:type="continuationSeparator" w:id="0">
    <w:p w:rsidR="004A3AA3" w:rsidRDefault="004A3AA3"/>
  </w:endnote>
  <w:endnote w:type="continuationNotice" w:id="1">
    <w:p w:rsidR="004A3AA3" w:rsidRDefault="004A3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796B95" w:rsidRDefault="0049223B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="004C6E3D"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BA69C4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05570C" w:rsidRDefault="004C6E3D" w:rsidP="0005570C">
    <w:pPr>
      <w:pStyle w:val="Footer"/>
      <w:tabs>
        <w:tab w:val="right" w:pos="9598"/>
      </w:tabs>
      <w:rPr>
        <w:b/>
        <w:sz w:val="18"/>
      </w:rPr>
    </w:pPr>
    <w:r>
      <w:tab/>
    </w:r>
    <w:r w:rsidR="0049223B"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="0049223B" w:rsidRPr="0005570C">
      <w:rPr>
        <w:b/>
        <w:sz w:val="18"/>
      </w:rPr>
      <w:fldChar w:fldCharType="separate"/>
    </w:r>
    <w:r w:rsidR="009B69E8">
      <w:rPr>
        <w:b/>
        <w:noProof/>
        <w:sz w:val="18"/>
      </w:rPr>
      <w:t>3</w:t>
    </w:r>
    <w:r w:rsidR="0049223B"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A3" w:rsidRPr="000B175B" w:rsidRDefault="004A3AA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3AA3" w:rsidRPr="00FC68B7" w:rsidRDefault="004A3AA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A3AA3" w:rsidRDefault="004A3A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FC7852" w:rsidRDefault="004C6E3D" w:rsidP="00F54DDA">
    <w:pPr>
      <w:pStyle w:val="Header"/>
      <w:rPr>
        <w:lang w:val="fr-CA"/>
      </w:rPr>
    </w:pPr>
    <w:r w:rsidRPr="00DA5A3D">
      <w:rPr>
        <w:noProof/>
        <w:lang w:val="fr-CA"/>
      </w:rPr>
      <w:t>UN/SCETDG/4</w:t>
    </w:r>
    <w:r w:rsidR="00FC7852" w:rsidRPr="00DA5A3D">
      <w:rPr>
        <w:noProof/>
        <w:lang w:val="fr-CA"/>
      </w:rPr>
      <w:t>9</w:t>
    </w:r>
    <w:r w:rsidR="0094085C" w:rsidRPr="00DA5A3D">
      <w:rPr>
        <w:noProof/>
        <w:lang w:val="fr-CA"/>
      </w:rPr>
      <w:t>/INF.</w:t>
    </w:r>
    <w:r w:rsidR="009B69E8">
      <w:rPr>
        <w:noProof/>
        <w:lang w:val="fr-CA"/>
      </w:rPr>
      <w:t>45</w:t>
    </w:r>
    <w:r w:rsidR="0094085C" w:rsidRPr="00DA5A3D">
      <w:rPr>
        <w:noProof/>
        <w:lang w:val="fr-CA"/>
      </w:rPr>
      <w:br/>
    </w:r>
    <w:r w:rsidR="00FC7852" w:rsidRPr="00DA5A3D">
      <w:rPr>
        <w:noProof/>
        <w:lang w:val="fr-CA"/>
      </w:rPr>
      <w:t>UN/SCEGHS/31</w:t>
    </w:r>
    <w:r w:rsidR="0094085C" w:rsidRPr="00DA5A3D">
      <w:rPr>
        <w:noProof/>
        <w:lang w:val="fr-CA"/>
      </w:rPr>
      <w:t>/INF.</w:t>
    </w:r>
    <w:r w:rsidR="009B69E8">
      <w:rPr>
        <w:noProof/>
        <w:lang w:val="fr-CA"/>
      </w:rPr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440E44" w:rsidRDefault="00440E44" w:rsidP="0005570C">
    <w:pPr>
      <w:pStyle w:val="Header"/>
      <w:jc w:val="right"/>
      <w:rPr>
        <w:lang w:val="fr-CA"/>
      </w:rPr>
    </w:pPr>
    <w:r w:rsidRPr="00440E44">
      <w:rPr>
        <w:lang w:val="fr-CA"/>
      </w:rPr>
      <w:t>UN/SCETDG/49</w:t>
    </w:r>
    <w:r w:rsidR="004C6E3D" w:rsidRPr="00440E44">
      <w:rPr>
        <w:lang w:val="fr-CA"/>
      </w:rPr>
      <w:t>/INF.</w:t>
    </w:r>
    <w:r w:rsidRPr="00440E44">
      <w:rPr>
        <w:lang w:val="fr-CA"/>
      </w:rPr>
      <w:t>15</w:t>
    </w:r>
    <w:r w:rsidR="00A67DC2" w:rsidRPr="00440E44">
      <w:rPr>
        <w:lang w:val="fr-CA"/>
      </w:rPr>
      <w:br/>
      <w:t>UN/SCEGHS</w:t>
    </w:r>
    <w:r w:rsidRPr="00440E44">
      <w:rPr>
        <w:lang w:val="fr-CA"/>
      </w:rPr>
      <w:t>/31/INF.5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396F7B"/>
    <w:multiLevelType w:val="hybridMultilevel"/>
    <w:tmpl w:val="DB04E66E"/>
    <w:lvl w:ilvl="0" w:tplc="7DAEE432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1A667145"/>
    <w:multiLevelType w:val="hybridMultilevel"/>
    <w:tmpl w:val="32FA10A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D4C1EEC"/>
    <w:multiLevelType w:val="hybridMultilevel"/>
    <w:tmpl w:val="08341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A97A4A"/>
    <w:multiLevelType w:val="hybridMultilevel"/>
    <w:tmpl w:val="5216A528"/>
    <w:lvl w:ilvl="0" w:tplc="97E6B68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A095B"/>
    <w:multiLevelType w:val="hybridMultilevel"/>
    <w:tmpl w:val="5C50C25A"/>
    <w:lvl w:ilvl="0" w:tplc="5822A5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8201D3E"/>
    <w:multiLevelType w:val="hybridMultilevel"/>
    <w:tmpl w:val="F0C41842"/>
    <w:lvl w:ilvl="0" w:tplc="80D4C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9B2FA0"/>
    <w:multiLevelType w:val="multilevel"/>
    <w:tmpl w:val="16E81A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961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28" w:hanging="1440"/>
      </w:pPr>
      <w:rPr>
        <w:rFonts w:hint="default"/>
      </w:rPr>
    </w:lvl>
  </w:abstractNum>
  <w:abstractNum w:abstractNumId="2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C792C04"/>
    <w:multiLevelType w:val="hybridMultilevel"/>
    <w:tmpl w:val="F8AC8536"/>
    <w:lvl w:ilvl="0" w:tplc="BE58C1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2FD3EAD"/>
    <w:multiLevelType w:val="hybridMultilevel"/>
    <w:tmpl w:val="5DAAD11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C9324C6"/>
    <w:multiLevelType w:val="multilevel"/>
    <w:tmpl w:val="5244741E"/>
    <w:lvl w:ilvl="0">
      <w:start w:val="3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5">
    <w:nsid w:val="7078082B"/>
    <w:multiLevelType w:val="hybridMultilevel"/>
    <w:tmpl w:val="1188F5CE"/>
    <w:lvl w:ilvl="0" w:tplc="9F38B34C">
      <w:start w:val="1"/>
      <w:numFmt w:val="decimal"/>
      <w:lvlText w:val="%1."/>
      <w:lvlJc w:val="left"/>
      <w:pPr>
        <w:ind w:left="1260" w:hanging="54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58D78F2"/>
    <w:multiLevelType w:val="hybridMultilevel"/>
    <w:tmpl w:val="0FCEB126"/>
    <w:lvl w:ilvl="0" w:tplc="816210BC">
      <w:start w:val="1"/>
      <w:numFmt w:val="decimal"/>
      <w:lvlText w:val="%1."/>
      <w:lvlJc w:val="left"/>
      <w:pPr>
        <w:ind w:left="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7D2A1773"/>
    <w:multiLevelType w:val="hybridMultilevel"/>
    <w:tmpl w:val="A518F4BE"/>
    <w:lvl w:ilvl="0" w:tplc="DDAA6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10"/>
  </w:num>
  <w:num w:numId="14">
    <w:abstractNumId w:val="32"/>
  </w:num>
  <w:num w:numId="15">
    <w:abstractNumId w:val="15"/>
  </w:num>
  <w:num w:numId="16">
    <w:abstractNumId w:val="12"/>
  </w:num>
  <w:num w:numId="17">
    <w:abstractNumId w:val="36"/>
  </w:num>
  <w:num w:numId="18">
    <w:abstractNumId w:val="26"/>
  </w:num>
  <w:num w:numId="19">
    <w:abstractNumId w:val="13"/>
  </w:num>
  <w:num w:numId="20">
    <w:abstractNumId w:val="29"/>
  </w:num>
  <w:num w:numId="21">
    <w:abstractNumId w:val="17"/>
  </w:num>
  <w:num w:numId="22">
    <w:abstractNumId w:val="14"/>
  </w:num>
  <w:num w:numId="23">
    <w:abstractNumId w:val="16"/>
  </w:num>
  <w:num w:numId="24">
    <w:abstractNumId w:val="28"/>
  </w:num>
  <w:num w:numId="25">
    <w:abstractNumId w:val="30"/>
  </w:num>
  <w:num w:numId="26">
    <w:abstractNumId w:val="31"/>
  </w:num>
  <w:num w:numId="27">
    <w:abstractNumId w:val="38"/>
  </w:num>
  <w:num w:numId="28">
    <w:abstractNumId w:val="27"/>
  </w:num>
  <w:num w:numId="29">
    <w:abstractNumId w:val="21"/>
  </w:num>
  <w:num w:numId="30">
    <w:abstractNumId w:val="37"/>
  </w:num>
  <w:num w:numId="31">
    <w:abstractNumId w:val="18"/>
  </w:num>
  <w:num w:numId="32">
    <w:abstractNumId w:val="23"/>
  </w:num>
  <w:num w:numId="33">
    <w:abstractNumId w:val="11"/>
  </w:num>
  <w:num w:numId="34">
    <w:abstractNumId w:val="19"/>
  </w:num>
  <w:num w:numId="35">
    <w:abstractNumId w:val="35"/>
  </w:num>
  <w:num w:numId="36">
    <w:abstractNumId w:val="24"/>
  </w:num>
  <w:num w:numId="37">
    <w:abstractNumId w:val="34"/>
  </w:num>
  <w:num w:numId="38">
    <w:abstractNumId w:val="22"/>
  </w:num>
  <w:num w:numId="39">
    <w:abstractNumId w:val="33"/>
  </w:num>
  <w:num w:numId="40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fr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Lexique - Transports Canada - client|Transports Canada - TermBase general"/>
    <w:docVar w:name="TermBaseURL" w:val="empty"/>
    <w:docVar w:name="TextBases" w:val="LOCAL\TextBase TMs\Transports Canada - Transports des marchandises dangereuses|LOCAL\TextBase TMs\Transports Canada|LOCAL\TextBase TMs\Transports Canada - Reglement sur le TMD|LOCAL\TextBase TMs\TMD UN recommnedations|LOCAL\TextBase TMs\Temp Catherine 568"/>
    <w:docVar w:name="TextBaseURL" w:val="empty"/>
    <w:docVar w:name="UILng" w:val="en"/>
  </w:docVars>
  <w:rsids>
    <w:rsidRoot w:val="00BD42B2"/>
    <w:rsid w:val="00004B0B"/>
    <w:rsid w:val="00006600"/>
    <w:rsid w:val="000105B7"/>
    <w:rsid w:val="00010DB3"/>
    <w:rsid w:val="0001131C"/>
    <w:rsid w:val="00015A1E"/>
    <w:rsid w:val="00027F2A"/>
    <w:rsid w:val="0003260B"/>
    <w:rsid w:val="00044167"/>
    <w:rsid w:val="000458D9"/>
    <w:rsid w:val="0005011F"/>
    <w:rsid w:val="00050F6B"/>
    <w:rsid w:val="0005111B"/>
    <w:rsid w:val="0005570C"/>
    <w:rsid w:val="00064F24"/>
    <w:rsid w:val="00067C1A"/>
    <w:rsid w:val="000719CE"/>
    <w:rsid w:val="00071BC5"/>
    <w:rsid w:val="000726F2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0A49"/>
    <w:rsid w:val="000A1D9E"/>
    <w:rsid w:val="000A2E07"/>
    <w:rsid w:val="000A3ADF"/>
    <w:rsid w:val="000A4318"/>
    <w:rsid w:val="000A607C"/>
    <w:rsid w:val="000A71A2"/>
    <w:rsid w:val="000B175B"/>
    <w:rsid w:val="000B2276"/>
    <w:rsid w:val="000B265A"/>
    <w:rsid w:val="000B2A93"/>
    <w:rsid w:val="000B3A0F"/>
    <w:rsid w:val="000B3B18"/>
    <w:rsid w:val="000B4BFA"/>
    <w:rsid w:val="000B4E5A"/>
    <w:rsid w:val="000B5ECB"/>
    <w:rsid w:val="000B7325"/>
    <w:rsid w:val="000C610D"/>
    <w:rsid w:val="000D43C8"/>
    <w:rsid w:val="000E0415"/>
    <w:rsid w:val="000E572A"/>
    <w:rsid w:val="000E6D5E"/>
    <w:rsid w:val="000F0909"/>
    <w:rsid w:val="000F143A"/>
    <w:rsid w:val="000F5FF7"/>
    <w:rsid w:val="00103C0E"/>
    <w:rsid w:val="00107AD9"/>
    <w:rsid w:val="00114E72"/>
    <w:rsid w:val="00117787"/>
    <w:rsid w:val="00120F5D"/>
    <w:rsid w:val="00125758"/>
    <w:rsid w:val="00125775"/>
    <w:rsid w:val="00125DD6"/>
    <w:rsid w:val="001260E8"/>
    <w:rsid w:val="001266BA"/>
    <w:rsid w:val="00131D42"/>
    <w:rsid w:val="0014496C"/>
    <w:rsid w:val="00144FC4"/>
    <w:rsid w:val="0015653A"/>
    <w:rsid w:val="0016063F"/>
    <w:rsid w:val="00160BC1"/>
    <w:rsid w:val="001633FB"/>
    <w:rsid w:val="00166B07"/>
    <w:rsid w:val="001771E6"/>
    <w:rsid w:val="00177434"/>
    <w:rsid w:val="00187869"/>
    <w:rsid w:val="00190361"/>
    <w:rsid w:val="00191BE2"/>
    <w:rsid w:val="001937DF"/>
    <w:rsid w:val="001967AB"/>
    <w:rsid w:val="001A6691"/>
    <w:rsid w:val="001B0DDE"/>
    <w:rsid w:val="001B10FC"/>
    <w:rsid w:val="001B4B04"/>
    <w:rsid w:val="001B574E"/>
    <w:rsid w:val="001B596E"/>
    <w:rsid w:val="001C4441"/>
    <w:rsid w:val="001C4CEE"/>
    <w:rsid w:val="001C6663"/>
    <w:rsid w:val="001C7895"/>
    <w:rsid w:val="001D0C12"/>
    <w:rsid w:val="001D26DF"/>
    <w:rsid w:val="001D2FDC"/>
    <w:rsid w:val="001D2FE8"/>
    <w:rsid w:val="001E3023"/>
    <w:rsid w:val="001F1227"/>
    <w:rsid w:val="001F37ED"/>
    <w:rsid w:val="001F57B4"/>
    <w:rsid w:val="00211CD6"/>
    <w:rsid w:val="00211E0B"/>
    <w:rsid w:val="002264E0"/>
    <w:rsid w:val="002309A7"/>
    <w:rsid w:val="002323E4"/>
    <w:rsid w:val="00233CFA"/>
    <w:rsid w:val="002348DF"/>
    <w:rsid w:val="002350D2"/>
    <w:rsid w:val="002370D0"/>
    <w:rsid w:val="00237785"/>
    <w:rsid w:val="00241466"/>
    <w:rsid w:val="00247A0C"/>
    <w:rsid w:val="00256795"/>
    <w:rsid w:val="00257587"/>
    <w:rsid w:val="00266C11"/>
    <w:rsid w:val="002722E5"/>
    <w:rsid w:val="002725CA"/>
    <w:rsid w:val="00274700"/>
    <w:rsid w:val="00274F33"/>
    <w:rsid w:val="00280D2B"/>
    <w:rsid w:val="00280EB7"/>
    <w:rsid w:val="002817F4"/>
    <w:rsid w:val="00281BE2"/>
    <w:rsid w:val="00295971"/>
    <w:rsid w:val="002A2560"/>
    <w:rsid w:val="002A7532"/>
    <w:rsid w:val="002B082F"/>
    <w:rsid w:val="002B1CDA"/>
    <w:rsid w:val="002B2EA7"/>
    <w:rsid w:val="002B521D"/>
    <w:rsid w:val="002B5778"/>
    <w:rsid w:val="002B79CF"/>
    <w:rsid w:val="002B7D6F"/>
    <w:rsid w:val="002C42D3"/>
    <w:rsid w:val="002C54A4"/>
    <w:rsid w:val="002C7649"/>
    <w:rsid w:val="002D7530"/>
    <w:rsid w:val="002E040D"/>
    <w:rsid w:val="002E4E12"/>
    <w:rsid w:val="002E69A5"/>
    <w:rsid w:val="002E7C35"/>
    <w:rsid w:val="002F0918"/>
    <w:rsid w:val="002F1234"/>
    <w:rsid w:val="002F440C"/>
    <w:rsid w:val="00302963"/>
    <w:rsid w:val="00303816"/>
    <w:rsid w:val="003107FA"/>
    <w:rsid w:val="00310B32"/>
    <w:rsid w:val="00316C13"/>
    <w:rsid w:val="00320A76"/>
    <w:rsid w:val="003229D8"/>
    <w:rsid w:val="00322F52"/>
    <w:rsid w:val="00323BE7"/>
    <w:rsid w:val="003262BE"/>
    <w:rsid w:val="003311AD"/>
    <w:rsid w:val="003323B3"/>
    <w:rsid w:val="00333732"/>
    <w:rsid w:val="0034522A"/>
    <w:rsid w:val="003460C7"/>
    <w:rsid w:val="00347184"/>
    <w:rsid w:val="003557EE"/>
    <w:rsid w:val="003611C0"/>
    <w:rsid w:val="00371ABC"/>
    <w:rsid w:val="00372BDC"/>
    <w:rsid w:val="00373815"/>
    <w:rsid w:val="00374763"/>
    <w:rsid w:val="00381262"/>
    <w:rsid w:val="00390C04"/>
    <w:rsid w:val="0039277A"/>
    <w:rsid w:val="00396C00"/>
    <w:rsid w:val="003972E0"/>
    <w:rsid w:val="003A358E"/>
    <w:rsid w:val="003B4219"/>
    <w:rsid w:val="003B4359"/>
    <w:rsid w:val="003B47CC"/>
    <w:rsid w:val="003C2CC4"/>
    <w:rsid w:val="003C3E74"/>
    <w:rsid w:val="003C6BA6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0520D"/>
    <w:rsid w:val="0041741B"/>
    <w:rsid w:val="004179D7"/>
    <w:rsid w:val="004325CB"/>
    <w:rsid w:val="00434B5A"/>
    <w:rsid w:val="00437F3F"/>
    <w:rsid w:val="0044017E"/>
    <w:rsid w:val="00440E44"/>
    <w:rsid w:val="00442686"/>
    <w:rsid w:val="0044679E"/>
    <w:rsid w:val="00446C28"/>
    <w:rsid w:val="00446DE4"/>
    <w:rsid w:val="004479B5"/>
    <w:rsid w:val="0045002A"/>
    <w:rsid w:val="00450B3A"/>
    <w:rsid w:val="00451CCB"/>
    <w:rsid w:val="004522E0"/>
    <w:rsid w:val="004568A9"/>
    <w:rsid w:val="004624AF"/>
    <w:rsid w:val="00464C2B"/>
    <w:rsid w:val="0047319B"/>
    <w:rsid w:val="004735FB"/>
    <w:rsid w:val="00475444"/>
    <w:rsid w:val="0049223B"/>
    <w:rsid w:val="0049309D"/>
    <w:rsid w:val="00494D24"/>
    <w:rsid w:val="004969ED"/>
    <w:rsid w:val="00497FF3"/>
    <w:rsid w:val="004A2BD1"/>
    <w:rsid w:val="004A3AA3"/>
    <w:rsid w:val="004B163A"/>
    <w:rsid w:val="004B2C9D"/>
    <w:rsid w:val="004B49FD"/>
    <w:rsid w:val="004B6475"/>
    <w:rsid w:val="004C6E3D"/>
    <w:rsid w:val="004E1150"/>
    <w:rsid w:val="004E329B"/>
    <w:rsid w:val="004E4DCE"/>
    <w:rsid w:val="00500DCD"/>
    <w:rsid w:val="00512574"/>
    <w:rsid w:val="005149A9"/>
    <w:rsid w:val="00515763"/>
    <w:rsid w:val="0051609A"/>
    <w:rsid w:val="005206A2"/>
    <w:rsid w:val="005248FF"/>
    <w:rsid w:val="00527910"/>
    <w:rsid w:val="00530B4A"/>
    <w:rsid w:val="00532A62"/>
    <w:rsid w:val="005335B1"/>
    <w:rsid w:val="0053786F"/>
    <w:rsid w:val="005414F5"/>
    <w:rsid w:val="005420F2"/>
    <w:rsid w:val="00543B03"/>
    <w:rsid w:val="00552C5F"/>
    <w:rsid w:val="005553A2"/>
    <w:rsid w:val="005557E8"/>
    <w:rsid w:val="005627FA"/>
    <w:rsid w:val="00566392"/>
    <w:rsid w:val="00566B77"/>
    <w:rsid w:val="005676D5"/>
    <w:rsid w:val="005702E7"/>
    <w:rsid w:val="00571C38"/>
    <w:rsid w:val="0057509F"/>
    <w:rsid w:val="00581B62"/>
    <w:rsid w:val="00581C11"/>
    <w:rsid w:val="00590144"/>
    <w:rsid w:val="005A1FEB"/>
    <w:rsid w:val="005A37A2"/>
    <w:rsid w:val="005A77C6"/>
    <w:rsid w:val="005B2C26"/>
    <w:rsid w:val="005B3614"/>
    <w:rsid w:val="005B3DB3"/>
    <w:rsid w:val="005B6EC0"/>
    <w:rsid w:val="005B6FA9"/>
    <w:rsid w:val="005B7E3B"/>
    <w:rsid w:val="005D1C0C"/>
    <w:rsid w:val="005D407C"/>
    <w:rsid w:val="005D48C8"/>
    <w:rsid w:val="005E29AE"/>
    <w:rsid w:val="005E36EF"/>
    <w:rsid w:val="005E6C20"/>
    <w:rsid w:val="00611FC4"/>
    <w:rsid w:val="0061401C"/>
    <w:rsid w:val="006176FB"/>
    <w:rsid w:val="00623312"/>
    <w:rsid w:val="0063330C"/>
    <w:rsid w:val="00633C10"/>
    <w:rsid w:val="0063419C"/>
    <w:rsid w:val="00634398"/>
    <w:rsid w:val="00640B26"/>
    <w:rsid w:val="00641876"/>
    <w:rsid w:val="00647621"/>
    <w:rsid w:val="00650267"/>
    <w:rsid w:val="00657AC6"/>
    <w:rsid w:val="00662ABF"/>
    <w:rsid w:val="00664F8E"/>
    <w:rsid w:val="00677B40"/>
    <w:rsid w:val="00682466"/>
    <w:rsid w:val="0068393D"/>
    <w:rsid w:val="006A0AE9"/>
    <w:rsid w:val="006A67DE"/>
    <w:rsid w:val="006A7392"/>
    <w:rsid w:val="006B3590"/>
    <w:rsid w:val="006B7406"/>
    <w:rsid w:val="006B79A2"/>
    <w:rsid w:val="006C0B69"/>
    <w:rsid w:val="006C0D34"/>
    <w:rsid w:val="006C1C4A"/>
    <w:rsid w:val="006C51B3"/>
    <w:rsid w:val="006D1BA6"/>
    <w:rsid w:val="006D7899"/>
    <w:rsid w:val="006D7D5F"/>
    <w:rsid w:val="006E45A6"/>
    <w:rsid w:val="006E564B"/>
    <w:rsid w:val="006E7B3F"/>
    <w:rsid w:val="00707A67"/>
    <w:rsid w:val="0071233A"/>
    <w:rsid w:val="00715170"/>
    <w:rsid w:val="00716D0F"/>
    <w:rsid w:val="00723B8F"/>
    <w:rsid w:val="00725764"/>
    <w:rsid w:val="0072632A"/>
    <w:rsid w:val="007273E4"/>
    <w:rsid w:val="007428A0"/>
    <w:rsid w:val="00743F34"/>
    <w:rsid w:val="0075177E"/>
    <w:rsid w:val="00757A17"/>
    <w:rsid w:val="0077383A"/>
    <w:rsid w:val="00776830"/>
    <w:rsid w:val="00784FFC"/>
    <w:rsid w:val="00787056"/>
    <w:rsid w:val="00790791"/>
    <w:rsid w:val="007909EA"/>
    <w:rsid w:val="007920A5"/>
    <w:rsid w:val="00795779"/>
    <w:rsid w:val="007965B5"/>
    <w:rsid w:val="00796B95"/>
    <w:rsid w:val="007B3D26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52A6"/>
    <w:rsid w:val="007F6611"/>
    <w:rsid w:val="00803636"/>
    <w:rsid w:val="008138E4"/>
    <w:rsid w:val="008169EA"/>
    <w:rsid w:val="008175E9"/>
    <w:rsid w:val="00820DBE"/>
    <w:rsid w:val="008242D7"/>
    <w:rsid w:val="00832764"/>
    <w:rsid w:val="00832905"/>
    <w:rsid w:val="00842FAF"/>
    <w:rsid w:val="00844A23"/>
    <w:rsid w:val="008553AE"/>
    <w:rsid w:val="008566E6"/>
    <w:rsid w:val="008616E6"/>
    <w:rsid w:val="008706C9"/>
    <w:rsid w:val="00871FD5"/>
    <w:rsid w:val="0087202A"/>
    <w:rsid w:val="008749E1"/>
    <w:rsid w:val="008828BD"/>
    <w:rsid w:val="008900F3"/>
    <w:rsid w:val="00891986"/>
    <w:rsid w:val="0089467C"/>
    <w:rsid w:val="008979B1"/>
    <w:rsid w:val="008A2299"/>
    <w:rsid w:val="008A5A78"/>
    <w:rsid w:val="008A6B25"/>
    <w:rsid w:val="008A6C4F"/>
    <w:rsid w:val="008A7362"/>
    <w:rsid w:val="008B0C07"/>
    <w:rsid w:val="008B2E94"/>
    <w:rsid w:val="008C1535"/>
    <w:rsid w:val="008C48A9"/>
    <w:rsid w:val="008D1566"/>
    <w:rsid w:val="008D1C3A"/>
    <w:rsid w:val="008D44E2"/>
    <w:rsid w:val="008E0E46"/>
    <w:rsid w:val="008E1D4C"/>
    <w:rsid w:val="008F0D66"/>
    <w:rsid w:val="008F36A7"/>
    <w:rsid w:val="008F42F2"/>
    <w:rsid w:val="008F65D0"/>
    <w:rsid w:val="00905AEA"/>
    <w:rsid w:val="00910229"/>
    <w:rsid w:val="00910E37"/>
    <w:rsid w:val="009145E5"/>
    <w:rsid w:val="00915E24"/>
    <w:rsid w:val="009174F9"/>
    <w:rsid w:val="009178F6"/>
    <w:rsid w:val="00920726"/>
    <w:rsid w:val="00924330"/>
    <w:rsid w:val="0092549E"/>
    <w:rsid w:val="0093457E"/>
    <w:rsid w:val="0094085C"/>
    <w:rsid w:val="00945A5D"/>
    <w:rsid w:val="0094761C"/>
    <w:rsid w:val="00947A9D"/>
    <w:rsid w:val="009561ED"/>
    <w:rsid w:val="00963CBA"/>
    <w:rsid w:val="00965ACC"/>
    <w:rsid w:val="00970D90"/>
    <w:rsid w:val="0097150D"/>
    <w:rsid w:val="00971B0B"/>
    <w:rsid w:val="00972131"/>
    <w:rsid w:val="00972910"/>
    <w:rsid w:val="00977813"/>
    <w:rsid w:val="00977C08"/>
    <w:rsid w:val="0098091E"/>
    <w:rsid w:val="009863A7"/>
    <w:rsid w:val="00986BF1"/>
    <w:rsid w:val="0099124E"/>
    <w:rsid w:val="00991261"/>
    <w:rsid w:val="00994010"/>
    <w:rsid w:val="00994014"/>
    <w:rsid w:val="009A37C7"/>
    <w:rsid w:val="009B1829"/>
    <w:rsid w:val="009B2FB7"/>
    <w:rsid w:val="009B3CC1"/>
    <w:rsid w:val="009B69E8"/>
    <w:rsid w:val="009B6F46"/>
    <w:rsid w:val="009D7741"/>
    <w:rsid w:val="009E2874"/>
    <w:rsid w:val="009E35FF"/>
    <w:rsid w:val="009E587B"/>
    <w:rsid w:val="009E7B0D"/>
    <w:rsid w:val="00A12045"/>
    <w:rsid w:val="00A12267"/>
    <w:rsid w:val="00A1427D"/>
    <w:rsid w:val="00A15DCA"/>
    <w:rsid w:val="00A22441"/>
    <w:rsid w:val="00A24E0D"/>
    <w:rsid w:val="00A25434"/>
    <w:rsid w:val="00A27584"/>
    <w:rsid w:val="00A3317D"/>
    <w:rsid w:val="00A33866"/>
    <w:rsid w:val="00A3734E"/>
    <w:rsid w:val="00A40281"/>
    <w:rsid w:val="00A4449F"/>
    <w:rsid w:val="00A475B8"/>
    <w:rsid w:val="00A52017"/>
    <w:rsid w:val="00A549AB"/>
    <w:rsid w:val="00A6043B"/>
    <w:rsid w:val="00A64ED3"/>
    <w:rsid w:val="00A66610"/>
    <w:rsid w:val="00A679F9"/>
    <w:rsid w:val="00A67DC2"/>
    <w:rsid w:val="00A72F22"/>
    <w:rsid w:val="00A748A6"/>
    <w:rsid w:val="00A7523F"/>
    <w:rsid w:val="00A75EC9"/>
    <w:rsid w:val="00A76B37"/>
    <w:rsid w:val="00A80FD5"/>
    <w:rsid w:val="00A81CD3"/>
    <w:rsid w:val="00A879A4"/>
    <w:rsid w:val="00AA022C"/>
    <w:rsid w:val="00AA2DB2"/>
    <w:rsid w:val="00AB2C4D"/>
    <w:rsid w:val="00AB390A"/>
    <w:rsid w:val="00AC0EEF"/>
    <w:rsid w:val="00AC1F60"/>
    <w:rsid w:val="00AC3364"/>
    <w:rsid w:val="00AC38F2"/>
    <w:rsid w:val="00AC7451"/>
    <w:rsid w:val="00AD3873"/>
    <w:rsid w:val="00AD4C3F"/>
    <w:rsid w:val="00AD748C"/>
    <w:rsid w:val="00AE2BC1"/>
    <w:rsid w:val="00AE313E"/>
    <w:rsid w:val="00AE315B"/>
    <w:rsid w:val="00AE3791"/>
    <w:rsid w:val="00AE3E02"/>
    <w:rsid w:val="00AF1489"/>
    <w:rsid w:val="00AF248C"/>
    <w:rsid w:val="00AF634F"/>
    <w:rsid w:val="00B0125E"/>
    <w:rsid w:val="00B02079"/>
    <w:rsid w:val="00B05614"/>
    <w:rsid w:val="00B10153"/>
    <w:rsid w:val="00B2292E"/>
    <w:rsid w:val="00B30179"/>
    <w:rsid w:val="00B32399"/>
    <w:rsid w:val="00B3317B"/>
    <w:rsid w:val="00B33B8E"/>
    <w:rsid w:val="00B34A94"/>
    <w:rsid w:val="00B35770"/>
    <w:rsid w:val="00B45379"/>
    <w:rsid w:val="00B62799"/>
    <w:rsid w:val="00B65BD4"/>
    <w:rsid w:val="00B742AE"/>
    <w:rsid w:val="00B7575E"/>
    <w:rsid w:val="00B75B87"/>
    <w:rsid w:val="00B76D98"/>
    <w:rsid w:val="00B80DD3"/>
    <w:rsid w:val="00B81E12"/>
    <w:rsid w:val="00B8308C"/>
    <w:rsid w:val="00B84410"/>
    <w:rsid w:val="00B87A6B"/>
    <w:rsid w:val="00B90984"/>
    <w:rsid w:val="00B910C6"/>
    <w:rsid w:val="00B93068"/>
    <w:rsid w:val="00B96106"/>
    <w:rsid w:val="00BA4AAC"/>
    <w:rsid w:val="00BA611E"/>
    <w:rsid w:val="00BA69C4"/>
    <w:rsid w:val="00BB0C58"/>
    <w:rsid w:val="00BB6685"/>
    <w:rsid w:val="00BC4804"/>
    <w:rsid w:val="00BC553A"/>
    <w:rsid w:val="00BC5CF4"/>
    <w:rsid w:val="00BC74E9"/>
    <w:rsid w:val="00BD18F0"/>
    <w:rsid w:val="00BD4242"/>
    <w:rsid w:val="00BD42B2"/>
    <w:rsid w:val="00BE618E"/>
    <w:rsid w:val="00C01730"/>
    <w:rsid w:val="00C12FE8"/>
    <w:rsid w:val="00C17582"/>
    <w:rsid w:val="00C20E3D"/>
    <w:rsid w:val="00C23226"/>
    <w:rsid w:val="00C3461F"/>
    <w:rsid w:val="00C350ED"/>
    <w:rsid w:val="00C4186E"/>
    <w:rsid w:val="00C463DD"/>
    <w:rsid w:val="00C46E2A"/>
    <w:rsid w:val="00C60D9F"/>
    <w:rsid w:val="00C60DCD"/>
    <w:rsid w:val="00C61112"/>
    <w:rsid w:val="00C626EA"/>
    <w:rsid w:val="00C62F76"/>
    <w:rsid w:val="00C64CF9"/>
    <w:rsid w:val="00C67F22"/>
    <w:rsid w:val="00C72209"/>
    <w:rsid w:val="00C745C3"/>
    <w:rsid w:val="00C8046D"/>
    <w:rsid w:val="00C835F0"/>
    <w:rsid w:val="00C920F1"/>
    <w:rsid w:val="00C92213"/>
    <w:rsid w:val="00CA1406"/>
    <w:rsid w:val="00CA1CBE"/>
    <w:rsid w:val="00CA5C02"/>
    <w:rsid w:val="00CB4C9D"/>
    <w:rsid w:val="00CC18B3"/>
    <w:rsid w:val="00CC23F0"/>
    <w:rsid w:val="00CC71E2"/>
    <w:rsid w:val="00CC7F16"/>
    <w:rsid w:val="00CD052A"/>
    <w:rsid w:val="00CD42C3"/>
    <w:rsid w:val="00CD68B3"/>
    <w:rsid w:val="00CE23B8"/>
    <w:rsid w:val="00CE4A8F"/>
    <w:rsid w:val="00CE58B6"/>
    <w:rsid w:val="00CE5C4D"/>
    <w:rsid w:val="00CE7E5D"/>
    <w:rsid w:val="00CF4639"/>
    <w:rsid w:val="00CF6553"/>
    <w:rsid w:val="00CF7C69"/>
    <w:rsid w:val="00CF7FCE"/>
    <w:rsid w:val="00D00E69"/>
    <w:rsid w:val="00D01A50"/>
    <w:rsid w:val="00D01ACC"/>
    <w:rsid w:val="00D02365"/>
    <w:rsid w:val="00D04934"/>
    <w:rsid w:val="00D0609D"/>
    <w:rsid w:val="00D10AE1"/>
    <w:rsid w:val="00D11828"/>
    <w:rsid w:val="00D13382"/>
    <w:rsid w:val="00D2031B"/>
    <w:rsid w:val="00D2387E"/>
    <w:rsid w:val="00D25FE2"/>
    <w:rsid w:val="00D37949"/>
    <w:rsid w:val="00D41099"/>
    <w:rsid w:val="00D42146"/>
    <w:rsid w:val="00D43252"/>
    <w:rsid w:val="00D44AE0"/>
    <w:rsid w:val="00D44EFC"/>
    <w:rsid w:val="00D5171D"/>
    <w:rsid w:val="00D606BB"/>
    <w:rsid w:val="00D625F5"/>
    <w:rsid w:val="00D668CA"/>
    <w:rsid w:val="00D72869"/>
    <w:rsid w:val="00D753D8"/>
    <w:rsid w:val="00D77FB6"/>
    <w:rsid w:val="00D84DB1"/>
    <w:rsid w:val="00D9208C"/>
    <w:rsid w:val="00D95349"/>
    <w:rsid w:val="00D95849"/>
    <w:rsid w:val="00D96CC5"/>
    <w:rsid w:val="00D978C6"/>
    <w:rsid w:val="00DA21D7"/>
    <w:rsid w:val="00DA5A3D"/>
    <w:rsid w:val="00DA67AD"/>
    <w:rsid w:val="00DA71EC"/>
    <w:rsid w:val="00DB0284"/>
    <w:rsid w:val="00DB281B"/>
    <w:rsid w:val="00DB4C88"/>
    <w:rsid w:val="00DC16B9"/>
    <w:rsid w:val="00DC1797"/>
    <w:rsid w:val="00DD41E5"/>
    <w:rsid w:val="00DD70B8"/>
    <w:rsid w:val="00DE19A0"/>
    <w:rsid w:val="00DE4184"/>
    <w:rsid w:val="00DF0081"/>
    <w:rsid w:val="00DF2D86"/>
    <w:rsid w:val="00DF48B9"/>
    <w:rsid w:val="00DF5308"/>
    <w:rsid w:val="00DF7129"/>
    <w:rsid w:val="00E011D0"/>
    <w:rsid w:val="00E049CA"/>
    <w:rsid w:val="00E130AB"/>
    <w:rsid w:val="00E154D5"/>
    <w:rsid w:val="00E15862"/>
    <w:rsid w:val="00E158D0"/>
    <w:rsid w:val="00E21A5F"/>
    <w:rsid w:val="00E23CEE"/>
    <w:rsid w:val="00E24107"/>
    <w:rsid w:val="00E26B83"/>
    <w:rsid w:val="00E274C0"/>
    <w:rsid w:val="00E305E0"/>
    <w:rsid w:val="00E35BAA"/>
    <w:rsid w:val="00E40163"/>
    <w:rsid w:val="00E4194D"/>
    <w:rsid w:val="00E44882"/>
    <w:rsid w:val="00E450F1"/>
    <w:rsid w:val="00E45DE2"/>
    <w:rsid w:val="00E5126A"/>
    <w:rsid w:val="00E5317F"/>
    <w:rsid w:val="00E5644E"/>
    <w:rsid w:val="00E62EE3"/>
    <w:rsid w:val="00E66AF1"/>
    <w:rsid w:val="00E67039"/>
    <w:rsid w:val="00E7260F"/>
    <w:rsid w:val="00E8535A"/>
    <w:rsid w:val="00E8648C"/>
    <w:rsid w:val="00E92301"/>
    <w:rsid w:val="00E96630"/>
    <w:rsid w:val="00EA5271"/>
    <w:rsid w:val="00EB0D77"/>
    <w:rsid w:val="00EB6541"/>
    <w:rsid w:val="00EB6832"/>
    <w:rsid w:val="00EB775E"/>
    <w:rsid w:val="00EC42EA"/>
    <w:rsid w:val="00EC5D78"/>
    <w:rsid w:val="00ED4EB3"/>
    <w:rsid w:val="00ED67DB"/>
    <w:rsid w:val="00ED7A2A"/>
    <w:rsid w:val="00EE18BF"/>
    <w:rsid w:val="00EE32E6"/>
    <w:rsid w:val="00EE6D6E"/>
    <w:rsid w:val="00EE7FF7"/>
    <w:rsid w:val="00EF051D"/>
    <w:rsid w:val="00EF1393"/>
    <w:rsid w:val="00EF1D7F"/>
    <w:rsid w:val="00EF3923"/>
    <w:rsid w:val="00F01117"/>
    <w:rsid w:val="00F01716"/>
    <w:rsid w:val="00F0351B"/>
    <w:rsid w:val="00F05379"/>
    <w:rsid w:val="00F054AD"/>
    <w:rsid w:val="00F11A87"/>
    <w:rsid w:val="00F14001"/>
    <w:rsid w:val="00F14936"/>
    <w:rsid w:val="00F23940"/>
    <w:rsid w:val="00F40E75"/>
    <w:rsid w:val="00F416AA"/>
    <w:rsid w:val="00F45C14"/>
    <w:rsid w:val="00F45D1A"/>
    <w:rsid w:val="00F475EB"/>
    <w:rsid w:val="00F5272A"/>
    <w:rsid w:val="00F54674"/>
    <w:rsid w:val="00F54DDA"/>
    <w:rsid w:val="00F57710"/>
    <w:rsid w:val="00F6331D"/>
    <w:rsid w:val="00F660F2"/>
    <w:rsid w:val="00F72912"/>
    <w:rsid w:val="00F73E3B"/>
    <w:rsid w:val="00F74124"/>
    <w:rsid w:val="00F85D7A"/>
    <w:rsid w:val="00F873E7"/>
    <w:rsid w:val="00F93B34"/>
    <w:rsid w:val="00F957FD"/>
    <w:rsid w:val="00FA54B1"/>
    <w:rsid w:val="00FB4658"/>
    <w:rsid w:val="00FB6DCF"/>
    <w:rsid w:val="00FB7905"/>
    <w:rsid w:val="00FC0AAF"/>
    <w:rsid w:val="00FC3415"/>
    <w:rsid w:val="00FC68B7"/>
    <w:rsid w:val="00FC6E10"/>
    <w:rsid w:val="00FC6F24"/>
    <w:rsid w:val="00FC7852"/>
    <w:rsid w:val="00FD2AAF"/>
    <w:rsid w:val="00FD6B2B"/>
    <w:rsid w:val="00FE0B49"/>
    <w:rsid w:val="00FE4A81"/>
    <w:rsid w:val="00FE752E"/>
    <w:rsid w:val="00FE7E1C"/>
    <w:rsid w:val="00FF03BB"/>
    <w:rsid w:val="00FF739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uiPriority w:val="99"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character" w:customStyle="1" w:styleId="apple-converted-space">
    <w:name w:val="apple-converted-space"/>
    <w:basedOn w:val="DefaultParagraphFont"/>
    <w:rsid w:val="00D77FB6"/>
  </w:style>
  <w:style w:type="paragraph" w:customStyle="1" w:styleId="GHSBodyText">
    <w:name w:val="GHSBody Text"/>
    <w:basedOn w:val="BodyText"/>
    <w:link w:val="GHSBodyTextChar"/>
    <w:rsid w:val="002E69A5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0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2E69A5"/>
    <w:rPr>
      <w:sz w:val="22"/>
      <w:lang w:eastAsia="en-US"/>
    </w:rPr>
  </w:style>
  <w:style w:type="numbering" w:customStyle="1" w:styleId="ArticleSection1">
    <w:name w:val="Article / Section1"/>
    <w:basedOn w:val="NoList"/>
    <w:next w:val="ArticleSection"/>
    <w:semiHidden/>
    <w:rsid w:val="00456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uiPriority w:val="99"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character" w:customStyle="1" w:styleId="apple-converted-space">
    <w:name w:val="apple-converted-space"/>
    <w:basedOn w:val="DefaultParagraphFont"/>
    <w:rsid w:val="00D77FB6"/>
  </w:style>
  <w:style w:type="paragraph" w:customStyle="1" w:styleId="GHSBodyText">
    <w:name w:val="GHSBody Text"/>
    <w:basedOn w:val="BodyText"/>
    <w:link w:val="GHSBodyTextChar"/>
    <w:rsid w:val="002E69A5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0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2E69A5"/>
    <w:rPr>
      <w:sz w:val="22"/>
      <w:lang w:eastAsia="en-US"/>
    </w:rPr>
  </w:style>
  <w:style w:type="numbering" w:customStyle="1" w:styleId="ArticleSection1">
    <w:name w:val="Article / Section1"/>
    <w:basedOn w:val="NoList"/>
    <w:next w:val="ArticleSection"/>
    <w:semiHidden/>
    <w:rsid w:val="004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F1373-95ED-49D1-843B-8DE552F1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2</cp:revision>
  <cp:lastPrinted>2016-06-21T09:39:00Z</cp:lastPrinted>
  <dcterms:created xsi:type="dcterms:W3CDTF">2016-06-21T09:39:00Z</dcterms:created>
  <dcterms:modified xsi:type="dcterms:W3CDTF">2016-06-21T09:39:00Z</dcterms:modified>
</cp:coreProperties>
</file>