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482AF2" w:rsidRPr="00A27836" w:rsidTr="0034591A">
        <w:trPr>
          <w:trHeight w:hRule="exact" w:val="851"/>
        </w:trPr>
        <w:tc>
          <w:tcPr>
            <w:tcW w:w="1276" w:type="dxa"/>
            <w:tcBorders>
              <w:bottom w:val="single" w:sz="4" w:space="0" w:color="auto"/>
            </w:tcBorders>
          </w:tcPr>
          <w:p w:rsidR="00482AF2" w:rsidRPr="00A27836" w:rsidRDefault="00482AF2" w:rsidP="00866D64">
            <w:pPr>
              <w:rPr>
                <w:lang w:val="fr-FR"/>
              </w:rPr>
            </w:pPr>
            <w:bookmarkStart w:id="0" w:name="_GoBack"/>
            <w:bookmarkEnd w:id="0"/>
          </w:p>
        </w:tc>
        <w:tc>
          <w:tcPr>
            <w:tcW w:w="2268" w:type="dxa"/>
            <w:tcBorders>
              <w:bottom w:val="single" w:sz="4" w:space="0" w:color="auto"/>
            </w:tcBorders>
            <w:vAlign w:val="bottom"/>
          </w:tcPr>
          <w:p w:rsidR="00482AF2" w:rsidRPr="00A27836" w:rsidRDefault="00482AF2" w:rsidP="00866D64">
            <w:pPr>
              <w:spacing w:after="80" w:line="300" w:lineRule="exact"/>
              <w:rPr>
                <w:sz w:val="28"/>
                <w:lang w:val="fr-FR"/>
              </w:rPr>
            </w:pPr>
            <w:r w:rsidRPr="00A27836">
              <w:rPr>
                <w:sz w:val="28"/>
                <w:lang w:val="fr-FR"/>
              </w:rPr>
              <w:t>Nations Unies</w:t>
            </w:r>
          </w:p>
        </w:tc>
        <w:tc>
          <w:tcPr>
            <w:tcW w:w="6095" w:type="dxa"/>
            <w:gridSpan w:val="2"/>
            <w:tcBorders>
              <w:bottom w:val="single" w:sz="4" w:space="0" w:color="auto"/>
            </w:tcBorders>
            <w:vAlign w:val="bottom"/>
          </w:tcPr>
          <w:p w:rsidR="00482AF2" w:rsidRPr="00A27836" w:rsidRDefault="008B3FB3" w:rsidP="008B3FB3">
            <w:pPr>
              <w:jc w:val="right"/>
              <w:rPr>
                <w:lang w:val="fr-FR"/>
              </w:rPr>
            </w:pPr>
            <w:r w:rsidRPr="008B3FB3">
              <w:rPr>
                <w:sz w:val="40"/>
                <w:lang w:val="fr-FR"/>
              </w:rPr>
              <w:t>ST</w:t>
            </w:r>
            <w:r>
              <w:rPr>
                <w:lang w:val="fr-FR"/>
              </w:rPr>
              <w:t>/SG/AC.10/C.4/65</w:t>
            </w:r>
          </w:p>
        </w:tc>
      </w:tr>
      <w:tr w:rsidR="00482AF2" w:rsidRPr="00A27836" w:rsidTr="00866D64">
        <w:trPr>
          <w:trHeight w:hRule="exact" w:val="2835"/>
        </w:trPr>
        <w:tc>
          <w:tcPr>
            <w:tcW w:w="1276" w:type="dxa"/>
            <w:tcBorders>
              <w:top w:val="single" w:sz="4" w:space="0" w:color="auto"/>
              <w:bottom w:val="single" w:sz="12" w:space="0" w:color="auto"/>
            </w:tcBorders>
          </w:tcPr>
          <w:p w:rsidR="00482AF2" w:rsidRPr="00A27836" w:rsidRDefault="00A27836" w:rsidP="00866D64">
            <w:pPr>
              <w:spacing w:before="120"/>
              <w:jc w:val="center"/>
              <w:rPr>
                <w:lang w:val="fr-FR"/>
              </w:rPr>
            </w:pPr>
            <w:r>
              <w:rPr>
                <w:noProof/>
                <w:lang w:val="en-GB" w:eastAsia="en-GB"/>
              </w:rPr>
              <w:drawing>
                <wp:inline distT="0" distB="0" distL="0" distR="0">
                  <wp:extent cx="714375" cy="590550"/>
                  <wp:effectExtent l="0" t="0" r="9525"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482AF2" w:rsidRPr="00A27836" w:rsidRDefault="00482AF2" w:rsidP="00866D64">
            <w:pPr>
              <w:spacing w:before="120" w:line="420" w:lineRule="exact"/>
              <w:rPr>
                <w:b/>
                <w:sz w:val="40"/>
                <w:szCs w:val="40"/>
                <w:lang w:val="fr-FR"/>
              </w:rPr>
            </w:pPr>
            <w:r w:rsidRPr="00A27836">
              <w:rPr>
                <w:b/>
                <w:sz w:val="40"/>
                <w:szCs w:val="40"/>
                <w:lang w:val="fr-FR"/>
              </w:rPr>
              <w:t>Secrétariat</w:t>
            </w:r>
          </w:p>
        </w:tc>
        <w:tc>
          <w:tcPr>
            <w:tcW w:w="2835" w:type="dxa"/>
            <w:tcBorders>
              <w:top w:val="single" w:sz="4" w:space="0" w:color="auto"/>
              <w:bottom w:val="single" w:sz="12" w:space="0" w:color="auto"/>
            </w:tcBorders>
          </w:tcPr>
          <w:p w:rsidR="00482AF2" w:rsidRDefault="008B3FB3" w:rsidP="008B3FB3">
            <w:pPr>
              <w:spacing w:before="240" w:line="240" w:lineRule="exact"/>
              <w:rPr>
                <w:lang w:val="fr-FR"/>
              </w:rPr>
            </w:pPr>
            <w:r>
              <w:rPr>
                <w:lang w:val="fr-FR"/>
              </w:rPr>
              <w:t>Distr. générale</w:t>
            </w:r>
          </w:p>
          <w:p w:rsidR="008B3FB3" w:rsidRDefault="00252EA8" w:rsidP="008B3FB3">
            <w:pPr>
              <w:spacing w:line="240" w:lineRule="exact"/>
              <w:rPr>
                <w:lang w:val="fr-FR"/>
              </w:rPr>
            </w:pPr>
            <w:r>
              <w:rPr>
                <w:lang w:val="fr-FR"/>
              </w:rPr>
              <w:t>20</w:t>
            </w:r>
            <w:r w:rsidR="00941D0A">
              <w:rPr>
                <w:lang w:val="fr-FR"/>
              </w:rPr>
              <w:t xml:space="preserve"> février</w:t>
            </w:r>
            <w:r w:rsidR="008B3FB3">
              <w:rPr>
                <w:lang w:val="fr-FR"/>
              </w:rPr>
              <w:t xml:space="preserve"> 2017</w:t>
            </w:r>
          </w:p>
          <w:p w:rsidR="008B3FB3" w:rsidRDefault="00FB5985" w:rsidP="008B3FB3">
            <w:pPr>
              <w:spacing w:line="240" w:lineRule="exact"/>
              <w:rPr>
                <w:lang w:val="fr-FR"/>
              </w:rPr>
            </w:pPr>
            <w:r>
              <w:rPr>
                <w:lang w:val="fr-FR"/>
              </w:rPr>
              <w:t>Français</w:t>
            </w:r>
          </w:p>
          <w:p w:rsidR="008B3FB3" w:rsidRPr="00A27836" w:rsidRDefault="008B3FB3" w:rsidP="00941D0A">
            <w:pPr>
              <w:spacing w:line="240" w:lineRule="exact"/>
              <w:rPr>
                <w:lang w:val="fr-FR"/>
              </w:rPr>
            </w:pPr>
            <w:r>
              <w:rPr>
                <w:lang w:val="fr-FR"/>
              </w:rPr>
              <w:t xml:space="preserve">Original: </w:t>
            </w:r>
            <w:r w:rsidR="00941D0A">
              <w:rPr>
                <w:lang w:val="fr-FR"/>
              </w:rPr>
              <w:t xml:space="preserve">anglais et </w:t>
            </w:r>
            <w:r>
              <w:rPr>
                <w:lang w:val="fr-FR"/>
              </w:rPr>
              <w:t xml:space="preserve">français </w:t>
            </w:r>
          </w:p>
        </w:tc>
      </w:tr>
    </w:tbl>
    <w:p w:rsidR="0034591A" w:rsidRPr="00A27836" w:rsidRDefault="0034591A" w:rsidP="00CA0680">
      <w:pPr>
        <w:spacing w:before="120"/>
        <w:rPr>
          <w:b/>
          <w:sz w:val="24"/>
          <w:szCs w:val="24"/>
          <w:lang w:val="fr-FR"/>
        </w:rPr>
      </w:pPr>
      <w:r w:rsidRPr="00A27836">
        <w:rPr>
          <w:b/>
          <w:sz w:val="24"/>
          <w:szCs w:val="24"/>
          <w:lang w:val="fr-FR"/>
        </w:rPr>
        <w:t>C</w:t>
      </w:r>
      <w:r w:rsidR="00CA0680" w:rsidRPr="00A27836">
        <w:rPr>
          <w:b/>
          <w:sz w:val="24"/>
          <w:szCs w:val="24"/>
          <w:lang w:val="fr-FR"/>
        </w:rPr>
        <w:t>omité d’experts du transport des marchandises dangereuses</w:t>
      </w:r>
      <w:r w:rsidR="00CA0680" w:rsidRPr="00A27836">
        <w:rPr>
          <w:b/>
          <w:sz w:val="24"/>
          <w:szCs w:val="24"/>
          <w:lang w:val="fr-FR"/>
        </w:rPr>
        <w:br/>
        <w:t>et du Système général harmonisé de classification</w:t>
      </w:r>
      <w:r w:rsidR="00CA0680" w:rsidRPr="00A27836">
        <w:rPr>
          <w:b/>
          <w:sz w:val="24"/>
          <w:szCs w:val="24"/>
          <w:lang w:val="fr-FR"/>
        </w:rPr>
        <w:br/>
        <w:t>et d’étiquetage des produits chimiques</w:t>
      </w:r>
    </w:p>
    <w:p w:rsidR="0034591A" w:rsidRPr="00A27836" w:rsidRDefault="0034591A" w:rsidP="0094723C">
      <w:pPr>
        <w:spacing w:before="120"/>
        <w:rPr>
          <w:b/>
          <w:lang w:val="fr-FR"/>
        </w:rPr>
      </w:pPr>
      <w:r w:rsidRPr="00A27836">
        <w:rPr>
          <w:b/>
          <w:lang w:val="fr-FR"/>
        </w:rPr>
        <w:t>Sous</w:t>
      </w:r>
      <w:r w:rsidR="00CA0680" w:rsidRPr="00A27836">
        <w:rPr>
          <w:b/>
          <w:lang w:val="fr-FR"/>
        </w:rPr>
        <w:t>-</w:t>
      </w:r>
      <w:r w:rsidRPr="00A27836">
        <w:rPr>
          <w:b/>
          <w:lang w:val="fr-FR"/>
        </w:rPr>
        <w:t xml:space="preserve">Comité d’experts </w:t>
      </w:r>
      <w:r w:rsidR="00F34A9F" w:rsidRPr="00A27836">
        <w:rPr>
          <w:b/>
          <w:lang w:val="fr-FR"/>
        </w:rPr>
        <w:t>du Système général harmonisé</w:t>
      </w:r>
      <w:r w:rsidR="00F34A9F" w:rsidRPr="00A27836">
        <w:rPr>
          <w:b/>
          <w:lang w:val="fr-FR"/>
        </w:rPr>
        <w:br/>
        <w:t>de classification et d’étiquetage des produits chimiques</w:t>
      </w:r>
    </w:p>
    <w:p w:rsidR="00CA0680" w:rsidRPr="00A27836" w:rsidRDefault="00221ADA" w:rsidP="0094723C">
      <w:pPr>
        <w:spacing w:before="120"/>
        <w:rPr>
          <w:b/>
          <w:lang w:val="fr-FR"/>
        </w:rPr>
      </w:pPr>
      <w:r>
        <w:rPr>
          <w:b/>
          <w:lang w:val="fr-FR"/>
        </w:rPr>
        <w:t xml:space="preserve">Trente-troisième </w:t>
      </w:r>
      <w:r w:rsidR="0034591A" w:rsidRPr="00A27836">
        <w:rPr>
          <w:b/>
          <w:lang w:val="fr-FR"/>
        </w:rPr>
        <w:t>session</w:t>
      </w:r>
    </w:p>
    <w:p w:rsidR="00CA0680" w:rsidRPr="00A27836" w:rsidRDefault="002F2562" w:rsidP="0034591A">
      <w:pPr>
        <w:rPr>
          <w:lang w:val="fr-FR"/>
        </w:rPr>
      </w:pPr>
      <w:r w:rsidRPr="00A27836">
        <w:rPr>
          <w:lang w:val="fr-FR"/>
        </w:rPr>
        <w:t xml:space="preserve">Genève, </w:t>
      </w:r>
      <w:r w:rsidR="00221ADA">
        <w:rPr>
          <w:lang w:val="fr-FR"/>
        </w:rPr>
        <w:t>10-12 juillet 2017</w:t>
      </w:r>
    </w:p>
    <w:p w:rsidR="00FF1DBD" w:rsidRPr="00A27836" w:rsidRDefault="0034591A" w:rsidP="0034591A">
      <w:pPr>
        <w:rPr>
          <w:lang w:val="fr-FR"/>
        </w:rPr>
      </w:pPr>
      <w:r w:rsidRPr="00A27836">
        <w:rPr>
          <w:lang w:val="fr-FR"/>
        </w:rPr>
        <w:t xml:space="preserve">Point </w:t>
      </w:r>
      <w:r w:rsidR="00221ADA">
        <w:rPr>
          <w:lang w:val="fr-FR"/>
        </w:rPr>
        <w:t xml:space="preserve">1 </w:t>
      </w:r>
      <w:r w:rsidRPr="00A27836">
        <w:rPr>
          <w:lang w:val="fr-FR"/>
        </w:rPr>
        <w:t>de l’ordre du jour provisoire</w:t>
      </w:r>
    </w:p>
    <w:p w:rsidR="00CA0680" w:rsidRDefault="00221ADA" w:rsidP="0037789F">
      <w:pPr>
        <w:spacing w:line="200" w:lineRule="atLeast"/>
        <w:rPr>
          <w:b/>
        </w:rPr>
      </w:pPr>
      <w:r w:rsidRPr="004A02E0">
        <w:rPr>
          <w:b/>
        </w:rPr>
        <w:t>Adoption de l'ordre du jour</w:t>
      </w:r>
    </w:p>
    <w:p w:rsidR="00221ADA" w:rsidRPr="004A02E0" w:rsidRDefault="00221ADA" w:rsidP="0037789F">
      <w:pPr>
        <w:pStyle w:val="HChG"/>
        <w:spacing w:before="320" w:after="200" w:line="220" w:lineRule="exact"/>
        <w:rPr>
          <w:lang w:val="fr-FR"/>
        </w:rPr>
      </w:pPr>
      <w:r>
        <w:rPr>
          <w:lang w:val="fr-FR"/>
        </w:rPr>
        <w:tab/>
      </w:r>
      <w:r>
        <w:rPr>
          <w:lang w:val="fr-FR"/>
        </w:rPr>
        <w:tab/>
      </w:r>
      <w:r w:rsidRPr="004A02E0">
        <w:rPr>
          <w:lang w:val="fr-FR"/>
        </w:rPr>
        <w:t xml:space="preserve">Ordre du jour provisoire de la </w:t>
      </w:r>
      <w:r>
        <w:rPr>
          <w:lang w:val="fr-FR"/>
        </w:rPr>
        <w:t>t</w:t>
      </w:r>
      <w:r w:rsidRPr="00445ADC">
        <w:rPr>
          <w:lang w:val="fr-FR"/>
        </w:rPr>
        <w:t>rent</w:t>
      </w:r>
      <w:r>
        <w:rPr>
          <w:lang w:val="fr-FR"/>
        </w:rPr>
        <w:t>e-troisième</w:t>
      </w:r>
      <w:r w:rsidRPr="004A02E0">
        <w:rPr>
          <w:lang w:val="fr-FR"/>
        </w:rPr>
        <w:t xml:space="preserve"> session</w:t>
      </w:r>
      <w:r w:rsidR="002A004A" w:rsidRPr="002A004A">
        <w:rPr>
          <w:rStyle w:val="FootnoteReference"/>
          <w:sz w:val="20"/>
        </w:rPr>
        <w:footnoteReference w:customMarkFollows="1" w:id="2"/>
        <w:t>*</w:t>
      </w:r>
      <w:r w:rsidR="00266E18" w:rsidRPr="00266E18">
        <w:rPr>
          <w:rStyle w:val="FootnoteReference"/>
          <w:sz w:val="20"/>
        </w:rPr>
        <w:t>,</w:t>
      </w:r>
      <w:r w:rsidR="00266E18" w:rsidRPr="00283442">
        <w:t xml:space="preserve"> </w:t>
      </w:r>
      <w:r w:rsidR="002A004A" w:rsidRPr="002A004A">
        <w:rPr>
          <w:rStyle w:val="FootnoteReference"/>
          <w:sz w:val="20"/>
        </w:rPr>
        <w:footnoteReference w:customMarkFollows="1" w:id="3"/>
        <w:t>**</w:t>
      </w:r>
      <w:r w:rsidR="00266E18">
        <w:rPr>
          <w:rStyle w:val="FootnoteReference"/>
          <w:sz w:val="20"/>
        </w:rPr>
        <w:t>,</w:t>
      </w:r>
      <w:r w:rsidRPr="004A02E0">
        <w:rPr>
          <w:vertAlign w:val="superscript"/>
        </w:rPr>
        <w:t xml:space="preserve"> </w:t>
      </w:r>
      <w:r w:rsidR="002A004A" w:rsidRPr="002A004A">
        <w:rPr>
          <w:rStyle w:val="FootnoteReference"/>
          <w:sz w:val="20"/>
        </w:rPr>
        <w:footnoteReference w:customMarkFollows="1" w:id="4"/>
        <w:t>***</w:t>
      </w:r>
    </w:p>
    <w:p w:rsidR="00221ADA" w:rsidRPr="004A02E0" w:rsidRDefault="00221ADA" w:rsidP="00221ADA">
      <w:pPr>
        <w:pStyle w:val="H56G"/>
        <w:spacing w:before="200"/>
      </w:pPr>
      <w:r w:rsidRPr="004A02E0">
        <w:tab/>
      </w:r>
      <w:r w:rsidRPr="004A02E0">
        <w:tab/>
      </w:r>
      <w:r>
        <w:t>Q</w:t>
      </w:r>
      <w:r w:rsidRPr="00BB50F3">
        <w:t xml:space="preserve">ui s’ouvrira au Palais des Nations, à Genève, le </w:t>
      </w:r>
      <w:r>
        <w:t>lundi</w:t>
      </w:r>
      <w:r w:rsidRPr="00BB50F3">
        <w:t xml:space="preserve"> </w:t>
      </w:r>
      <w:r>
        <w:t>10</w:t>
      </w:r>
      <w:r w:rsidRPr="00BB50F3">
        <w:t xml:space="preserve"> </w:t>
      </w:r>
      <w:r>
        <w:t xml:space="preserve">juillet 2017 </w:t>
      </w:r>
      <w:r w:rsidRPr="00BB50F3">
        <w:t>à 1</w:t>
      </w:r>
      <w:r>
        <w:t>0</w:t>
      </w:r>
      <w:r w:rsidRPr="00BB50F3">
        <w:t>h</w:t>
      </w:r>
      <w:r>
        <w:t> </w:t>
      </w:r>
    </w:p>
    <w:p w:rsidR="00221ADA" w:rsidRDefault="00221ADA" w:rsidP="00221ADA">
      <w:pPr>
        <w:pStyle w:val="SingleTxtG"/>
        <w:spacing w:after="80"/>
        <w:rPr>
          <w:lang w:val="fr-FR"/>
        </w:rPr>
      </w:pPr>
      <w:r w:rsidRPr="004A02E0">
        <w:rPr>
          <w:lang w:val="fr-FR"/>
        </w:rPr>
        <w:t>1.</w:t>
      </w:r>
      <w:r w:rsidRPr="004A02E0">
        <w:rPr>
          <w:lang w:val="fr-FR"/>
        </w:rPr>
        <w:tab/>
        <w:t>Adoption de l’ordre du jour.</w:t>
      </w:r>
    </w:p>
    <w:p w:rsidR="00221ADA" w:rsidRDefault="00221ADA" w:rsidP="00221ADA">
      <w:pPr>
        <w:pStyle w:val="SingleTxtG"/>
        <w:keepNext/>
        <w:keepLines/>
        <w:spacing w:after="80"/>
        <w:ind w:left="1701" w:hanging="567"/>
        <w:rPr>
          <w:lang w:val="fr-FR"/>
        </w:rPr>
      </w:pPr>
      <w:r>
        <w:rPr>
          <w:lang w:val="fr-FR"/>
        </w:rPr>
        <w:lastRenderedPageBreak/>
        <w:t>2</w:t>
      </w:r>
      <w:r w:rsidRPr="00576A65">
        <w:rPr>
          <w:lang w:val="fr-FR"/>
        </w:rPr>
        <w:t>.</w:t>
      </w:r>
      <w:r w:rsidRPr="00576A65">
        <w:rPr>
          <w:lang w:val="fr-FR"/>
        </w:rPr>
        <w:tab/>
        <w:t>Critères de classification et communication des dangers y relatifs:</w:t>
      </w:r>
    </w:p>
    <w:p w:rsidR="00221ADA" w:rsidRDefault="00221ADA" w:rsidP="00221ADA">
      <w:pPr>
        <w:pStyle w:val="SingleTxtG"/>
        <w:keepNext/>
        <w:keepLines/>
        <w:tabs>
          <w:tab w:val="left" w:pos="1701"/>
        </w:tabs>
        <w:ind w:left="2268" w:hanging="1134"/>
      </w:pPr>
      <w:r w:rsidRPr="00B15AA2">
        <w:rPr>
          <w:lang w:val="fr-FR"/>
        </w:rPr>
        <w:tab/>
      </w:r>
      <w:r>
        <w:rPr>
          <w:lang w:val="fr-FR"/>
        </w:rPr>
        <w:t xml:space="preserve">a) </w:t>
      </w:r>
      <w:r>
        <w:rPr>
          <w:lang w:val="fr-FR"/>
        </w:rPr>
        <w:tab/>
      </w:r>
      <w:r>
        <w:t xml:space="preserve">Travaux du Sous-Comité TMD sur des questions intéressant le Sous-Comité </w:t>
      </w:r>
      <w:r w:rsidR="00C1726D">
        <w:t>SGH;</w:t>
      </w:r>
      <w:r w:rsidRPr="00D315B8">
        <w:rPr>
          <w:rStyle w:val="FootnoteReference"/>
        </w:rPr>
        <w:footnoteReference w:id="5"/>
      </w:r>
    </w:p>
    <w:p w:rsidR="00221ADA" w:rsidRDefault="00221ADA" w:rsidP="00221ADA">
      <w:pPr>
        <w:pStyle w:val="SingleTxtG"/>
        <w:tabs>
          <w:tab w:val="left" w:pos="1701"/>
        </w:tabs>
        <w:ind w:left="2268" w:hanging="1134"/>
        <w:rPr>
          <w:lang w:val="fr-FR"/>
        </w:rPr>
      </w:pPr>
      <w:r>
        <w:rPr>
          <w:lang w:val="fr-FR"/>
        </w:rPr>
        <w:tab/>
      </w:r>
      <w:r w:rsidRPr="00221ADA">
        <w:rPr>
          <w:lang w:val="fr-FR"/>
        </w:rPr>
        <w:t>b)</w:t>
      </w:r>
      <w:r w:rsidR="00F61315">
        <w:rPr>
          <w:lang w:val="fr-FR"/>
        </w:rPr>
        <w:tab/>
      </w:r>
      <w:r w:rsidR="00F61315" w:rsidRPr="00A85681">
        <w:rPr>
          <w:lang w:val="fr-FR"/>
        </w:rPr>
        <w:t>Révision du chapitre 2.1</w:t>
      </w:r>
      <w:r w:rsidR="00455796">
        <w:rPr>
          <w:lang w:val="fr-FR"/>
        </w:rPr>
        <w:t>;</w:t>
      </w:r>
    </w:p>
    <w:p w:rsidR="00221ADA" w:rsidRDefault="00221ADA" w:rsidP="00221ADA">
      <w:pPr>
        <w:pStyle w:val="SingleTxtG"/>
        <w:tabs>
          <w:tab w:val="left" w:pos="1701"/>
        </w:tabs>
        <w:ind w:left="2268" w:hanging="1134"/>
        <w:rPr>
          <w:lang w:val="fr-FR"/>
        </w:rPr>
      </w:pPr>
      <w:r>
        <w:rPr>
          <w:lang w:val="fr-FR"/>
        </w:rPr>
        <w:tab/>
        <w:t>c</w:t>
      </w:r>
      <w:r w:rsidRPr="00B15AA2">
        <w:rPr>
          <w:lang w:val="fr-FR"/>
        </w:rPr>
        <w:t>)</w:t>
      </w:r>
      <w:r w:rsidRPr="00B15AA2">
        <w:rPr>
          <w:lang w:val="fr-FR"/>
        </w:rPr>
        <w:tab/>
        <w:t>Dangers d’explosion des poussières;</w:t>
      </w:r>
    </w:p>
    <w:p w:rsidR="00F61315" w:rsidRDefault="00F61315" w:rsidP="00221ADA">
      <w:pPr>
        <w:pStyle w:val="SingleTxtG"/>
        <w:tabs>
          <w:tab w:val="left" w:pos="1701"/>
        </w:tabs>
        <w:ind w:left="2268" w:hanging="1134"/>
        <w:rPr>
          <w:lang w:val="fr-FR"/>
        </w:rPr>
      </w:pPr>
      <w:r>
        <w:rPr>
          <w:lang w:val="fr-FR"/>
        </w:rPr>
        <w:tab/>
        <w:t>d)</w:t>
      </w:r>
      <w:r>
        <w:rPr>
          <w:lang w:val="fr-FR"/>
        </w:rPr>
        <w:tab/>
      </w:r>
      <w:r w:rsidRPr="00A85681">
        <w:rPr>
          <w:lang w:val="fr-FR"/>
        </w:rPr>
        <w:t>Utilisation de méthodes d’expérimentation non animales pour le classement des dangers pour la santé</w:t>
      </w:r>
      <w:r>
        <w:rPr>
          <w:lang w:val="fr-FR"/>
        </w:rPr>
        <w:t>;</w:t>
      </w:r>
    </w:p>
    <w:p w:rsidR="00221ADA" w:rsidRPr="00B15AA2" w:rsidRDefault="00221ADA" w:rsidP="00221ADA">
      <w:pPr>
        <w:pStyle w:val="SingleTxtG"/>
        <w:tabs>
          <w:tab w:val="left" w:pos="1701"/>
        </w:tabs>
        <w:ind w:left="2268" w:hanging="1134"/>
        <w:rPr>
          <w:lang w:val="fr-FR"/>
        </w:rPr>
      </w:pPr>
      <w:r>
        <w:rPr>
          <w:lang w:val="fr-FR"/>
        </w:rPr>
        <w:tab/>
      </w:r>
      <w:r w:rsidR="00F61315">
        <w:rPr>
          <w:lang w:val="fr-FR"/>
        </w:rPr>
        <w:t>e</w:t>
      </w:r>
      <w:r w:rsidRPr="00B15AA2">
        <w:rPr>
          <w:lang w:val="fr-FR"/>
        </w:rPr>
        <w:t>)</w:t>
      </w:r>
      <w:r w:rsidRPr="00B15AA2">
        <w:rPr>
          <w:lang w:val="fr-FR"/>
        </w:rPr>
        <w:tab/>
        <w:t>Questions pratiques de classification;</w:t>
      </w:r>
    </w:p>
    <w:p w:rsidR="00221ADA" w:rsidRPr="007A3FFC" w:rsidRDefault="00221ADA" w:rsidP="00221ADA">
      <w:pPr>
        <w:pStyle w:val="SingleTxtG"/>
        <w:tabs>
          <w:tab w:val="left" w:pos="1701"/>
        </w:tabs>
        <w:ind w:left="2268" w:hanging="1134"/>
        <w:rPr>
          <w:lang w:val="fr-FR"/>
        </w:rPr>
      </w:pPr>
      <w:r w:rsidRPr="007A3FFC">
        <w:rPr>
          <w:lang w:val="fr-FR"/>
        </w:rPr>
        <w:tab/>
      </w:r>
      <w:r w:rsidR="00F61315">
        <w:rPr>
          <w:lang w:val="fr-FR"/>
        </w:rPr>
        <w:t>f</w:t>
      </w:r>
      <w:r w:rsidRPr="007A3FFC">
        <w:rPr>
          <w:lang w:val="fr-FR"/>
        </w:rPr>
        <w:t>)</w:t>
      </w:r>
      <w:r w:rsidRPr="007A3FFC">
        <w:rPr>
          <w:lang w:val="fr-FR"/>
        </w:rPr>
        <w:tab/>
        <w:t>Danger par aspiration;</w:t>
      </w:r>
    </w:p>
    <w:p w:rsidR="00221ADA" w:rsidRDefault="00221ADA" w:rsidP="00221ADA">
      <w:pPr>
        <w:pStyle w:val="SingleTxtG"/>
        <w:rPr>
          <w:lang w:val="fr-FR"/>
        </w:rPr>
      </w:pPr>
      <w:r w:rsidRPr="007A3FFC">
        <w:rPr>
          <w:lang w:val="fr-FR"/>
        </w:rPr>
        <w:tab/>
      </w:r>
      <w:r w:rsidR="00F61315">
        <w:rPr>
          <w:lang w:val="fr-FR"/>
        </w:rPr>
        <w:t>g</w:t>
      </w:r>
      <w:r w:rsidRPr="007A3FFC">
        <w:rPr>
          <w:lang w:val="fr-FR"/>
        </w:rPr>
        <w:t>)</w:t>
      </w:r>
      <w:r w:rsidRPr="007A3FFC">
        <w:rPr>
          <w:lang w:val="fr-FR"/>
        </w:rPr>
        <w:tab/>
        <w:t>Nanomatériaux;</w:t>
      </w:r>
    </w:p>
    <w:p w:rsidR="00221ADA" w:rsidRPr="007C40D2" w:rsidRDefault="00221ADA" w:rsidP="00221ADA">
      <w:pPr>
        <w:pStyle w:val="SingleTxtG"/>
        <w:rPr>
          <w:lang w:val="fr-FR"/>
        </w:rPr>
      </w:pPr>
      <w:r w:rsidRPr="007C40D2">
        <w:rPr>
          <w:lang w:val="fr-FR"/>
        </w:rPr>
        <w:tab/>
      </w:r>
      <w:r w:rsidR="00F61315">
        <w:rPr>
          <w:lang w:val="fr-FR"/>
        </w:rPr>
        <w:t>h</w:t>
      </w:r>
      <w:r w:rsidRPr="007C40D2">
        <w:rPr>
          <w:lang w:val="fr-FR"/>
        </w:rPr>
        <w:t>)</w:t>
      </w:r>
      <w:r w:rsidRPr="007C40D2">
        <w:rPr>
          <w:lang w:val="fr-FR"/>
        </w:rPr>
        <w:tab/>
      </w:r>
      <w:r w:rsidR="00CC3FC6">
        <w:rPr>
          <w:lang w:val="fr-FR"/>
        </w:rPr>
        <w:t>Autres questions</w:t>
      </w:r>
      <w:r w:rsidRPr="007C40D2">
        <w:rPr>
          <w:lang w:val="fr-FR"/>
        </w:rPr>
        <w:t>.</w:t>
      </w:r>
    </w:p>
    <w:p w:rsidR="00221ADA" w:rsidRPr="00A051DD" w:rsidRDefault="00221ADA" w:rsidP="00221ADA">
      <w:pPr>
        <w:pStyle w:val="SingleTxtG"/>
        <w:rPr>
          <w:lang w:val="fr-FR"/>
        </w:rPr>
      </w:pPr>
      <w:r>
        <w:rPr>
          <w:lang w:val="fr-FR"/>
        </w:rPr>
        <w:t>3</w:t>
      </w:r>
      <w:r w:rsidRPr="00A051DD">
        <w:rPr>
          <w:lang w:val="fr-FR"/>
        </w:rPr>
        <w:t>.</w:t>
      </w:r>
      <w:r w:rsidRPr="00A051DD">
        <w:rPr>
          <w:lang w:val="fr-FR"/>
        </w:rPr>
        <w:tab/>
        <w:t>Questions relatives à la communication des dangers:</w:t>
      </w:r>
    </w:p>
    <w:p w:rsidR="00221ADA" w:rsidRPr="00A051DD" w:rsidRDefault="00221ADA" w:rsidP="00221ADA">
      <w:pPr>
        <w:pStyle w:val="SingleTxtG"/>
        <w:tabs>
          <w:tab w:val="left" w:pos="1701"/>
        </w:tabs>
        <w:ind w:left="2268" w:hanging="1134"/>
        <w:rPr>
          <w:lang w:val="fr-FR"/>
        </w:rPr>
      </w:pPr>
      <w:r w:rsidRPr="00A051DD">
        <w:rPr>
          <w:lang w:val="fr-FR"/>
        </w:rPr>
        <w:tab/>
        <w:t xml:space="preserve">a) </w:t>
      </w:r>
      <w:r w:rsidRPr="00A051DD">
        <w:rPr>
          <w:lang w:val="fr-FR"/>
        </w:rPr>
        <w:tab/>
        <w:t>Étiquetage des petits emballages;</w:t>
      </w:r>
    </w:p>
    <w:p w:rsidR="00221ADA" w:rsidRDefault="00221ADA" w:rsidP="00221ADA">
      <w:pPr>
        <w:pStyle w:val="SingleTxtG"/>
        <w:tabs>
          <w:tab w:val="left" w:pos="1701"/>
        </w:tabs>
        <w:ind w:left="2268" w:hanging="1134"/>
        <w:rPr>
          <w:lang w:val="fr-FR"/>
        </w:rPr>
      </w:pPr>
      <w:r w:rsidRPr="00A051DD">
        <w:rPr>
          <w:lang w:val="fr-FR"/>
        </w:rPr>
        <w:tab/>
      </w:r>
      <w:r>
        <w:rPr>
          <w:lang w:val="fr-FR"/>
        </w:rPr>
        <w:t>b</w:t>
      </w:r>
      <w:r w:rsidRPr="00A051DD">
        <w:rPr>
          <w:lang w:val="fr-FR"/>
        </w:rPr>
        <w:t>)</w:t>
      </w:r>
      <w:r w:rsidRPr="00A051DD">
        <w:rPr>
          <w:lang w:val="fr-FR"/>
        </w:rPr>
        <w:tab/>
        <w:t>Amélioration des annexes 1 à 3 et poursuite de la rationalisation des conseils de prudence;</w:t>
      </w:r>
    </w:p>
    <w:p w:rsidR="0049747F" w:rsidRPr="00A051DD" w:rsidRDefault="0049747F" w:rsidP="00221ADA">
      <w:pPr>
        <w:pStyle w:val="SingleTxtG"/>
        <w:tabs>
          <w:tab w:val="left" w:pos="1701"/>
        </w:tabs>
        <w:ind w:left="2268" w:hanging="1134"/>
        <w:rPr>
          <w:lang w:val="fr-FR"/>
        </w:rPr>
      </w:pPr>
      <w:r>
        <w:rPr>
          <w:lang w:val="fr-FR"/>
        </w:rPr>
        <w:tab/>
        <w:t>c)</w:t>
      </w:r>
      <w:r>
        <w:rPr>
          <w:lang w:val="fr-FR"/>
        </w:rPr>
        <w:tab/>
        <w:t>Utilisation des « plages de proportion » : révision du paragraphe A4.3.3.2.3 de l’annexe 4</w:t>
      </w:r>
      <w:r w:rsidR="00455796">
        <w:rPr>
          <w:lang w:val="fr-FR"/>
        </w:rPr>
        <w:t>;</w:t>
      </w:r>
    </w:p>
    <w:p w:rsidR="00221ADA" w:rsidRPr="00A051DD" w:rsidRDefault="00221ADA" w:rsidP="00221ADA">
      <w:pPr>
        <w:pStyle w:val="SingleTxtG"/>
        <w:tabs>
          <w:tab w:val="left" w:pos="1701"/>
        </w:tabs>
        <w:ind w:left="2268" w:hanging="1134"/>
        <w:rPr>
          <w:lang w:val="fr-FR"/>
        </w:rPr>
      </w:pPr>
      <w:r w:rsidRPr="00A051DD">
        <w:rPr>
          <w:lang w:val="fr-FR"/>
        </w:rPr>
        <w:tab/>
      </w:r>
      <w:r w:rsidR="0049747F">
        <w:rPr>
          <w:lang w:val="fr-FR"/>
        </w:rPr>
        <w:t>d</w:t>
      </w:r>
      <w:r w:rsidRPr="00A051DD">
        <w:rPr>
          <w:lang w:val="fr-FR"/>
        </w:rPr>
        <w:t>)</w:t>
      </w:r>
      <w:r w:rsidRPr="00A051DD">
        <w:rPr>
          <w:lang w:val="fr-FR"/>
        </w:rPr>
        <w:tab/>
      </w:r>
      <w:r w:rsidR="0049747F">
        <w:rPr>
          <w:lang w:val="fr-FR"/>
        </w:rPr>
        <w:t>Autres questions</w:t>
      </w:r>
      <w:r w:rsidRPr="00A051DD">
        <w:rPr>
          <w:lang w:val="fr-FR"/>
        </w:rPr>
        <w:t>.</w:t>
      </w:r>
    </w:p>
    <w:p w:rsidR="00221ADA" w:rsidRPr="00A051DD" w:rsidRDefault="00221ADA" w:rsidP="00221ADA">
      <w:pPr>
        <w:pStyle w:val="SingleTxtG"/>
        <w:rPr>
          <w:lang w:val="fr-FR"/>
        </w:rPr>
      </w:pPr>
      <w:r>
        <w:rPr>
          <w:lang w:val="fr-FR"/>
        </w:rPr>
        <w:t>4</w:t>
      </w:r>
      <w:r w:rsidRPr="00A051DD">
        <w:rPr>
          <w:lang w:val="fr-FR"/>
        </w:rPr>
        <w:t>.</w:t>
      </w:r>
      <w:r w:rsidRPr="00A051DD">
        <w:rPr>
          <w:lang w:val="fr-FR"/>
        </w:rPr>
        <w:tab/>
        <w:t>Mise en œuvre du SGH: </w:t>
      </w:r>
    </w:p>
    <w:p w:rsidR="00221ADA" w:rsidRPr="00A051DD" w:rsidRDefault="00221ADA" w:rsidP="00221ADA">
      <w:pPr>
        <w:pStyle w:val="SingleTxtG"/>
        <w:tabs>
          <w:tab w:val="left" w:pos="1701"/>
        </w:tabs>
        <w:ind w:left="2268" w:hanging="1134"/>
        <w:rPr>
          <w:lang w:val="fr-FR"/>
        </w:rPr>
      </w:pPr>
      <w:r w:rsidRPr="00A051DD">
        <w:rPr>
          <w:lang w:val="fr-FR"/>
        </w:rPr>
        <w:tab/>
        <w:t>a)</w:t>
      </w:r>
      <w:r w:rsidRPr="00A051DD">
        <w:rPr>
          <w:lang w:val="fr-FR"/>
        </w:rPr>
        <w:tab/>
        <w:t>Élaboration d’une liste des produits chimiques classés conformément au SGH;</w:t>
      </w:r>
    </w:p>
    <w:p w:rsidR="00221ADA" w:rsidRPr="00A051DD" w:rsidRDefault="00221ADA" w:rsidP="00221ADA">
      <w:pPr>
        <w:pStyle w:val="SingleTxtG"/>
        <w:tabs>
          <w:tab w:val="left" w:pos="1701"/>
        </w:tabs>
        <w:ind w:left="2268" w:hanging="1134"/>
        <w:rPr>
          <w:lang w:val="fr-FR"/>
        </w:rPr>
      </w:pPr>
      <w:r w:rsidRPr="00A051DD">
        <w:rPr>
          <w:lang w:val="fr-FR"/>
        </w:rPr>
        <w:tab/>
        <w:t>b)</w:t>
      </w:r>
      <w:r w:rsidRPr="00A051DD">
        <w:rPr>
          <w:lang w:val="fr-FR"/>
        </w:rPr>
        <w:tab/>
        <w:t>Rapports relatifs à l’état de la mise en œuvre;</w:t>
      </w:r>
    </w:p>
    <w:p w:rsidR="00221ADA" w:rsidRPr="00A051DD" w:rsidRDefault="00221ADA" w:rsidP="00221ADA">
      <w:pPr>
        <w:pStyle w:val="SingleTxtG"/>
        <w:tabs>
          <w:tab w:val="left" w:pos="1701"/>
        </w:tabs>
        <w:ind w:left="2268" w:hanging="1134"/>
        <w:rPr>
          <w:lang w:val="fr-FR"/>
        </w:rPr>
      </w:pPr>
      <w:r w:rsidRPr="00A051DD">
        <w:rPr>
          <w:lang w:val="fr-FR"/>
        </w:rPr>
        <w:tab/>
        <w:t>c)</w:t>
      </w:r>
      <w:r w:rsidRPr="00A051DD">
        <w:rPr>
          <w:lang w:val="fr-FR"/>
        </w:rPr>
        <w:tab/>
        <w:t>Coopération avec d’autres organes ou organisations internationales;</w:t>
      </w:r>
    </w:p>
    <w:p w:rsidR="00221ADA" w:rsidRPr="00A051DD" w:rsidRDefault="00221ADA" w:rsidP="00221ADA">
      <w:pPr>
        <w:pStyle w:val="SingleTxtG"/>
        <w:tabs>
          <w:tab w:val="left" w:pos="1701"/>
        </w:tabs>
        <w:ind w:left="2268" w:hanging="1134"/>
        <w:rPr>
          <w:lang w:val="fr-FR"/>
        </w:rPr>
      </w:pPr>
      <w:r w:rsidRPr="00A051DD">
        <w:rPr>
          <w:lang w:val="fr-FR"/>
        </w:rPr>
        <w:tab/>
        <w:t>d)</w:t>
      </w:r>
      <w:r w:rsidRPr="00A051DD">
        <w:rPr>
          <w:lang w:val="fr-FR"/>
        </w:rPr>
        <w:tab/>
      </w:r>
      <w:r w:rsidR="0049747F">
        <w:rPr>
          <w:lang w:val="fr-FR"/>
        </w:rPr>
        <w:t>Autres questions</w:t>
      </w:r>
      <w:r w:rsidRPr="00A051DD">
        <w:rPr>
          <w:lang w:val="fr-FR"/>
        </w:rPr>
        <w:t>.</w:t>
      </w:r>
    </w:p>
    <w:p w:rsidR="00221ADA" w:rsidRPr="00A051DD" w:rsidRDefault="00221ADA" w:rsidP="00221ADA">
      <w:pPr>
        <w:pStyle w:val="SingleTxtG"/>
        <w:rPr>
          <w:lang w:val="fr-FR"/>
        </w:rPr>
      </w:pPr>
      <w:r>
        <w:rPr>
          <w:lang w:val="fr-FR"/>
        </w:rPr>
        <w:t>5</w:t>
      </w:r>
      <w:r w:rsidRPr="00A051DD">
        <w:rPr>
          <w:lang w:val="fr-FR"/>
        </w:rPr>
        <w:t>.</w:t>
      </w:r>
      <w:r w:rsidRPr="00A051DD">
        <w:rPr>
          <w:lang w:val="fr-FR"/>
        </w:rPr>
        <w:tab/>
        <w:t>Mise au point de directives pour l’application des critères du SGH.</w:t>
      </w:r>
    </w:p>
    <w:p w:rsidR="00221ADA" w:rsidRDefault="00221ADA" w:rsidP="00221ADA">
      <w:pPr>
        <w:pStyle w:val="SingleTxtG"/>
        <w:rPr>
          <w:lang w:val="fr-FR"/>
        </w:rPr>
      </w:pPr>
      <w:r>
        <w:rPr>
          <w:lang w:val="fr-FR"/>
        </w:rPr>
        <w:t>6</w:t>
      </w:r>
      <w:r w:rsidRPr="00A051DD">
        <w:rPr>
          <w:lang w:val="fr-FR"/>
        </w:rPr>
        <w:t>.</w:t>
      </w:r>
      <w:r w:rsidRPr="00A051DD">
        <w:rPr>
          <w:lang w:val="fr-FR"/>
        </w:rPr>
        <w:tab/>
        <w:t>Renforcement des capacités.</w:t>
      </w:r>
    </w:p>
    <w:p w:rsidR="00221ADA" w:rsidRPr="00A051DD" w:rsidRDefault="00455796" w:rsidP="00221ADA">
      <w:pPr>
        <w:pStyle w:val="SingleTxtG"/>
        <w:rPr>
          <w:lang w:val="fr-FR"/>
        </w:rPr>
      </w:pPr>
      <w:r>
        <w:rPr>
          <w:lang w:val="fr-FR"/>
        </w:rPr>
        <w:t>7</w:t>
      </w:r>
      <w:r w:rsidR="00221ADA" w:rsidRPr="00A051DD">
        <w:rPr>
          <w:lang w:val="fr-FR"/>
        </w:rPr>
        <w:t>.</w:t>
      </w:r>
      <w:r w:rsidR="00221ADA" w:rsidRPr="00A051DD">
        <w:rPr>
          <w:lang w:val="fr-FR"/>
        </w:rPr>
        <w:tab/>
        <w:t>Questions diverses.</w:t>
      </w:r>
    </w:p>
    <w:p w:rsidR="00221ADA" w:rsidRDefault="00455796" w:rsidP="00221ADA">
      <w:pPr>
        <w:pStyle w:val="SingleTxtG"/>
        <w:rPr>
          <w:lang w:val="fr-FR"/>
        </w:rPr>
      </w:pPr>
      <w:r>
        <w:rPr>
          <w:lang w:val="fr-FR"/>
        </w:rPr>
        <w:t>8</w:t>
      </w:r>
      <w:r w:rsidR="00221ADA" w:rsidRPr="00A051DD">
        <w:rPr>
          <w:lang w:val="fr-FR"/>
        </w:rPr>
        <w:t>.</w:t>
      </w:r>
      <w:r w:rsidR="00221ADA" w:rsidRPr="00A051DD">
        <w:rPr>
          <w:lang w:val="fr-FR"/>
        </w:rPr>
        <w:tab/>
        <w:t>Adoption du rapport.</w:t>
      </w:r>
    </w:p>
    <w:p w:rsidR="00CA0680" w:rsidRPr="008B3FB3" w:rsidRDefault="00221ADA" w:rsidP="00DE6F10">
      <w:pPr>
        <w:pStyle w:val="SingleTxtG"/>
        <w:spacing w:before="240" w:after="0"/>
        <w:jc w:val="center"/>
      </w:pPr>
      <w:r>
        <w:rPr>
          <w:u w:val="single"/>
          <w:lang w:val="fr-FR"/>
        </w:rPr>
        <w:tab/>
      </w:r>
      <w:r>
        <w:rPr>
          <w:u w:val="single"/>
          <w:lang w:val="fr-FR"/>
        </w:rPr>
        <w:tab/>
      </w:r>
      <w:r>
        <w:rPr>
          <w:u w:val="single"/>
          <w:lang w:val="fr-FR"/>
        </w:rPr>
        <w:tab/>
      </w:r>
    </w:p>
    <w:sectPr w:rsidR="00CA0680" w:rsidRPr="008B3FB3" w:rsidSect="008B3FB3">
      <w:headerReference w:type="even" r:id="rId10"/>
      <w:headerReference w:type="default" r:id="rId11"/>
      <w:footerReference w:type="even" r:id="rId12"/>
      <w:footerReference w:type="defaul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FB3" w:rsidRDefault="008B3FB3"/>
  </w:endnote>
  <w:endnote w:type="continuationSeparator" w:id="0">
    <w:p w:rsidR="008B3FB3" w:rsidRDefault="008B3FB3"/>
  </w:endnote>
  <w:endnote w:type="continuationNotice" w:id="1">
    <w:p w:rsidR="008B3FB3" w:rsidRDefault="008B3F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FB3" w:rsidRPr="008B3FB3" w:rsidRDefault="008B3FB3" w:rsidP="008B3FB3">
    <w:pPr>
      <w:pStyle w:val="Footer"/>
      <w:tabs>
        <w:tab w:val="right" w:pos="9638"/>
      </w:tabs>
      <w:rPr>
        <w:sz w:val="18"/>
      </w:rPr>
    </w:pPr>
    <w:r w:rsidRPr="008B3FB3">
      <w:rPr>
        <w:b/>
        <w:sz w:val="18"/>
      </w:rPr>
      <w:fldChar w:fldCharType="begin"/>
    </w:r>
    <w:r w:rsidRPr="008B3FB3">
      <w:rPr>
        <w:b/>
        <w:sz w:val="18"/>
      </w:rPr>
      <w:instrText xml:space="preserve"> PAGE  \* MERGEFORMAT </w:instrText>
    </w:r>
    <w:r w:rsidRPr="008B3FB3">
      <w:rPr>
        <w:b/>
        <w:sz w:val="18"/>
      </w:rPr>
      <w:fldChar w:fldCharType="separate"/>
    </w:r>
    <w:r w:rsidR="00597FFC">
      <w:rPr>
        <w:b/>
        <w:noProof/>
        <w:sz w:val="18"/>
      </w:rPr>
      <w:t>2</w:t>
    </w:r>
    <w:r w:rsidRPr="008B3FB3">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FB3" w:rsidRPr="008B3FB3" w:rsidRDefault="008B3FB3" w:rsidP="008B3FB3">
    <w:pPr>
      <w:pStyle w:val="Footer"/>
      <w:tabs>
        <w:tab w:val="right" w:pos="9638"/>
      </w:tabs>
      <w:rPr>
        <w:b/>
        <w:sz w:val="18"/>
      </w:rPr>
    </w:pPr>
    <w:r>
      <w:tab/>
    </w:r>
    <w:r w:rsidRPr="008B3FB3">
      <w:rPr>
        <w:b/>
        <w:sz w:val="18"/>
      </w:rPr>
      <w:fldChar w:fldCharType="begin"/>
    </w:r>
    <w:r w:rsidRPr="008B3FB3">
      <w:rPr>
        <w:b/>
        <w:sz w:val="18"/>
      </w:rPr>
      <w:instrText xml:space="preserve"> PAGE  \* MERGEFORMAT </w:instrText>
    </w:r>
    <w:r w:rsidRPr="008B3FB3">
      <w:rPr>
        <w:b/>
        <w:sz w:val="18"/>
      </w:rPr>
      <w:fldChar w:fldCharType="separate"/>
    </w:r>
    <w:r w:rsidR="00DE6F10">
      <w:rPr>
        <w:b/>
        <w:noProof/>
        <w:sz w:val="18"/>
      </w:rPr>
      <w:t>3</w:t>
    </w:r>
    <w:r w:rsidRPr="008B3FB3">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FB3" w:rsidRPr="00D27D5E" w:rsidRDefault="008B3FB3" w:rsidP="00D27D5E">
      <w:pPr>
        <w:tabs>
          <w:tab w:val="right" w:pos="2155"/>
        </w:tabs>
        <w:spacing w:after="80"/>
        <w:ind w:left="680"/>
        <w:rPr>
          <w:u w:val="single"/>
        </w:rPr>
      </w:pPr>
      <w:r>
        <w:rPr>
          <w:u w:val="single"/>
        </w:rPr>
        <w:tab/>
      </w:r>
    </w:p>
  </w:footnote>
  <w:footnote w:type="continuationSeparator" w:id="0">
    <w:p w:rsidR="008B3FB3" w:rsidRPr="00D17535" w:rsidRDefault="008B3FB3" w:rsidP="00D17535">
      <w:pPr>
        <w:tabs>
          <w:tab w:val="right" w:pos="2155"/>
        </w:tabs>
        <w:spacing w:after="80"/>
        <w:ind w:left="680"/>
        <w:rPr>
          <w:u w:val="single"/>
        </w:rPr>
      </w:pPr>
      <w:r w:rsidRPr="00D17535">
        <w:rPr>
          <w:u w:val="single"/>
        </w:rPr>
        <w:tab/>
      </w:r>
    </w:p>
  </w:footnote>
  <w:footnote w:type="continuationNotice" w:id="1">
    <w:p w:rsidR="008B3FB3" w:rsidRDefault="008B3FB3"/>
  </w:footnote>
  <w:footnote w:id="2">
    <w:p w:rsidR="002A004A" w:rsidRDefault="002A004A">
      <w:pPr>
        <w:pStyle w:val="FootnoteText"/>
      </w:pPr>
      <w:r>
        <w:rPr>
          <w:sz w:val="20"/>
        </w:rPr>
        <w:tab/>
      </w:r>
      <w:r w:rsidRPr="002A004A">
        <w:rPr>
          <w:rStyle w:val="FootnoteReference"/>
          <w:sz w:val="20"/>
        </w:rPr>
        <w:t>*</w:t>
      </w:r>
      <w:r w:rsidRPr="002A004A">
        <w:rPr>
          <w:sz w:val="20"/>
        </w:rPr>
        <w:t xml:space="preserve"> </w:t>
      </w:r>
      <w:r>
        <w:rPr>
          <w:sz w:val="20"/>
        </w:rPr>
        <w:tab/>
      </w:r>
      <w:r w:rsidRPr="00285AD5">
        <w:rPr>
          <w:szCs w:val="18"/>
        </w:rPr>
        <w:t>Les notes explicatives seront distribuées sous la cote ST/SG/AC.</w:t>
      </w:r>
      <w:r>
        <w:rPr>
          <w:szCs w:val="18"/>
        </w:rPr>
        <w:t>10/C.4/65</w:t>
      </w:r>
      <w:r w:rsidRPr="00285AD5">
        <w:rPr>
          <w:szCs w:val="18"/>
        </w:rPr>
        <w:t xml:space="preserve">/Add.1. La date limite de soumission des documents </w:t>
      </w:r>
      <w:r>
        <w:rPr>
          <w:szCs w:val="18"/>
        </w:rPr>
        <w:t xml:space="preserve">pour le sous-comité SGH uniquement </w:t>
      </w:r>
      <w:r w:rsidRPr="00285AD5">
        <w:rPr>
          <w:szCs w:val="18"/>
        </w:rPr>
        <w:t xml:space="preserve">est </w:t>
      </w:r>
      <w:r>
        <w:rPr>
          <w:szCs w:val="18"/>
        </w:rPr>
        <w:t>le 14 avril 2017. La date limite de soumission des documents pour les deux sous-comités (TMD et SGH) est le 7 avril 2017</w:t>
      </w:r>
      <w:r w:rsidRPr="00285AD5">
        <w:rPr>
          <w:szCs w:val="18"/>
        </w:rPr>
        <w:t>.</w:t>
      </w:r>
    </w:p>
  </w:footnote>
  <w:footnote w:id="3">
    <w:p w:rsidR="002A004A" w:rsidRDefault="002A004A">
      <w:pPr>
        <w:pStyle w:val="FootnoteText"/>
      </w:pPr>
      <w:r>
        <w:rPr>
          <w:sz w:val="20"/>
        </w:rPr>
        <w:tab/>
      </w:r>
      <w:r w:rsidRPr="002A004A">
        <w:rPr>
          <w:rStyle w:val="FootnoteReference"/>
          <w:sz w:val="20"/>
        </w:rPr>
        <w:t>**</w:t>
      </w:r>
      <w:r w:rsidRPr="002A004A">
        <w:rPr>
          <w:sz w:val="20"/>
        </w:rPr>
        <w:t xml:space="preserve"> </w:t>
      </w:r>
      <w:r>
        <w:rPr>
          <w:sz w:val="20"/>
        </w:rPr>
        <w:tab/>
      </w:r>
      <w:r w:rsidRPr="00285AD5">
        <w:rPr>
          <w:szCs w:val="18"/>
        </w:rPr>
        <w:t>Par souci d’économie, les délégués sont priés de se munir de leurs exemplaires des documents nécessaires lors de la réunion. Aucun document ne sera disponible en salle. Avant la réunion, les documents pourront être téléchargés depuis le site de la Division des transports de la CEE (</w:t>
      </w:r>
      <w:hyperlink r:id="rId1" w:history="1">
        <w:r w:rsidRPr="00285AD5">
          <w:rPr>
            <w:rStyle w:val="Hyperlink"/>
            <w:szCs w:val="18"/>
          </w:rPr>
          <w:t>http://www.unece.org/trans/main/dgdb/dgsubc4/c4age.html</w:t>
        </w:r>
      </w:hyperlink>
      <w:r w:rsidRPr="00285AD5">
        <w:rPr>
          <w:szCs w:val="18"/>
        </w:rPr>
        <w:t>). Pendant la réunion, les documents seront disponibles auprès de la Section de la distribution des documents (salle C.337, 3</w:t>
      </w:r>
      <w:r w:rsidRPr="00285AD5">
        <w:rPr>
          <w:szCs w:val="18"/>
          <w:vertAlign w:val="superscript"/>
        </w:rPr>
        <w:t>e</w:t>
      </w:r>
      <w:r w:rsidRPr="00285AD5">
        <w:rPr>
          <w:szCs w:val="18"/>
        </w:rPr>
        <w:t> étage, Palais des Nations).</w:t>
      </w:r>
    </w:p>
  </w:footnote>
  <w:footnote w:id="4">
    <w:p w:rsidR="002A004A" w:rsidRDefault="002A004A">
      <w:pPr>
        <w:pStyle w:val="FootnoteText"/>
      </w:pPr>
      <w:r>
        <w:rPr>
          <w:sz w:val="20"/>
        </w:rPr>
        <w:tab/>
      </w:r>
      <w:r w:rsidRPr="002A004A">
        <w:rPr>
          <w:rStyle w:val="FootnoteReference"/>
          <w:sz w:val="20"/>
        </w:rPr>
        <w:t>***</w:t>
      </w:r>
      <w:r w:rsidRPr="002A004A">
        <w:rPr>
          <w:sz w:val="20"/>
        </w:rPr>
        <w:t xml:space="preserve"> </w:t>
      </w:r>
      <w:r>
        <w:rPr>
          <w:sz w:val="20"/>
        </w:rPr>
        <w:tab/>
      </w:r>
      <w:r>
        <w:t>Les délégués sont priés de s'inscrire en ligne avec le système d'enregistrement en ligne pour les réunions sur le site web de la CEE-</w:t>
      </w:r>
      <w:r w:rsidRPr="00230C16">
        <w:t>ONU (</w:t>
      </w:r>
      <w:r w:rsidRPr="00637903">
        <w:t>https://www2.unece.org/uncdb/app/ext/meeting-registration?id=oNQlNI</w:t>
      </w:r>
      <w:r w:rsidRPr="00230C16">
        <w:t>)</w:t>
      </w:r>
      <w:r w:rsidRPr="00230C16">
        <w:rPr>
          <w:szCs w:val="18"/>
        </w:rPr>
        <w:t>. A leur arrivée</w:t>
      </w:r>
      <w:r w:rsidRPr="00285AD5">
        <w:rPr>
          <w:szCs w:val="18"/>
        </w:rPr>
        <w:t xml:space="preserve"> au Palais des Nations, les délégués pourront obtenir un </w:t>
      </w:r>
      <w:r>
        <w:rPr>
          <w:szCs w:val="18"/>
        </w:rPr>
        <w:t>badge</w:t>
      </w:r>
      <w:r w:rsidRPr="00285AD5">
        <w:rPr>
          <w:szCs w:val="18"/>
        </w:rPr>
        <w:t xml:space="preserve"> auprès de la Section de la sécurité et de la sûreté située au Portail de Pregny (14, avenue de la Paix). En cas de difficulté, prière de prendre contact avec le secrétariat par téléphone (ext. </w:t>
      </w:r>
      <w:r w:rsidRPr="00285AD5">
        <w:rPr>
          <w:color w:val="000000"/>
          <w:szCs w:val="18"/>
        </w:rPr>
        <w:t>72106</w:t>
      </w:r>
      <w:r w:rsidRPr="00285AD5">
        <w:rPr>
          <w:szCs w:val="18"/>
        </w:rPr>
        <w:t xml:space="preserve">). Enfin, pour obtenir une carte du Palais des Nations, ou pour toute autre information utile, se rendre à l’adresse suivante: </w:t>
      </w:r>
      <w:hyperlink r:id="rId2" w:history="1">
        <w:r w:rsidRPr="0011488B">
          <w:rPr>
            <w:rStyle w:val="Hyperlink"/>
            <w:szCs w:val="18"/>
          </w:rPr>
          <w:t>http://www.unece.org/meetings/practical.html</w:t>
        </w:r>
      </w:hyperlink>
    </w:p>
  </w:footnote>
  <w:footnote w:id="5">
    <w:p w:rsidR="00221ADA" w:rsidRDefault="00221ADA" w:rsidP="00221ADA">
      <w:pPr>
        <w:pStyle w:val="FootnoteText"/>
      </w:pPr>
      <w:r>
        <w:tab/>
      </w:r>
      <w:r>
        <w:rPr>
          <w:rStyle w:val="FootnoteReference"/>
        </w:rPr>
        <w:footnoteRef/>
      </w:r>
      <w:r>
        <w:t xml:space="preserve"> </w:t>
      </w:r>
      <w:r>
        <w:tab/>
        <w:t>Les participants aux travaux du Sous-Comité SGH qui ne participent pas habituellement aux travaux du Sous-Comité TMD sont invités à participer aux travaux du Sous-Comité TMD quand celui-ci discute des dangers physiques en tant que centre de liaison SGH (voir ST/SG/AC.10/C.4/2, par. 43 b)). Lors de sa cinquant</w:t>
      </w:r>
      <w:r w:rsidR="00D87CCA">
        <w:t>e-et-uni</w:t>
      </w:r>
      <w:r>
        <w:t xml:space="preserve">ème session, le Sous-Comité TMD, abordera les questions relatives aux GHS </w:t>
      </w:r>
      <w:r w:rsidRPr="00D315B8">
        <w:t xml:space="preserve">sous le </w:t>
      </w:r>
      <w:r w:rsidR="00941D0A" w:rsidRPr="00941D0A">
        <w:t xml:space="preserve">point </w:t>
      </w:r>
      <w:r w:rsidR="00941D0A">
        <w:t>10</w:t>
      </w:r>
      <w:r w:rsidRPr="00EB3AAB">
        <w:t xml:space="preserve"> de son</w:t>
      </w:r>
      <w:r>
        <w:t xml:space="preserve"> ordre du jour provisoire (voir ST/SG/AC.10/C.3/</w:t>
      </w:r>
      <w:r w:rsidR="00D87CCA">
        <w:t>101</w:t>
      </w:r>
      <w:r>
        <w:t xml:space="preserve"> pour plus de détails). Les délégués du Sous-Comité SGH intéressés à participer aux travaux du Sous-Comité TMD sur ces questions doivent s’inscrire pour les sessions des deux sous-comités.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FB3" w:rsidRPr="008B3FB3" w:rsidRDefault="008B3FB3">
    <w:pPr>
      <w:pStyle w:val="Header"/>
    </w:pPr>
    <w:r>
      <w:t>ST/SG/AC.10/C.4/65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FB3" w:rsidRPr="008B3FB3" w:rsidRDefault="008B3FB3" w:rsidP="008B3FB3">
    <w:pPr>
      <w:pStyle w:val="Header"/>
      <w:jc w:val="right"/>
    </w:pPr>
    <w:r>
      <w:t>ST/SG/AC.10/C.4/65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FB3"/>
    <w:rsid w:val="00016AC5"/>
    <w:rsid w:val="00073282"/>
    <w:rsid w:val="000B3711"/>
    <w:rsid w:val="000F41F2"/>
    <w:rsid w:val="0011488B"/>
    <w:rsid w:val="00154CB9"/>
    <w:rsid w:val="00160540"/>
    <w:rsid w:val="00192EEB"/>
    <w:rsid w:val="001A20FB"/>
    <w:rsid w:val="001D44B7"/>
    <w:rsid w:val="001D7F8A"/>
    <w:rsid w:val="001E3FEB"/>
    <w:rsid w:val="001E4A02"/>
    <w:rsid w:val="002156CB"/>
    <w:rsid w:val="00221ADA"/>
    <w:rsid w:val="00225A8C"/>
    <w:rsid w:val="00252EA8"/>
    <w:rsid w:val="002659F1"/>
    <w:rsid w:val="00266E18"/>
    <w:rsid w:val="00287E79"/>
    <w:rsid w:val="002928F9"/>
    <w:rsid w:val="002A004A"/>
    <w:rsid w:val="002A5D07"/>
    <w:rsid w:val="002F2562"/>
    <w:rsid w:val="003016B7"/>
    <w:rsid w:val="00313E7F"/>
    <w:rsid w:val="0034591A"/>
    <w:rsid w:val="003515AA"/>
    <w:rsid w:val="00374106"/>
    <w:rsid w:val="0037789F"/>
    <w:rsid w:val="003976D5"/>
    <w:rsid w:val="003C2717"/>
    <w:rsid w:val="003D3BED"/>
    <w:rsid w:val="003D6C68"/>
    <w:rsid w:val="003F5B56"/>
    <w:rsid w:val="004159D0"/>
    <w:rsid w:val="00420B63"/>
    <w:rsid w:val="00421F7A"/>
    <w:rsid w:val="00455796"/>
    <w:rsid w:val="0046126F"/>
    <w:rsid w:val="00482AF2"/>
    <w:rsid w:val="0049747F"/>
    <w:rsid w:val="004A0F69"/>
    <w:rsid w:val="004D26F2"/>
    <w:rsid w:val="004E1676"/>
    <w:rsid w:val="00524945"/>
    <w:rsid w:val="00543D5E"/>
    <w:rsid w:val="005653EE"/>
    <w:rsid w:val="00571F41"/>
    <w:rsid w:val="0058132F"/>
    <w:rsid w:val="00597FFC"/>
    <w:rsid w:val="005E5D1F"/>
    <w:rsid w:val="00611D43"/>
    <w:rsid w:val="00612D48"/>
    <w:rsid w:val="00616B45"/>
    <w:rsid w:val="00630D9B"/>
    <w:rsid w:val="00631953"/>
    <w:rsid w:val="006439EC"/>
    <w:rsid w:val="006679FB"/>
    <w:rsid w:val="006924C3"/>
    <w:rsid w:val="006B4590"/>
    <w:rsid w:val="006C340C"/>
    <w:rsid w:val="00700357"/>
    <w:rsid w:val="0070347C"/>
    <w:rsid w:val="00703DCC"/>
    <w:rsid w:val="007176C1"/>
    <w:rsid w:val="007C2037"/>
    <w:rsid w:val="007F2A10"/>
    <w:rsid w:val="007F55CB"/>
    <w:rsid w:val="00844750"/>
    <w:rsid w:val="00851BA3"/>
    <w:rsid w:val="0086254F"/>
    <w:rsid w:val="00866D64"/>
    <w:rsid w:val="0087514A"/>
    <w:rsid w:val="00894C6C"/>
    <w:rsid w:val="008B3FB3"/>
    <w:rsid w:val="008B44C4"/>
    <w:rsid w:val="008E7FAE"/>
    <w:rsid w:val="00900401"/>
    <w:rsid w:val="00911BF7"/>
    <w:rsid w:val="00920FBF"/>
    <w:rsid w:val="00931BEB"/>
    <w:rsid w:val="00941D0A"/>
    <w:rsid w:val="0094723C"/>
    <w:rsid w:val="00977EC8"/>
    <w:rsid w:val="009C74D5"/>
    <w:rsid w:val="009D3A8C"/>
    <w:rsid w:val="009E7956"/>
    <w:rsid w:val="009E79B0"/>
    <w:rsid w:val="00A0339A"/>
    <w:rsid w:val="00A1534D"/>
    <w:rsid w:val="00A2492E"/>
    <w:rsid w:val="00A27836"/>
    <w:rsid w:val="00A40F0E"/>
    <w:rsid w:val="00A41268"/>
    <w:rsid w:val="00AC67A1"/>
    <w:rsid w:val="00AC7977"/>
    <w:rsid w:val="00AE352C"/>
    <w:rsid w:val="00B05707"/>
    <w:rsid w:val="00B10104"/>
    <w:rsid w:val="00B15353"/>
    <w:rsid w:val="00B32E2D"/>
    <w:rsid w:val="00B61990"/>
    <w:rsid w:val="00BF0556"/>
    <w:rsid w:val="00BF1492"/>
    <w:rsid w:val="00C056B2"/>
    <w:rsid w:val="00C105AB"/>
    <w:rsid w:val="00C1726D"/>
    <w:rsid w:val="00C261F8"/>
    <w:rsid w:val="00C33100"/>
    <w:rsid w:val="00CA0680"/>
    <w:rsid w:val="00CC3FC6"/>
    <w:rsid w:val="00CD1A71"/>
    <w:rsid w:val="00CD1FBB"/>
    <w:rsid w:val="00D016B5"/>
    <w:rsid w:val="00D034F1"/>
    <w:rsid w:val="00D17535"/>
    <w:rsid w:val="00D27D5E"/>
    <w:rsid w:val="00D87CCA"/>
    <w:rsid w:val="00DE6D90"/>
    <w:rsid w:val="00DE6F10"/>
    <w:rsid w:val="00DF002F"/>
    <w:rsid w:val="00E0244D"/>
    <w:rsid w:val="00E06E99"/>
    <w:rsid w:val="00E81E94"/>
    <w:rsid w:val="00E82607"/>
    <w:rsid w:val="00EC5AFA"/>
    <w:rsid w:val="00F34A9F"/>
    <w:rsid w:val="00F41946"/>
    <w:rsid w:val="00F61315"/>
    <w:rsid w:val="00FA5A79"/>
    <w:rsid w:val="00FB0BFE"/>
    <w:rsid w:val="00FB2AB2"/>
    <w:rsid w:val="00FB4C51"/>
    <w:rsid w:val="00FB5985"/>
    <w:rsid w:val="00FD4586"/>
    <w:rsid w:val="00FF1DB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514A"/>
    <w:pPr>
      <w:suppressAutoHyphens/>
      <w:spacing w:line="240" w:lineRule="atLeast"/>
    </w:pPr>
    <w:rPr>
      <w:lang w:val="fr-CH" w:eastAsia="en-US"/>
    </w:rPr>
  </w:style>
  <w:style w:type="paragraph" w:styleId="Heading1">
    <w:name w:val="heading 1"/>
    <w:aliases w:val="Table_G"/>
    <w:basedOn w:val="SingleTxtG"/>
    <w:next w:val="SingleTxtG"/>
    <w:qFormat/>
    <w:rsid w:val="0087514A"/>
    <w:pPr>
      <w:keepNext/>
      <w:keepLines/>
      <w:spacing w:after="0" w:line="240" w:lineRule="auto"/>
      <w:ind w:right="0"/>
      <w:jc w:val="left"/>
      <w:outlineLvl w:val="0"/>
    </w:pPr>
  </w:style>
  <w:style w:type="paragraph" w:styleId="Heading2">
    <w:name w:val="heading 2"/>
    <w:basedOn w:val="Normal"/>
    <w:next w:val="Normal"/>
    <w:qFormat/>
    <w:rsid w:val="0087514A"/>
    <w:pPr>
      <w:outlineLvl w:val="1"/>
    </w:pPr>
  </w:style>
  <w:style w:type="paragraph" w:styleId="Heading3">
    <w:name w:val="heading 3"/>
    <w:basedOn w:val="Normal"/>
    <w:next w:val="Normal"/>
    <w:qFormat/>
    <w:rsid w:val="0087514A"/>
    <w:pPr>
      <w:outlineLvl w:val="2"/>
    </w:pPr>
  </w:style>
  <w:style w:type="paragraph" w:styleId="Heading4">
    <w:name w:val="heading 4"/>
    <w:basedOn w:val="Normal"/>
    <w:next w:val="Normal"/>
    <w:qFormat/>
    <w:rsid w:val="0087514A"/>
    <w:pPr>
      <w:outlineLvl w:val="3"/>
    </w:pPr>
  </w:style>
  <w:style w:type="paragraph" w:styleId="Heading5">
    <w:name w:val="heading 5"/>
    <w:basedOn w:val="Normal"/>
    <w:next w:val="Normal"/>
    <w:qFormat/>
    <w:rsid w:val="0087514A"/>
    <w:pPr>
      <w:outlineLvl w:val="4"/>
    </w:pPr>
  </w:style>
  <w:style w:type="paragraph" w:styleId="Heading6">
    <w:name w:val="heading 6"/>
    <w:basedOn w:val="Normal"/>
    <w:next w:val="Normal"/>
    <w:qFormat/>
    <w:rsid w:val="0087514A"/>
    <w:pPr>
      <w:outlineLvl w:val="5"/>
    </w:pPr>
  </w:style>
  <w:style w:type="paragraph" w:styleId="Heading7">
    <w:name w:val="heading 7"/>
    <w:basedOn w:val="Normal"/>
    <w:next w:val="Normal"/>
    <w:qFormat/>
    <w:rsid w:val="0087514A"/>
    <w:pPr>
      <w:outlineLvl w:val="6"/>
    </w:pPr>
  </w:style>
  <w:style w:type="paragraph" w:styleId="Heading8">
    <w:name w:val="heading 8"/>
    <w:basedOn w:val="Normal"/>
    <w:next w:val="Normal"/>
    <w:qFormat/>
    <w:rsid w:val="0087514A"/>
    <w:pPr>
      <w:outlineLvl w:val="7"/>
    </w:pPr>
  </w:style>
  <w:style w:type="paragraph" w:styleId="Heading9">
    <w:name w:val="heading 9"/>
    <w:basedOn w:val="Normal"/>
    <w:next w:val="Normal"/>
    <w:qFormat/>
    <w:rsid w:val="0087514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87514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87514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87514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87514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87514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87514A"/>
    <w:pPr>
      <w:keepNext/>
      <w:keepLines/>
      <w:tabs>
        <w:tab w:val="right" w:pos="851"/>
      </w:tabs>
      <w:spacing w:before="240" w:after="120" w:line="240" w:lineRule="exact"/>
      <w:ind w:left="1134" w:right="1134" w:hanging="1134"/>
    </w:pPr>
  </w:style>
  <w:style w:type="paragraph" w:customStyle="1" w:styleId="SingleTxtG">
    <w:name w:val="_ Single Txt_G"/>
    <w:basedOn w:val="Normal"/>
    <w:rsid w:val="0087514A"/>
    <w:pPr>
      <w:spacing w:after="120"/>
      <w:ind w:left="1134" w:right="1134"/>
      <w:jc w:val="both"/>
    </w:pPr>
  </w:style>
  <w:style w:type="paragraph" w:customStyle="1" w:styleId="SLG">
    <w:name w:val="__S_L_G"/>
    <w:basedOn w:val="Normal"/>
    <w:next w:val="Normal"/>
    <w:rsid w:val="0087514A"/>
    <w:pPr>
      <w:keepNext/>
      <w:keepLines/>
      <w:spacing w:before="240" w:after="240" w:line="580" w:lineRule="exact"/>
      <w:ind w:left="1134" w:right="1134"/>
    </w:pPr>
    <w:rPr>
      <w:b/>
      <w:sz w:val="56"/>
    </w:rPr>
  </w:style>
  <w:style w:type="paragraph" w:customStyle="1" w:styleId="SMG">
    <w:name w:val="__S_M_G"/>
    <w:basedOn w:val="Normal"/>
    <w:next w:val="Normal"/>
    <w:rsid w:val="0087514A"/>
    <w:pPr>
      <w:keepNext/>
      <w:keepLines/>
      <w:spacing w:before="240" w:after="240" w:line="420" w:lineRule="exact"/>
      <w:ind w:left="1134" w:right="1134"/>
    </w:pPr>
    <w:rPr>
      <w:b/>
      <w:sz w:val="40"/>
    </w:rPr>
  </w:style>
  <w:style w:type="paragraph" w:customStyle="1" w:styleId="SSG">
    <w:name w:val="__S_S_G"/>
    <w:basedOn w:val="Normal"/>
    <w:next w:val="Normal"/>
    <w:rsid w:val="0087514A"/>
    <w:pPr>
      <w:keepNext/>
      <w:keepLines/>
      <w:spacing w:before="240" w:after="240" w:line="300" w:lineRule="exact"/>
      <w:ind w:left="1134" w:right="1134"/>
    </w:pPr>
    <w:rPr>
      <w:b/>
      <w:sz w:val="28"/>
    </w:rPr>
  </w:style>
  <w:style w:type="paragraph" w:customStyle="1" w:styleId="XLargeG">
    <w:name w:val="__XLarge_G"/>
    <w:basedOn w:val="Normal"/>
    <w:next w:val="Normal"/>
    <w:rsid w:val="0087514A"/>
    <w:pPr>
      <w:keepNext/>
      <w:keepLines/>
      <w:spacing w:before="240" w:after="240" w:line="420" w:lineRule="exact"/>
      <w:ind w:left="1134" w:right="1134"/>
    </w:pPr>
    <w:rPr>
      <w:b/>
      <w:sz w:val="40"/>
    </w:rPr>
  </w:style>
  <w:style w:type="paragraph" w:customStyle="1" w:styleId="Bullet1G">
    <w:name w:val="_Bullet 1_G"/>
    <w:basedOn w:val="Normal"/>
    <w:rsid w:val="0087514A"/>
    <w:pPr>
      <w:numPr>
        <w:numId w:val="1"/>
      </w:numPr>
      <w:spacing w:after="120"/>
      <w:ind w:right="1134"/>
      <w:jc w:val="both"/>
    </w:pPr>
  </w:style>
  <w:style w:type="paragraph" w:customStyle="1" w:styleId="Bullet2G">
    <w:name w:val="_Bullet 2_G"/>
    <w:basedOn w:val="Normal"/>
    <w:rsid w:val="0087514A"/>
    <w:pPr>
      <w:numPr>
        <w:numId w:val="2"/>
      </w:numPr>
      <w:spacing w:after="120"/>
      <w:ind w:right="1134"/>
      <w:jc w:val="both"/>
    </w:pPr>
  </w:style>
  <w:style w:type="character" w:styleId="FootnoteReference">
    <w:name w:val="footnote reference"/>
    <w:aliases w:val="4_G"/>
    <w:basedOn w:val="DefaultParagraphFont"/>
    <w:rsid w:val="0087514A"/>
    <w:rPr>
      <w:rFonts w:ascii="Times New Roman" w:hAnsi="Times New Roman"/>
      <w:sz w:val="18"/>
      <w:vertAlign w:val="superscript"/>
      <w:lang w:val="fr-CH"/>
    </w:rPr>
  </w:style>
  <w:style w:type="character" w:styleId="EndnoteReference">
    <w:name w:val="endnote reference"/>
    <w:aliases w:val="1_G"/>
    <w:basedOn w:val="FootnoteReference"/>
    <w:rsid w:val="0087514A"/>
    <w:rPr>
      <w:rFonts w:ascii="Times New Roman" w:hAnsi="Times New Roman"/>
      <w:sz w:val="18"/>
      <w:vertAlign w:val="superscript"/>
      <w:lang w:val="fr-CH"/>
    </w:rPr>
  </w:style>
  <w:style w:type="paragraph" w:styleId="Header">
    <w:name w:val="header"/>
    <w:aliases w:val="6_G"/>
    <w:basedOn w:val="Normal"/>
    <w:next w:val="Normal"/>
    <w:rsid w:val="0087514A"/>
    <w:pPr>
      <w:pBdr>
        <w:bottom w:val="single" w:sz="4" w:space="4" w:color="auto"/>
      </w:pBdr>
      <w:spacing w:line="240" w:lineRule="auto"/>
    </w:pPr>
    <w:rPr>
      <w:b/>
      <w:sz w:val="18"/>
    </w:rPr>
  </w:style>
  <w:style w:type="paragraph" w:styleId="FootnoteText">
    <w:name w:val="footnote text"/>
    <w:aliases w:val="5_G"/>
    <w:basedOn w:val="Normal"/>
    <w:rsid w:val="0087514A"/>
    <w:pPr>
      <w:tabs>
        <w:tab w:val="right" w:pos="1021"/>
      </w:tabs>
      <w:spacing w:line="220" w:lineRule="exact"/>
      <w:ind w:left="1134" w:right="1134" w:hanging="1134"/>
    </w:pPr>
    <w:rPr>
      <w:sz w:val="18"/>
    </w:rPr>
  </w:style>
  <w:style w:type="paragraph" w:styleId="EndnoteText">
    <w:name w:val="endnote text"/>
    <w:aliases w:val="2_G"/>
    <w:basedOn w:val="FootnoteText"/>
    <w:rsid w:val="0087514A"/>
  </w:style>
  <w:style w:type="character" w:styleId="PageNumber">
    <w:name w:val="page number"/>
    <w:aliases w:val="7_G"/>
    <w:basedOn w:val="DefaultParagraphFont"/>
    <w:rsid w:val="0087514A"/>
    <w:rPr>
      <w:rFonts w:ascii="Times New Roman" w:hAnsi="Times New Roman"/>
      <w:b/>
      <w:sz w:val="18"/>
      <w:lang w:val="fr-CH"/>
    </w:rPr>
  </w:style>
  <w:style w:type="paragraph" w:styleId="Footer">
    <w:name w:val="footer"/>
    <w:aliases w:val="3_G"/>
    <w:basedOn w:val="Normal"/>
    <w:next w:val="Normal"/>
    <w:rsid w:val="0087514A"/>
    <w:pPr>
      <w:spacing w:line="240" w:lineRule="auto"/>
    </w:pPr>
    <w:rPr>
      <w:sz w:val="16"/>
    </w:rPr>
  </w:style>
  <w:style w:type="character" w:styleId="Hyperlink">
    <w:name w:val="Hyperlink"/>
    <w:basedOn w:val="DefaultParagraphFont"/>
    <w:semiHidden/>
    <w:rsid w:val="0087514A"/>
    <w:rPr>
      <w:color w:val="auto"/>
      <w:u w:val="none"/>
    </w:rPr>
  </w:style>
  <w:style w:type="character" w:styleId="FollowedHyperlink">
    <w:name w:val="FollowedHyperlink"/>
    <w:basedOn w:val="DefaultParagraphFont"/>
    <w:semiHidden/>
    <w:rsid w:val="0087514A"/>
    <w:rPr>
      <w:color w:val="auto"/>
      <w:u w:val="none"/>
    </w:rPr>
  </w:style>
  <w:style w:type="table" w:styleId="TableGrid1">
    <w:name w:val="Table Grid 1"/>
    <w:basedOn w:val="TableNormal"/>
    <w:semiHidden/>
    <w:rsid w:val="0087514A"/>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semiHidden/>
    <w:rsid w:val="0087514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BalloonText">
    <w:name w:val="Balloon Text"/>
    <w:basedOn w:val="Normal"/>
    <w:link w:val="BalloonTextChar"/>
    <w:rsid w:val="00941D0A"/>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41D0A"/>
    <w:rPr>
      <w:rFonts w:ascii="Tahoma" w:hAnsi="Tahoma" w:cs="Tahoma"/>
      <w:sz w:val="16"/>
      <w:szCs w:val="16"/>
      <w:lang w:val="fr-CH"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514A"/>
    <w:pPr>
      <w:suppressAutoHyphens/>
      <w:spacing w:line="240" w:lineRule="atLeast"/>
    </w:pPr>
    <w:rPr>
      <w:lang w:val="fr-CH" w:eastAsia="en-US"/>
    </w:rPr>
  </w:style>
  <w:style w:type="paragraph" w:styleId="Heading1">
    <w:name w:val="heading 1"/>
    <w:aliases w:val="Table_G"/>
    <w:basedOn w:val="SingleTxtG"/>
    <w:next w:val="SingleTxtG"/>
    <w:qFormat/>
    <w:rsid w:val="0087514A"/>
    <w:pPr>
      <w:keepNext/>
      <w:keepLines/>
      <w:spacing w:after="0" w:line="240" w:lineRule="auto"/>
      <w:ind w:right="0"/>
      <w:jc w:val="left"/>
      <w:outlineLvl w:val="0"/>
    </w:pPr>
  </w:style>
  <w:style w:type="paragraph" w:styleId="Heading2">
    <w:name w:val="heading 2"/>
    <w:basedOn w:val="Normal"/>
    <w:next w:val="Normal"/>
    <w:qFormat/>
    <w:rsid w:val="0087514A"/>
    <w:pPr>
      <w:outlineLvl w:val="1"/>
    </w:pPr>
  </w:style>
  <w:style w:type="paragraph" w:styleId="Heading3">
    <w:name w:val="heading 3"/>
    <w:basedOn w:val="Normal"/>
    <w:next w:val="Normal"/>
    <w:qFormat/>
    <w:rsid w:val="0087514A"/>
    <w:pPr>
      <w:outlineLvl w:val="2"/>
    </w:pPr>
  </w:style>
  <w:style w:type="paragraph" w:styleId="Heading4">
    <w:name w:val="heading 4"/>
    <w:basedOn w:val="Normal"/>
    <w:next w:val="Normal"/>
    <w:qFormat/>
    <w:rsid w:val="0087514A"/>
    <w:pPr>
      <w:outlineLvl w:val="3"/>
    </w:pPr>
  </w:style>
  <w:style w:type="paragraph" w:styleId="Heading5">
    <w:name w:val="heading 5"/>
    <w:basedOn w:val="Normal"/>
    <w:next w:val="Normal"/>
    <w:qFormat/>
    <w:rsid w:val="0087514A"/>
    <w:pPr>
      <w:outlineLvl w:val="4"/>
    </w:pPr>
  </w:style>
  <w:style w:type="paragraph" w:styleId="Heading6">
    <w:name w:val="heading 6"/>
    <w:basedOn w:val="Normal"/>
    <w:next w:val="Normal"/>
    <w:qFormat/>
    <w:rsid w:val="0087514A"/>
    <w:pPr>
      <w:outlineLvl w:val="5"/>
    </w:pPr>
  </w:style>
  <w:style w:type="paragraph" w:styleId="Heading7">
    <w:name w:val="heading 7"/>
    <w:basedOn w:val="Normal"/>
    <w:next w:val="Normal"/>
    <w:qFormat/>
    <w:rsid w:val="0087514A"/>
    <w:pPr>
      <w:outlineLvl w:val="6"/>
    </w:pPr>
  </w:style>
  <w:style w:type="paragraph" w:styleId="Heading8">
    <w:name w:val="heading 8"/>
    <w:basedOn w:val="Normal"/>
    <w:next w:val="Normal"/>
    <w:qFormat/>
    <w:rsid w:val="0087514A"/>
    <w:pPr>
      <w:outlineLvl w:val="7"/>
    </w:pPr>
  </w:style>
  <w:style w:type="paragraph" w:styleId="Heading9">
    <w:name w:val="heading 9"/>
    <w:basedOn w:val="Normal"/>
    <w:next w:val="Normal"/>
    <w:qFormat/>
    <w:rsid w:val="0087514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87514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87514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87514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87514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87514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87514A"/>
    <w:pPr>
      <w:keepNext/>
      <w:keepLines/>
      <w:tabs>
        <w:tab w:val="right" w:pos="851"/>
      </w:tabs>
      <w:spacing w:before="240" w:after="120" w:line="240" w:lineRule="exact"/>
      <w:ind w:left="1134" w:right="1134" w:hanging="1134"/>
    </w:pPr>
  </w:style>
  <w:style w:type="paragraph" w:customStyle="1" w:styleId="SingleTxtG">
    <w:name w:val="_ Single Txt_G"/>
    <w:basedOn w:val="Normal"/>
    <w:rsid w:val="0087514A"/>
    <w:pPr>
      <w:spacing w:after="120"/>
      <w:ind w:left="1134" w:right="1134"/>
      <w:jc w:val="both"/>
    </w:pPr>
  </w:style>
  <w:style w:type="paragraph" w:customStyle="1" w:styleId="SLG">
    <w:name w:val="__S_L_G"/>
    <w:basedOn w:val="Normal"/>
    <w:next w:val="Normal"/>
    <w:rsid w:val="0087514A"/>
    <w:pPr>
      <w:keepNext/>
      <w:keepLines/>
      <w:spacing w:before="240" w:after="240" w:line="580" w:lineRule="exact"/>
      <w:ind w:left="1134" w:right="1134"/>
    </w:pPr>
    <w:rPr>
      <w:b/>
      <w:sz w:val="56"/>
    </w:rPr>
  </w:style>
  <w:style w:type="paragraph" w:customStyle="1" w:styleId="SMG">
    <w:name w:val="__S_M_G"/>
    <w:basedOn w:val="Normal"/>
    <w:next w:val="Normal"/>
    <w:rsid w:val="0087514A"/>
    <w:pPr>
      <w:keepNext/>
      <w:keepLines/>
      <w:spacing w:before="240" w:after="240" w:line="420" w:lineRule="exact"/>
      <w:ind w:left="1134" w:right="1134"/>
    </w:pPr>
    <w:rPr>
      <w:b/>
      <w:sz w:val="40"/>
    </w:rPr>
  </w:style>
  <w:style w:type="paragraph" w:customStyle="1" w:styleId="SSG">
    <w:name w:val="__S_S_G"/>
    <w:basedOn w:val="Normal"/>
    <w:next w:val="Normal"/>
    <w:rsid w:val="0087514A"/>
    <w:pPr>
      <w:keepNext/>
      <w:keepLines/>
      <w:spacing w:before="240" w:after="240" w:line="300" w:lineRule="exact"/>
      <w:ind w:left="1134" w:right="1134"/>
    </w:pPr>
    <w:rPr>
      <w:b/>
      <w:sz w:val="28"/>
    </w:rPr>
  </w:style>
  <w:style w:type="paragraph" w:customStyle="1" w:styleId="XLargeG">
    <w:name w:val="__XLarge_G"/>
    <w:basedOn w:val="Normal"/>
    <w:next w:val="Normal"/>
    <w:rsid w:val="0087514A"/>
    <w:pPr>
      <w:keepNext/>
      <w:keepLines/>
      <w:spacing w:before="240" w:after="240" w:line="420" w:lineRule="exact"/>
      <w:ind w:left="1134" w:right="1134"/>
    </w:pPr>
    <w:rPr>
      <w:b/>
      <w:sz w:val="40"/>
    </w:rPr>
  </w:style>
  <w:style w:type="paragraph" w:customStyle="1" w:styleId="Bullet1G">
    <w:name w:val="_Bullet 1_G"/>
    <w:basedOn w:val="Normal"/>
    <w:rsid w:val="0087514A"/>
    <w:pPr>
      <w:numPr>
        <w:numId w:val="1"/>
      </w:numPr>
      <w:spacing w:after="120"/>
      <w:ind w:right="1134"/>
      <w:jc w:val="both"/>
    </w:pPr>
  </w:style>
  <w:style w:type="paragraph" w:customStyle="1" w:styleId="Bullet2G">
    <w:name w:val="_Bullet 2_G"/>
    <w:basedOn w:val="Normal"/>
    <w:rsid w:val="0087514A"/>
    <w:pPr>
      <w:numPr>
        <w:numId w:val="2"/>
      </w:numPr>
      <w:spacing w:after="120"/>
      <w:ind w:right="1134"/>
      <w:jc w:val="both"/>
    </w:pPr>
  </w:style>
  <w:style w:type="character" w:styleId="FootnoteReference">
    <w:name w:val="footnote reference"/>
    <w:aliases w:val="4_G"/>
    <w:basedOn w:val="DefaultParagraphFont"/>
    <w:rsid w:val="0087514A"/>
    <w:rPr>
      <w:rFonts w:ascii="Times New Roman" w:hAnsi="Times New Roman"/>
      <w:sz w:val="18"/>
      <w:vertAlign w:val="superscript"/>
      <w:lang w:val="fr-CH"/>
    </w:rPr>
  </w:style>
  <w:style w:type="character" w:styleId="EndnoteReference">
    <w:name w:val="endnote reference"/>
    <w:aliases w:val="1_G"/>
    <w:basedOn w:val="FootnoteReference"/>
    <w:rsid w:val="0087514A"/>
    <w:rPr>
      <w:rFonts w:ascii="Times New Roman" w:hAnsi="Times New Roman"/>
      <w:sz w:val="18"/>
      <w:vertAlign w:val="superscript"/>
      <w:lang w:val="fr-CH"/>
    </w:rPr>
  </w:style>
  <w:style w:type="paragraph" w:styleId="Header">
    <w:name w:val="header"/>
    <w:aliases w:val="6_G"/>
    <w:basedOn w:val="Normal"/>
    <w:next w:val="Normal"/>
    <w:rsid w:val="0087514A"/>
    <w:pPr>
      <w:pBdr>
        <w:bottom w:val="single" w:sz="4" w:space="4" w:color="auto"/>
      </w:pBdr>
      <w:spacing w:line="240" w:lineRule="auto"/>
    </w:pPr>
    <w:rPr>
      <w:b/>
      <w:sz w:val="18"/>
    </w:rPr>
  </w:style>
  <w:style w:type="paragraph" w:styleId="FootnoteText">
    <w:name w:val="footnote text"/>
    <w:aliases w:val="5_G"/>
    <w:basedOn w:val="Normal"/>
    <w:rsid w:val="0087514A"/>
    <w:pPr>
      <w:tabs>
        <w:tab w:val="right" w:pos="1021"/>
      </w:tabs>
      <w:spacing w:line="220" w:lineRule="exact"/>
      <w:ind w:left="1134" w:right="1134" w:hanging="1134"/>
    </w:pPr>
    <w:rPr>
      <w:sz w:val="18"/>
    </w:rPr>
  </w:style>
  <w:style w:type="paragraph" w:styleId="EndnoteText">
    <w:name w:val="endnote text"/>
    <w:aliases w:val="2_G"/>
    <w:basedOn w:val="FootnoteText"/>
    <w:rsid w:val="0087514A"/>
  </w:style>
  <w:style w:type="character" w:styleId="PageNumber">
    <w:name w:val="page number"/>
    <w:aliases w:val="7_G"/>
    <w:basedOn w:val="DefaultParagraphFont"/>
    <w:rsid w:val="0087514A"/>
    <w:rPr>
      <w:rFonts w:ascii="Times New Roman" w:hAnsi="Times New Roman"/>
      <w:b/>
      <w:sz w:val="18"/>
      <w:lang w:val="fr-CH"/>
    </w:rPr>
  </w:style>
  <w:style w:type="paragraph" w:styleId="Footer">
    <w:name w:val="footer"/>
    <w:aliases w:val="3_G"/>
    <w:basedOn w:val="Normal"/>
    <w:next w:val="Normal"/>
    <w:rsid w:val="0087514A"/>
    <w:pPr>
      <w:spacing w:line="240" w:lineRule="auto"/>
    </w:pPr>
    <w:rPr>
      <w:sz w:val="16"/>
    </w:rPr>
  </w:style>
  <w:style w:type="character" w:styleId="Hyperlink">
    <w:name w:val="Hyperlink"/>
    <w:basedOn w:val="DefaultParagraphFont"/>
    <w:semiHidden/>
    <w:rsid w:val="0087514A"/>
    <w:rPr>
      <w:color w:val="auto"/>
      <w:u w:val="none"/>
    </w:rPr>
  </w:style>
  <w:style w:type="character" w:styleId="FollowedHyperlink">
    <w:name w:val="FollowedHyperlink"/>
    <w:basedOn w:val="DefaultParagraphFont"/>
    <w:semiHidden/>
    <w:rsid w:val="0087514A"/>
    <w:rPr>
      <w:color w:val="auto"/>
      <w:u w:val="none"/>
    </w:rPr>
  </w:style>
  <w:style w:type="table" w:styleId="TableGrid1">
    <w:name w:val="Table Grid 1"/>
    <w:basedOn w:val="TableNormal"/>
    <w:semiHidden/>
    <w:rsid w:val="0087514A"/>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semiHidden/>
    <w:rsid w:val="0087514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BalloonText">
    <w:name w:val="Balloon Text"/>
    <w:basedOn w:val="Normal"/>
    <w:link w:val="BalloonTextChar"/>
    <w:rsid w:val="00941D0A"/>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41D0A"/>
    <w:rPr>
      <w:rFonts w:ascii="Tahoma" w:hAnsi="Tahoma" w:cs="Tahoma"/>
      <w:sz w:val="16"/>
      <w:szCs w:val="16"/>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unece.org/meetings/practical.html" TargetMode="External"/><Relationship Id="rId1" Type="http://schemas.openxmlformats.org/officeDocument/2006/relationships/hyperlink" Target="http://www.unece.org/trans/main/dgdb/dgsubc4/c4age.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4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FDFFE-CE22-4A7F-AC40-DD3313061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AC10_C4_F.dotm</Template>
  <TotalTime>65</TotalTime>
  <Pages>2</Pages>
  <Words>265</Words>
  <Characters>1531</Characters>
  <Application>Microsoft Office Word</Application>
  <DocSecurity>0</DocSecurity>
  <Lines>50</Lines>
  <Paragraphs>39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ST/SG/AC.10/C.4/</vt:lpstr>
      <vt:lpstr>ST/SG/AC.10/C.4/</vt:lpstr>
    </vt:vector>
  </TitlesOfParts>
  <Company>Corinne</Company>
  <LinksUpToDate>false</LinksUpToDate>
  <CharactersWithSpaces>1785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ST/SG/AC.10/C.4/</dc:title>
  <dc:creator>Rosa Garcia-Couto</dc:creator>
  <cp:lastModifiedBy>Laurence Berthet</cp:lastModifiedBy>
  <cp:revision>15</cp:revision>
  <cp:lastPrinted>2017-02-20T09:02:00Z</cp:lastPrinted>
  <dcterms:created xsi:type="dcterms:W3CDTF">2017-01-11T09:22:00Z</dcterms:created>
  <dcterms:modified xsi:type="dcterms:W3CDTF">2017-02-20T09:02:00Z</dcterms:modified>
</cp:coreProperties>
</file>