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CF2A2D" w:rsidTr="000305D3">
        <w:trPr>
          <w:trHeight w:hRule="exact" w:val="851"/>
        </w:trPr>
        <w:tc>
          <w:tcPr>
            <w:tcW w:w="1276" w:type="dxa"/>
            <w:tcBorders>
              <w:bottom w:val="single" w:sz="4" w:space="0" w:color="auto"/>
            </w:tcBorders>
          </w:tcPr>
          <w:p w:rsidR="00132EA9" w:rsidRPr="00CF2A2D" w:rsidRDefault="00132EA9" w:rsidP="00CF1696">
            <w:bookmarkStart w:id="0" w:name="_GoBack"/>
            <w:bookmarkEnd w:id="0"/>
          </w:p>
        </w:tc>
        <w:tc>
          <w:tcPr>
            <w:tcW w:w="2268" w:type="dxa"/>
            <w:tcBorders>
              <w:bottom w:val="single" w:sz="4" w:space="0" w:color="auto"/>
            </w:tcBorders>
            <w:vAlign w:val="bottom"/>
          </w:tcPr>
          <w:p w:rsidR="00132EA9" w:rsidRPr="00CF2A2D" w:rsidRDefault="00132EA9" w:rsidP="00CF1696">
            <w:pPr>
              <w:spacing w:after="80" w:line="300" w:lineRule="exact"/>
              <w:rPr>
                <w:sz w:val="28"/>
              </w:rPr>
            </w:pPr>
            <w:r w:rsidRPr="00CF2A2D">
              <w:rPr>
                <w:sz w:val="28"/>
              </w:rPr>
              <w:t>Nations Unies</w:t>
            </w:r>
          </w:p>
        </w:tc>
        <w:tc>
          <w:tcPr>
            <w:tcW w:w="6095" w:type="dxa"/>
            <w:gridSpan w:val="2"/>
            <w:tcBorders>
              <w:bottom w:val="single" w:sz="4" w:space="0" w:color="auto"/>
            </w:tcBorders>
            <w:vAlign w:val="bottom"/>
          </w:tcPr>
          <w:p w:rsidR="00132EA9" w:rsidRPr="00CF2A2D" w:rsidRDefault="00CF1696" w:rsidP="00CF1696">
            <w:pPr>
              <w:jc w:val="right"/>
            </w:pPr>
            <w:r w:rsidRPr="00CF2A2D">
              <w:rPr>
                <w:sz w:val="40"/>
              </w:rPr>
              <w:t>ST</w:t>
            </w:r>
            <w:r w:rsidRPr="00CF2A2D">
              <w:t>/SG/AC.10/C.4/64</w:t>
            </w:r>
          </w:p>
        </w:tc>
      </w:tr>
      <w:tr w:rsidR="00132EA9" w:rsidRPr="00CF2A2D" w:rsidTr="00CF1696">
        <w:trPr>
          <w:trHeight w:hRule="exact" w:val="2835"/>
        </w:trPr>
        <w:tc>
          <w:tcPr>
            <w:tcW w:w="1276" w:type="dxa"/>
            <w:tcBorders>
              <w:top w:val="single" w:sz="4" w:space="0" w:color="auto"/>
              <w:bottom w:val="single" w:sz="12" w:space="0" w:color="auto"/>
            </w:tcBorders>
          </w:tcPr>
          <w:p w:rsidR="00132EA9" w:rsidRPr="00CF2A2D" w:rsidRDefault="00132EA9" w:rsidP="00CF1696">
            <w:pPr>
              <w:spacing w:before="120"/>
              <w:jc w:val="center"/>
            </w:pPr>
            <w:r w:rsidRPr="00CF2A2D">
              <w:rPr>
                <w:noProof/>
                <w:lang w:val="en-GB" w:eastAsia="en-GB"/>
              </w:rPr>
              <w:drawing>
                <wp:inline distT="0" distB="0" distL="0" distR="0" wp14:anchorId="2906EA35" wp14:editId="0953BF0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CF2A2D" w:rsidRDefault="00132EA9" w:rsidP="00CF1696">
            <w:pPr>
              <w:spacing w:before="120" w:line="420" w:lineRule="exact"/>
              <w:rPr>
                <w:b/>
                <w:sz w:val="40"/>
                <w:szCs w:val="40"/>
              </w:rPr>
            </w:pPr>
            <w:r w:rsidRPr="00CF2A2D">
              <w:rPr>
                <w:b/>
                <w:sz w:val="40"/>
                <w:szCs w:val="40"/>
              </w:rPr>
              <w:t>Secrétariat</w:t>
            </w:r>
          </w:p>
        </w:tc>
        <w:tc>
          <w:tcPr>
            <w:tcW w:w="2835" w:type="dxa"/>
            <w:tcBorders>
              <w:top w:val="single" w:sz="4" w:space="0" w:color="auto"/>
              <w:bottom w:val="single" w:sz="12" w:space="0" w:color="auto"/>
            </w:tcBorders>
          </w:tcPr>
          <w:p w:rsidR="00132EA9" w:rsidRPr="00CF2A2D" w:rsidRDefault="00CF1696" w:rsidP="00CF1696">
            <w:pPr>
              <w:spacing w:before="240"/>
            </w:pPr>
            <w:r w:rsidRPr="00CF2A2D">
              <w:t>Distr. générale</w:t>
            </w:r>
          </w:p>
          <w:p w:rsidR="00CF1696" w:rsidRPr="00CF2A2D" w:rsidRDefault="00E03BDC" w:rsidP="00CF1696">
            <w:pPr>
              <w:spacing w:line="240" w:lineRule="exact"/>
            </w:pPr>
            <w:r>
              <w:t>22</w:t>
            </w:r>
            <w:r w:rsidR="00CF1696" w:rsidRPr="00CF2A2D">
              <w:t xml:space="preserve"> décembre 2016</w:t>
            </w:r>
          </w:p>
          <w:p w:rsidR="00CF1696" w:rsidRPr="00CF2A2D" w:rsidRDefault="00CF1696" w:rsidP="00CF1696">
            <w:pPr>
              <w:spacing w:line="240" w:lineRule="exact"/>
            </w:pPr>
            <w:r w:rsidRPr="00CF2A2D">
              <w:t>Français</w:t>
            </w:r>
          </w:p>
          <w:p w:rsidR="00CF1696" w:rsidRPr="00CF2A2D" w:rsidRDefault="00CF1696" w:rsidP="00CF1696">
            <w:pPr>
              <w:spacing w:line="240" w:lineRule="exact"/>
            </w:pPr>
            <w:r w:rsidRPr="00CF2A2D">
              <w:t>Original : anglais</w:t>
            </w:r>
          </w:p>
        </w:tc>
      </w:tr>
    </w:tbl>
    <w:p w:rsidR="00CF1696" w:rsidRPr="00CF2A2D" w:rsidRDefault="00CF1696" w:rsidP="000305D3">
      <w:pPr>
        <w:spacing w:before="120"/>
        <w:rPr>
          <w:b/>
          <w:sz w:val="24"/>
          <w:szCs w:val="24"/>
        </w:rPr>
      </w:pPr>
      <w:r w:rsidRPr="00CF2A2D">
        <w:rPr>
          <w:b/>
          <w:sz w:val="24"/>
          <w:szCs w:val="24"/>
        </w:rPr>
        <w:t>Comité d’experts du transport des marchandises dangereuses</w:t>
      </w:r>
      <w:r w:rsidRPr="00CF2A2D">
        <w:rPr>
          <w:b/>
          <w:sz w:val="24"/>
          <w:szCs w:val="24"/>
        </w:rPr>
        <w:br/>
        <w:t>et du Système général harmonisé de classification</w:t>
      </w:r>
      <w:r w:rsidRPr="00CF2A2D">
        <w:rPr>
          <w:b/>
          <w:sz w:val="24"/>
          <w:szCs w:val="24"/>
        </w:rPr>
        <w:br/>
        <w:t>et d’étiquetage des produits chimiques</w:t>
      </w:r>
    </w:p>
    <w:p w:rsidR="00CF1696" w:rsidRPr="00CF2A2D" w:rsidRDefault="00CF1696" w:rsidP="00CF1696">
      <w:pPr>
        <w:spacing w:before="120" w:after="120"/>
        <w:rPr>
          <w:b/>
        </w:rPr>
      </w:pPr>
      <w:r w:rsidRPr="00CF2A2D">
        <w:rPr>
          <w:b/>
        </w:rPr>
        <w:t>Sous-Comité d’experts du Système général harmonisé</w:t>
      </w:r>
      <w:r w:rsidRPr="00CF2A2D">
        <w:rPr>
          <w:b/>
        </w:rPr>
        <w:br/>
        <w:t>de classification et d’étiquetage des produits chimiques</w:t>
      </w:r>
    </w:p>
    <w:p w:rsidR="00CF1696" w:rsidRPr="00CF2A2D" w:rsidRDefault="00CF1696" w:rsidP="00CF1696">
      <w:pPr>
        <w:pStyle w:val="HChG"/>
      </w:pPr>
      <w:r w:rsidRPr="00CF2A2D">
        <w:tab/>
      </w:r>
      <w:r w:rsidRPr="00CF2A2D">
        <w:tab/>
        <w:t>Rapport du Sous-Comité d’experts du Système général harmonisé de classification et d’étiquetage des produits chimiques sur sa trente-deuxième session</w:t>
      </w:r>
    </w:p>
    <w:p w:rsidR="00CF1696" w:rsidRPr="00CF2A2D" w:rsidRDefault="00CF1696" w:rsidP="00415A57">
      <w:pPr>
        <w:pStyle w:val="SingleTxtG"/>
        <w:spacing w:after="480"/>
      </w:pPr>
      <w:r w:rsidRPr="00CF2A2D">
        <w:t>Tenue à Genève du 7 au 9 décembre 2016</w:t>
      </w:r>
    </w:p>
    <w:p w:rsidR="00CF1696" w:rsidRPr="00CF2A2D" w:rsidRDefault="00CF1696" w:rsidP="00415A57">
      <w:pPr>
        <w:spacing w:before="240" w:after="120"/>
        <w:rPr>
          <w:sz w:val="28"/>
          <w:szCs w:val="28"/>
        </w:rPr>
      </w:pPr>
      <w:r w:rsidRPr="00CF2A2D">
        <w:rPr>
          <w:sz w:val="28"/>
          <w:szCs w:val="28"/>
        </w:rPr>
        <w:t>Table des matières</w:t>
      </w:r>
    </w:p>
    <w:p w:rsidR="00CF1696" w:rsidRPr="00CF2A2D" w:rsidRDefault="00CF1696" w:rsidP="00CF1696">
      <w:pPr>
        <w:tabs>
          <w:tab w:val="right" w:pos="8929"/>
          <w:tab w:val="right" w:pos="9638"/>
        </w:tabs>
        <w:spacing w:after="120"/>
        <w:ind w:left="283"/>
        <w:rPr>
          <w:i/>
        </w:rPr>
      </w:pPr>
      <w:r w:rsidRPr="00CF2A2D">
        <w:rPr>
          <w:i/>
        </w:rPr>
        <w:tab/>
      </w:r>
      <w:r w:rsidRPr="00CF2A2D">
        <w:rPr>
          <w:i/>
          <w:sz w:val="18"/>
        </w:rPr>
        <w:t>Paragraphes</w:t>
      </w:r>
      <w:r w:rsidRPr="00CF2A2D">
        <w:rPr>
          <w:i/>
          <w:sz w:val="18"/>
        </w:rPr>
        <w:tab/>
        <w:t>Page</w:t>
      </w:r>
    </w:p>
    <w:p w:rsidR="00CF1696" w:rsidRPr="00CF2A2D" w:rsidRDefault="00CF1696" w:rsidP="00CF1696">
      <w:pPr>
        <w:tabs>
          <w:tab w:val="right" w:pos="850"/>
          <w:tab w:val="right" w:leader="dot" w:pos="7654"/>
          <w:tab w:val="right" w:pos="8929"/>
          <w:tab w:val="right" w:pos="9638"/>
        </w:tabs>
        <w:spacing w:after="120"/>
        <w:ind w:left="1134" w:hanging="1134"/>
      </w:pPr>
      <w:r w:rsidRPr="00CF2A2D">
        <w:tab/>
        <w:t xml:space="preserve">I. </w:t>
      </w:r>
      <w:r w:rsidRPr="00CF2A2D">
        <w:tab/>
        <w:t>Participation</w:t>
      </w:r>
      <w:r w:rsidRPr="00CF2A2D">
        <w:tab/>
      </w:r>
      <w:r w:rsidRPr="00CF2A2D">
        <w:tab/>
        <w:t>1</w:t>
      </w:r>
      <w:r w:rsidR="00A1700C">
        <w:t>–</w:t>
      </w:r>
      <w:r w:rsidRPr="00CF2A2D">
        <w:t>6</w:t>
      </w:r>
      <w:r w:rsidRPr="00CF2A2D">
        <w:tab/>
      </w:r>
      <w:r w:rsidR="00A1700C">
        <w:t>4</w:t>
      </w:r>
    </w:p>
    <w:p w:rsidR="00CF1696" w:rsidRPr="00CF2A2D" w:rsidRDefault="00CF1696" w:rsidP="00CF1696">
      <w:pPr>
        <w:tabs>
          <w:tab w:val="right" w:pos="850"/>
          <w:tab w:val="right" w:leader="dot" w:pos="7654"/>
          <w:tab w:val="right" w:pos="8929"/>
          <w:tab w:val="right" w:pos="9638"/>
        </w:tabs>
        <w:spacing w:after="120"/>
        <w:ind w:left="1134" w:hanging="1134"/>
      </w:pPr>
      <w:r w:rsidRPr="00CF2A2D">
        <w:t xml:space="preserve"> </w:t>
      </w:r>
      <w:r w:rsidRPr="00CF2A2D">
        <w:tab/>
        <w:t xml:space="preserve">II. </w:t>
      </w:r>
      <w:r w:rsidRPr="00CF2A2D">
        <w:tab/>
        <w:t>Adoption de l’ordre du jour (point 1 de l’ordre du jour)</w:t>
      </w:r>
      <w:r w:rsidRPr="00CF2A2D">
        <w:tab/>
      </w:r>
      <w:r w:rsidRPr="00CF2A2D">
        <w:tab/>
        <w:t>7</w:t>
      </w:r>
      <w:r w:rsidRPr="00CF2A2D">
        <w:tab/>
      </w:r>
      <w:r w:rsidR="00A1700C">
        <w:t>4</w:t>
      </w:r>
    </w:p>
    <w:p w:rsidR="00CF1696" w:rsidRPr="00CF2A2D" w:rsidRDefault="00CF1696" w:rsidP="00CF1696">
      <w:pPr>
        <w:tabs>
          <w:tab w:val="right" w:pos="850"/>
          <w:tab w:val="right" w:leader="dot" w:pos="7654"/>
          <w:tab w:val="right" w:pos="8929"/>
          <w:tab w:val="right" w:pos="9638"/>
        </w:tabs>
        <w:spacing w:after="120"/>
        <w:ind w:left="1134" w:hanging="1134"/>
      </w:pPr>
      <w:r w:rsidRPr="00CF2A2D">
        <w:tab/>
        <w:t xml:space="preserve">III. </w:t>
      </w:r>
      <w:r w:rsidRPr="00CF2A2D">
        <w:tab/>
        <w:t xml:space="preserve">Critères de classement et communication des dangers </w:t>
      </w:r>
      <w:r w:rsidRPr="00CF2A2D">
        <w:br/>
        <w:t>(point 2 de l’ordre du jour)</w:t>
      </w:r>
      <w:r w:rsidRPr="00CF2A2D">
        <w:tab/>
      </w:r>
      <w:r w:rsidRPr="00CF2A2D">
        <w:tab/>
        <w:t>8</w:t>
      </w:r>
      <w:r w:rsidR="00A1700C">
        <w:t>–</w:t>
      </w:r>
      <w:r w:rsidRPr="00CF2A2D">
        <w:t>36</w:t>
      </w:r>
      <w:r w:rsidRPr="00CF2A2D">
        <w:tab/>
      </w:r>
      <w:r w:rsidR="00A1700C">
        <w:t>5</w:t>
      </w:r>
    </w:p>
    <w:p w:rsidR="00CF1696" w:rsidRPr="00CF2A2D" w:rsidRDefault="00CF1696" w:rsidP="00CF1696">
      <w:pPr>
        <w:tabs>
          <w:tab w:val="right" w:leader="dot" w:pos="7654"/>
          <w:tab w:val="right" w:pos="8929"/>
          <w:tab w:val="right" w:pos="9638"/>
        </w:tabs>
        <w:spacing w:after="120"/>
        <w:ind w:left="1559" w:hanging="425"/>
      </w:pPr>
      <w:r w:rsidRPr="00CF2A2D">
        <w:t>A.</w:t>
      </w:r>
      <w:r w:rsidRPr="00CF2A2D">
        <w:tab/>
        <w:t xml:space="preserve">Recommandations du Sous-Comité formulées à ses vingt-neuvième, </w:t>
      </w:r>
      <w:r w:rsidRPr="00CF2A2D">
        <w:br/>
        <w:t>trentième et trente et unième sessions</w:t>
      </w:r>
      <w:r w:rsidRPr="00CF2A2D">
        <w:tab/>
      </w:r>
      <w:r w:rsidRPr="00CF2A2D">
        <w:tab/>
        <w:t>8</w:t>
      </w:r>
      <w:r w:rsidR="00A1700C">
        <w:t>–</w:t>
      </w:r>
      <w:r w:rsidRPr="00CF2A2D">
        <w:t>9</w:t>
      </w:r>
      <w:r w:rsidRPr="00CF2A2D">
        <w:tab/>
      </w:r>
      <w:r w:rsidR="00A1700C">
        <w:t>5</w:t>
      </w:r>
    </w:p>
    <w:p w:rsidR="00CF1696" w:rsidRPr="00CF2A2D" w:rsidRDefault="00CF1696" w:rsidP="00CF1696">
      <w:pPr>
        <w:tabs>
          <w:tab w:val="right" w:leader="dot" w:pos="7654"/>
          <w:tab w:val="right" w:pos="8929"/>
          <w:tab w:val="right" w:pos="9638"/>
        </w:tabs>
        <w:spacing w:after="120"/>
        <w:ind w:left="1984" w:hanging="425"/>
      </w:pPr>
      <w:r w:rsidRPr="00CF2A2D">
        <w:t>1.</w:t>
      </w:r>
      <w:r w:rsidRPr="00CF2A2D">
        <w:tab/>
        <w:t xml:space="preserve">Examen des projets d’amendements adoptés par le Sous-Comité </w:t>
      </w:r>
      <w:r w:rsidRPr="00CF2A2D">
        <w:br/>
        <w:t>à ses vingt-neuvième, trentième et trente et unième sessions</w:t>
      </w:r>
      <w:r w:rsidRPr="00CF2A2D">
        <w:tab/>
      </w:r>
      <w:r w:rsidRPr="00CF2A2D">
        <w:tab/>
        <w:t>8</w:t>
      </w:r>
      <w:r w:rsidRPr="00CF2A2D">
        <w:tab/>
      </w:r>
      <w:r w:rsidR="00A1700C">
        <w:t>5</w:t>
      </w:r>
    </w:p>
    <w:p w:rsidR="00CF1696" w:rsidRPr="00CF2A2D" w:rsidRDefault="00CF1696" w:rsidP="00CF1696">
      <w:pPr>
        <w:tabs>
          <w:tab w:val="right" w:leader="dot" w:pos="7654"/>
          <w:tab w:val="right" w:pos="8929"/>
          <w:tab w:val="right" w:pos="9638"/>
        </w:tabs>
        <w:spacing w:after="120"/>
        <w:ind w:left="1984" w:hanging="425"/>
      </w:pPr>
      <w:r w:rsidRPr="00CF2A2D">
        <w:t>2.</w:t>
      </w:r>
      <w:r w:rsidRPr="00CF2A2D">
        <w:tab/>
        <w:t>Définition des explosifs au paragraphe 2.1.1.2 c) du chapitre 2.1</w:t>
      </w:r>
      <w:r w:rsidRPr="00CF2A2D">
        <w:tab/>
      </w:r>
      <w:r w:rsidRPr="00CF2A2D">
        <w:tab/>
        <w:t>9</w:t>
      </w:r>
      <w:r w:rsidRPr="00CF2A2D">
        <w:tab/>
      </w:r>
      <w:r w:rsidR="00A1700C">
        <w:t>5</w:t>
      </w:r>
    </w:p>
    <w:p w:rsidR="00CF1696" w:rsidRPr="00CF2A2D" w:rsidRDefault="00CF1696" w:rsidP="00CF1696">
      <w:pPr>
        <w:tabs>
          <w:tab w:val="right" w:leader="dot" w:pos="7654"/>
          <w:tab w:val="right" w:pos="8929"/>
          <w:tab w:val="right" w:pos="9638"/>
        </w:tabs>
        <w:spacing w:after="120"/>
        <w:ind w:left="1559" w:hanging="425"/>
      </w:pPr>
      <w:r w:rsidRPr="00CF2A2D">
        <w:t>B.</w:t>
      </w:r>
      <w:r w:rsidRPr="00CF2A2D">
        <w:tab/>
        <w:t xml:space="preserve">Travaux du Sous-Comité d’experts du transport des marchandises dangereuses </w:t>
      </w:r>
      <w:r w:rsidRPr="00CF2A2D">
        <w:br/>
        <w:t>(Sous-Comité TMD) sur des questions intéressant le Sous-Comité SGH</w:t>
      </w:r>
      <w:r w:rsidRPr="00CF2A2D">
        <w:tab/>
      </w:r>
      <w:r w:rsidRPr="00CF2A2D">
        <w:tab/>
        <w:t>10</w:t>
      </w:r>
      <w:r w:rsidR="00A1700C">
        <w:t>–</w:t>
      </w:r>
      <w:r w:rsidRPr="00CF2A2D">
        <w:t>25</w:t>
      </w:r>
      <w:r w:rsidRPr="00CF2A2D">
        <w:tab/>
      </w:r>
      <w:r w:rsidR="00A1700C">
        <w:t>5</w:t>
      </w:r>
    </w:p>
    <w:p w:rsidR="00CF1696" w:rsidRPr="00CF2A2D" w:rsidRDefault="00CF1696" w:rsidP="00CF1696">
      <w:pPr>
        <w:tabs>
          <w:tab w:val="right" w:leader="dot" w:pos="7654"/>
          <w:tab w:val="right" w:pos="8929"/>
          <w:tab w:val="right" w:pos="9638"/>
        </w:tabs>
        <w:spacing w:after="120"/>
        <w:ind w:left="1984" w:hanging="425"/>
      </w:pPr>
      <w:r w:rsidRPr="00CF2A2D">
        <w:t>1.</w:t>
      </w:r>
      <w:r w:rsidRPr="00CF2A2D">
        <w:tab/>
        <w:t xml:space="preserve">Critères de classification et communication des dangers </w:t>
      </w:r>
      <w:r w:rsidRPr="00CF2A2D">
        <w:br/>
        <w:t>des gaz inflammables</w:t>
      </w:r>
      <w:r w:rsidRPr="00CF2A2D">
        <w:tab/>
      </w:r>
      <w:r w:rsidRPr="00CF2A2D">
        <w:tab/>
        <w:t>10</w:t>
      </w:r>
      <w:r w:rsidR="00A1700C">
        <w:t>–</w:t>
      </w:r>
      <w:r w:rsidRPr="00CF2A2D">
        <w:t>11</w:t>
      </w:r>
      <w:r w:rsidRPr="00CF2A2D">
        <w:tab/>
      </w:r>
      <w:r w:rsidR="00A1700C">
        <w:t>5</w:t>
      </w:r>
    </w:p>
    <w:p w:rsidR="00CF1696" w:rsidRPr="00CF2A2D" w:rsidRDefault="00CF1696" w:rsidP="00CF1696">
      <w:pPr>
        <w:tabs>
          <w:tab w:val="right" w:leader="dot" w:pos="7654"/>
          <w:tab w:val="right" w:pos="8929"/>
          <w:tab w:val="right" w:pos="9638"/>
        </w:tabs>
        <w:spacing w:after="120"/>
        <w:ind w:left="1984" w:hanging="425"/>
      </w:pPr>
      <w:r w:rsidRPr="00CF2A2D">
        <w:t>2.</w:t>
      </w:r>
      <w:r w:rsidRPr="00CF2A2D">
        <w:tab/>
        <w:t>Classification des liquides inflammables</w:t>
      </w:r>
      <w:r w:rsidRPr="00CF2A2D">
        <w:tab/>
      </w:r>
      <w:r w:rsidRPr="00CF2A2D">
        <w:tab/>
        <w:t>12</w:t>
      </w:r>
      <w:r w:rsidR="00A1700C">
        <w:t>–</w:t>
      </w:r>
      <w:r w:rsidRPr="00CF2A2D">
        <w:t>13</w:t>
      </w:r>
      <w:r w:rsidRPr="00CF2A2D">
        <w:tab/>
      </w:r>
      <w:r w:rsidR="00A1700C">
        <w:t>6</w:t>
      </w:r>
    </w:p>
    <w:p w:rsidR="00CF1696" w:rsidRPr="00CF2A2D" w:rsidRDefault="00CF1696" w:rsidP="00CF1696">
      <w:pPr>
        <w:tabs>
          <w:tab w:val="right" w:leader="dot" w:pos="7654"/>
          <w:tab w:val="right" w:pos="8929"/>
          <w:tab w:val="right" w:pos="9638"/>
        </w:tabs>
        <w:spacing w:after="120"/>
        <w:ind w:left="1984" w:hanging="425"/>
      </w:pPr>
      <w:r w:rsidRPr="00CF2A2D">
        <w:t>3.</w:t>
      </w:r>
      <w:r w:rsidRPr="00CF2A2D">
        <w:tab/>
        <w:t xml:space="preserve">Épreuves et critères pour les matières comburantes </w:t>
      </w:r>
      <w:r w:rsidR="00415A57" w:rsidRPr="00CF2A2D">
        <w:br/>
      </w:r>
      <w:r w:rsidRPr="00CF2A2D">
        <w:t>liquides et solides</w:t>
      </w:r>
      <w:r w:rsidRPr="00CF2A2D">
        <w:tab/>
      </w:r>
      <w:r w:rsidRPr="00CF2A2D">
        <w:tab/>
        <w:t>14</w:t>
      </w:r>
      <w:r w:rsidRPr="00CF2A2D">
        <w:tab/>
      </w:r>
      <w:r w:rsidR="00A1700C">
        <w:t>6</w:t>
      </w:r>
    </w:p>
    <w:p w:rsidR="00CF1696" w:rsidRPr="00CF2A2D" w:rsidRDefault="00CF1696" w:rsidP="00CF1696">
      <w:pPr>
        <w:tabs>
          <w:tab w:val="right" w:leader="dot" w:pos="7654"/>
          <w:tab w:val="right" w:pos="8929"/>
          <w:tab w:val="right" w:pos="9638"/>
        </w:tabs>
        <w:spacing w:after="120"/>
        <w:ind w:left="1984" w:hanging="425"/>
      </w:pPr>
      <w:r w:rsidRPr="00CF2A2D">
        <w:lastRenderedPageBreak/>
        <w:t>4.</w:t>
      </w:r>
      <w:r w:rsidRPr="00CF2A2D">
        <w:tab/>
        <w:t xml:space="preserve">Utilisation du Manuel d’épreuves et de critères </w:t>
      </w:r>
      <w:r w:rsidR="00415A57" w:rsidRPr="00CF2A2D">
        <w:br/>
      </w:r>
      <w:r w:rsidRPr="00CF2A2D">
        <w:t>dans le contexte du SGH</w:t>
      </w:r>
      <w:r w:rsidRPr="00CF2A2D">
        <w:tab/>
      </w:r>
      <w:r w:rsidRPr="00CF2A2D">
        <w:tab/>
        <w:t>15</w:t>
      </w:r>
      <w:r w:rsidR="00A1700C">
        <w:t>–</w:t>
      </w:r>
      <w:r w:rsidRPr="00CF2A2D">
        <w:t>17</w:t>
      </w:r>
      <w:r w:rsidRPr="00CF2A2D">
        <w:tab/>
      </w:r>
      <w:r w:rsidR="00A1700C">
        <w:t>6</w:t>
      </w:r>
    </w:p>
    <w:p w:rsidR="00CF1696" w:rsidRPr="00CF2A2D" w:rsidRDefault="00415A57" w:rsidP="00CF1696">
      <w:pPr>
        <w:tabs>
          <w:tab w:val="right" w:leader="dot" w:pos="7654"/>
          <w:tab w:val="right" w:pos="8929"/>
          <w:tab w:val="right" w:pos="9638"/>
        </w:tabs>
        <w:spacing w:after="120"/>
        <w:ind w:left="1984" w:hanging="425"/>
      </w:pPr>
      <w:r w:rsidRPr="00CF2A2D">
        <w:t>5.</w:t>
      </w:r>
      <w:r w:rsidRPr="00CF2A2D">
        <w:tab/>
        <w:t>Révision du chapitre </w:t>
      </w:r>
      <w:r w:rsidR="00CF1696" w:rsidRPr="00CF2A2D">
        <w:t>2.1 du SGH</w:t>
      </w:r>
      <w:r w:rsidR="00CF1696" w:rsidRPr="00CF2A2D">
        <w:tab/>
      </w:r>
      <w:r w:rsidR="00CF1696" w:rsidRPr="00CF2A2D">
        <w:tab/>
        <w:t>18</w:t>
      </w:r>
      <w:r w:rsidR="00A1700C">
        <w:t>–</w:t>
      </w:r>
      <w:r w:rsidR="00CF1696" w:rsidRPr="00CF2A2D">
        <w:t>21</w:t>
      </w:r>
      <w:r w:rsidR="00CF1696" w:rsidRPr="00CF2A2D">
        <w:tab/>
      </w:r>
      <w:r w:rsidR="00A1700C">
        <w:t>6</w:t>
      </w:r>
    </w:p>
    <w:p w:rsidR="00CF1696" w:rsidRPr="00CF2A2D" w:rsidRDefault="00CF1696" w:rsidP="00CF1696">
      <w:pPr>
        <w:tabs>
          <w:tab w:val="right" w:leader="dot" w:pos="7654"/>
          <w:tab w:val="right" w:pos="8929"/>
          <w:tab w:val="right" w:pos="9638"/>
        </w:tabs>
        <w:spacing w:after="120"/>
        <w:ind w:left="1984" w:hanging="425"/>
      </w:pPr>
      <w:r w:rsidRPr="00CF2A2D">
        <w:t>6.</w:t>
      </w:r>
      <w:r w:rsidRPr="00CF2A2D">
        <w:tab/>
        <w:t>Autres questions intéressant le Sous-Comité</w:t>
      </w:r>
      <w:r w:rsidRPr="00CF2A2D">
        <w:tab/>
      </w:r>
      <w:r w:rsidRPr="00CF2A2D">
        <w:tab/>
        <w:t>22</w:t>
      </w:r>
      <w:r w:rsidR="00A1700C">
        <w:t>–</w:t>
      </w:r>
      <w:r w:rsidRPr="00CF2A2D">
        <w:t>25</w:t>
      </w:r>
      <w:r w:rsidRPr="00CF2A2D">
        <w:tab/>
      </w:r>
      <w:r w:rsidR="00A1700C">
        <w:t>6</w:t>
      </w:r>
    </w:p>
    <w:p w:rsidR="00CF1696" w:rsidRPr="00CF2A2D" w:rsidRDefault="00415A57" w:rsidP="00415A57">
      <w:pPr>
        <w:tabs>
          <w:tab w:val="right" w:leader="dot" w:pos="7654"/>
          <w:tab w:val="right" w:pos="8929"/>
          <w:tab w:val="right" w:pos="9638"/>
        </w:tabs>
        <w:spacing w:after="120"/>
        <w:ind w:left="2410" w:hanging="425"/>
      </w:pPr>
      <w:r w:rsidRPr="00CF2A2D">
        <w:t xml:space="preserve">a) </w:t>
      </w:r>
      <w:r w:rsidRPr="00CF2A2D">
        <w:tab/>
        <w:t>Révision du chapitre </w:t>
      </w:r>
      <w:r w:rsidR="00CF1696" w:rsidRPr="00CF2A2D">
        <w:t xml:space="preserve">2.8 du Règlement type de l’ONU pour </w:t>
      </w:r>
      <w:r w:rsidR="00CF1696" w:rsidRPr="00CF2A2D">
        <w:br/>
        <w:t>le transport des marchandises dangereuses</w:t>
      </w:r>
      <w:r w:rsidR="00CF1696" w:rsidRPr="00CF2A2D">
        <w:tab/>
      </w:r>
      <w:r w:rsidR="00CF1696" w:rsidRPr="00CF2A2D">
        <w:tab/>
        <w:t>22</w:t>
      </w:r>
      <w:r w:rsidR="00A1700C">
        <w:t>–</w:t>
      </w:r>
      <w:r w:rsidR="00CF1696" w:rsidRPr="00CF2A2D">
        <w:t>23</w:t>
      </w:r>
      <w:r w:rsidR="00CF1696" w:rsidRPr="00CF2A2D">
        <w:tab/>
      </w:r>
      <w:r w:rsidR="00A1700C">
        <w:t>7</w:t>
      </w:r>
    </w:p>
    <w:p w:rsidR="00CF1696" w:rsidRPr="00CF2A2D" w:rsidRDefault="00CF1696" w:rsidP="00415A57">
      <w:pPr>
        <w:tabs>
          <w:tab w:val="right" w:leader="dot" w:pos="7654"/>
          <w:tab w:val="right" w:pos="8929"/>
          <w:tab w:val="right" w:pos="9638"/>
        </w:tabs>
        <w:spacing w:after="120"/>
        <w:ind w:left="2410" w:hanging="425"/>
      </w:pPr>
      <w:r w:rsidRPr="00CF2A2D">
        <w:t>b)</w:t>
      </w:r>
      <w:r w:rsidRPr="00CF2A2D">
        <w:tab/>
        <w:t xml:space="preserve">Méthode d’épreuve pour les matières solides facilement </w:t>
      </w:r>
      <w:r w:rsidRPr="00CF2A2D">
        <w:br/>
        <w:t>inflammables (épreuve N.1)</w:t>
      </w:r>
      <w:r w:rsidRPr="00CF2A2D">
        <w:tab/>
      </w:r>
      <w:r w:rsidRPr="00CF2A2D">
        <w:tab/>
        <w:t>24</w:t>
      </w:r>
      <w:r w:rsidR="00A1700C">
        <w:t>–</w:t>
      </w:r>
      <w:r w:rsidRPr="00CF2A2D">
        <w:t>25</w:t>
      </w:r>
      <w:r w:rsidRPr="00CF2A2D">
        <w:tab/>
      </w:r>
      <w:r w:rsidR="00A1700C">
        <w:t>8</w:t>
      </w:r>
    </w:p>
    <w:p w:rsidR="00CF1696" w:rsidRPr="00CF2A2D" w:rsidRDefault="00CF1696" w:rsidP="00CF1696">
      <w:pPr>
        <w:tabs>
          <w:tab w:val="right" w:leader="dot" w:pos="7654"/>
          <w:tab w:val="right" w:pos="8929"/>
          <w:tab w:val="right" w:pos="9638"/>
        </w:tabs>
        <w:spacing w:after="120"/>
        <w:ind w:left="1559" w:hanging="425"/>
      </w:pPr>
      <w:r w:rsidRPr="00CF2A2D">
        <w:t>C.</w:t>
      </w:r>
      <w:r w:rsidRPr="00CF2A2D">
        <w:tab/>
        <w:t>Dangers d’explosions de poussières</w:t>
      </w:r>
      <w:r w:rsidRPr="00CF2A2D">
        <w:tab/>
      </w:r>
      <w:r w:rsidRPr="00CF2A2D">
        <w:tab/>
        <w:t>26</w:t>
      </w:r>
      <w:r w:rsidR="00A1700C">
        <w:t>–</w:t>
      </w:r>
      <w:r w:rsidRPr="00CF2A2D">
        <w:t>27</w:t>
      </w:r>
      <w:r w:rsidRPr="00CF2A2D">
        <w:tab/>
      </w:r>
      <w:r w:rsidR="00A1700C">
        <w:t>8</w:t>
      </w:r>
    </w:p>
    <w:p w:rsidR="00CF1696" w:rsidRPr="00CF2A2D" w:rsidRDefault="00CF1696" w:rsidP="00CF1696">
      <w:pPr>
        <w:tabs>
          <w:tab w:val="right" w:leader="dot" w:pos="7654"/>
          <w:tab w:val="right" w:pos="8929"/>
          <w:tab w:val="right" w:pos="9638"/>
        </w:tabs>
        <w:spacing w:after="120"/>
        <w:ind w:left="1559" w:hanging="425"/>
      </w:pPr>
      <w:r w:rsidRPr="00CF2A2D">
        <w:t>D.</w:t>
      </w:r>
      <w:r w:rsidRPr="00CF2A2D">
        <w:tab/>
        <w:t>Questions pratiques de classement</w:t>
      </w:r>
      <w:r w:rsidRPr="00CF2A2D">
        <w:tab/>
      </w:r>
      <w:r w:rsidRPr="00CF2A2D">
        <w:tab/>
        <w:t>28</w:t>
      </w:r>
      <w:r w:rsidR="00A1700C">
        <w:t>–</w:t>
      </w:r>
      <w:r w:rsidRPr="00CF2A2D">
        <w:t>30</w:t>
      </w:r>
      <w:r w:rsidRPr="00CF2A2D">
        <w:tab/>
      </w:r>
      <w:r w:rsidR="00A1700C">
        <w:t>9</w:t>
      </w:r>
    </w:p>
    <w:p w:rsidR="00CF1696" w:rsidRPr="00CF2A2D" w:rsidRDefault="00CF1696" w:rsidP="00CF1696">
      <w:pPr>
        <w:tabs>
          <w:tab w:val="right" w:leader="dot" w:pos="7654"/>
          <w:tab w:val="right" w:pos="8929"/>
          <w:tab w:val="right" w:pos="9638"/>
        </w:tabs>
        <w:spacing w:after="120"/>
        <w:ind w:left="1559" w:hanging="425"/>
      </w:pPr>
      <w:r w:rsidRPr="00CF2A2D">
        <w:t>E.</w:t>
      </w:r>
      <w:r w:rsidRPr="00CF2A2D">
        <w:tab/>
        <w:t>Danger par aspiration</w:t>
      </w:r>
      <w:r w:rsidRPr="00CF2A2D">
        <w:tab/>
      </w:r>
      <w:r w:rsidRPr="00CF2A2D">
        <w:tab/>
        <w:t>31</w:t>
      </w:r>
      <w:r w:rsidRPr="00CF2A2D">
        <w:tab/>
      </w:r>
      <w:r w:rsidR="00A1700C">
        <w:t>9</w:t>
      </w:r>
    </w:p>
    <w:p w:rsidR="00CF1696" w:rsidRPr="00CF2A2D" w:rsidRDefault="00CF1696" w:rsidP="00CF1696">
      <w:pPr>
        <w:tabs>
          <w:tab w:val="right" w:leader="dot" w:pos="7654"/>
          <w:tab w:val="right" w:pos="8929"/>
          <w:tab w:val="right" w:pos="9638"/>
        </w:tabs>
        <w:spacing w:after="120"/>
        <w:ind w:left="1559" w:hanging="425"/>
      </w:pPr>
      <w:r w:rsidRPr="00CF2A2D">
        <w:t>F.</w:t>
      </w:r>
      <w:r w:rsidRPr="00CF2A2D">
        <w:tab/>
        <w:t>Nanomatériaux</w:t>
      </w:r>
      <w:r w:rsidRPr="00CF2A2D">
        <w:tab/>
      </w:r>
      <w:r w:rsidRPr="00CF2A2D">
        <w:tab/>
        <w:t>32</w:t>
      </w:r>
      <w:r w:rsidRPr="00CF2A2D">
        <w:tab/>
      </w:r>
      <w:r w:rsidR="00A1700C">
        <w:t>9</w:t>
      </w:r>
    </w:p>
    <w:p w:rsidR="00CF1696" w:rsidRPr="00CF2A2D" w:rsidRDefault="00CF1696" w:rsidP="00CF1696">
      <w:pPr>
        <w:tabs>
          <w:tab w:val="right" w:leader="dot" w:pos="7654"/>
          <w:tab w:val="right" w:pos="8929"/>
          <w:tab w:val="right" w:pos="9638"/>
        </w:tabs>
        <w:spacing w:after="120"/>
        <w:ind w:left="1559" w:hanging="425"/>
      </w:pPr>
      <w:r w:rsidRPr="00CF2A2D">
        <w:t>G.</w:t>
      </w:r>
      <w:r w:rsidRPr="00CF2A2D">
        <w:tab/>
        <w:t>Divers</w:t>
      </w:r>
      <w:r w:rsidRPr="00CF2A2D">
        <w:tab/>
      </w:r>
      <w:r w:rsidRPr="00CF2A2D">
        <w:tab/>
        <w:t>33</w:t>
      </w:r>
      <w:r w:rsidR="00A1700C">
        <w:t>–</w:t>
      </w:r>
      <w:r w:rsidRPr="00CF2A2D">
        <w:t>36</w:t>
      </w:r>
      <w:r w:rsidRPr="00CF2A2D">
        <w:tab/>
      </w:r>
      <w:r w:rsidR="00A1700C">
        <w:t>9</w:t>
      </w:r>
    </w:p>
    <w:p w:rsidR="00CF1696" w:rsidRPr="00CF2A2D" w:rsidRDefault="00CF1696" w:rsidP="00CF1696">
      <w:pPr>
        <w:tabs>
          <w:tab w:val="right" w:leader="dot" w:pos="7654"/>
          <w:tab w:val="right" w:pos="8929"/>
          <w:tab w:val="right" w:pos="9638"/>
        </w:tabs>
        <w:spacing w:after="120"/>
        <w:ind w:left="1984" w:hanging="425"/>
      </w:pPr>
      <w:r w:rsidRPr="00CF2A2D">
        <w:t>1.</w:t>
      </w:r>
      <w:r w:rsidRPr="00CF2A2D">
        <w:tab/>
        <w:t>Produits chimiques sous pression</w:t>
      </w:r>
      <w:r w:rsidRPr="00CF2A2D">
        <w:tab/>
      </w:r>
      <w:r w:rsidRPr="00CF2A2D">
        <w:tab/>
        <w:t>33</w:t>
      </w:r>
      <w:r w:rsidR="00A1700C">
        <w:t>–</w:t>
      </w:r>
      <w:r w:rsidRPr="00CF2A2D">
        <w:t>35</w:t>
      </w:r>
      <w:r w:rsidRPr="00CF2A2D">
        <w:tab/>
      </w:r>
      <w:r w:rsidR="00A1700C">
        <w:t>9</w:t>
      </w:r>
    </w:p>
    <w:p w:rsidR="00CF1696" w:rsidRPr="00CF2A2D" w:rsidRDefault="00CF1696" w:rsidP="00CF1696">
      <w:pPr>
        <w:tabs>
          <w:tab w:val="right" w:leader="dot" w:pos="7654"/>
          <w:tab w:val="right" w:pos="8929"/>
          <w:tab w:val="right" w:pos="9638"/>
        </w:tabs>
        <w:spacing w:after="120"/>
        <w:ind w:left="1984" w:hanging="425"/>
      </w:pPr>
      <w:r w:rsidRPr="00CF2A2D">
        <w:t xml:space="preserve">2. </w:t>
      </w:r>
      <w:r w:rsidRPr="00CF2A2D">
        <w:tab/>
        <w:t xml:space="preserve">Utilisation de méthodes d’expérimentation sans recours </w:t>
      </w:r>
      <w:r w:rsidR="00415A57" w:rsidRPr="00CF2A2D">
        <w:br/>
      </w:r>
      <w:r w:rsidRPr="00CF2A2D">
        <w:t>à des animaux pour la classification des dangers pour la santé</w:t>
      </w:r>
      <w:r w:rsidRPr="00CF2A2D">
        <w:tab/>
      </w:r>
      <w:r w:rsidRPr="00CF2A2D">
        <w:tab/>
        <w:t>36</w:t>
      </w:r>
      <w:r w:rsidRPr="00CF2A2D">
        <w:tab/>
      </w:r>
      <w:r w:rsidR="00A1700C">
        <w:t>10</w:t>
      </w:r>
    </w:p>
    <w:p w:rsidR="00CF1696" w:rsidRPr="00CF2A2D" w:rsidRDefault="00CF1696" w:rsidP="00CF1696">
      <w:pPr>
        <w:tabs>
          <w:tab w:val="right" w:pos="850"/>
          <w:tab w:val="right" w:leader="dot" w:pos="7654"/>
          <w:tab w:val="right" w:pos="8929"/>
          <w:tab w:val="right" w:pos="9638"/>
        </w:tabs>
        <w:spacing w:after="120"/>
        <w:ind w:left="1134" w:hanging="1134"/>
      </w:pPr>
      <w:r w:rsidRPr="00CF2A2D">
        <w:tab/>
        <w:t>IV.</w:t>
      </w:r>
      <w:r w:rsidRPr="00CF2A2D">
        <w:tab/>
        <w:t>Questions relatives à la commun</w:t>
      </w:r>
      <w:r w:rsidR="00415A57" w:rsidRPr="00CF2A2D">
        <w:t xml:space="preserve">ication des dangers </w:t>
      </w:r>
      <w:r w:rsidR="00415A57" w:rsidRPr="00CF2A2D">
        <w:br/>
        <w:t>(point </w:t>
      </w:r>
      <w:r w:rsidRPr="00CF2A2D">
        <w:t>3 de l’ordre du jour)</w:t>
      </w:r>
      <w:r w:rsidRPr="00CF2A2D">
        <w:tab/>
      </w:r>
      <w:r w:rsidRPr="00CF2A2D">
        <w:tab/>
        <w:t>37</w:t>
      </w:r>
      <w:r w:rsidR="00A1700C">
        <w:t>–</w:t>
      </w:r>
      <w:r w:rsidRPr="00CF2A2D">
        <w:t>51</w:t>
      </w:r>
      <w:r w:rsidRPr="00CF2A2D">
        <w:tab/>
      </w:r>
      <w:r w:rsidR="00A1700C">
        <w:t>10</w:t>
      </w:r>
    </w:p>
    <w:p w:rsidR="00CF1696" w:rsidRPr="00CF2A2D" w:rsidRDefault="00CF1696" w:rsidP="00F332D6">
      <w:pPr>
        <w:keepNext/>
        <w:keepLines/>
        <w:tabs>
          <w:tab w:val="right" w:leader="dot" w:pos="7654"/>
          <w:tab w:val="right" w:pos="8929"/>
          <w:tab w:val="right" w:pos="9638"/>
        </w:tabs>
        <w:spacing w:after="120"/>
        <w:ind w:left="1559" w:hanging="425"/>
      </w:pPr>
      <w:r w:rsidRPr="00CF2A2D">
        <w:t>A.</w:t>
      </w:r>
      <w:r w:rsidRPr="00CF2A2D">
        <w:tab/>
        <w:t>É</w:t>
      </w:r>
      <w:r w:rsidR="00F332D6" w:rsidRPr="00CF2A2D">
        <w:t>tiquetage des petits emballages</w:t>
      </w:r>
      <w:r w:rsidRPr="00CF2A2D">
        <w:tab/>
      </w:r>
      <w:r w:rsidRPr="00CF2A2D">
        <w:tab/>
        <w:t>37</w:t>
      </w:r>
      <w:r w:rsidR="00A1700C">
        <w:t>–</w:t>
      </w:r>
      <w:r w:rsidRPr="00CF2A2D">
        <w:t>38</w:t>
      </w:r>
      <w:r w:rsidRPr="00CF2A2D">
        <w:tab/>
      </w:r>
      <w:r w:rsidR="00A1700C">
        <w:t>10</w:t>
      </w:r>
    </w:p>
    <w:p w:rsidR="00CF1696" w:rsidRPr="00CF2A2D" w:rsidRDefault="00CF1696" w:rsidP="00CF1696">
      <w:pPr>
        <w:tabs>
          <w:tab w:val="right" w:leader="dot" w:pos="7654"/>
          <w:tab w:val="right" w:pos="8929"/>
          <w:tab w:val="right" w:pos="9638"/>
        </w:tabs>
        <w:spacing w:after="120"/>
        <w:ind w:left="1984" w:hanging="425"/>
      </w:pPr>
      <w:r w:rsidRPr="00CF2A2D">
        <w:t>1.</w:t>
      </w:r>
      <w:r w:rsidRPr="00CF2A2D">
        <w:tab/>
        <w:t>Exemple d’étiquette dépliable</w:t>
      </w:r>
      <w:r w:rsidRPr="00CF2A2D">
        <w:tab/>
      </w:r>
      <w:r w:rsidRPr="00CF2A2D">
        <w:tab/>
        <w:t>37</w:t>
      </w:r>
      <w:r w:rsidRPr="00CF2A2D">
        <w:tab/>
      </w:r>
      <w:r w:rsidR="00A1700C">
        <w:t>10</w:t>
      </w:r>
    </w:p>
    <w:p w:rsidR="00CF1696" w:rsidRPr="00CF2A2D" w:rsidRDefault="00CF1696" w:rsidP="00CF1696">
      <w:pPr>
        <w:tabs>
          <w:tab w:val="right" w:leader="dot" w:pos="7654"/>
          <w:tab w:val="right" w:pos="8929"/>
          <w:tab w:val="right" w:pos="9638"/>
        </w:tabs>
        <w:spacing w:after="120"/>
        <w:ind w:left="1984" w:hanging="425"/>
      </w:pPr>
      <w:r w:rsidRPr="00CF2A2D">
        <w:t xml:space="preserve">2. </w:t>
      </w:r>
      <w:r w:rsidRPr="00CF2A2D">
        <w:tab/>
        <w:t>Élaboration d’exemples d’ensembles et kits</w:t>
      </w:r>
      <w:r w:rsidRPr="00CF2A2D">
        <w:tab/>
      </w:r>
      <w:r w:rsidRPr="00CF2A2D">
        <w:tab/>
        <w:t>38</w:t>
      </w:r>
      <w:r w:rsidRPr="00CF2A2D">
        <w:tab/>
      </w:r>
      <w:r w:rsidR="00A1700C">
        <w:t>10</w:t>
      </w:r>
    </w:p>
    <w:p w:rsidR="00CF1696" w:rsidRPr="00CF2A2D" w:rsidRDefault="00F332D6" w:rsidP="00F332D6">
      <w:pPr>
        <w:keepNext/>
        <w:keepLines/>
        <w:tabs>
          <w:tab w:val="right" w:leader="dot" w:pos="7654"/>
          <w:tab w:val="right" w:pos="8929"/>
          <w:tab w:val="right" w:pos="9638"/>
        </w:tabs>
        <w:spacing w:after="120"/>
        <w:ind w:left="1559" w:hanging="425"/>
      </w:pPr>
      <w:r w:rsidRPr="00CF2A2D">
        <w:t>B.</w:t>
      </w:r>
      <w:r w:rsidRPr="00CF2A2D">
        <w:tab/>
        <w:t>Amélioration des annexes </w:t>
      </w:r>
      <w:r w:rsidR="00CF1696" w:rsidRPr="00CF2A2D">
        <w:t>1 à</w:t>
      </w:r>
      <w:r w:rsidRPr="00CF2A2D">
        <w:t> </w:t>
      </w:r>
      <w:r w:rsidR="00CF1696" w:rsidRPr="00CF2A2D">
        <w:t xml:space="preserve">3 et poursuite de la rationalisation </w:t>
      </w:r>
      <w:r w:rsidR="00CF1696" w:rsidRPr="00CF2A2D">
        <w:br/>
        <w:t xml:space="preserve">des conseils de prudence </w:t>
      </w:r>
      <w:r w:rsidR="00CF1696" w:rsidRPr="00CF2A2D">
        <w:tab/>
      </w:r>
      <w:r w:rsidR="00CF1696" w:rsidRPr="00CF2A2D">
        <w:tab/>
        <w:t>39</w:t>
      </w:r>
      <w:r w:rsidR="00A1700C">
        <w:t>–</w:t>
      </w:r>
      <w:r w:rsidR="00CF1696" w:rsidRPr="00CF2A2D">
        <w:t>44</w:t>
      </w:r>
      <w:r w:rsidR="00CF1696" w:rsidRPr="00CF2A2D">
        <w:tab/>
      </w:r>
      <w:r w:rsidR="00A1700C">
        <w:t>10</w:t>
      </w:r>
    </w:p>
    <w:p w:rsidR="00CF1696" w:rsidRPr="00CF2A2D" w:rsidRDefault="00CF1696" w:rsidP="00CF1696">
      <w:pPr>
        <w:tabs>
          <w:tab w:val="right" w:leader="dot" w:pos="7654"/>
          <w:tab w:val="right" w:pos="8929"/>
          <w:tab w:val="right" w:pos="9638"/>
        </w:tabs>
        <w:spacing w:after="120"/>
        <w:ind w:left="1984" w:hanging="425"/>
      </w:pPr>
      <w:r w:rsidRPr="00CF2A2D">
        <w:t>1.</w:t>
      </w:r>
      <w:r w:rsidRPr="00CF2A2D">
        <w:tab/>
        <w:t>Travaux du groupe de travail informel par correspondance</w:t>
      </w:r>
      <w:r w:rsidRPr="00CF2A2D">
        <w:tab/>
      </w:r>
      <w:r w:rsidRPr="00CF2A2D">
        <w:tab/>
        <w:t>39</w:t>
      </w:r>
      <w:r w:rsidR="00A1700C">
        <w:t>–</w:t>
      </w:r>
      <w:r w:rsidRPr="00CF2A2D">
        <w:t>41</w:t>
      </w:r>
      <w:r w:rsidRPr="00CF2A2D">
        <w:tab/>
      </w:r>
      <w:r w:rsidR="00A1700C">
        <w:t>10</w:t>
      </w:r>
    </w:p>
    <w:p w:rsidR="00CF1696" w:rsidRPr="00CF2A2D" w:rsidRDefault="00CF1696" w:rsidP="00CF1696">
      <w:pPr>
        <w:tabs>
          <w:tab w:val="right" w:leader="dot" w:pos="7654"/>
          <w:tab w:val="right" w:pos="8929"/>
          <w:tab w:val="right" w:pos="9638"/>
        </w:tabs>
        <w:spacing w:after="120"/>
        <w:ind w:left="1984" w:hanging="425"/>
      </w:pPr>
      <w:r w:rsidRPr="00CF2A2D">
        <w:t>2.</w:t>
      </w:r>
      <w:r w:rsidRPr="00CF2A2D">
        <w:tab/>
        <w:t xml:space="preserve">Conseils de prudence (consultation d’un médecin </w:t>
      </w:r>
      <w:r w:rsidR="00415A57" w:rsidRPr="00CF2A2D">
        <w:br/>
      </w:r>
      <w:r w:rsidRPr="00CF2A2D">
        <w:t>ou soins médicaux)</w:t>
      </w:r>
      <w:r w:rsidRPr="00CF2A2D">
        <w:tab/>
      </w:r>
      <w:r w:rsidRPr="00CF2A2D">
        <w:tab/>
        <w:t>42</w:t>
      </w:r>
      <w:r w:rsidR="00A1700C">
        <w:t>–</w:t>
      </w:r>
      <w:r w:rsidRPr="00CF2A2D">
        <w:t>44</w:t>
      </w:r>
      <w:r w:rsidRPr="00CF2A2D">
        <w:tab/>
      </w:r>
      <w:r w:rsidR="00A1700C">
        <w:t>11</w:t>
      </w:r>
    </w:p>
    <w:p w:rsidR="00CF1696" w:rsidRPr="00CF2A2D" w:rsidRDefault="00415A57" w:rsidP="00F332D6">
      <w:pPr>
        <w:keepNext/>
        <w:keepLines/>
        <w:tabs>
          <w:tab w:val="right" w:leader="dot" w:pos="7654"/>
          <w:tab w:val="right" w:pos="8929"/>
          <w:tab w:val="right" w:pos="9638"/>
        </w:tabs>
        <w:spacing w:after="120"/>
        <w:ind w:left="1559" w:hanging="425"/>
      </w:pPr>
      <w:r w:rsidRPr="00CF2A2D">
        <w:t>C.</w:t>
      </w:r>
      <w:r w:rsidRPr="00CF2A2D">
        <w:tab/>
        <w:t>Divers</w:t>
      </w:r>
      <w:r w:rsidR="00CF1696" w:rsidRPr="00CF2A2D">
        <w:tab/>
      </w:r>
      <w:r w:rsidR="00CF1696" w:rsidRPr="00CF2A2D">
        <w:tab/>
        <w:t>45</w:t>
      </w:r>
      <w:r w:rsidR="00A1700C">
        <w:t>–</w:t>
      </w:r>
      <w:r w:rsidR="00CF1696" w:rsidRPr="00CF2A2D">
        <w:t>51</w:t>
      </w:r>
      <w:r w:rsidR="00CF1696" w:rsidRPr="00CF2A2D">
        <w:tab/>
      </w:r>
      <w:r w:rsidR="00A1700C">
        <w:t>11</w:t>
      </w:r>
    </w:p>
    <w:p w:rsidR="00CF1696" w:rsidRPr="00CF2A2D" w:rsidRDefault="00CF1696" w:rsidP="00CF1696">
      <w:pPr>
        <w:tabs>
          <w:tab w:val="right" w:leader="dot" w:pos="7654"/>
          <w:tab w:val="right" w:pos="8929"/>
          <w:tab w:val="right" w:pos="9638"/>
        </w:tabs>
        <w:spacing w:after="120"/>
        <w:ind w:left="1984" w:hanging="425"/>
      </w:pPr>
      <w:r w:rsidRPr="00CF2A2D">
        <w:t>1.</w:t>
      </w:r>
      <w:r w:rsidRPr="00CF2A2D">
        <w:tab/>
        <w:t>Amendements au p</w:t>
      </w:r>
      <w:r w:rsidR="00F332D6" w:rsidRPr="00CF2A2D">
        <w:t>aragraphe A4.3.14.7 de l’annexe </w:t>
      </w:r>
      <w:r w:rsidRPr="00CF2A2D">
        <w:t>4</w:t>
      </w:r>
      <w:r w:rsidRPr="00CF2A2D">
        <w:tab/>
      </w:r>
      <w:r w:rsidRPr="00CF2A2D">
        <w:tab/>
        <w:t>45</w:t>
      </w:r>
      <w:r w:rsidRPr="00CF2A2D">
        <w:tab/>
      </w:r>
      <w:r w:rsidR="00A1700C">
        <w:t>11</w:t>
      </w:r>
    </w:p>
    <w:p w:rsidR="00CF1696" w:rsidRPr="00CF2A2D" w:rsidRDefault="00CF1696" w:rsidP="00CF1696">
      <w:pPr>
        <w:tabs>
          <w:tab w:val="right" w:leader="dot" w:pos="7654"/>
          <w:tab w:val="right" w:pos="8929"/>
          <w:tab w:val="right" w:pos="9638"/>
        </w:tabs>
        <w:spacing w:after="120"/>
        <w:ind w:left="1984" w:hanging="425"/>
      </w:pPr>
      <w:r w:rsidRPr="00CF2A2D">
        <w:t>2.</w:t>
      </w:r>
      <w:r w:rsidRPr="00CF2A2D">
        <w:tab/>
        <w:t>Amendements au pa</w:t>
      </w:r>
      <w:r w:rsidR="00F332D6" w:rsidRPr="00CF2A2D">
        <w:t>ragraphe A4.3.3.2.3 de l’annexe </w:t>
      </w:r>
      <w:r w:rsidRPr="00CF2A2D">
        <w:t>4</w:t>
      </w:r>
      <w:r w:rsidRPr="00CF2A2D">
        <w:tab/>
      </w:r>
      <w:r w:rsidRPr="00CF2A2D">
        <w:tab/>
        <w:t>46</w:t>
      </w:r>
      <w:r w:rsidR="00A1700C">
        <w:t>–</w:t>
      </w:r>
      <w:r w:rsidRPr="00CF2A2D">
        <w:t>48</w:t>
      </w:r>
      <w:r w:rsidRPr="00CF2A2D">
        <w:tab/>
      </w:r>
      <w:r w:rsidR="00A1700C">
        <w:t>11</w:t>
      </w:r>
    </w:p>
    <w:p w:rsidR="00CF1696" w:rsidRPr="00CF2A2D" w:rsidRDefault="00CF1696" w:rsidP="00CF1696">
      <w:pPr>
        <w:tabs>
          <w:tab w:val="right" w:leader="dot" w:pos="7654"/>
          <w:tab w:val="right" w:pos="8929"/>
          <w:tab w:val="right" w:pos="9638"/>
        </w:tabs>
        <w:spacing w:after="120"/>
        <w:ind w:left="1984" w:hanging="425"/>
      </w:pPr>
      <w:r w:rsidRPr="00CF2A2D">
        <w:t>3.</w:t>
      </w:r>
      <w:r w:rsidRPr="00CF2A2D">
        <w:tab/>
        <w:t>Exemples de pictogramme</w:t>
      </w:r>
      <w:r w:rsidR="00415A57" w:rsidRPr="00CF2A2D">
        <w:t>s de mise en garde à la section </w:t>
      </w:r>
      <w:r w:rsidRPr="00CF2A2D">
        <w:t xml:space="preserve">5 </w:t>
      </w:r>
      <w:r w:rsidR="00415A57" w:rsidRPr="00CF2A2D">
        <w:br/>
        <w:t>de l’annexe </w:t>
      </w:r>
      <w:r w:rsidRPr="00CF2A2D">
        <w:t>3</w:t>
      </w:r>
      <w:r w:rsidRPr="00CF2A2D">
        <w:tab/>
      </w:r>
      <w:r w:rsidRPr="00CF2A2D">
        <w:tab/>
        <w:t>49</w:t>
      </w:r>
      <w:r w:rsidRPr="00CF2A2D">
        <w:tab/>
      </w:r>
      <w:r w:rsidR="00A1700C">
        <w:t>12</w:t>
      </w:r>
    </w:p>
    <w:p w:rsidR="00CF1696" w:rsidRPr="00CF2A2D" w:rsidRDefault="00CF1696" w:rsidP="00CF1696">
      <w:pPr>
        <w:tabs>
          <w:tab w:val="right" w:leader="dot" w:pos="7654"/>
          <w:tab w:val="right" w:pos="8929"/>
          <w:tab w:val="right" w:pos="9638"/>
        </w:tabs>
        <w:spacing w:after="120"/>
        <w:ind w:left="1984" w:hanging="425"/>
      </w:pPr>
      <w:r w:rsidRPr="00CF2A2D">
        <w:t>4.</w:t>
      </w:r>
      <w:r w:rsidRPr="00CF2A2D">
        <w:tab/>
        <w:t>Présentation de l’information sur les fiches de données de sécurité</w:t>
      </w:r>
      <w:r w:rsidRPr="00CF2A2D">
        <w:tab/>
      </w:r>
      <w:r w:rsidRPr="00CF2A2D">
        <w:tab/>
        <w:t>50</w:t>
      </w:r>
      <w:r w:rsidR="00A1700C">
        <w:t>–</w:t>
      </w:r>
      <w:r w:rsidRPr="00CF2A2D">
        <w:t>51</w:t>
      </w:r>
      <w:r w:rsidRPr="00CF2A2D">
        <w:tab/>
      </w:r>
      <w:r w:rsidR="00A1700C">
        <w:t>12</w:t>
      </w:r>
    </w:p>
    <w:p w:rsidR="00CF1696" w:rsidRPr="00CF2A2D" w:rsidRDefault="00CF1696" w:rsidP="00415A57">
      <w:pPr>
        <w:keepNext/>
        <w:keepLines/>
        <w:tabs>
          <w:tab w:val="right" w:pos="850"/>
          <w:tab w:val="right" w:leader="dot" w:pos="7654"/>
          <w:tab w:val="right" w:pos="8929"/>
          <w:tab w:val="right" w:pos="9638"/>
        </w:tabs>
        <w:spacing w:after="120"/>
        <w:ind w:left="1134" w:hanging="1134"/>
      </w:pPr>
      <w:r w:rsidRPr="00CF2A2D">
        <w:tab/>
        <w:t>V.</w:t>
      </w:r>
      <w:r w:rsidRPr="00CF2A2D">
        <w:tab/>
        <w:t>Mise en œuvre du SGH (poi</w:t>
      </w:r>
      <w:r w:rsidR="00F332D6" w:rsidRPr="00CF2A2D">
        <w:t>nt </w:t>
      </w:r>
      <w:r w:rsidRPr="00CF2A2D">
        <w:t>4 de l’ordre du jour)</w:t>
      </w:r>
      <w:r w:rsidRPr="00CF2A2D">
        <w:tab/>
      </w:r>
      <w:r w:rsidRPr="00CF2A2D">
        <w:tab/>
        <w:t>52</w:t>
      </w:r>
      <w:r w:rsidR="00A1700C">
        <w:t>–</w:t>
      </w:r>
      <w:r w:rsidRPr="00CF2A2D">
        <w:t>63</w:t>
      </w:r>
      <w:r w:rsidRPr="00CF2A2D">
        <w:tab/>
      </w:r>
      <w:r w:rsidR="00A1700C">
        <w:t>12</w:t>
      </w:r>
    </w:p>
    <w:p w:rsidR="00CF1696" w:rsidRPr="00CF2A2D" w:rsidRDefault="00CF1696" w:rsidP="00CF1696">
      <w:pPr>
        <w:tabs>
          <w:tab w:val="right" w:leader="dot" w:pos="7654"/>
          <w:tab w:val="right" w:pos="8929"/>
          <w:tab w:val="right" w:pos="9638"/>
        </w:tabs>
        <w:spacing w:after="120"/>
        <w:ind w:left="1559" w:hanging="425"/>
      </w:pPr>
      <w:r w:rsidRPr="00CF2A2D">
        <w:t>A.</w:t>
      </w:r>
      <w:r w:rsidRPr="00CF2A2D">
        <w:tab/>
        <w:t>Élaboration d’une liste des produits chimiqu</w:t>
      </w:r>
      <w:r w:rsidR="00415A57" w:rsidRPr="00CF2A2D">
        <w:t xml:space="preserve">es classés </w:t>
      </w:r>
      <w:r w:rsidR="00415A57" w:rsidRPr="00CF2A2D">
        <w:br/>
        <w:t>conformément au SGH</w:t>
      </w:r>
      <w:r w:rsidR="00415A57" w:rsidRPr="00CF2A2D">
        <w:tab/>
      </w:r>
      <w:r w:rsidR="00415A57" w:rsidRPr="00CF2A2D">
        <w:tab/>
      </w:r>
      <w:r w:rsidRPr="00CF2A2D">
        <w:t>52</w:t>
      </w:r>
      <w:r w:rsidR="00A1700C">
        <w:t>–</w:t>
      </w:r>
      <w:r w:rsidRPr="00CF2A2D">
        <w:t>53</w:t>
      </w:r>
      <w:r w:rsidRPr="00CF2A2D">
        <w:tab/>
      </w:r>
      <w:r w:rsidR="00A1700C">
        <w:t>12</w:t>
      </w:r>
    </w:p>
    <w:p w:rsidR="00CF1696" w:rsidRPr="00CF2A2D" w:rsidRDefault="00CF1696" w:rsidP="00415A57">
      <w:pPr>
        <w:keepNext/>
        <w:keepLines/>
        <w:tabs>
          <w:tab w:val="right" w:leader="dot" w:pos="7654"/>
          <w:tab w:val="right" w:pos="8929"/>
          <w:tab w:val="right" w:pos="9638"/>
        </w:tabs>
        <w:spacing w:after="120"/>
        <w:ind w:left="1559" w:hanging="425"/>
      </w:pPr>
      <w:r w:rsidRPr="00CF2A2D">
        <w:t>B.</w:t>
      </w:r>
      <w:r w:rsidRPr="00CF2A2D">
        <w:tab/>
        <w:t>Rapports sur l’état d’avancement de la mise en œuvre</w:t>
      </w:r>
      <w:r w:rsidRPr="00CF2A2D">
        <w:tab/>
      </w:r>
      <w:r w:rsidRPr="00CF2A2D">
        <w:tab/>
        <w:t>54</w:t>
      </w:r>
      <w:r w:rsidR="00A1700C">
        <w:t>–</w:t>
      </w:r>
      <w:r w:rsidRPr="00CF2A2D">
        <w:t>61</w:t>
      </w:r>
      <w:r w:rsidRPr="00CF2A2D">
        <w:tab/>
      </w:r>
      <w:r w:rsidR="00A1700C">
        <w:t>13</w:t>
      </w:r>
    </w:p>
    <w:p w:rsidR="00CF1696" w:rsidRPr="00CF2A2D" w:rsidRDefault="00CF1696" w:rsidP="00CF1696">
      <w:pPr>
        <w:tabs>
          <w:tab w:val="right" w:leader="dot" w:pos="7654"/>
          <w:tab w:val="right" w:pos="8929"/>
          <w:tab w:val="right" w:pos="9638"/>
        </w:tabs>
        <w:spacing w:after="120"/>
        <w:ind w:left="1984" w:hanging="425"/>
      </w:pPr>
      <w:r w:rsidRPr="00CF2A2D">
        <w:t>1.</w:t>
      </w:r>
      <w:r w:rsidRPr="00CF2A2D">
        <w:tab/>
        <w:t xml:space="preserve">Informations sur l’état d’avancement de la mise en œuvre </w:t>
      </w:r>
      <w:r w:rsidRPr="00CF2A2D">
        <w:br/>
        <w:t>à l’échelle mondiale</w:t>
      </w:r>
      <w:r w:rsidRPr="00CF2A2D">
        <w:tab/>
      </w:r>
      <w:r w:rsidRPr="00CF2A2D">
        <w:tab/>
        <w:t>54</w:t>
      </w:r>
      <w:r w:rsidRPr="00CF2A2D">
        <w:tab/>
      </w:r>
      <w:r w:rsidR="00A1700C">
        <w:t>13</w:t>
      </w:r>
    </w:p>
    <w:p w:rsidR="00CF1696" w:rsidRPr="00CF2A2D" w:rsidRDefault="00CF1696" w:rsidP="00CF1696">
      <w:pPr>
        <w:tabs>
          <w:tab w:val="right" w:leader="dot" w:pos="7654"/>
          <w:tab w:val="right" w:pos="8929"/>
          <w:tab w:val="right" w:pos="9638"/>
        </w:tabs>
        <w:spacing w:after="120"/>
        <w:ind w:left="1984" w:hanging="425"/>
      </w:pPr>
      <w:r w:rsidRPr="00CF2A2D">
        <w:t>2.</w:t>
      </w:r>
      <w:r w:rsidRPr="00CF2A2D">
        <w:tab/>
        <w:t>Canada</w:t>
      </w:r>
      <w:r w:rsidRPr="00CF2A2D">
        <w:tab/>
      </w:r>
      <w:r w:rsidRPr="00CF2A2D">
        <w:tab/>
        <w:t>55</w:t>
      </w:r>
      <w:r w:rsidRPr="00CF2A2D">
        <w:tab/>
      </w:r>
      <w:r w:rsidR="00A1700C">
        <w:t>13</w:t>
      </w:r>
    </w:p>
    <w:p w:rsidR="00CF1696" w:rsidRPr="00CF2A2D" w:rsidRDefault="00CF1696" w:rsidP="00CF1696">
      <w:pPr>
        <w:tabs>
          <w:tab w:val="right" w:leader="dot" w:pos="7654"/>
          <w:tab w:val="right" w:pos="8929"/>
          <w:tab w:val="right" w:pos="9638"/>
        </w:tabs>
        <w:spacing w:after="120"/>
        <w:ind w:left="1984" w:hanging="425"/>
      </w:pPr>
      <w:r w:rsidRPr="00CF2A2D">
        <w:lastRenderedPageBreak/>
        <w:t>3.</w:t>
      </w:r>
      <w:r w:rsidRPr="00CF2A2D">
        <w:tab/>
        <w:t>Fédération de Russie</w:t>
      </w:r>
      <w:r w:rsidRPr="00CF2A2D">
        <w:tab/>
      </w:r>
      <w:r w:rsidRPr="00CF2A2D">
        <w:tab/>
        <w:t>56</w:t>
      </w:r>
      <w:r w:rsidRPr="00CF2A2D">
        <w:tab/>
      </w:r>
      <w:r w:rsidR="00A1700C">
        <w:t>13</w:t>
      </w:r>
    </w:p>
    <w:p w:rsidR="00CF1696" w:rsidRPr="00CF2A2D" w:rsidRDefault="00CF1696" w:rsidP="00CF1696">
      <w:pPr>
        <w:tabs>
          <w:tab w:val="right" w:leader="dot" w:pos="7654"/>
          <w:tab w:val="right" w:pos="8929"/>
          <w:tab w:val="right" w:pos="9638"/>
        </w:tabs>
        <w:spacing w:after="120"/>
        <w:ind w:left="1984" w:hanging="425"/>
      </w:pPr>
      <w:r w:rsidRPr="00CF2A2D">
        <w:t>4.</w:t>
      </w:r>
      <w:r w:rsidRPr="00CF2A2D">
        <w:tab/>
        <w:t>Afrique du Sud</w:t>
      </w:r>
      <w:r w:rsidRPr="00CF2A2D">
        <w:tab/>
      </w:r>
      <w:r w:rsidRPr="00CF2A2D">
        <w:tab/>
        <w:t>57</w:t>
      </w:r>
      <w:r w:rsidRPr="00CF2A2D">
        <w:tab/>
      </w:r>
      <w:r w:rsidR="00A1700C">
        <w:t>13</w:t>
      </w:r>
    </w:p>
    <w:p w:rsidR="00CF1696" w:rsidRPr="00CF2A2D" w:rsidRDefault="00CF1696" w:rsidP="00CF1696">
      <w:pPr>
        <w:tabs>
          <w:tab w:val="right" w:leader="dot" w:pos="7654"/>
          <w:tab w:val="right" w:pos="8929"/>
          <w:tab w:val="right" w:pos="9638"/>
        </w:tabs>
        <w:spacing w:after="120"/>
        <w:ind w:left="1984" w:hanging="425"/>
      </w:pPr>
      <w:r w:rsidRPr="00CF2A2D">
        <w:t>5.</w:t>
      </w:r>
      <w:r w:rsidRPr="00CF2A2D">
        <w:tab/>
        <w:t>Australie</w:t>
      </w:r>
      <w:r w:rsidRPr="00CF2A2D">
        <w:tab/>
      </w:r>
      <w:r w:rsidRPr="00CF2A2D">
        <w:tab/>
        <w:t>58</w:t>
      </w:r>
      <w:r w:rsidR="00A1700C">
        <w:t>–</w:t>
      </w:r>
      <w:r w:rsidRPr="00CF2A2D">
        <w:t>61</w:t>
      </w:r>
      <w:r w:rsidRPr="00CF2A2D">
        <w:tab/>
      </w:r>
      <w:r w:rsidR="00A1700C">
        <w:t>13</w:t>
      </w:r>
    </w:p>
    <w:p w:rsidR="00CF1696" w:rsidRPr="00CF2A2D" w:rsidRDefault="00CF1696" w:rsidP="00CF1696">
      <w:pPr>
        <w:tabs>
          <w:tab w:val="right" w:leader="dot" w:pos="7654"/>
          <w:tab w:val="right" w:pos="8929"/>
          <w:tab w:val="right" w:pos="9638"/>
        </w:tabs>
        <w:spacing w:after="120"/>
        <w:ind w:left="1559" w:hanging="425"/>
      </w:pPr>
      <w:r w:rsidRPr="00CF2A2D">
        <w:t>C.</w:t>
      </w:r>
      <w:r w:rsidRPr="00CF2A2D">
        <w:tab/>
        <w:t>Coopération avec d’autres organes ou organisations internationales</w:t>
      </w:r>
      <w:r w:rsidRPr="00CF2A2D">
        <w:tab/>
      </w:r>
      <w:r w:rsidRPr="00CF2A2D">
        <w:tab/>
        <w:t>62</w:t>
      </w:r>
      <w:r w:rsidRPr="00CF2A2D">
        <w:tab/>
      </w:r>
      <w:r w:rsidR="00A1700C">
        <w:t>14</w:t>
      </w:r>
    </w:p>
    <w:p w:rsidR="00CF1696" w:rsidRPr="00CF2A2D" w:rsidRDefault="00CF1696" w:rsidP="00CF1696">
      <w:pPr>
        <w:tabs>
          <w:tab w:val="right" w:leader="dot" w:pos="7654"/>
          <w:tab w:val="right" w:pos="8929"/>
          <w:tab w:val="right" w:pos="9638"/>
        </w:tabs>
        <w:spacing w:after="120"/>
        <w:ind w:left="1559" w:hanging="425"/>
      </w:pPr>
      <w:r w:rsidRPr="00CF2A2D">
        <w:t>D.</w:t>
      </w:r>
      <w:r w:rsidRPr="00CF2A2D">
        <w:tab/>
        <w:t>Divers</w:t>
      </w:r>
      <w:r w:rsidRPr="00CF2A2D">
        <w:tab/>
      </w:r>
      <w:r w:rsidRPr="00CF2A2D">
        <w:tab/>
        <w:t>63</w:t>
      </w:r>
      <w:r w:rsidRPr="00CF2A2D">
        <w:tab/>
      </w:r>
      <w:r w:rsidR="00A1700C">
        <w:t>14</w:t>
      </w:r>
    </w:p>
    <w:p w:rsidR="00CF1696" w:rsidRPr="00CF2A2D" w:rsidRDefault="00CF1696" w:rsidP="00CF1696">
      <w:pPr>
        <w:tabs>
          <w:tab w:val="right" w:pos="850"/>
          <w:tab w:val="right" w:leader="dot" w:pos="7654"/>
          <w:tab w:val="right" w:pos="8929"/>
          <w:tab w:val="right" w:pos="9638"/>
        </w:tabs>
        <w:spacing w:after="120"/>
        <w:ind w:left="1134" w:hanging="1134"/>
      </w:pPr>
      <w:r w:rsidRPr="00CF2A2D">
        <w:tab/>
        <w:t>VI.</w:t>
      </w:r>
      <w:r w:rsidRPr="00CF2A2D">
        <w:tab/>
        <w:t>Mise au point de directives pour l’application des critère</w:t>
      </w:r>
      <w:r w:rsidR="00415A57" w:rsidRPr="00CF2A2D">
        <w:t xml:space="preserve">s du SGH </w:t>
      </w:r>
      <w:r w:rsidR="00415A57" w:rsidRPr="00CF2A2D">
        <w:br/>
        <w:t>(point </w:t>
      </w:r>
      <w:r w:rsidRPr="00CF2A2D">
        <w:t>5 de l’ordre du jour)</w:t>
      </w:r>
      <w:r w:rsidRPr="00CF2A2D">
        <w:tab/>
      </w:r>
      <w:r w:rsidRPr="00CF2A2D">
        <w:tab/>
        <w:t>64</w:t>
      </w:r>
      <w:r w:rsidRPr="00CF2A2D">
        <w:tab/>
      </w:r>
      <w:r w:rsidR="00A1700C">
        <w:t>14</w:t>
      </w:r>
    </w:p>
    <w:p w:rsidR="00CF1696" w:rsidRPr="00CF2A2D" w:rsidRDefault="00CF1696" w:rsidP="00CF1696">
      <w:pPr>
        <w:tabs>
          <w:tab w:val="left" w:pos="1134"/>
          <w:tab w:val="left" w:pos="1559"/>
          <w:tab w:val="left" w:pos="1984"/>
          <w:tab w:val="left" w:leader="dot" w:pos="8100"/>
          <w:tab w:val="right" w:pos="8929"/>
          <w:tab w:val="right" w:pos="9638"/>
        </w:tabs>
        <w:spacing w:after="80"/>
        <w:ind w:left="1134"/>
      </w:pPr>
      <w:r w:rsidRPr="00CF2A2D">
        <w:t xml:space="preserve">Directives concernant l’applicabilité du SGH pour la classification </w:t>
      </w:r>
      <w:r w:rsidRPr="00CF2A2D">
        <w:br/>
        <w:t>et l’étiquetage des pesticides</w:t>
      </w:r>
      <w:r w:rsidRPr="00CF2A2D">
        <w:tab/>
      </w:r>
      <w:r w:rsidRPr="00CF2A2D">
        <w:tab/>
        <w:t>64</w:t>
      </w:r>
      <w:r w:rsidRPr="00CF2A2D">
        <w:tab/>
      </w:r>
      <w:r w:rsidR="00A1700C">
        <w:t>14</w:t>
      </w:r>
    </w:p>
    <w:p w:rsidR="00CF1696" w:rsidRPr="00CF2A2D" w:rsidRDefault="00CF1696" w:rsidP="00CF1696">
      <w:pPr>
        <w:tabs>
          <w:tab w:val="right" w:pos="850"/>
          <w:tab w:val="right" w:leader="dot" w:pos="7654"/>
          <w:tab w:val="right" w:pos="8929"/>
          <w:tab w:val="right" w:pos="9638"/>
        </w:tabs>
        <w:spacing w:after="120"/>
        <w:ind w:left="1134" w:hanging="1134"/>
      </w:pPr>
      <w:r w:rsidRPr="00CF2A2D">
        <w:tab/>
        <w:t xml:space="preserve">VII. </w:t>
      </w:r>
      <w:r w:rsidRPr="00CF2A2D">
        <w:tab/>
        <w:t>Re</w:t>
      </w:r>
      <w:r w:rsidR="00415A57" w:rsidRPr="00CF2A2D">
        <w:t>nforcement des capacités (point </w:t>
      </w:r>
      <w:r w:rsidRPr="00CF2A2D">
        <w:t>6 de l’ordre du jour)</w:t>
      </w:r>
      <w:r w:rsidRPr="00CF2A2D">
        <w:tab/>
      </w:r>
      <w:r w:rsidRPr="00CF2A2D">
        <w:tab/>
        <w:t>65</w:t>
      </w:r>
      <w:r w:rsidRPr="00CF2A2D">
        <w:tab/>
      </w:r>
      <w:r w:rsidR="00A1700C">
        <w:t>15</w:t>
      </w:r>
    </w:p>
    <w:p w:rsidR="00CF1696" w:rsidRPr="00CF2A2D" w:rsidRDefault="00CF1696" w:rsidP="00CF1696">
      <w:pPr>
        <w:tabs>
          <w:tab w:val="right" w:pos="850"/>
          <w:tab w:val="right" w:leader="dot" w:pos="7654"/>
          <w:tab w:val="right" w:pos="8929"/>
          <w:tab w:val="right" w:pos="9638"/>
        </w:tabs>
        <w:spacing w:after="120"/>
        <w:ind w:left="1134" w:hanging="1134"/>
      </w:pPr>
      <w:r w:rsidRPr="00CF2A2D">
        <w:tab/>
      </w:r>
      <w:r w:rsidR="0094712C" w:rsidRPr="00CF2A2D">
        <w:t>VIII.</w:t>
      </w:r>
      <w:r w:rsidR="0094712C" w:rsidRPr="00CF2A2D">
        <w:tab/>
        <w:t xml:space="preserve">Programme de travail pour la période biennale 2017-2018 </w:t>
      </w:r>
      <w:r w:rsidR="0094712C" w:rsidRPr="00CF2A2D">
        <w:br/>
        <w:t>(point </w:t>
      </w:r>
      <w:r w:rsidR="0094712C">
        <w:t>7 de l’ordre du jour</w:t>
      </w:r>
      <w:r w:rsidR="0094712C" w:rsidRPr="00CF2A2D">
        <w:t>)</w:t>
      </w:r>
      <w:r w:rsidR="0094712C" w:rsidRPr="00CF2A2D">
        <w:tab/>
      </w:r>
      <w:r w:rsidR="0094712C" w:rsidRPr="00CF2A2D">
        <w:tab/>
        <w:t>66</w:t>
      </w:r>
      <w:r w:rsidR="00A1700C">
        <w:t>–</w:t>
      </w:r>
      <w:r w:rsidR="0094712C" w:rsidRPr="00CF2A2D">
        <w:t>67</w:t>
      </w:r>
      <w:r w:rsidR="0094712C" w:rsidRPr="00CF2A2D">
        <w:tab/>
      </w:r>
      <w:r w:rsidR="00A1700C">
        <w:t>15</w:t>
      </w:r>
    </w:p>
    <w:p w:rsidR="00CF1696" w:rsidRPr="00CF2A2D" w:rsidRDefault="00CF1696" w:rsidP="00CF1696">
      <w:pPr>
        <w:tabs>
          <w:tab w:val="right" w:pos="850"/>
          <w:tab w:val="right" w:leader="dot" w:pos="7654"/>
          <w:tab w:val="right" w:pos="8929"/>
          <w:tab w:val="right" w:pos="9638"/>
        </w:tabs>
        <w:spacing w:after="120"/>
        <w:ind w:left="1134" w:hanging="1134"/>
      </w:pPr>
      <w:r w:rsidRPr="00CF2A2D">
        <w:tab/>
        <w:t>IX.</w:t>
      </w:r>
      <w:r w:rsidRPr="00CF2A2D">
        <w:tab/>
        <w:t>Projet de résolution 2017/… du Conse</w:t>
      </w:r>
      <w:r w:rsidR="00415A57" w:rsidRPr="00CF2A2D">
        <w:t xml:space="preserve">il économique et social </w:t>
      </w:r>
      <w:r w:rsidR="00415A57" w:rsidRPr="00CF2A2D">
        <w:br/>
        <w:t>(point </w:t>
      </w:r>
      <w:r w:rsidRPr="00CF2A2D">
        <w:t>8 de l’ordre du jour)</w:t>
      </w:r>
      <w:r w:rsidRPr="00CF2A2D">
        <w:tab/>
      </w:r>
      <w:r w:rsidRPr="00CF2A2D">
        <w:tab/>
        <w:t>68</w:t>
      </w:r>
      <w:r w:rsidRPr="00CF2A2D">
        <w:tab/>
      </w:r>
      <w:r w:rsidR="00A1700C">
        <w:t>15</w:t>
      </w:r>
    </w:p>
    <w:p w:rsidR="00CF1696" w:rsidRPr="00CF2A2D" w:rsidRDefault="00CF1696" w:rsidP="00CF1696">
      <w:pPr>
        <w:tabs>
          <w:tab w:val="right" w:pos="850"/>
          <w:tab w:val="right" w:leader="dot" w:pos="7654"/>
          <w:tab w:val="right" w:pos="8929"/>
          <w:tab w:val="right" w:pos="9638"/>
        </w:tabs>
        <w:spacing w:after="120"/>
        <w:ind w:left="1134" w:hanging="1134"/>
      </w:pPr>
      <w:r w:rsidRPr="00CF2A2D">
        <w:tab/>
        <w:t>X.</w:t>
      </w:r>
      <w:r w:rsidRPr="00CF2A2D">
        <w:tab/>
        <w:t xml:space="preserve">Élection du Bureau pour la période biennale 2017-2018 </w:t>
      </w:r>
      <w:r w:rsidRPr="00CF2A2D">
        <w:br/>
        <w:t>(point</w:t>
      </w:r>
      <w:r w:rsidR="00415A57" w:rsidRPr="00CF2A2D">
        <w:t> </w:t>
      </w:r>
      <w:r w:rsidRPr="00CF2A2D">
        <w:t>9 de l’ordre du jour)</w:t>
      </w:r>
      <w:r w:rsidRPr="00CF2A2D">
        <w:tab/>
      </w:r>
      <w:r w:rsidRPr="00CF2A2D">
        <w:tab/>
        <w:t>69</w:t>
      </w:r>
      <w:r w:rsidRPr="00CF2A2D">
        <w:tab/>
      </w:r>
      <w:r w:rsidR="00A1700C">
        <w:t>15</w:t>
      </w:r>
    </w:p>
    <w:p w:rsidR="00CF1696" w:rsidRPr="00CF2A2D" w:rsidRDefault="00CF1696" w:rsidP="00CF1696">
      <w:pPr>
        <w:tabs>
          <w:tab w:val="right" w:pos="850"/>
          <w:tab w:val="right" w:leader="dot" w:pos="7654"/>
          <w:tab w:val="right" w:pos="8929"/>
          <w:tab w:val="right" w:pos="9638"/>
        </w:tabs>
        <w:spacing w:after="120"/>
        <w:ind w:left="1134" w:hanging="1134"/>
      </w:pPr>
      <w:r w:rsidRPr="00CF2A2D">
        <w:tab/>
      </w:r>
      <w:r w:rsidR="00415A57" w:rsidRPr="00CF2A2D">
        <w:t>XI.</w:t>
      </w:r>
      <w:r w:rsidR="00415A57" w:rsidRPr="00CF2A2D">
        <w:tab/>
        <w:t>Questions diverses (point </w:t>
      </w:r>
      <w:r w:rsidRPr="00CF2A2D">
        <w:t>10 de l’ordre du jour)</w:t>
      </w:r>
      <w:r w:rsidRPr="00CF2A2D">
        <w:tab/>
      </w:r>
      <w:r w:rsidRPr="00CF2A2D">
        <w:tab/>
        <w:t>70</w:t>
      </w:r>
      <w:r w:rsidRPr="00CF2A2D">
        <w:tab/>
      </w:r>
      <w:r w:rsidR="00A1700C">
        <w:t>16</w:t>
      </w:r>
    </w:p>
    <w:p w:rsidR="00CF1696" w:rsidRPr="00CF2A2D" w:rsidRDefault="00CF1696" w:rsidP="00CF1696">
      <w:pPr>
        <w:tabs>
          <w:tab w:val="right" w:pos="850"/>
          <w:tab w:val="right" w:leader="dot" w:pos="7654"/>
          <w:tab w:val="right" w:pos="8929"/>
          <w:tab w:val="right" w:pos="9638"/>
        </w:tabs>
        <w:spacing w:after="120"/>
        <w:ind w:left="1134" w:hanging="1134"/>
      </w:pPr>
      <w:r w:rsidRPr="00CF2A2D">
        <w:tab/>
      </w:r>
      <w:r w:rsidR="00415A57" w:rsidRPr="00CF2A2D">
        <w:t>XII.</w:t>
      </w:r>
      <w:r w:rsidR="00415A57" w:rsidRPr="00CF2A2D">
        <w:tab/>
        <w:t>Adoption du rapport (point </w:t>
      </w:r>
      <w:r w:rsidRPr="00CF2A2D">
        <w:t>11 de l’ordre du jour)</w:t>
      </w:r>
      <w:r w:rsidRPr="00CF2A2D">
        <w:tab/>
      </w:r>
      <w:r w:rsidRPr="00CF2A2D">
        <w:tab/>
        <w:t>71</w:t>
      </w:r>
      <w:r w:rsidRPr="00CF2A2D">
        <w:tab/>
      </w:r>
      <w:r w:rsidR="00A1700C">
        <w:t>16</w:t>
      </w:r>
    </w:p>
    <w:p w:rsidR="00CF1696" w:rsidRPr="00CF2A2D" w:rsidRDefault="00CF1696" w:rsidP="00CF1696">
      <w:pPr>
        <w:tabs>
          <w:tab w:val="right" w:pos="850"/>
        </w:tabs>
        <w:spacing w:after="120"/>
        <w:rPr>
          <w:b/>
        </w:rPr>
      </w:pPr>
      <w:r w:rsidRPr="00CF2A2D">
        <w:tab/>
        <w:t xml:space="preserve">Annexes </w:t>
      </w:r>
    </w:p>
    <w:p w:rsidR="00CF1696" w:rsidRPr="00CF2A2D" w:rsidRDefault="00CF1696" w:rsidP="00CF1696">
      <w:pPr>
        <w:tabs>
          <w:tab w:val="right" w:pos="850"/>
          <w:tab w:val="right" w:leader="dot" w:pos="8929"/>
          <w:tab w:val="right" w:pos="9638"/>
        </w:tabs>
        <w:spacing w:after="120"/>
        <w:ind w:left="1134" w:hanging="1134"/>
      </w:pPr>
      <w:r w:rsidRPr="00CF2A2D">
        <w:tab/>
        <w:t xml:space="preserve">I. </w:t>
      </w:r>
      <w:r w:rsidRPr="00CF2A2D">
        <w:tab/>
        <w:t>Projets d’amendements à la sixième édition révisée du SGH (ST/SG/AC.10/30/Rev.6)</w:t>
      </w:r>
      <w:r w:rsidRPr="00CF2A2D">
        <w:tab/>
      </w:r>
      <w:r w:rsidRPr="00CF2A2D">
        <w:tab/>
      </w:r>
      <w:r w:rsidR="00A1700C">
        <w:t>17</w:t>
      </w:r>
    </w:p>
    <w:p w:rsidR="00CF1696" w:rsidRPr="00CF2A2D" w:rsidRDefault="00CF1696" w:rsidP="00CF1696">
      <w:pPr>
        <w:tabs>
          <w:tab w:val="right" w:pos="850"/>
          <w:tab w:val="right" w:leader="dot" w:pos="8929"/>
          <w:tab w:val="right" w:pos="9638"/>
        </w:tabs>
        <w:spacing w:after="120"/>
        <w:ind w:left="1134" w:hanging="1134"/>
      </w:pPr>
      <w:r w:rsidRPr="00CF2A2D">
        <w:tab/>
        <w:t>II.</w:t>
      </w:r>
      <w:r w:rsidRPr="00CF2A2D">
        <w:tab/>
        <w:t>Projet d’amendements à la sixième édition révisée du Manuel d’épreuves et de critères (ST/SG/AC.10/11/Rev.6)</w:t>
      </w:r>
      <w:r w:rsidR="00A1700C">
        <w:tab/>
      </w:r>
      <w:r w:rsidRPr="00CF2A2D">
        <w:tab/>
      </w:r>
      <w:r w:rsidR="00A1700C">
        <w:t>22</w:t>
      </w:r>
    </w:p>
    <w:p w:rsidR="00CF1696" w:rsidRPr="00CF2A2D" w:rsidRDefault="00CF1696" w:rsidP="00CF1696">
      <w:pPr>
        <w:tabs>
          <w:tab w:val="right" w:pos="850"/>
          <w:tab w:val="right" w:leader="dot" w:pos="8929"/>
          <w:tab w:val="right" w:pos="9638"/>
        </w:tabs>
        <w:spacing w:after="120"/>
        <w:ind w:left="1134" w:hanging="1134"/>
      </w:pPr>
      <w:r w:rsidRPr="00CF2A2D">
        <w:tab/>
        <w:t>III.</w:t>
      </w:r>
      <w:r w:rsidRPr="00CF2A2D">
        <w:tab/>
        <w:t>Programme de travail du Sous-Comité pour la période biennale 2017-2018</w:t>
      </w:r>
      <w:r w:rsidRPr="00CF2A2D">
        <w:tab/>
      </w:r>
      <w:r w:rsidRPr="00CF2A2D">
        <w:tab/>
      </w:r>
      <w:r w:rsidR="00A1700C">
        <w:t>23</w:t>
      </w:r>
    </w:p>
    <w:p w:rsidR="00CF1696" w:rsidRPr="00CF2A2D" w:rsidRDefault="00CF1696" w:rsidP="00F332D6">
      <w:pPr>
        <w:pStyle w:val="HChG"/>
      </w:pPr>
      <w:r w:rsidRPr="00CF2A2D">
        <w:br w:type="page"/>
      </w:r>
      <w:r w:rsidRPr="00CF2A2D">
        <w:tab/>
        <w:t>I.</w:t>
      </w:r>
      <w:r w:rsidRPr="00CF2A2D">
        <w:tab/>
        <w:t>Participation</w:t>
      </w:r>
    </w:p>
    <w:p w:rsidR="00CF1696" w:rsidRPr="00CF2A2D" w:rsidRDefault="00CF1696" w:rsidP="00F332D6">
      <w:pPr>
        <w:pStyle w:val="ParNoG"/>
      </w:pPr>
      <w:r w:rsidRPr="00CF2A2D">
        <w:t>Le Sous-Comité d’experts du Système général harmonisé de classification et d’étiquetage des produits chimiques a tenu sa tr</w:t>
      </w:r>
      <w:r w:rsidR="00F332D6" w:rsidRPr="00CF2A2D">
        <w:t>ente-deuxième session du 7 au 9 </w:t>
      </w:r>
      <w:r w:rsidRPr="00CF2A2D">
        <w:t>décembre 2016, sous la présidence de M</w:t>
      </w:r>
      <w:r w:rsidRPr="00CF2A2D">
        <w:rPr>
          <w:vertAlign w:val="superscript"/>
        </w:rPr>
        <w:t>me</w:t>
      </w:r>
      <w:r w:rsidRPr="00CF2A2D">
        <w:t xml:space="preserve"> Maureen Ruskin (États-Unis d’Amérique) et la </w:t>
      </w:r>
      <w:r w:rsidR="00F332D6" w:rsidRPr="00CF2A2D">
        <w:t>Vice-P</w:t>
      </w:r>
      <w:r w:rsidRPr="00CF2A2D">
        <w:t>résidence de M. Robin Foster (Royaume-Uni).</w:t>
      </w:r>
    </w:p>
    <w:p w:rsidR="00CF1696" w:rsidRPr="00CF2A2D" w:rsidRDefault="00CF1696" w:rsidP="00F332D6">
      <w:pPr>
        <w:pStyle w:val="ParNoG"/>
      </w:pPr>
      <w:r w:rsidRPr="00CF2A2D">
        <w:t>Ont participé à cette session des experts des pays suivants : Afrique du Sud, Allemagne, Australie, Autriche, Belgique, Brésil, Canada, Chine, États-Unis d’Amérique, Fédération de Russie, Finlande, France, Italie, Japon, Pays-Bas, Pologne, Portugal, Qatar, République de Corée, Royaume-Uni et Suède.</w:t>
      </w:r>
    </w:p>
    <w:p w:rsidR="00CF1696" w:rsidRPr="00CF2A2D" w:rsidRDefault="00F332D6" w:rsidP="00F332D6">
      <w:pPr>
        <w:pStyle w:val="ParNoG"/>
      </w:pPr>
      <w:r w:rsidRPr="00CF2A2D">
        <w:t>En vertu de l’article </w:t>
      </w:r>
      <w:r w:rsidR="00CF1696" w:rsidRPr="00CF2A2D">
        <w:t xml:space="preserve">72 du Règlement intérieur du </w:t>
      </w:r>
      <w:r w:rsidRPr="00CF2A2D">
        <w:t>Conseil économique et social, y </w:t>
      </w:r>
      <w:r w:rsidR="00CF1696" w:rsidRPr="00CF2A2D">
        <w:t>ont également participé des observateurs de Malte et de la Suisse.</w:t>
      </w:r>
    </w:p>
    <w:p w:rsidR="00CF1696" w:rsidRPr="00CF2A2D" w:rsidRDefault="00CF1696" w:rsidP="00F332D6">
      <w:pPr>
        <w:pStyle w:val="ParNoG"/>
      </w:pPr>
      <w:r w:rsidRPr="00CF2A2D">
        <w:t xml:space="preserve">Était aussi présent un représentant de l’Institut des Nations Unies pour la formation et la recherche (UNITAR). </w:t>
      </w:r>
    </w:p>
    <w:p w:rsidR="00CF1696" w:rsidRPr="00CF2A2D" w:rsidRDefault="00CF1696" w:rsidP="00F332D6">
      <w:pPr>
        <w:pStyle w:val="ParNoG"/>
      </w:pPr>
      <w:r w:rsidRPr="00CF2A2D">
        <w:t>Deux organisations intergouvernementales étaient aussi représentées : l’Organisation de coopération et de développement économiques (OCDE) et l’Union européenne.</w:t>
      </w:r>
    </w:p>
    <w:p w:rsidR="00CF1696" w:rsidRPr="00CF2A2D" w:rsidRDefault="00CF1696" w:rsidP="00F332D6">
      <w:pPr>
        <w:pStyle w:val="ParNoG"/>
      </w:pPr>
      <w:r w:rsidRPr="00CF2A2D">
        <w:t>Les représentants des organisations non gouvernementales suivantes ont participé aux débats sur des points intéressant leur organisation : American Cleaning Institute (ACI) ; Australian Explosives Industry and Safety Group Incorporated (AEISG) ; Compressed Gas Association (CGA) ; CropLife International ; Conseil consultatif des marchandises dangereuses (DGAC) ; Conseil européen de l’industrie chimique (CEFIC) ; Federation of European Motocyclists Associations (FEMA) ; Grain and Feed Trade Association (GAFTA) ; Fédération des industries de peintures et revêtements du Mercosul (FIPRM) ; Association internationale de la savonnerie, de la détergence et des produits d’entretien (AISE) ; International Bulk Terminals Association (IBTA) ; Conseil international des associations chimiques (ICCA) ; Conseil international des mines et métaux (CIMM) ; International Paint and Printing Ink Council (IPPIC) ; Association internationale de l’industrie pétrolière pour la sauvegarde de l’environnement (IPIECA) ; Institute of Makers of Explosives (IME) ; Responsible Packaging Management Association of Southern Africa (RPMASA) ; et Sporting Arms and Ammunition Manufacturers’ Institute (SAAMI).</w:t>
      </w:r>
    </w:p>
    <w:p w:rsidR="00CF1696" w:rsidRPr="00CF2A2D" w:rsidRDefault="00CF1696" w:rsidP="00F332D6">
      <w:pPr>
        <w:pStyle w:val="HChG"/>
      </w:pPr>
      <w:r w:rsidRPr="00CF2A2D">
        <w:tab/>
        <w:t>II.</w:t>
      </w:r>
      <w:r w:rsidRPr="00CF2A2D">
        <w:tab/>
        <w:t>Ado</w:t>
      </w:r>
      <w:r w:rsidR="00F332D6" w:rsidRPr="00CF2A2D">
        <w:t>ption de l’ordre du jour (point </w:t>
      </w:r>
      <w:r w:rsidRPr="00CF2A2D">
        <w:t>1 de l’ordre du jour)</w:t>
      </w:r>
    </w:p>
    <w:p w:rsidR="00CF1696" w:rsidRPr="00CF2A2D" w:rsidRDefault="00CF1696" w:rsidP="00CF1696">
      <w:pPr>
        <w:pStyle w:val="SingleTxtG"/>
        <w:tabs>
          <w:tab w:val="left" w:pos="3119"/>
        </w:tabs>
        <w:ind w:left="3119" w:hanging="1985"/>
        <w:jc w:val="left"/>
      </w:pPr>
      <w:r w:rsidRPr="00CF2A2D">
        <w:rPr>
          <w:i/>
        </w:rPr>
        <w:t>Documents </w:t>
      </w:r>
      <w:r w:rsidRPr="00CF2A2D">
        <w:t xml:space="preserve">: </w:t>
      </w:r>
      <w:r w:rsidRPr="00CF2A2D">
        <w:tab/>
        <w:t xml:space="preserve">ST/SG/AC.10/C.4/63 (ordre du jour provisoire) et Add.1 </w:t>
      </w:r>
      <w:r w:rsidRPr="00CF2A2D">
        <w:br/>
        <w:t>(liste des documents et annotations)</w:t>
      </w:r>
      <w:r w:rsidR="007A1F67" w:rsidRPr="00CF2A2D">
        <w:t>.</w:t>
      </w:r>
    </w:p>
    <w:p w:rsidR="00CF1696" w:rsidRPr="00CF2A2D" w:rsidRDefault="00CF1696" w:rsidP="00CF1696">
      <w:pPr>
        <w:pStyle w:val="SingleTxtG"/>
        <w:tabs>
          <w:tab w:val="left" w:pos="3119"/>
        </w:tabs>
        <w:ind w:left="3119" w:hanging="1985"/>
        <w:jc w:val="left"/>
      </w:pPr>
      <w:r w:rsidRPr="00CF2A2D">
        <w:rPr>
          <w:i/>
        </w:rPr>
        <w:t>Documents informels </w:t>
      </w:r>
      <w:r w:rsidRPr="00CF2A2D">
        <w:t xml:space="preserve">: </w:t>
      </w:r>
      <w:r w:rsidRPr="00CF2A2D">
        <w:tab/>
        <w:t xml:space="preserve">INF.1 </w:t>
      </w:r>
      <w:r w:rsidRPr="00CF2A2D">
        <w:br/>
        <w:t xml:space="preserve">INF.2 (liste des documents) </w:t>
      </w:r>
      <w:r w:rsidRPr="00CF2A2D">
        <w:br/>
        <w:t>INF. 7 (calendrier provisoire et programme des réunions des groupes de travail informels du SGH)</w:t>
      </w:r>
      <w:r w:rsidR="007A1F67" w:rsidRPr="00CF2A2D">
        <w:t>.</w:t>
      </w:r>
    </w:p>
    <w:p w:rsidR="00CF1696" w:rsidRPr="00CF2A2D" w:rsidRDefault="00CF1696" w:rsidP="007A1F67">
      <w:pPr>
        <w:pStyle w:val="ParNoG"/>
      </w:pPr>
      <w:r w:rsidRPr="00CF2A2D">
        <w:t>Le Sous-Comité a adopté l’ordre du jour provisoire établi par le secrétariat, après l’avoir modifié afin de ten</w:t>
      </w:r>
      <w:r w:rsidR="007A1F67" w:rsidRPr="00CF2A2D">
        <w:t>ir compte des documents INF.1 à </w:t>
      </w:r>
      <w:r w:rsidRPr="00CF2A2D">
        <w:t>44.</w:t>
      </w:r>
    </w:p>
    <w:p w:rsidR="00CF1696" w:rsidRPr="00CF2A2D" w:rsidRDefault="00CF1696" w:rsidP="00CF1696">
      <w:pPr>
        <w:pStyle w:val="HChG"/>
        <w:rPr>
          <w:rFonts w:eastAsia="MS Mincho"/>
        </w:rPr>
      </w:pPr>
      <w:r w:rsidRPr="00CF2A2D">
        <w:tab/>
        <w:t>III.</w:t>
      </w:r>
      <w:r w:rsidRPr="00CF2A2D">
        <w:tab/>
        <w:t>Critères de classement et co</w:t>
      </w:r>
      <w:r w:rsidR="007A1F67" w:rsidRPr="00CF2A2D">
        <w:t xml:space="preserve">mmunication des dangers </w:t>
      </w:r>
      <w:r w:rsidR="007A1F67" w:rsidRPr="00CF2A2D">
        <w:br/>
        <w:t>(point </w:t>
      </w:r>
      <w:r w:rsidRPr="00CF2A2D">
        <w:t>2 de l’ordre du jour)</w:t>
      </w:r>
    </w:p>
    <w:p w:rsidR="00CF1696" w:rsidRPr="00CF2A2D" w:rsidRDefault="00CF1696" w:rsidP="00CF1696">
      <w:pPr>
        <w:pStyle w:val="H1G"/>
        <w:rPr>
          <w:rFonts w:eastAsia="MS Mincho"/>
        </w:rPr>
      </w:pPr>
      <w:r w:rsidRPr="00CF2A2D">
        <w:tab/>
        <w:t>A.</w:t>
      </w:r>
      <w:r w:rsidRPr="00CF2A2D">
        <w:tab/>
        <w:t>Recommandations du Sous-Comité formulées à ses vingt-neuvième, trentième et trente et unième sessions</w:t>
      </w:r>
    </w:p>
    <w:p w:rsidR="00CF1696" w:rsidRPr="00CF2A2D" w:rsidRDefault="00CF1696" w:rsidP="007A1F67">
      <w:pPr>
        <w:pStyle w:val="H23G"/>
        <w:rPr>
          <w:rFonts w:eastAsia="MS Mincho"/>
        </w:rPr>
      </w:pPr>
      <w:r w:rsidRPr="00CF2A2D">
        <w:tab/>
        <w:t>1.</w:t>
      </w:r>
      <w:r w:rsidRPr="00CF2A2D">
        <w:tab/>
        <w:t xml:space="preserve">Examen des projets d’amendements adoptés par le Sous-Comité </w:t>
      </w:r>
      <w:r w:rsidR="00194269" w:rsidRPr="00CF2A2D">
        <w:br/>
      </w:r>
      <w:r w:rsidRPr="00CF2A2D">
        <w:t>à ses vingt-neuvième, trentième et trente et unième sessions</w:t>
      </w:r>
    </w:p>
    <w:p w:rsidR="00CF1696" w:rsidRPr="00CF2A2D" w:rsidRDefault="00CF1696" w:rsidP="00CF1696">
      <w:pPr>
        <w:pStyle w:val="SingleTxtG"/>
        <w:tabs>
          <w:tab w:val="left" w:pos="3119"/>
        </w:tabs>
        <w:jc w:val="left"/>
        <w:rPr>
          <w:rFonts w:eastAsia="MS Mincho"/>
        </w:rPr>
      </w:pPr>
      <w:r w:rsidRPr="00CF2A2D">
        <w:rPr>
          <w:i/>
        </w:rPr>
        <w:t>Document </w:t>
      </w:r>
      <w:r w:rsidRPr="00CF2A2D">
        <w:t>:</w:t>
      </w:r>
      <w:r w:rsidRPr="00CF2A2D">
        <w:tab/>
        <w:t>ST/SG/AC.10/C.4/2016/11 (secrétariat)</w:t>
      </w:r>
      <w:r w:rsidR="007A1F67" w:rsidRPr="00CF2A2D">
        <w:t>.</w:t>
      </w:r>
    </w:p>
    <w:p w:rsidR="00CF1696" w:rsidRPr="00CF2A2D" w:rsidRDefault="00CF1696" w:rsidP="007A1F67">
      <w:pPr>
        <w:pStyle w:val="ParNoG"/>
      </w:pPr>
      <w:r w:rsidRPr="00CF2A2D">
        <w:t xml:space="preserve">Le Sous-Comité a confirmé les amendements figurant dans le document ST/SG/AC.10/C.4/2016/11 moyennant quelques corrections de forme apportées aux définitions des dangers pour </w:t>
      </w:r>
      <w:r w:rsidR="00194269" w:rsidRPr="00CF2A2D">
        <w:t>la santé énoncées aux chapitres </w:t>
      </w:r>
      <w:r w:rsidRPr="00CF2A2D">
        <w:t>3.1 et 3.7 (pour la version française seulement), 3.4, 3.6, 3.8, 3.9 et 3.10. Il a été noté que les définitions figurant au chapit</w:t>
      </w:r>
      <w:r w:rsidR="007A1F67" w:rsidRPr="00CF2A2D">
        <w:t>re </w:t>
      </w:r>
      <w:r w:rsidRPr="00CF2A2D">
        <w:t>2.1 devaient être modifiées en conséquen</w:t>
      </w:r>
      <w:r w:rsidR="007A1F67" w:rsidRPr="00CF2A2D">
        <w:t>ce, le cas échéant (voir annexe </w:t>
      </w:r>
      <w:r w:rsidRPr="00CF2A2D">
        <w:t>I).</w:t>
      </w:r>
    </w:p>
    <w:p w:rsidR="00CF1696" w:rsidRPr="00CF2A2D" w:rsidRDefault="00CF1696" w:rsidP="00194269">
      <w:pPr>
        <w:pStyle w:val="H23G"/>
        <w:rPr>
          <w:rFonts w:eastAsia="MS Mincho"/>
        </w:rPr>
      </w:pPr>
      <w:r w:rsidRPr="00CF2A2D">
        <w:tab/>
        <w:t>2.</w:t>
      </w:r>
      <w:r w:rsidRPr="00CF2A2D">
        <w:tab/>
        <w:t>Définit</w:t>
      </w:r>
      <w:r w:rsidR="007A1F67" w:rsidRPr="00CF2A2D">
        <w:t>ion des explosifs au paragraphe 2.1.1.2 </w:t>
      </w:r>
      <w:r w:rsidR="00194269" w:rsidRPr="00CF2A2D">
        <w:t>c) du chapitre </w:t>
      </w:r>
      <w:r w:rsidRPr="00CF2A2D">
        <w:t>2.1</w:t>
      </w:r>
    </w:p>
    <w:p w:rsidR="00CF1696" w:rsidRPr="00CF2A2D" w:rsidRDefault="00CF1696" w:rsidP="00CF1696">
      <w:pPr>
        <w:pStyle w:val="SingleTxtG"/>
        <w:tabs>
          <w:tab w:val="left" w:pos="3119"/>
        </w:tabs>
        <w:jc w:val="left"/>
        <w:rPr>
          <w:rFonts w:eastAsia="MS Mincho"/>
        </w:rPr>
      </w:pPr>
      <w:r w:rsidRPr="00CF2A2D">
        <w:rPr>
          <w:i/>
        </w:rPr>
        <w:t>Document </w:t>
      </w:r>
      <w:r w:rsidRPr="00CF2A2D">
        <w:t>:</w:t>
      </w:r>
      <w:r w:rsidRPr="00CF2A2D">
        <w:tab/>
        <w:t>ST/SG/AC.10/C.4/2016/14 (AEISG)</w:t>
      </w:r>
      <w:r w:rsidR="00194269" w:rsidRPr="00CF2A2D">
        <w:t>.</w:t>
      </w:r>
    </w:p>
    <w:p w:rsidR="00CF1696" w:rsidRPr="00CF2A2D" w:rsidRDefault="00CF1696" w:rsidP="00CF1696">
      <w:pPr>
        <w:pStyle w:val="SingleTxtG"/>
        <w:tabs>
          <w:tab w:val="left" w:pos="3119"/>
        </w:tabs>
        <w:jc w:val="left"/>
      </w:pPr>
      <w:r w:rsidRPr="00CF2A2D">
        <w:rPr>
          <w:i/>
        </w:rPr>
        <w:t>Document informel </w:t>
      </w:r>
      <w:r w:rsidRPr="00CF2A2D">
        <w:t>:</w:t>
      </w:r>
      <w:r w:rsidRPr="00CF2A2D">
        <w:tab/>
        <w:t>INF.36, point 1 (secrétariat)</w:t>
      </w:r>
      <w:r w:rsidR="00194269" w:rsidRPr="00CF2A2D">
        <w:t>.</w:t>
      </w:r>
    </w:p>
    <w:p w:rsidR="00CF1696" w:rsidRPr="00CF2A2D" w:rsidRDefault="00CF1696" w:rsidP="00194269">
      <w:pPr>
        <w:pStyle w:val="ParNoG"/>
      </w:pPr>
      <w:r w:rsidRPr="00CF2A2D">
        <w:t>Le Sous-Comité a noté que le Sous-Comité TMD avait adopté une correction à la définition des explosifs</w:t>
      </w:r>
      <w:r w:rsidR="00194269" w:rsidRPr="00CF2A2D">
        <w:t xml:space="preserve"> figurant au paragraphe 2.1.1.1 </w:t>
      </w:r>
      <w:r w:rsidRPr="00CF2A2D">
        <w:t>c) du Règlement type et a décidé de corriger le texte correspondant au paragraphe 2.1.1.2 c) ainsi que dans la note</w:t>
      </w:r>
      <w:r w:rsidR="00194269" w:rsidRPr="00CF2A2D">
        <w:t> </w:t>
      </w:r>
      <w:r w:rsidRPr="00CF2A2D">
        <w:t>b au tableau</w:t>
      </w:r>
      <w:r w:rsidR="00194269" w:rsidRPr="00CF2A2D">
        <w:t> </w:t>
      </w:r>
      <w:r w:rsidRPr="00CF2A2D">
        <w:t>2.1.</w:t>
      </w:r>
      <w:r w:rsidR="00194269" w:rsidRPr="00CF2A2D">
        <w:t>1 du SGH (voir annexe </w:t>
      </w:r>
      <w:r w:rsidRPr="00CF2A2D">
        <w:t>I).</w:t>
      </w:r>
    </w:p>
    <w:p w:rsidR="00CF1696" w:rsidRPr="00CF2A2D" w:rsidRDefault="00CF1696" w:rsidP="00194269">
      <w:pPr>
        <w:pStyle w:val="H1G"/>
      </w:pPr>
      <w:r w:rsidRPr="00CF2A2D">
        <w:tab/>
        <w:t>B.</w:t>
      </w:r>
      <w:r w:rsidRPr="00CF2A2D">
        <w:tab/>
        <w:t xml:space="preserve">Travaux du Sous-Comité d’experts du transport des marchandises dangereuses (Sous-Comité TMD) sur des questions intéressant </w:t>
      </w:r>
      <w:r w:rsidRPr="00CF2A2D">
        <w:br/>
        <w:t>le Sous-Comité SGH</w:t>
      </w:r>
    </w:p>
    <w:p w:rsidR="00CF1696" w:rsidRPr="00CF2A2D" w:rsidRDefault="00CF1696" w:rsidP="00194269">
      <w:pPr>
        <w:pStyle w:val="H23G"/>
        <w:rPr>
          <w:rFonts w:eastAsia="MS Mincho"/>
        </w:rPr>
      </w:pPr>
      <w:r w:rsidRPr="00CF2A2D">
        <w:tab/>
        <w:t>1.</w:t>
      </w:r>
      <w:r w:rsidRPr="00CF2A2D">
        <w:tab/>
        <w:t>Critères de classification et communication des dangers des gaz inflammables</w:t>
      </w:r>
    </w:p>
    <w:p w:rsidR="00CF1696" w:rsidRPr="00CF2A2D" w:rsidRDefault="00CF1696" w:rsidP="00CF1696">
      <w:pPr>
        <w:pStyle w:val="SingleTxtG"/>
        <w:tabs>
          <w:tab w:val="left" w:pos="3119"/>
        </w:tabs>
        <w:jc w:val="left"/>
      </w:pPr>
      <w:r w:rsidRPr="00CF2A2D">
        <w:rPr>
          <w:i/>
        </w:rPr>
        <w:t>Document </w:t>
      </w:r>
      <w:r w:rsidRPr="00CF2A2D">
        <w:t>:</w:t>
      </w:r>
      <w:r w:rsidRPr="00CF2A2D">
        <w:tab/>
        <w:t>ST/SG/AC.10/C.4/2016/12 (Belgique, Japon)</w:t>
      </w:r>
      <w:r w:rsidR="00194269" w:rsidRPr="00CF2A2D">
        <w:t>.</w:t>
      </w:r>
    </w:p>
    <w:p w:rsidR="00CF1696" w:rsidRPr="00CF2A2D" w:rsidRDefault="00CF1696" w:rsidP="00CF1696">
      <w:pPr>
        <w:pStyle w:val="SingleTxtG"/>
        <w:tabs>
          <w:tab w:val="left" w:pos="3119"/>
        </w:tabs>
        <w:ind w:left="3119" w:hanging="1985"/>
        <w:jc w:val="left"/>
      </w:pPr>
      <w:r w:rsidRPr="00CF2A2D">
        <w:rPr>
          <w:i/>
        </w:rPr>
        <w:t>Documents informels </w:t>
      </w:r>
      <w:r w:rsidRPr="00CF2A2D">
        <w:t>:</w:t>
      </w:r>
      <w:r w:rsidRPr="00CF2A2D">
        <w:tab/>
        <w:t>INF.9 et INF.18 (</w:t>
      </w:r>
      <w:r w:rsidR="00A469C7">
        <w:t>Belgique,</w:t>
      </w:r>
      <w:r w:rsidR="00194269" w:rsidRPr="00CF2A2D">
        <w:t xml:space="preserve"> Japon)</w:t>
      </w:r>
      <w:r w:rsidR="00194269" w:rsidRPr="00CF2A2D">
        <w:br/>
        <w:t>INF.11 et INF.36, point </w:t>
      </w:r>
      <w:r w:rsidRPr="00CF2A2D">
        <w:t xml:space="preserve">2 (secrétariat) </w:t>
      </w:r>
      <w:r w:rsidRPr="00CF2A2D">
        <w:tab/>
      </w:r>
      <w:r w:rsidRPr="00CF2A2D">
        <w:br/>
        <w:t>INF.20 (EIGA)</w:t>
      </w:r>
      <w:r w:rsidR="00194269" w:rsidRPr="00CF2A2D">
        <w:t>.</w:t>
      </w:r>
    </w:p>
    <w:p w:rsidR="00CF1696" w:rsidRPr="00CF2A2D" w:rsidRDefault="00CF1696" w:rsidP="00194269">
      <w:pPr>
        <w:pStyle w:val="ParNoG"/>
      </w:pPr>
      <w:r w:rsidRPr="00CF2A2D">
        <w:t>Concernant les différentes propositions de nouvelle note au tableau A1.2 énumérées dans le document INF.18, la plupart des experts ont esti</w:t>
      </w:r>
      <w:r w:rsidR="00194269" w:rsidRPr="00CF2A2D">
        <w:t>mé que les tableaux de l’annexe </w:t>
      </w:r>
      <w:r w:rsidRPr="00CF2A2D">
        <w:t>1 du SGH ne devaient pas aborder de questions liées aux conditions de transport, qui sont déjà traitées par le Règlement type. Compte tenu des observations formulées, le Sous-Comité a conclu qu’une nouvelle note n’était pas nécessaire. D’autres experts ont considéré qu’il fallait r</w:t>
      </w:r>
      <w:r w:rsidR="00194269" w:rsidRPr="00CF2A2D">
        <w:t>éviser les tableaux de l’annexe </w:t>
      </w:r>
      <w:r w:rsidRPr="00CF2A2D">
        <w:t>1 pour garantir la cohérence de la méthode d’affichage des pictogrammes de transport et des informations qui s’y rapportent. Le Sous-Comité a invité le groupe de travail informel par correspondance</w:t>
      </w:r>
      <w:r w:rsidR="00194269" w:rsidRPr="00CF2A2D">
        <w:t xml:space="preserve"> chargé d’améliorer les annexes </w:t>
      </w:r>
      <w:r w:rsidRPr="00CF2A2D">
        <w:t xml:space="preserve">1 à 3 à examiner cette question. </w:t>
      </w:r>
    </w:p>
    <w:p w:rsidR="00CF1696" w:rsidRPr="00CF2A2D" w:rsidRDefault="00CF1696" w:rsidP="00194269">
      <w:pPr>
        <w:pStyle w:val="ParNoG"/>
      </w:pPr>
      <w:r w:rsidRPr="00CF2A2D">
        <w:t>Le Sous-Comité a adopté la proposition figurant dans le document ST/SG/AC.10/C.4/2016/12 avec les corrections énumérées dans le document informel INF.11, la correction apportée à l’exemple de classement d’un mélange d</w:t>
      </w:r>
      <w:r w:rsidR="00194269" w:rsidRPr="00CF2A2D">
        <w:t>e gaz inflammable au paragraphe </w:t>
      </w:r>
      <w:r w:rsidRPr="00CF2A2D">
        <w:t>2.2.5 du SGH, qu</w:t>
      </w:r>
      <w:r w:rsidR="00194269" w:rsidRPr="00CF2A2D">
        <w:t>i est représentée au paragraphe </w:t>
      </w:r>
      <w:r w:rsidRPr="00CF2A2D">
        <w:t xml:space="preserve">3 du document informel </w:t>
      </w:r>
      <w:r w:rsidR="00194269" w:rsidRPr="00CF2A2D">
        <w:t>INF.20, ainsi que le tableau </w:t>
      </w:r>
      <w:r w:rsidRPr="00CF2A2D">
        <w:t>A1.2 figurant dans le document informel INF.18 avec la suppression de la note b (voir annexe I).</w:t>
      </w:r>
    </w:p>
    <w:p w:rsidR="00CF1696" w:rsidRPr="00CF2A2D" w:rsidRDefault="00CF1696" w:rsidP="00194269">
      <w:pPr>
        <w:pStyle w:val="H23G"/>
      </w:pPr>
      <w:r w:rsidRPr="00CF2A2D">
        <w:tab/>
        <w:t>2.</w:t>
      </w:r>
      <w:r w:rsidRPr="00CF2A2D">
        <w:tab/>
        <w:t>Classification des liquides inflammables</w:t>
      </w:r>
    </w:p>
    <w:p w:rsidR="00CF1696" w:rsidRPr="00CF2A2D" w:rsidRDefault="00CF1696" w:rsidP="00CF1696">
      <w:pPr>
        <w:pStyle w:val="SingleTxtG"/>
        <w:tabs>
          <w:tab w:val="left" w:pos="3119"/>
        </w:tabs>
        <w:jc w:val="left"/>
      </w:pPr>
      <w:r w:rsidRPr="00CF2A2D">
        <w:rPr>
          <w:i/>
        </w:rPr>
        <w:t>Document </w:t>
      </w:r>
      <w:r w:rsidRPr="00CF2A2D">
        <w:t>:</w:t>
      </w:r>
      <w:r w:rsidRPr="00CF2A2D">
        <w:tab/>
        <w:t>ST/SG/AC.10/C.4/2016/13 (Allemagne)</w:t>
      </w:r>
      <w:r w:rsidR="00194269" w:rsidRPr="00CF2A2D">
        <w:t>.</w:t>
      </w:r>
    </w:p>
    <w:p w:rsidR="00CF1696" w:rsidRPr="00CF2A2D" w:rsidRDefault="00CF1696" w:rsidP="00CF1696">
      <w:pPr>
        <w:pStyle w:val="SingleTxtG"/>
        <w:tabs>
          <w:tab w:val="left" w:pos="3119"/>
        </w:tabs>
        <w:jc w:val="left"/>
      </w:pPr>
      <w:r w:rsidRPr="00CF2A2D">
        <w:rPr>
          <w:i/>
        </w:rPr>
        <w:t>Document informel </w:t>
      </w:r>
      <w:r w:rsidRPr="00CF2A2D">
        <w:t>:</w:t>
      </w:r>
      <w:r w:rsidRPr="00CF2A2D">
        <w:tab/>
        <w:t>INF.36, point 3 (secrétariat)</w:t>
      </w:r>
      <w:r w:rsidR="00194269" w:rsidRPr="00CF2A2D">
        <w:t>.</w:t>
      </w:r>
    </w:p>
    <w:p w:rsidR="00CF1696" w:rsidRPr="00CF2A2D" w:rsidRDefault="00CF1696" w:rsidP="00194269">
      <w:pPr>
        <w:pStyle w:val="ParNoG"/>
      </w:pPr>
      <w:r w:rsidRPr="00CF2A2D">
        <w:t>Le Sous-Comité a adopté l’amendement à la phrase d’introduction du paragraphe 2.6.4.2.2 et l’amendeme</w:t>
      </w:r>
      <w:r w:rsidR="00194269" w:rsidRPr="00CF2A2D">
        <w:t>nt</w:t>
      </w:r>
      <w:r w:rsidR="003D72DA">
        <w:t xml:space="preserve"> de conséquence au paragraphe 4.</w:t>
      </w:r>
      <w:r w:rsidR="00194269" w:rsidRPr="00CF2A2D">
        <w:t>1 de l’appendice </w:t>
      </w:r>
      <w:r w:rsidRPr="00CF2A2D">
        <w:t>6 du Manuel d’épreuves et de critères (voir annexe I).</w:t>
      </w:r>
    </w:p>
    <w:p w:rsidR="00CF1696" w:rsidRPr="00CF2A2D" w:rsidRDefault="00CF1696" w:rsidP="00194269">
      <w:pPr>
        <w:pStyle w:val="ParNoG"/>
      </w:pPr>
      <w:r w:rsidRPr="00CF2A2D">
        <w:t>La prop</w:t>
      </w:r>
      <w:r w:rsidR="00194269" w:rsidRPr="00CF2A2D">
        <w:t>osition de modification du NOTA </w:t>
      </w:r>
      <w:r w:rsidRPr="00CF2A2D">
        <w:t xml:space="preserve">2 à la section 2.6.2 et des notes de bas de page concernant la procédure de décision a recueilli un certain soutien. Toutefois, à l’issue d’un débat, le Sous-Comité n’a pas pu parvenir à un consensus sur la manière de tenir compte de toutes les observations formulées et de répondre aux préoccupations exprimées par certaines délégations. Il a estimé qu’il fallait davantage de temps pour examiner les modifications et les solutions de rechange proposées et a conclu que les travaux se poursuivraient au cours de la période biennale suivante. </w:t>
      </w:r>
    </w:p>
    <w:p w:rsidR="00CF1696" w:rsidRPr="00CF2A2D" w:rsidRDefault="00CF1696" w:rsidP="00194269">
      <w:pPr>
        <w:pStyle w:val="H23G"/>
        <w:rPr>
          <w:rFonts w:eastAsia="MS Mincho"/>
        </w:rPr>
      </w:pPr>
      <w:r w:rsidRPr="00CF2A2D">
        <w:tab/>
        <w:t>3.</w:t>
      </w:r>
      <w:r w:rsidRPr="00CF2A2D">
        <w:tab/>
        <w:t>Épreuves et critères pour les matières comburantes liquides et solides</w:t>
      </w:r>
    </w:p>
    <w:p w:rsidR="00CF1696" w:rsidRPr="00CF2A2D" w:rsidRDefault="00CF1696" w:rsidP="00CF1696">
      <w:pPr>
        <w:pStyle w:val="SingleTxtG"/>
        <w:tabs>
          <w:tab w:val="left" w:pos="3119"/>
        </w:tabs>
        <w:jc w:val="left"/>
      </w:pPr>
      <w:r w:rsidRPr="00CF2A2D">
        <w:rPr>
          <w:i/>
        </w:rPr>
        <w:t>Document </w:t>
      </w:r>
      <w:r w:rsidRPr="00CF2A2D">
        <w:t>:</w:t>
      </w:r>
      <w:r w:rsidRPr="00CF2A2D">
        <w:tab/>
        <w:t>ST/SG/AC.10/C.4/2016/15 (France)</w:t>
      </w:r>
      <w:r w:rsidR="00194269" w:rsidRPr="00CF2A2D">
        <w:t>.</w:t>
      </w:r>
    </w:p>
    <w:p w:rsidR="00CF1696" w:rsidRPr="00CF2A2D" w:rsidRDefault="00CF1696" w:rsidP="00CF1696">
      <w:pPr>
        <w:pStyle w:val="SingleTxtG"/>
        <w:tabs>
          <w:tab w:val="left" w:pos="3119"/>
        </w:tabs>
        <w:jc w:val="left"/>
      </w:pPr>
      <w:r w:rsidRPr="00CF2A2D">
        <w:rPr>
          <w:i/>
        </w:rPr>
        <w:t>Document informel </w:t>
      </w:r>
      <w:r w:rsidRPr="00CF2A2D">
        <w:t>:</w:t>
      </w:r>
      <w:r w:rsidR="00194269" w:rsidRPr="00CF2A2D">
        <w:tab/>
        <w:t>INF.36, point </w:t>
      </w:r>
      <w:r w:rsidRPr="00CF2A2D">
        <w:t>4 (secrétariat)</w:t>
      </w:r>
      <w:r w:rsidR="00194269" w:rsidRPr="00CF2A2D">
        <w:t>.</w:t>
      </w:r>
    </w:p>
    <w:p w:rsidR="00CF1696" w:rsidRPr="00CF2A2D" w:rsidRDefault="00CF1696" w:rsidP="00194269">
      <w:pPr>
        <w:pStyle w:val="ParNoG"/>
      </w:pPr>
      <w:r w:rsidRPr="00CF2A2D">
        <w:t>Le Sous-Comité a noté que le Sous-Comité TMD avait décidé de modifier le Manuel d’épreuves et de critère</w:t>
      </w:r>
      <w:r w:rsidR="00194269" w:rsidRPr="00CF2A2D">
        <w:t>s conformément aux propositions </w:t>
      </w:r>
      <w:r w:rsidRPr="00CF2A2D">
        <w:t>1 à 4 figurant dans le document ST/SG/AC.10/C.4/2016/15 et a approuvé cette décision. Il a aussi noté que, conformément à la proposition</w:t>
      </w:r>
      <w:r w:rsidR="00194269" w:rsidRPr="00CF2A2D">
        <w:t> </w:t>
      </w:r>
      <w:r w:rsidRPr="00CF2A2D">
        <w:t>5, le Sous-Comité TMD continuerait à travailler sur cette question durant la période biennale suivante.</w:t>
      </w:r>
    </w:p>
    <w:p w:rsidR="00CF1696" w:rsidRPr="00CF2A2D" w:rsidRDefault="00CF1696" w:rsidP="00194269">
      <w:pPr>
        <w:pStyle w:val="H23G"/>
      </w:pPr>
      <w:r w:rsidRPr="00CF2A2D">
        <w:tab/>
        <w:t>4.</w:t>
      </w:r>
      <w:r w:rsidRPr="00CF2A2D">
        <w:tab/>
        <w:t>Utilisation du Manuel d’épreuves et de critères dans le contexte du SGH</w:t>
      </w:r>
    </w:p>
    <w:p w:rsidR="00CF1696" w:rsidRPr="00CF2A2D" w:rsidRDefault="00CF1696" w:rsidP="00CF1696">
      <w:pPr>
        <w:pStyle w:val="SingleTxtG"/>
        <w:tabs>
          <w:tab w:val="left" w:pos="3119"/>
        </w:tabs>
        <w:ind w:left="3119" w:hanging="1985"/>
        <w:jc w:val="left"/>
      </w:pPr>
      <w:r w:rsidRPr="00CF2A2D">
        <w:rPr>
          <w:i/>
        </w:rPr>
        <w:t>Document </w:t>
      </w:r>
      <w:r w:rsidRPr="00CF2A2D">
        <w:t>:</w:t>
      </w:r>
      <w:r w:rsidRPr="00CF2A2D">
        <w:tab/>
        <w:t xml:space="preserve">ST/SG/AC.10/C.4/2016/16 </w:t>
      </w:r>
      <w:r w:rsidR="00194269" w:rsidRPr="00CF2A2D">
        <w:br/>
      </w:r>
      <w:r w:rsidRPr="00CF2A2D">
        <w:t>(Président du Groupe de travail</w:t>
      </w:r>
      <w:r w:rsidR="00194269" w:rsidRPr="00CF2A2D">
        <w:t xml:space="preserve"> </w:t>
      </w:r>
      <w:r w:rsidRPr="00CF2A2D">
        <w:t>des explosifs)</w:t>
      </w:r>
      <w:r w:rsidR="00194269" w:rsidRPr="00CF2A2D">
        <w:t>.</w:t>
      </w:r>
    </w:p>
    <w:p w:rsidR="00CF1696" w:rsidRPr="00CF2A2D" w:rsidRDefault="00CF1696" w:rsidP="00CF1696">
      <w:pPr>
        <w:pStyle w:val="SingleTxtG"/>
        <w:tabs>
          <w:tab w:val="left" w:pos="3119"/>
        </w:tabs>
        <w:ind w:left="3119" w:hanging="1985"/>
        <w:jc w:val="left"/>
      </w:pPr>
      <w:r w:rsidRPr="00CF2A2D">
        <w:rPr>
          <w:i/>
        </w:rPr>
        <w:t>Documents informels </w:t>
      </w:r>
      <w:r w:rsidRPr="00CF2A2D">
        <w:t>:</w:t>
      </w:r>
      <w:r w:rsidRPr="00CF2A2D">
        <w:tab/>
        <w:t xml:space="preserve">INF.5 et Add.1 à 5 (Président du Groupe de travail des explosifs) INF.10 (Allemagne), </w:t>
      </w:r>
      <w:r w:rsidRPr="00CF2A2D">
        <w:br/>
        <w:t xml:space="preserve">INF.14 (États-Unis d’Amérique, Canada) </w:t>
      </w:r>
      <w:r w:rsidRPr="00CF2A2D">
        <w:br/>
        <w:t>INF.21 et INF.36, point 5 (secrétariat)</w:t>
      </w:r>
      <w:r w:rsidR="00194269" w:rsidRPr="00CF2A2D">
        <w:t>.</w:t>
      </w:r>
    </w:p>
    <w:p w:rsidR="00CF1696" w:rsidRPr="00CF2A2D" w:rsidRDefault="00CF1696" w:rsidP="00194269">
      <w:pPr>
        <w:pStyle w:val="ParNoG"/>
        <w:rPr>
          <w:rFonts w:eastAsia="MS Mincho"/>
        </w:rPr>
      </w:pPr>
      <w:r w:rsidRPr="00CF2A2D">
        <w:t>Le Sous-Comité a pris note des progrès réalisés et a approuvé les décisions du Sous-Comité TMD concernant les amendements figurant dans l’annexe II au document informel INF.36 ainsi que les corrections énoncées dans le document informel INF.21. Le Sous-Comité a appuyé pleinement la poursuite des travaux de révision du Manuel d’épreuves et de critères pour tenir compte du SGH, dans l’espoir qu’ils puissent aboutir au cours de la période biennale suivante.</w:t>
      </w:r>
    </w:p>
    <w:p w:rsidR="00CF1696" w:rsidRPr="00CF2A2D" w:rsidRDefault="00CF1696" w:rsidP="00194269">
      <w:pPr>
        <w:pStyle w:val="ParNoG"/>
        <w:rPr>
          <w:rFonts w:eastAsia="MS Mincho"/>
        </w:rPr>
      </w:pPr>
      <w:r w:rsidRPr="00CF2A2D">
        <w:t xml:space="preserve">Certains experts ont estimé que l’adoption de nouveaux amendements au Manuel d’épreuves et de critères dans le contexte du SGH devait être reportée jusqu’à ce que la révision du chapitre 2.1 du SGH ait été menée à son terme. D’autres n’étaient pas de cet avis. Le Sous-Comité en a conclu que cette question pourrait être abordée plus tard dans le courant de la période biennale suivante. </w:t>
      </w:r>
    </w:p>
    <w:p w:rsidR="00CF1696" w:rsidRPr="00CF2A2D" w:rsidRDefault="00CF1696" w:rsidP="00194269">
      <w:pPr>
        <w:pStyle w:val="ParNoG"/>
        <w:rPr>
          <w:rFonts w:eastAsia="MS Mincho"/>
        </w:rPr>
      </w:pPr>
      <w:r w:rsidRPr="00CF2A2D">
        <w:t>Les experts du Sous-Comité SGH ont été invités à participer aux travaux du Groupe de travail des explosifs sur cette question, afin de faire en sorte que les éléments du SGH qui concernent d’autres secteurs que celui du transport soient dûment pris en considération. Les experts intéressés ont été invités à prendre contact avec le Président du Groupe de travail des explosifs, M. Ed de Jong (Pays-Bas).</w:t>
      </w:r>
    </w:p>
    <w:p w:rsidR="00CF1696" w:rsidRPr="00CF2A2D" w:rsidRDefault="00194269" w:rsidP="00194269">
      <w:pPr>
        <w:pStyle w:val="H23G"/>
        <w:rPr>
          <w:rFonts w:eastAsia="MS Mincho"/>
        </w:rPr>
      </w:pPr>
      <w:r w:rsidRPr="00CF2A2D">
        <w:tab/>
        <w:t>5.</w:t>
      </w:r>
      <w:r w:rsidRPr="00CF2A2D">
        <w:tab/>
        <w:t>Révision du chapitre </w:t>
      </w:r>
      <w:r w:rsidR="00CF1696" w:rsidRPr="00CF2A2D">
        <w:t>2.1 du SGH</w:t>
      </w:r>
    </w:p>
    <w:p w:rsidR="00CF1696" w:rsidRPr="00CF2A2D" w:rsidRDefault="00CF1696" w:rsidP="00CF1696">
      <w:pPr>
        <w:pStyle w:val="SingleTxtG"/>
        <w:tabs>
          <w:tab w:val="left" w:pos="3119"/>
        </w:tabs>
        <w:ind w:left="3119" w:hanging="1985"/>
        <w:jc w:val="left"/>
      </w:pPr>
      <w:r w:rsidRPr="00CF2A2D">
        <w:rPr>
          <w:i/>
        </w:rPr>
        <w:t>Documents informels </w:t>
      </w:r>
      <w:r w:rsidRPr="00CF2A2D">
        <w:t>:</w:t>
      </w:r>
      <w:r w:rsidRPr="00CF2A2D">
        <w:tab/>
        <w:t xml:space="preserve">INF.8 et INF.41 (Suède) </w:t>
      </w:r>
      <w:r w:rsidRPr="00CF2A2D">
        <w:br/>
        <w:t xml:space="preserve">INF.15 (États-Unis d’Amérique) </w:t>
      </w:r>
      <w:r w:rsidRPr="00CF2A2D">
        <w:br/>
        <w:t>INF.36, point 6 (secrétariat)</w:t>
      </w:r>
      <w:r w:rsidR="00194269" w:rsidRPr="00CF2A2D">
        <w:t>.</w:t>
      </w:r>
    </w:p>
    <w:p w:rsidR="00CF1696" w:rsidRPr="00CF2A2D" w:rsidRDefault="00CF1696" w:rsidP="00194269">
      <w:pPr>
        <w:pStyle w:val="ParNoG"/>
        <w:rPr>
          <w:rFonts w:eastAsia="MS Mincho"/>
        </w:rPr>
      </w:pPr>
      <w:r w:rsidRPr="00CF2A2D">
        <w:t xml:space="preserve">Le Sous-Comité a noté que les </w:t>
      </w:r>
      <w:r w:rsidR="00194269" w:rsidRPr="00CF2A2D">
        <w:t>travaux de révision du chapitre </w:t>
      </w:r>
      <w:r w:rsidRPr="00CF2A2D">
        <w:t xml:space="preserve">2.1 se poursuivaient et que les experts participant au groupe de travail informel par correspondance s’étaient prononcés en faveur de la création de catégories pour la classe des matières et objets explosibles et les éléments de communication des dangers s’y rapportant. Ils ont reconnu que le classement en deux divisions élaboré aux fins du transport ne reposait pas seulement sur les propriétés intrinsèques des matières et objets explosibles mais aussi sur des facteurs tels que leur quantité ou le type d’emballage utilisé. Ils ont estimé que les nouvelles catégories proposées étaient prometteuses et permettraient de mieux tenir compte des besoins de secteurs autres que le transport. Il a été toutefois souligné que, étant donné que la classification actuelle en divisions convenait aux fins du transport et était utilisée à d’autres fins dans certaines juridictions, son retrait du SGH pourrait avoir des effets non désirés. </w:t>
      </w:r>
    </w:p>
    <w:p w:rsidR="00CF1696" w:rsidRPr="00CF2A2D" w:rsidRDefault="00CF1696" w:rsidP="00194269">
      <w:pPr>
        <w:pStyle w:val="ParNoG"/>
        <w:rPr>
          <w:rFonts w:eastAsia="MS Mincho"/>
        </w:rPr>
      </w:pPr>
      <w:r w:rsidRPr="00CF2A2D">
        <w:t xml:space="preserve">Le Sous-Comité a aussi pris note des préoccupations exprimées par certaines délégations, qui se demandaient si la révision du chapitre 2.1 devait également porter sur d’autres aspects que ceux qui sont énumérés dans le document informel INF.15. </w:t>
      </w:r>
    </w:p>
    <w:p w:rsidR="00CF1696" w:rsidRPr="00CF2A2D" w:rsidRDefault="00CF1696" w:rsidP="00194269">
      <w:pPr>
        <w:pStyle w:val="ParNoG"/>
        <w:rPr>
          <w:rFonts w:eastAsia="MS Mincho"/>
        </w:rPr>
      </w:pPr>
      <w:r w:rsidRPr="00CF2A2D">
        <w:t>Le Sous-Comité a invité l’expert de la Suède à formuler, en collaboration avec d’autres experts intéressés, des perspectives pour le groupe de travail informel par correspondance au cours de la période biennale suivante qui tiennent compte des observations formulées. L’expert de la Suède a réaffirmé qu’il était nécessaire que des experts de tous les secteurs participent aux travaux du groupe de travail informel par correspondance et a invité tous les membres du Sous-Comité qui souhaiteraient se joindre aux débats à prendre contact avec lui.</w:t>
      </w:r>
    </w:p>
    <w:p w:rsidR="00CF1696" w:rsidRPr="00CF2A2D" w:rsidRDefault="00CF1696" w:rsidP="00194269">
      <w:pPr>
        <w:pStyle w:val="ParNoG"/>
      </w:pPr>
      <w:r w:rsidRPr="00CF2A2D">
        <w:t>Après avoir examiné les options figurant dans le document informel INF.41, le</w:t>
      </w:r>
      <w:r w:rsidR="00194269" w:rsidRPr="00CF2A2D">
        <w:t> </w:t>
      </w:r>
      <w:r w:rsidRPr="00CF2A2D">
        <w:t xml:space="preserve">Sous-Comité a convenu que le groupe de travail informel par correspondance poursuivrait ses travaux conformément au </w:t>
      </w:r>
      <w:r w:rsidR="00194269" w:rsidRPr="00CF2A2D">
        <w:t>mandat figurant aux paragraphes </w:t>
      </w:r>
      <w:r w:rsidRPr="00CF2A2D">
        <w:t>10 à</w:t>
      </w:r>
      <w:r w:rsidR="00194269" w:rsidRPr="00CF2A2D">
        <w:t> </w:t>
      </w:r>
      <w:r w:rsidRPr="00CF2A2D">
        <w:t>13 du d</w:t>
      </w:r>
      <w:r w:rsidR="00B1594C">
        <w:t>ocument ST/SG/AC.10/C.3/2014/79-</w:t>
      </w:r>
      <w:r w:rsidRPr="00CF2A2D">
        <w:t xml:space="preserve">ST/SG/AC.10/C.4/2014/15, sans perdre de vue les points énoncés dans l’option B du document informel INF.41. </w:t>
      </w:r>
    </w:p>
    <w:p w:rsidR="00CF1696" w:rsidRPr="00CF2A2D" w:rsidRDefault="00CF1696" w:rsidP="00194269">
      <w:pPr>
        <w:pStyle w:val="H23G"/>
        <w:rPr>
          <w:rFonts w:eastAsia="MS Mincho"/>
        </w:rPr>
      </w:pPr>
      <w:r w:rsidRPr="00CF2A2D">
        <w:tab/>
        <w:t>6.</w:t>
      </w:r>
      <w:r w:rsidRPr="00CF2A2D">
        <w:tab/>
        <w:t>Autres questions intéressant le Sous-Comité</w:t>
      </w:r>
    </w:p>
    <w:p w:rsidR="00CF1696" w:rsidRPr="00CF2A2D" w:rsidRDefault="00194269" w:rsidP="00194269">
      <w:pPr>
        <w:pStyle w:val="H4G"/>
        <w:rPr>
          <w:rFonts w:eastAsia="MS Mincho"/>
        </w:rPr>
      </w:pPr>
      <w:r w:rsidRPr="00CF2A2D">
        <w:tab/>
        <w:t>a)</w:t>
      </w:r>
      <w:r w:rsidRPr="00CF2A2D">
        <w:tab/>
        <w:t>Révision du chapitre </w:t>
      </w:r>
      <w:r w:rsidR="00CF1696" w:rsidRPr="00CF2A2D">
        <w:t xml:space="preserve">2.8 du Règlement type de l’ONU pour le transport </w:t>
      </w:r>
      <w:r w:rsidRPr="00CF2A2D">
        <w:br/>
      </w:r>
      <w:r w:rsidR="00CF1696" w:rsidRPr="00CF2A2D">
        <w:t>des marchandises dangereuses</w:t>
      </w:r>
    </w:p>
    <w:p w:rsidR="00CF1696" w:rsidRPr="00CF2A2D" w:rsidRDefault="00CF1696" w:rsidP="00CF1696">
      <w:pPr>
        <w:pStyle w:val="SingleTxtG"/>
        <w:tabs>
          <w:tab w:val="left" w:pos="3119"/>
        </w:tabs>
        <w:jc w:val="left"/>
        <w:rPr>
          <w:rFonts w:eastAsia="MS Mincho"/>
        </w:rPr>
      </w:pPr>
      <w:r w:rsidRPr="00CF2A2D">
        <w:rPr>
          <w:i/>
        </w:rPr>
        <w:t>Document informel </w:t>
      </w:r>
      <w:r w:rsidRPr="00CF2A2D">
        <w:t>:</w:t>
      </w:r>
      <w:r w:rsidR="00194269" w:rsidRPr="00CF2A2D">
        <w:tab/>
        <w:t>INF.36, point </w:t>
      </w:r>
      <w:r w:rsidRPr="00CF2A2D">
        <w:t>7 (secrétariat)</w:t>
      </w:r>
      <w:r w:rsidR="00194269" w:rsidRPr="00CF2A2D">
        <w:t>.</w:t>
      </w:r>
    </w:p>
    <w:p w:rsidR="00CF1696" w:rsidRPr="00CF2A2D" w:rsidRDefault="00194269" w:rsidP="00194269">
      <w:pPr>
        <w:pStyle w:val="ParNoG"/>
        <w:keepNext/>
        <w:keepLines/>
        <w:rPr>
          <w:rFonts w:eastAsia="MS Mincho"/>
        </w:rPr>
      </w:pPr>
      <w:r w:rsidRPr="00CF2A2D">
        <w:t>L</w:t>
      </w:r>
      <w:r w:rsidR="00CF1696" w:rsidRPr="00CF2A2D">
        <w:t xml:space="preserve">e Sous-Comité a noté avec satisfaction que le Sous-Comité TMD avait achevé les travaux visant à harmoniser davantage les </w:t>
      </w:r>
      <w:r w:rsidRPr="00CF2A2D">
        <w:t xml:space="preserve">dispositions du chapitre 2.8 du </w:t>
      </w:r>
      <w:r w:rsidR="00CF1696" w:rsidRPr="00CF2A2D">
        <w:t>Règlement type avec celles du SGH en ce qui concernait le recours à des méthodes remplaçant l’expérimentation animale pour l’évaluation de la corrosivité. Le Sous-Comité a également noté que :</w:t>
      </w:r>
    </w:p>
    <w:p w:rsidR="00CF1696" w:rsidRPr="00CF2A2D" w:rsidRDefault="00CF1696" w:rsidP="00194269">
      <w:pPr>
        <w:pStyle w:val="Bullet1G"/>
        <w:numPr>
          <w:ilvl w:val="0"/>
          <w:numId w:val="0"/>
        </w:numPr>
        <w:ind w:left="1134" w:firstLine="567"/>
        <w:rPr>
          <w:rFonts w:eastAsia="MS Mincho"/>
        </w:rPr>
      </w:pPr>
      <w:r w:rsidRPr="00CF2A2D">
        <w:t>a)</w:t>
      </w:r>
      <w:r w:rsidRPr="00CF2A2D">
        <w:tab/>
        <w:t>Des modifications mineures aux principes d’extrapolation du SGH en ce qui concernait la dilution restaient à apporter en raison de la possibilité d’effets de synergie et de l’utilisation d’une substance corrosive comme diluant ;</w:t>
      </w:r>
    </w:p>
    <w:p w:rsidR="00CF1696" w:rsidRPr="00CF2A2D" w:rsidRDefault="00CF1696" w:rsidP="00194269">
      <w:pPr>
        <w:pStyle w:val="Bullet1G"/>
        <w:numPr>
          <w:ilvl w:val="0"/>
          <w:numId w:val="0"/>
        </w:numPr>
        <w:ind w:left="1134" w:firstLine="567"/>
        <w:rPr>
          <w:rFonts w:eastAsia="MS Mincho"/>
        </w:rPr>
      </w:pPr>
      <w:r w:rsidRPr="00CF2A2D">
        <w:t>b)</w:t>
      </w:r>
      <w:r w:rsidRPr="00CF2A2D">
        <w:tab/>
        <w:t>La méthode d’additivité du SGH ne permettait pas l’affectation aux groupes d’emballage qui sont utilisés dans les règlements relatifs au transport pour déterminer les conditions dans lesquelles des marchandises peuvent être transportées. On aura donc recours, pour l’affectation aux groupes d’emballage, à une nouvelle méthode de calcul fondée sur la concentration des composants ; et</w:t>
      </w:r>
    </w:p>
    <w:p w:rsidR="00CF1696" w:rsidRPr="00CF2A2D" w:rsidRDefault="00CF1696" w:rsidP="00194269">
      <w:pPr>
        <w:pStyle w:val="Bullet1G"/>
        <w:numPr>
          <w:ilvl w:val="0"/>
          <w:numId w:val="0"/>
        </w:numPr>
        <w:ind w:left="1134" w:firstLine="567"/>
        <w:rPr>
          <w:rFonts w:eastAsia="MS Mincho"/>
        </w:rPr>
      </w:pPr>
      <w:r w:rsidRPr="00CF2A2D">
        <w:t xml:space="preserve">c) </w:t>
      </w:r>
      <w:r w:rsidRPr="00CF2A2D">
        <w:tab/>
        <w:t>L’utilisation du pH comme critère de classement n’a pas été adoptée, car il a été considéré que l’information concernant la corrosivité des composants d’un mélange était un meilleur indicateur de corrosivité que le pH du mélange.</w:t>
      </w:r>
    </w:p>
    <w:p w:rsidR="00CF1696" w:rsidRPr="00CF2A2D" w:rsidRDefault="00CF1696" w:rsidP="00194269">
      <w:pPr>
        <w:pStyle w:val="ParNoG"/>
        <w:rPr>
          <w:rFonts w:eastAsia="MS Mincho"/>
        </w:rPr>
      </w:pPr>
      <w:r w:rsidRPr="00CF2A2D">
        <w:t xml:space="preserve">Le Sous-Comité a pris note de l’invitation du Sous-Comité TDM à examiner la question de savoir si les solutions adoptées aux </w:t>
      </w:r>
      <w:r w:rsidR="00194269" w:rsidRPr="00CF2A2D">
        <w:t>questions soulevées aux alinéas a) à </w:t>
      </w:r>
      <w:r w:rsidRPr="00CF2A2D">
        <w:t>c) pouvaient s’appliquer à d’autres secteurs.</w:t>
      </w:r>
    </w:p>
    <w:p w:rsidR="00CF1696" w:rsidRPr="00CF2A2D" w:rsidRDefault="00CF1696" w:rsidP="00194269">
      <w:pPr>
        <w:pStyle w:val="H4G"/>
        <w:rPr>
          <w:rFonts w:eastAsia="MS Mincho"/>
        </w:rPr>
      </w:pPr>
      <w:r w:rsidRPr="00CF2A2D">
        <w:tab/>
        <w:t>b)</w:t>
      </w:r>
      <w:r w:rsidRPr="00CF2A2D">
        <w:tab/>
        <w:t>Méthode d’épreuve pour les matières solides facilement inflammables (épreuve N.1)</w:t>
      </w:r>
    </w:p>
    <w:p w:rsidR="00CF1696" w:rsidRPr="00CF2A2D" w:rsidRDefault="00CF1696" w:rsidP="00CF1696">
      <w:pPr>
        <w:pStyle w:val="SingleTxtG"/>
        <w:tabs>
          <w:tab w:val="left" w:pos="3119"/>
        </w:tabs>
        <w:jc w:val="left"/>
        <w:rPr>
          <w:rFonts w:eastAsia="MS Mincho"/>
        </w:rPr>
      </w:pPr>
      <w:r w:rsidRPr="00CF2A2D">
        <w:rPr>
          <w:i/>
        </w:rPr>
        <w:t>Document informel </w:t>
      </w:r>
      <w:r w:rsidRPr="00CF2A2D">
        <w:t>:</w:t>
      </w:r>
      <w:r w:rsidRPr="00CF2A2D">
        <w:tab/>
        <w:t>INF.36, point 8 (secrétariat)</w:t>
      </w:r>
      <w:r w:rsidR="00194269" w:rsidRPr="00CF2A2D">
        <w:t>.</w:t>
      </w:r>
    </w:p>
    <w:p w:rsidR="00CF1696" w:rsidRPr="00CF2A2D" w:rsidRDefault="00CF1696" w:rsidP="00194269">
      <w:pPr>
        <w:pStyle w:val="ParNoG"/>
        <w:rPr>
          <w:rFonts w:eastAsia="MS Mincho"/>
        </w:rPr>
      </w:pPr>
      <w:r w:rsidRPr="00CF2A2D">
        <w:t>Le Sous-Comité a noté que le Sous-Comité TDM avait adopté une modification de l’épreuve N.1 visant à préciser la signification de l’expression « toute la longueur de l’échantillon ». Certains estimaient qu’il s’agissait de la longueur du moule utilisé au cours de l’épreuve, tandis que d’autres pensaient que référence était faite à la longueur de la « zone chronométrée », c’est-à-dire de la longueur d’après laquelle le taux de combustion était mesuré. Le Sous-Comité TMD a confirmé que c’est bien cette seconde interprétation qui était la bonne et a accepté de mentionner la longueur exacte dans les dispositions relatives à l’épreuve, afin d’éviter les malentendus.</w:t>
      </w:r>
    </w:p>
    <w:p w:rsidR="00CF1696" w:rsidRPr="00CF2A2D" w:rsidRDefault="00CF1696" w:rsidP="00194269">
      <w:pPr>
        <w:pStyle w:val="ParNoG"/>
        <w:rPr>
          <w:rFonts w:eastAsia="MS Mincho"/>
        </w:rPr>
      </w:pPr>
      <w:r w:rsidRPr="00CF2A2D">
        <w:t xml:space="preserve">Considérant que cet éclaircissement pourrait également être utile aux utilisateurs du SGH, le Sous-Comité a décidé de modifier le texte correspondant au paragraphe 2.7.2.2 du chapitre 2.7 du SGH (voir annexe I). </w:t>
      </w:r>
    </w:p>
    <w:p w:rsidR="00CF1696" w:rsidRPr="00CF2A2D" w:rsidRDefault="00CF1696" w:rsidP="00194269">
      <w:pPr>
        <w:pStyle w:val="H1G"/>
      </w:pPr>
      <w:r w:rsidRPr="00CF2A2D">
        <w:tab/>
        <w:t>C.</w:t>
      </w:r>
      <w:r w:rsidRPr="00CF2A2D">
        <w:tab/>
        <w:t>Dangers d’explosions de poussières</w:t>
      </w:r>
    </w:p>
    <w:p w:rsidR="00CF1696" w:rsidRPr="00CF2A2D" w:rsidRDefault="00CF1696" w:rsidP="00CF1696">
      <w:pPr>
        <w:pStyle w:val="SingleTxtG"/>
        <w:tabs>
          <w:tab w:val="left" w:pos="3119"/>
        </w:tabs>
        <w:jc w:val="left"/>
        <w:rPr>
          <w:rFonts w:eastAsia="MS Mincho"/>
        </w:rPr>
      </w:pPr>
      <w:r w:rsidRPr="00CF2A2D">
        <w:rPr>
          <w:i/>
        </w:rPr>
        <w:t>Document informel </w:t>
      </w:r>
      <w:r w:rsidRPr="00CF2A2D">
        <w:t>:</w:t>
      </w:r>
      <w:r w:rsidRPr="00CF2A2D">
        <w:tab/>
        <w:t>INF.23 (États-Unis d’Amérique)</w:t>
      </w:r>
      <w:r w:rsidR="00194269" w:rsidRPr="00CF2A2D">
        <w:t>.</w:t>
      </w:r>
    </w:p>
    <w:p w:rsidR="00CF1696" w:rsidRPr="00CF2A2D" w:rsidRDefault="00CF1696" w:rsidP="00194269">
      <w:pPr>
        <w:pStyle w:val="ParNoG"/>
        <w:rPr>
          <w:rFonts w:eastAsia="MS Mincho"/>
        </w:rPr>
      </w:pPr>
      <w:r w:rsidRPr="00CF2A2D">
        <w:t>Le Sous-Comité a décidé que le groupe de travail informel par correspondance poursuivrait ses travaux conformément au plan de travail détaillé au paragraphe</w:t>
      </w:r>
      <w:r w:rsidR="00194269" w:rsidRPr="00CF2A2D">
        <w:t> </w:t>
      </w:r>
      <w:r w:rsidRPr="00CF2A2D">
        <w:t xml:space="preserve">8 du document informel INF.23. </w:t>
      </w:r>
    </w:p>
    <w:p w:rsidR="00CF1696" w:rsidRPr="00CF2A2D" w:rsidRDefault="00CF1696" w:rsidP="00194269">
      <w:pPr>
        <w:pStyle w:val="ParNoG"/>
        <w:rPr>
          <w:rFonts w:eastAsia="MS Mincho"/>
        </w:rPr>
      </w:pPr>
      <w:r w:rsidRPr="00CF2A2D">
        <w:t xml:space="preserve">Il a noté que le groupe de travail informel par correspondance avait examiné et débattu les prescriptions en matière d’étiquetage pour les poussières combustibles prescrites par la législation en vigueur aux États-Unis d’Amérique et au Canada au cours de la réunion tenue le 8 décembre 2016. Ce débat a abouti à une meilleure compréhension de la façon dont les prescriptions en matière d’étiquetage sont appliquées dans ces pays aux produits chimiques expédiés sous forme de poussière et à celles formant une poussière lors de leur traitement. Le groupe de travail informel par correspondance a examiné ces informations afin de déterminer ce qui pouvait être inclus dans le projet d’annexe, à la section sur les informations complémentaires pour la communication des dangers. Le Sous-Comité a également noté que le groupe de travail informel par correspondance avait commencé à examiner le projet d’annexe dans le document informel INF.23 et avait l’intention de le mettre au point à temps pour soumettre une proposition officielle à sa trente-troisième session. </w:t>
      </w:r>
    </w:p>
    <w:p w:rsidR="00CF1696" w:rsidRPr="00CF2A2D" w:rsidRDefault="00CF1696" w:rsidP="00194269">
      <w:pPr>
        <w:pStyle w:val="H1G"/>
      </w:pPr>
      <w:r w:rsidRPr="00CF2A2D">
        <w:tab/>
        <w:t>D.</w:t>
      </w:r>
      <w:r w:rsidRPr="00CF2A2D">
        <w:tab/>
        <w:t>Questions pratiques de classement</w:t>
      </w:r>
    </w:p>
    <w:p w:rsidR="00CF1696" w:rsidRPr="00CF2A2D" w:rsidRDefault="00CF1696" w:rsidP="00CF1696">
      <w:pPr>
        <w:pStyle w:val="SingleTxtG"/>
        <w:tabs>
          <w:tab w:val="left" w:pos="3119"/>
        </w:tabs>
        <w:ind w:left="3119" w:hanging="1985"/>
        <w:jc w:val="left"/>
        <w:rPr>
          <w:rFonts w:eastAsia="MS Mincho"/>
        </w:rPr>
      </w:pPr>
      <w:r w:rsidRPr="00CF2A2D">
        <w:rPr>
          <w:i/>
        </w:rPr>
        <w:t>Documents informels </w:t>
      </w:r>
      <w:r w:rsidRPr="00CF2A2D">
        <w:t>:</w:t>
      </w:r>
      <w:r w:rsidRPr="00CF2A2D">
        <w:tab/>
        <w:t xml:space="preserve">INF.35 (Union européenne) </w:t>
      </w:r>
      <w:r w:rsidRPr="00CF2A2D">
        <w:br/>
        <w:t>INF.39 (États-Unis d’Amérique)</w:t>
      </w:r>
      <w:r w:rsidR="00194269" w:rsidRPr="00CF2A2D">
        <w:t>.</w:t>
      </w:r>
    </w:p>
    <w:p w:rsidR="00CF1696" w:rsidRPr="00CF2A2D" w:rsidRDefault="00CF1696" w:rsidP="00194269">
      <w:pPr>
        <w:pStyle w:val="ParNoG"/>
        <w:rPr>
          <w:rFonts w:eastAsia="MS Mincho"/>
        </w:rPr>
      </w:pPr>
      <w:r w:rsidRPr="00CF2A2D">
        <w:t>Le Sous-Comité a confié l’examen de la question soulevée au paragraphe 6 du document informel INF.35 au groupe de travail informel par correspondance chargé des questions pratiques de classement.</w:t>
      </w:r>
    </w:p>
    <w:p w:rsidR="00CF1696" w:rsidRPr="00CF2A2D" w:rsidRDefault="00CF1696" w:rsidP="00194269">
      <w:pPr>
        <w:pStyle w:val="ParNoG"/>
        <w:rPr>
          <w:rFonts w:eastAsia="MS Mincho"/>
        </w:rPr>
      </w:pPr>
      <w:r w:rsidRPr="00CF2A2D">
        <w:t>L’expert des États-Unis d’Amérique a fait savoir au Sous-Comi</w:t>
      </w:r>
      <w:r w:rsidR="00194269" w:rsidRPr="00CF2A2D">
        <w:t>té que, lors de sa réunion du 7 </w:t>
      </w:r>
      <w:r w:rsidRPr="00CF2A2D">
        <w:t>décembre, le groupe de travail informel par correspondance avait examiné les éléments de son programme de travail pour la période biennale suivante et continué à débattre de l’application des principes d’extrapolation.</w:t>
      </w:r>
    </w:p>
    <w:p w:rsidR="00CF1696" w:rsidRPr="00CF2A2D" w:rsidRDefault="00CF1696" w:rsidP="00194269">
      <w:pPr>
        <w:pStyle w:val="ParNoG"/>
        <w:rPr>
          <w:rFonts w:eastAsia="MS Mincho"/>
        </w:rPr>
      </w:pPr>
      <w:r w:rsidRPr="00CF2A2D">
        <w:t>Le Sous-Comité a approuvé le mandat du groupe de travail informel par correspondance tel qu’il figure dans le document informel INF.39.</w:t>
      </w:r>
    </w:p>
    <w:p w:rsidR="00CF1696" w:rsidRPr="00CF2A2D" w:rsidRDefault="00CF1696" w:rsidP="00194269">
      <w:pPr>
        <w:pStyle w:val="H1G"/>
        <w:rPr>
          <w:rFonts w:eastAsia="MS Mincho"/>
        </w:rPr>
      </w:pPr>
      <w:r w:rsidRPr="00CF2A2D">
        <w:tab/>
        <w:t>E.</w:t>
      </w:r>
      <w:r w:rsidRPr="00CF2A2D">
        <w:tab/>
        <w:t>Danger par aspiration</w:t>
      </w:r>
    </w:p>
    <w:p w:rsidR="00CF1696" w:rsidRPr="00CF2A2D" w:rsidRDefault="00CF1696" w:rsidP="00194269">
      <w:pPr>
        <w:pStyle w:val="ParNoG"/>
        <w:rPr>
          <w:rFonts w:eastAsia="MS Mincho"/>
        </w:rPr>
      </w:pPr>
      <w:r w:rsidRPr="00CF2A2D">
        <w:t>Le Sous-Comité a examiné cette question au titre du point 7 de l’ordre du jour.</w:t>
      </w:r>
    </w:p>
    <w:p w:rsidR="00CF1696" w:rsidRPr="00CF2A2D" w:rsidRDefault="00CF1696" w:rsidP="00194269">
      <w:pPr>
        <w:pStyle w:val="H1G"/>
        <w:rPr>
          <w:rFonts w:eastAsia="MS Mincho"/>
        </w:rPr>
      </w:pPr>
      <w:r w:rsidRPr="00CF2A2D">
        <w:tab/>
        <w:t>F.</w:t>
      </w:r>
      <w:r w:rsidRPr="00CF2A2D">
        <w:tab/>
        <w:t>Nanomatériaux</w:t>
      </w:r>
    </w:p>
    <w:p w:rsidR="00CF1696" w:rsidRPr="00CF2A2D" w:rsidRDefault="00CF1696" w:rsidP="00CF1696">
      <w:pPr>
        <w:pStyle w:val="SingleTxtG"/>
        <w:tabs>
          <w:tab w:val="left" w:pos="3119"/>
        </w:tabs>
        <w:jc w:val="left"/>
      </w:pPr>
      <w:r w:rsidRPr="00CF2A2D">
        <w:rPr>
          <w:i/>
        </w:rPr>
        <w:t>Document informel </w:t>
      </w:r>
      <w:r w:rsidRPr="00CF2A2D">
        <w:t>:</w:t>
      </w:r>
      <w:r w:rsidRPr="00CF2A2D">
        <w:tab/>
        <w:t>INF.27 (France)</w:t>
      </w:r>
      <w:r w:rsidR="00194269" w:rsidRPr="00CF2A2D">
        <w:t>.</w:t>
      </w:r>
    </w:p>
    <w:p w:rsidR="00CF1696" w:rsidRPr="00CF2A2D" w:rsidRDefault="00CF1696" w:rsidP="00194269">
      <w:pPr>
        <w:pStyle w:val="ParNoG"/>
        <w:rPr>
          <w:rFonts w:eastAsia="MS Mincho"/>
        </w:rPr>
      </w:pPr>
      <w:r w:rsidRPr="00CF2A2D">
        <w:t>Le Sous-Comité a pris note des informations relatives aux progrès réalisés par le groupe de travail informel par correspondance et a approuvé le programme de travail pour la période biennale suivant</w:t>
      </w:r>
      <w:r w:rsidR="00194269" w:rsidRPr="00CF2A2D">
        <w:t>e tel que proposé au paragraphe </w:t>
      </w:r>
      <w:r w:rsidRPr="00CF2A2D">
        <w:t>9 du docume</w:t>
      </w:r>
      <w:r w:rsidR="00194269" w:rsidRPr="00CF2A2D">
        <w:t>nt informel INF.27 (voir annexe </w:t>
      </w:r>
      <w:r w:rsidRPr="00CF2A2D">
        <w:t xml:space="preserve">III). L’expert de la France a invité une nouvelle fois les experts intéressés à participer aux travaux du groupe de travail informel par correspondance. </w:t>
      </w:r>
    </w:p>
    <w:p w:rsidR="00CF1696" w:rsidRPr="00CF2A2D" w:rsidRDefault="00CF1696" w:rsidP="00194269">
      <w:pPr>
        <w:pStyle w:val="H1G"/>
      </w:pPr>
      <w:r w:rsidRPr="00CF2A2D">
        <w:tab/>
        <w:t>G.</w:t>
      </w:r>
      <w:r w:rsidRPr="00CF2A2D">
        <w:tab/>
        <w:t>Divers</w:t>
      </w:r>
    </w:p>
    <w:p w:rsidR="00CF1696" w:rsidRPr="00CF2A2D" w:rsidRDefault="00CF1696" w:rsidP="00194269">
      <w:pPr>
        <w:pStyle w:val="H23G"/>
      </w:pPr>
      <w:r w:rsidRPr="00CF2A2D">
        <w:tab/>
        <w:t>1.</w:t>
      </w:r>
      <w:r w:rsidRPr="00CF2A2D">
        <w:tab/>
        <w:t>Produits chimiques sous pression</w:t>
      </w:r>
    </w:p>
    <w:p w:rsidR="00CF1696" w:rsidRPr="00CF2A2D" w:rsidRDefault="00CF1696" w:rsidP="00CF1696">
      <w:pPr>
        <w:pStyle w:val="SingleTxtG"/>
        <w:tabs>
          <w:tab w:val="left" w:pos="3119"/>
        </w:tabs>
        <w:ind w:left="3119" w:hanging="1985"/>
        <w:jc w:val="left"/>
      </w:pPr>
      <w:r w:rsidRPr="00CF2A2D">
        <w:rPr>
          <w:i/>
        </w:rPr>
        <w:t>Documents informels </w:t>
      </w:r>
      <w:r w:rsidRPr="00CF2A2D">
        <w:t>:</w:t>
      </w:r>
      <w:r w:rsidRPr="00CF2A2D">
        <w:tab/>
        <w:t xml:space="preserve">INF.26 (CEFIC, EIGA) </w:t>
      </w:r>
      <w:r w:rsidRPr="00CF2A2D">
        <w:br/>
        <w:t>INF.28 (EIGA)</w:t>
      </w:r>
      <w:r w:rsidR="00194269" w:rsidRPr="00CF2A2D">
        <w:t>.</w:t>
      </w:r>
    </w:p>
    <w:p w:rsidR="00CF1696" w:rsidRPr="00CF2A2D" w:rsidRDefault="00CF1696" w:rsidP="00194269">
      <w:pPr>
        <w:pStyle w:val="ParNoG"/>
      </w:pPr>
      <w:r w:rsidRPr="00CF2A2D">
        <w:t xml:space="preserve">Le Sous-Comité a décidé d’aborder la question du classement et de l’étiquetage des produits chimiques sous pression au cours de la période biennale suivante. </w:t>
      </w:r>
    </w:p>
    <w:p w:rsidR="00CF1696" w:rsidRPr="00CF2A2D" w:rsidRDefault="00CF1696" w:rsidP="00194269">
      <w:pPr>
        <w:pStyle w:val="ParNoG"/>
      </w:pPr>
      <w:r w:rsidRPr="00CF2A2D">
        <w:t xml:space="preserve">Certains experts estimaient qu’il convenait de consacrer un nouveau chapitre distinct à la nouvelle classe de danger des « produits chimiques sous pression ». D’autres étaient d’avis que l’on pourrait modifier le chapitre 2.3 actuel sur les aérosols pour y introduire des critères de classement et d’étiquetage de ces produits. Plusieurs experts ont indiqué avoir quelques observations supplémentaires à faire au sujet de la proposition figurant dans le document informel INF.26 et ont proposé d’en faire part aux experts du CEFIC et de l’EIGA. </w:t>
      </w:r>
    </w:p>
    <w:p w:rsidR="00CF1696" w:rsidRPr="00CF2A2D" w:rsidRDefault="00CF1696" w:rsidP="00194269">
      <w:pPr>
        <w:pStyle w:val="ParNoG"/>
      </w:pPr>
      <w:r w:rsidRPr="00CF2A2D">
        <w:t>Le Sous-Comité a invité les auteurs de cette proposition à tenir compte des observations formulées et il a différé sa décision portant sur l’endroit où placer les nouvelles dispositions (dans un nouveau chapitre ou dans une version révisée du chapitre</w:t>
      </w:r>
      <w:r w:rsidR="0094657E" w:rsidRPr="00CF2A2D">
        <w:t> </w:t>
      </w:r>
      <w:r w:rsidRPr="00CF2A2D">
        <w:t>2.3 actuel) jusqu’à ce que la proposition ait été améliorée par le groupe de travail informel par correspondance dirigé par le CEFIC et l’EIGA.</w:t>
      </w:r>
    </w:p>
    <w:p w:rsidR="00CF1696" w:rsidRPr="00CF2A2D" w:rsidRDefault="00CF1696" w:rsidP="0094657E">
      <w:pPr>
        <w:pStyle w:val="H23G"/>
      </w:pPr>
      <w:r w:rsidRPr="00CF2A2D">
        <w:tab/>
        <w:t>2.</w:t>
      </w:r>
      <w:r w:rsidRPr="00CF2A2D">
        <w:tab/>
        <w:t xml:space="preserve">Utilisation de méthodes d’essai sans recours à des animaux </w:t>
      </w:r>
      <w:r w:rsidR="007877CA">
        <w:br/>
      </w:r>
      <w:r w:rsidRPr="00CF2A2D">
        <w:t>pour la classification des dangers pour la santé</w:t>
      </w:r>
    </w:p>
    <w:p w:rsidR="00CF1696" w:rsidRPr="00CF2A2D" w:rsidRDefault="00CF1696" w:rsidP="0094657E">
      <w:pPr>
        <w:pStyle w:val="ParNoG"/>
      </w:pPr>
      <w:r w:rsidRPr="00CF2A2D">
        <w:t xml:space="preserve">Le Sous-Comité a noté que les travaux portant sur cette question avaient débuté à la suite de l’adoption du mandat du groupe de travail informel par correspondance lors de la trente et unième session. Il a été relevé que le groupe informel avait entamé l’examen des directives existantes concernant l’irritation et la corrosion cutanées et que quatre directives relatives aux essais </w:t>
      </w:r>
      <w:r w:rsidRPr="00CF2A2D">
        <w:rPr>
          <w:i/>
          <w:iCs/>
        </w:rPr>
        <w:t xml:space="preserve">in vitro </w:t>
      </w:r>
      <w:r w:rsidRPr="00CF2A2D">
        <w:t xml:space="preserve">avaient été retenues. Les travaux se poursuivaient au sein du groupe afin de déterminer la meilleure manière d’introduire dans le SGH une référence à ces directives. Le groupe de travail informel par correspondance rendrait compte des progrès réalisés au Sous-Comité à sa trente-troisième session. </w:t>
      </w:r>
    </w:p>
    <w:p w:rsidR="00CF1696" w:rsidRPr="00CF2A2D" w:rsidRDefault="00CF1696" w:rsidP="0094657E">
      <w:pPr>
        <w:pStyle w:val="HChG"/>
      </w:pPr>
      <w:r w:rsidRPr="00CF2A2D">
        <w:tab/>
        <w:t>IV.</w:t>
      </w:r>
      <w:r w:rsidRPr="00CF2A2D">
        <w:tab/>
        <w:t xml:space="preserve">Questions relatives à la communication des dangers </w:t>
      </w:r>
      <w:r w:rsidR="0094657E" w:rsidRPr="00CF2A2D">
        <w:br/>
        <w:t>(point </w:t>
      </w:r>
      <w:r w:rsidRPr="00CF2A2D">
        <w:t>3 de l’ordre du jour)</w:t>
      </w:r>
    </w:p>
    <w:p w:rsidR="00CF1696" w:rsidRPr="00CF2A2D" w:rsidRDefault="00CF1696" w:rsidP="00CF1696">
      <w:pPr>
        <w:pStyle w:val="H1G"/>
        <w:rPr>
          <w:rFonts w:eastAsia="MS Mincho"/>
        </w:rPr>
      </w:pPr>
      <w:r w:rsidRPr="00CF2A2D">
        <w:tab/>
        <w:t>A.</w:t>
      </w:r>
      <w:r w:rsidRPr="00CF2A2D">
        <w:tab/>
        <w:t>Étiquetage des petits emballages</w:t>
      </w:r>
    </w:p>
    <w:p w:rsidR="00CF1696" w:rsidRPr="00CF2A2D" w:rsidRDefault="00CF1696" w:rsidP="00CF1696">
      <w:pPr>
        <w:pStyle w:val="H23G"/>
        <w:rPr>
          <w:rFonts w:eastAsia="MS Mincho"/>
        </w:rPr>
      </w:pPr>
      <w:r w:rsidRPr="00CF2A2D">
        <w:tab/>
        <w:t>1.</w:t>
      </w:r>
      <w:r w:rsidRPr="00CF2A2D">
        <w:tab/>
        <w:t>Exemples d’étiquette dépliable</w:t>
      </w:r>
    </w:p>
    <w:p w:rsidR="00CF1696" w:rsidRPr="00CF2A2D" w:rsidRDefault="00CF1696" w:rsidP="00CF1696">
      <w:pPr>
        <w:pStyle w:val="SingleTxtG"/>
        <w:tabs>
          <w:tab w:val="left" w:pos="3119"/>
        </w:tabs>
        <w:rPr>
          <w:rFonts w:eastAsia="MS Mincho"/>
        </w:rPr>
      </w:pPr>
      <w:r w:rsidRPr="00CF2A2D">
        <w:rPr>
          <w:i/>
        </w:rPr>
        <w:t>Document </w:t>
      </w:r>
      <w:r w:rsidRPr="00CF2A2D">
        <w:t>:</w:t>
      </w:r>
      <w:r w:rsidRPr="00CF2A2D">
        <w:tab/>
        <w:t>ST/SG/AC.10/C.3/2016/19 (CEFIC)</w:t>
      </w:r>
      <w:r w:rsidR="0094657E" w:rsidRPr="00CF2A2D">
        <w:t>.</w:t>
      </w:r>
    </w:p>
    <w:p w:rsidR="00CF1696" w:rsidRPr="00CF2A2D" w:rsidRDefault="00CF1696" w:rsidP="0094657E">
      <w:pPr>
        <w:pStyle w:val="ParNoG"/>
        <w:rPr>
          <w:rFonts w:eastAsia="MS Mincho"/>
        </w:rPr>
      </w:pPr>
      <w:r w:rsidRPr="00CF2A2D">
        <w:t>Le Sous-Comité a adopté sans modification les exemples proposés dans l’</w:t>
      </w:r>
      <w:r w:rsidR="0094657E" w:rsidRPr="00CF2A2D">
        <w:t>annexe au document (voir annexe </w:t>
      </w:r>
      <w:r w:rsidRPr="00CF2A2D">
        <w:t>I).</w:t>
      </w:r>
    </w:p>
    <w:p w:rsidR="00CF1696" w:rsidRPr="00CF2A2D" w:rsidRDefault="00CF1696" w:rsidP="00CF1696">
      <w:pPr>
        <w:pStyle w:val="H23G"/>
        <w:rPr>
          <w:rFonts w:eastAsia="MS Mincho"/>
        </w:rPr>
      </w:pPr>
      <w:r w:rsidRPr="00CF2A2D">
        <w:tab/>
        <w:t>2.</w:t>
      </w:r>
      <w:r w:rsidRPr="00CF2A2D">
        <w:tab/>
        <w:t>Élaboration d’exemples d’ensembles et kits</w:t>
      </w:r>
    </w:p>
    <w:p w:rsidR="00CF1696" w:rsidRPr="00CF2A2D" w:rsidRDefault="00CF1696" w:rsidP="00CF1696">
      <w:pPr>
        <w:tabs>
          <w:tab w:val="left" w:pos="3119"/>
        </w:tabs>
        <w:spacing w:after="120"/>
        <w:ind w:left="1134" w:right="1134"/>
        <w:jc w:val="both"/>
        <w:rPr>
          <w:rFonts w:eastAsia="MS Mincho"/>
        </w:rPr>
      </w:pPr>
      <w:r w:rsidRPr="00CF2A2D">
        <w:rPr>
          <w:i/>
        </w:rPr>
        <w:t>Document informel </w:t>
      </w:r>
      <w:r w:rsidRPr="00CF2A2D">
        <w:t>:</w:t>
      </w:r>
      <w:r w:rsidR="0094657E" w:rsidRPr="00CF2A2D">
        <w:tab/>
        <w:t>INF.19 (CEFIC).</w:t>
      </w:r>
    </w:p>
    <w:p w:rsidR="00CF1696" w:rsidRPr="00CF2A2D" w:rsidRDefault="00CF1696" w:rsidP="0094657E">
      <w:pPr>
        <w:pStyle w:val="ParNoG"/>
        <w:rPr>
          <w:rFonts w:eastAsia="MS Mincho"/>
        </w:rPr>
      </w:pPr>
      <w:r w:rsidRPr="00CF2A2D">
        <w:t>Le Sous-Comité a noté que le groupe de travail informel par correspondance sur l’étiquetage des petits emballages avait examiné le document informel INF.19 et avait poursuivi ses travaux consacrés à l’élaboration d’exemples d’ensembles et de kits. S’agissant du programme de travail pour la période biennale suivante, le représentant du CEFIC a indiqué que le groupe de travail informel par correspondance avait l’intention d’achever l’élaboration d’exemples d’ensembles et de kits, d’évaluer la nécessité d’ajouter d’autres exemples à inclure dans l’annexe 7 du SGH et de commencer à les élaborer, le cas échéant.</w:t>
      </w:r>
    </w:p>
    <w:p w:rsidR="00CF1696" w:rsidRPr="00CF2A2D" w:rsidRDefault="00CF1696" w:rsidP="0094657E">
      <w:pPr>
        <w:pStyle w:val="H1G"/>
        <w:rPr>
          <w:rFonts w:eastAsia="MS Mincho"/>
        </w:rPr>
      </w:pPr>
      <w:r w:rsidRPr="00CF2A2D">
        <w:tab/>
        <w:t>B.</w:t>
      </w:r>
      <w:r w:rsidRPr="00CF2A2D">
        <w:tab/>
        <w:t xml:space="preserve">Amélioration des annexes 1 à 3 et poursuite </w:t>
      </w:r>
      <w:r w:rsidR="00FC4E13">
        <w:br/>
      </w:r>
      <w:r w:rsidRPr="00CF2A2D">
        <w:t>de la rationalisation des conseils de prudence</w:t>
      </w:r>
    </w:p>
    <w:p w:rsidR="00CF1696" w:rsidRPr="00CF2A2D" w:rsidRDefault="00CF1696" w:rsidP="0094657E">
      <w:pPr>
        <w:pStyle w:val="H23G"/>
        <w:rPr>
          <w:rFonts w:eastAsia="MS Mincho"/>
        </w:rPr>
      </w:pPr>
      <w:r w:rsidRPr="00CF2A2D">
        <w:tab/>
        <w:t>1.</w:t>
      </w:r>
      <w:r w:rsidRPr="00CF2A2D">
        <w:tab/>
        <w:t>Travaux du groupe de travail informel par correspondance</w:t>
      </w:r>
    </w:p>
    <w:p w:rsidR="00CF1696" w:rsidRPr="00CF2A2D" w:rsidRDefault="00CF1696" w:rsidP="00CF1696">
      <w:pPr>
        <w:pStyle w:val="SingleTxtG"/>
        <w:tabs>
          <w:tab w:val="left" w:pos="3119"/>
        </w:tabs>
        <w:jc w:val="left"/>
        <w:rPr>
          <w:rFonts w:eastAsia="MS Mincho"/>
        </w:rPr>
      </w:pPr>
      <w:r w:rsidRPr="00CF2A2D">
        <w:rPr>
          <w:i/>
        </w:rPr>
        <w:t>Document </w:t>
      </w:r>
      <w:r w:rsidRPr="00CF2A2D">
        <w:t>:</w:t>
      </w:r>
      <w:r w:rsidRPr="00CF2A2D">
        <w:tab/>
        <w:t>ST</w:t>
      </w:r>
      <w:r w:rsidR="0094657E" w:rsidRPr="00CF2A2D">
        <w:t>/SG/AC.10/C.4/2016/17 (Royaume-</w:t>
      </w:r>
      <w:r w:rsidRPr="00CF2A2D">
        <w:t>Uni)</w:t>
      </w:r>
      <w:r w:rsidR="0094657E" w:rsidRPr="00CF2A2D">
        <w:t>.</w:t>
      </w:r>
    </w:p>
    <w:p w:rsidR="00CF1696" w:rsidRPr="00CF2A2D" w:rsidRDefault="00CF1696" w:rsidP="00CF1696">
      <w:pPr>
        <w:pStyle w:val="SingleTxtG"/>
        <w:tabs>
          <w:tab w:val="left" w:pos="3119"/>
        </w:tabs>
        <w:ind w:left="3119" w:hanging="1985"/>
        <w:jc w:val="left"/>
        <w:rPr>
          <w:rFonts w:eastAsia="MS Mincho"/>
        </w:rPr>
      </w:pPr>
      <w:r w:rsidRPr="00CF2A2D">
        <w:rPr>
          <w:i/>
        </w:rPr>
        <w:t>Documents informels </w:t>
      </w:r>
      <w:r w:rsidRPr="00CF2A2D">
        <w:t>:</w:t>
      </w:r>
      <w:r w:rsidRPr="00CF2A2D">
        <w:tab/>
        <w:t>INF.3 et Add.1. et 2 (Royaume-Uni)</w:t>
      </w:r>
      <w:r w:rsidRPr="00CF2A2D">
        <w:br/>
        <w:t>INF.12 et Rev.1 (Royaume-Uni)</w:t>
      </w:r>
      <w:r w:rsidR="0094657E" w:rsidRPr="00CF2A2D">
        <w:t>.</w:t>
      </w:r>
    </w:p>
    <w:p w:rsidR="00CF1696" w:rsidRPr="00CF2A2D" w:rsidRDefault="00CF1696" w:rsidP="0094657E">
      <w:pPr>
        <w:pStyle w:val="ParNoG"/>
        <w:rPr>
          <w:rFonts w:eastAsia="MS Mincho"/>
        </w:rPr>
      </w:pPr>
      <w:r w:rsidRPr="00CF2A2D">
        <w:t>Le Sous-Comité a adopté les amendements figurant dans le document ST/SG/AC.10/C.3/2016/17 avec quelques corrections ad</w:t>
      </w:r>
      <w:r w:rsidR="0094657E" w:rsidRPr="00CF2A2D">
        <w:t>ditionnelles (voir annexe </w:t>
      </w:r>
      <w:r w:rsidRPr="00CF2A2D">
        <w:t>I).</w:t>
      </w:r>
    </w:p>
    <w:p w:rsidR="00CF1696" w:rsidRPr="00CF2A2D" w:rsidRDefault="00CF1696" w:rsidP="0094657E">
      <w:pPr>
        <w:pStyle w:val="ParNoG"/>
        <w:rPr>
          <w:rFonts w:eastAsia="MS Mincho"/>
        </w:rPr>
      </w:pPr>
      <w:r w:rsidRPr="00CF2A2D">
        <w:t>L’expert du Royaume-Uni a informé le Sous-Comité que le groupe de travail informel par correspondance avait examiné les documents inscrits à l’ordre du jour de la session ainsi que son programme de travail pour la période biennale suivante en se fondant sur le document informel INF.12. Toutefois, après avoir examiné certaines propositions supplémentaires soumises par l’AISE et le secrétariat, ainsi que, à la demande du Sous-Comité, la question soulevée dans le document ST/SG/AC.10/C.4/2016/20, le groupe informel avait décidé de les inclure dans son programme de travail, comme indiqué dans le document informel INF.12/Rev.1.</w:t>
      </w:r>
    </w:p>
    <w:p w:rsidR="00CF1696" w:rsidRPr="00CF2A2D" w:rsidRDefault="00CF1696" w:rsidP="0094657E">
      <w:pPr>
        <w:pStyle w:val="ParNoG"/>
        <w:rPr>
          <w:rFonts w:eastAsia="MS Mincho"/>
        </w:rPr>
      </w:pPr>
      <w:r w:rsidRPr="00CF2A2D">
        <w:t>Le Sous-Comité a approuvé le programme de travail du groupe de correspondance informel tel qu’il figure dans le document informel INF.12/Rev.1.</w:t>
      </w:r>
    </w:p>
    <w:p w:rsidR="00CF1696" w:rsidRPr="00CF2A2D" w:rsidRDefault="00CF1696" w:rsidP="0094657E">
      <w:pPr>
        <w:pStyle w:val="H23G"/>
        <w:rPr>
          <w:rFonts w:eastAsia="MS Mincho"/>
        </w:rPr>
      </w:pPr>
      <w:r w:rsidRPr="00CF2A2D">
        <w:tab/>
        <w:t>2.</w:t>
      </w:r>
      <w:r w:rsidRPr="00CF2A2D">
        <w:tab/>
        <w:t>Conseils de prudence (consultation d’un médecin ou soins médicaux)</w:t>
      </w:r>
    </w:p>
    <w:p w:rsidR="00CF1696" w:rsidRPr="00CF2A2D" w:rsidRDefault="00CF1696" w:rsidP="00CF1696">
      <w:pPr>
        <w:pStyle w:val="SingleTxtG"/>
        <w:tabs>
          <w:tab w:val="left" w:pos="3119"/>
        </w:tabs>
        <w:jc w:val="left"/>
        <w:rPr>
          <w:rFonts w:eastAsia="MS Mincho"/>
        </w:rPr>
      </w:pPr>
      <w:r w:rsidRPr="00CF2A2D">
        <w:rPr>
          <w:i/>
        </w:rPr>
        <w:t>Document </w:t>
      </w:r>
      <w:r w:rsidRPr="00CF2A2D">
        <w:t>:</w:t>
      </w:r>
      <w:r w:rsidRPr="00CF2A2D">
        <w:tab/>
        <w:t>ST/SG/AC.10/C.4/2016/20 (Union européenne)</w:t>
      </w:r>
      <w:r w:rsidR="0094657E" w:rsidRPr="00CF2A2D">
        <w:t>.</w:t>
      </w:r>
    </w:p>
    <w:p w:rsidR="00CF1696" w:rsidRPr="00CF2A2D" w:rsidRDefault="00CF1696" w:rsidP="00CF1696">
      <w:pPr>
        <w:pStyle w:val="SingleTxtG"/>
        <w:tabs>
          <w:tab w:val="left" w:pos="3119"/>
        </w:tabs>
        <w:ind w:left="3119" w:hanging="1985"/>
        <w:jc w:val="left"/>
      </w:pPr>
      <w:r w:rsidRPr="00CF2A2D">
        <w:rPr>
          <w:i/>
        </w:rPr>
        <w:t>Documents informels </w:t>
      </w:r>
      <w:r w:rsidRPr="00CF2A2D">
        <w:t>:</w:t>
      </w:r>
      <w:r w:rsidRPr="00CF2A2D">
        <w:tab/>
        <w:t>INF.13 (Royaume-Uni)</w:t>
      </w:r>
      <w:r w:rsidRPr="00CF2A2D">
        <w:br/>
        <w:t>INF.34 (États-Unis d’Amérique)</w:t>
      </w:r>
      <w:r w:rsidR="0094657E" w:rsidRPr="00CF2A2D">
        <w:t>.</w:t>
      </w:r>
    </w:p>
    <w:p w:rsidR="00CF1696" w:rsidRPr="00CF2A2D" w:rsidRDefault="00CF1696" w:rsidP="0094657E">
      <w:pPr>
        <w:pStyle w:val="ParNoG"/>
        <w:rPr>
          <w:rFonts w:eastAsia="MS Mincho"/>
        </w:rPr>
      </w:pPr>
      <w:r w:rsidRPr="00CF2A2D">
        <w:t xml:space="preserve">Plusieurs experts estimaient que la distinction entre </w:t>
      </w:r>
      <w:r w:rsidRPr="00CF2A2D">
        <w:rPr>
          <w:i/>
          <w:iCs/>
        </w:rPr>
        <w:t>medical advice</w:t>
      </w:r>
      <w:r w:rsidRPr="00CF2A2D">
        <w:t xml:space="preserve"> (dans la version française « consultation d’un médecin » et </w:t>
      </w:r>
      <w:r w:rsidRPr="00CF2A2D">
        <w:rPr>
          <w:i/>
          <w:iCs/>
        </w:rPr>
        <w:t>medical attention</w:t>
      </w:r>
      <w:r w:rsidRPr="00CF2A2D">
        <w:t xml:space="preserve"> (dans la version française « soins médicaux ») devait être conservée car elle visait à distinguer deux différents niveaux de gravité du danger et à avertir d’un danger immédiat ou grave, par opposition à un danger moins grave. D’autres, qui estimaient que les termes </w:t>
      </w:r>
      <w:r w:rsidRPr="00CF2A2D">
        <w:rPr>
          <w:i/>
          <w:iCs/>
        </w:rPr>
        <w:t xml:space="preserve">advice </w:t>
      </w:r>
      <w:r w:rsidRPr="00CF2A2D">
        <w:t xml:space="preserve">(« consultation ») et </w:t>
      </w:r>
      <w:r w:rsidRPr="00CF2A2D">
        <w:rPr>
          <w:i/>
          <w:iCs/>
        </w:rPr>
        <w:t xml:space="preserve">attention </w:t>
      </w:r>
      <w:r w:rsidRPr="00CF2A2D">
        <w:t>(« soins ») n’exprimaient pas cette différence de manière adéquate, ont suggéré que le texte des conseils de prudence soit réexaminé.</w:t>
      </w:r>
    </w:p>
    <w:p w:rsidR="00CF1696" w:rsidRPr="00CF2A2D" w:rsidRDefault="00CF1696" w:rsidP="0094657E">
      <w:pPr>
        <w:pStyle w:val="ParNoG"/>
        <w:rPr>
          <w:rFonts w:eastAsia="MS Mincho"/>
        </w:rPr>
      </w:pPr>
      <w:r w:rsidRPr="00CF2A2D">
        <w:t xml:space="preserve">Après un échange de vues, le Sous-Comité a convenu que l’affectation actuelle des expressions </w:t>
      </w:r>
      <w:r w:rsidRPr="00CF2A2D">
        <w:rPr>
          <w:i/>
          <w:iCs/>
        </w:rPr>
        <w:t>medical advice</w:t>
      </w:r>
      <w:r w:rsidRPr="00CF2A2D">
        <w:t xml:space="preserve"> (« consultation d’un médecin ») et </w:t>
      </w:r>
      <w:r w:rsidRPr="00CF2A2D">
        <w:rPr>
          <w:i/>
          <w:iCs/>
        </w:rPr>
        <w:t>medical attention</w:t>
      </w:r>
      <w:r w:rsidRPr="00CF2A2D">
        <w:t xml:space="preserve"> (« soins médicaux ») aux conseils de prudence P313, P314 et P315 devait être réexaminée au cas par cas et a confié l’examen de cette question au groupe de travail informel par correspondance</w:t>
      </w:r>
      <w:r w:rsidR="0094657E" w:rsidRPr="00CF2A2D">
        <w:t xml:space="preserve"> sur l’amélioration des annexes 1 à 3 (voir aussi le paragraphe </w:t>
      </w:r>
      <w:r w:rsidRPr="00CF2A2D">
        <w:t xml:space="preserve">40). </w:t>
      </w:r>
    </w:p>
    <w:p w:rsidR="00CF1696" w:rsidRPr="00CF2A2D" w:rsidRDefault="00CF1696" w:rsidP="0094657E">
      <w:pPr>
        <w:pStyle w:val="ParNoG"/>
        <w:rPr>
          <w:rFonts w:eastAsia="MS Mincho"/>
        </w:rPr>
      </w:pPr>
      <w:r w:rsidRPr="00CF2A2D">
        <w:t>Le représentant de l’Union européenne a noté que, si l’incohérence évoquée dans le document ST/SG/AC.10/C.4/2016/20 était retenue, la condition d’utilisation actuellement applicable aux codes P313, P314 et P315 ne pouvait être appliquée de manière cohérente dans toutes les versions linguistiques.</w:t>
      </w:r>
    </w:p>
    <w:p w:rsidR="00CF1696" w:rsidRPr="00CF2A2D" w:rsidRDefault="00CF1696" w:rsidP="0094657E">
      <w:pPr>
        <w:pStyle w:val="H1G"/>
        <w:rPr>
          <w:rFonts w:eastAsia="MS Mincho"/>
        </w:rPr>
      </w:pPr>
      <w:r w:rsidRPr="00CF2A2D">
        <w:tab/>
        <w:t>C.</w:t>
      </w:r>
      <w:r w:rsidRPr="00CF2A2D">
        <w:tab/>
        <w:t>Divers</w:t>
      </w:r>
    </w:p>
    <w:p w:rsidR="00CF1696" w:rsidRPr="00CF2A2D" w:rsidRDefault="00CF1696" w:rsidP="0094657E">
      <w:pPr>
        <w:pStyle w:val="H23G"/>
        <w:rPr>
          <w:rFonts w:eastAsia="MS Mincho"/>
        </w:rPr>
      </w:pPr>
      <w:r w:rsidRPr="00CF2A2D">
        <w:tab/>
        <w:t>1.</w:t>
      </w:r>
      <w:r w:rsidRPr="00CF2A2D">
        <w:tab/>
        <w:t>Amendements au p</w:t>
      </w:r>
      <w:r w:rsidR="00FC4E13">
        <w:t>aragraphe A4.3.14.7 de l’annexe </w:t>
      </w:r>
      <w:r w:rsidRPr="00CF2A2D">
        <w:t>4</w:t>
      </w:r>
    </w:p>
    <w:p w:rsidR="00CF1696" w:rsidRPr="00CF2A2D" w:rsidRDefault="00CF1696" w:rsidP="00CF1696">
      <w:pPr>
        <w:pStyle w:val="SingleTxtG"/>
        <w:tabs>
          <w:tab w:val="left" w:pos="3119"/>
        </w:tabs>
        <w:jc w:val="left"/>
        <w:rPr>
          <w:rFonts w:eastAsia="MS Mincho"/>
          <w:i/>
        </w:rPr>
      </w:pPr>
      <w:r w:rsidRPr="00CF2A2D">
        <w:rPr>
          <w:i/>
        </w:rPr>
        <w:t>Document </w:t>
      </w:r>
      <w:r w:rsidRPr="00CF2A2D">
        <w:t>:</w:t>
      </w:r>
      <w:r w:rsidRPr="00CF2A2D">
        <w:tab/>
        <w:t>ST/SG/AC.10/C.3/2016/21 (CIMM)</w:t>
      </w:r>
      <w:r w:rsidR="0094657E" w:rsidRPr="00CF2A2D">
        <w:t>.</w:t>
      </w:r>
    </w:p>
    <w:p w:rsidR="00CF1696" w:rsidRPr="00CF2A2D" w:rsidRDefault="00CF1696" w:rsidP="00CF1696">
      <w:pPr>
        <w:pStyle w:val="SingleTxtG"/>
        <w:tabs>
          <w:tab w:val="left" w:pos="3119"/>
        </w:tabs>
        <w:ind w:left="3119" w:hanging="1985"/>
        <w:jc w:val="left"/>
        <w:rPr>
          <w:rFonts w:eastAsia="MS Mincho"/>
          <w:i/>
        </w:rPr>
      </w:pPr>
      <w:r w:rsidRPr="00CF2A2D">
        <w:rPr>
          <w:i/>
        </w:rPr>
        <w:t>Documents informels </w:t>
      </w:r>
      <w:r w:rsidRPr="00CF2A2D">
        <w:t>:</w:t>
      </w:r>
      <w:r w:rsidRPr="00CF2A2D">
        <w:tab/>
        <w:t>INF.37 (États-Unis d’Amérique)</w:t>
      </w:r>
      <w:r w:rsidRPr="00CF2A2D">
        <w:br/>
        <w:t>INF.43 (secrétariat)</w:t>
      </w:r>
      <w:r w:rsidR="0094657E" w:rsidRPr="00CF2A2D">
        <w:t>.</w:t>
      </w:r>
    </w:p>
    <w:p w:rsidR="00CF1696" w:rsidRPr="00CF2A2D" w:rsidRDefault="00CF1696" w:rsidP="0094657E">
      <w:pPr>
        <w:pStyle w:val="ParNoG"/>
        <w:rPr>
          <w:rFonts w:eastAsia="MS Mincho"/>
        </w:rPr>
      </w:pPr>
      <w:r w:rsidRPr="00CF2A2D">
        <w:t>Le Sous-Comité a adopté la proposition figurant dans le document ST/SG/AC.10/C.3/2016/21 telle que modifiée par le document informel INF.43 moyennant quelques correctio</w:t>
      </w:r>
      <w:r w:rsidR="0094657E" w:rsidRPr="00CF2A2D">
        <w:t>ns supplémentaires (voir annexe </w:t>
      </w:r>
      <w:r w:rsidRPr="00CF2A2D">
        <w:t>I).</w:t>
      </w:r>
    </w:p>
    <w:p w:rsidR="00CF1696" w:rsidRPr="00CF2A2D" w:rsidRDefault="00CF1696" w:rsidP="0094657E">
      <w:pPr>
        <w:pStyle w:val="H23G"/>
        <w:rPr>
          <w:rFonts w:eastAsia="MS Mincho"/>
        </w:rPr>
      </w:pPr>
      <w:r w:rsidRPr="00CF2A2D">
        <w:tab/>
        <w:t>2.</w:t>
      </w:r>
      <w:r w:rsidRPr="00CF2A2D">
        <w:tab/>
        <w:t>Amendements au pa</w:t>
      </w:r>
      <w:r w:rsidR="0094657E" w:rsidRPr="00CF2A2D">
        <w:t>ragraphe A4.3.3.2.3 de l’annexe </w:t>
      </w:r>
      <w:r w:rsidRPr="00CF2A2D">
        <w:t>4</w:t>
      </w:r>
    </w:p>
    <w:p w:rsidR="00CF1696" w:rsidRPr="00CF2A2D" w:rsidRDefault="00CF1696" w:rsidP="00CF1696">
      <w:pPr>
        <w:pStyle w:val="SingleTxtG"/>
        <w:tabs>
          <w:tab w:val="left" w:pos="3119"/>
        </w:tabs>
        <w:jc w:val="left"/>
        <w:rPr>
          <w:rFonts w:eastAsia="MS Mincho"/>
        </w:rPr>
      </w:pPr>
      <w:r w:rsidRPr="00CF2A2D">
        <w:rPr>
          <w:i/>
        </w:rPr>
        <w:t>Document informel </w:t>
      </w:r>
      <w:r w:rsidRPr="00CF2A2D">
        <w:t>:</w:t>
      </w:r>
      <w:r w:rsidRPr="00CF2A2D">
        <w:tab/>
        <w:t>INF.17 (CEFIC)</w:t>
      </w:r>
      <w:r w:rsidR="0094657E" w:rsidRPr="00CF2A2D">
        <w:t>.</w:t>
      </w:r>
    </w:p>
    <w:p w:rsidR="00CF1696" w:rsidRPr="00CF2A2D" w:rsidRDefault="00CF1696" w:rsidP="0094657E">
      <w:pPr>
        <w:pStyle w:val="ParNoG"/>
        <w:rPr>
          <w:rFonts w:eastAsia="MS Mincho"/>
        </w:rPr>
      </w:pPr>
      <w:r w:rsidRPr="00CF2A2D">
        <w:t>La majorité des experts qui se sont exprimés se sont inquiétés de l’interprétation des dispositions du SGH en ce qui concernait les informations commerciales confidentielles en relation avec l’utilisation des gammes de concentrations indiquées dans le document informel INF.17. La plupart des experts estimaient que le SGH laissait aux autorités compétentes le soin de décider elles-mêmes des dispositions qu’elles jugeaient appropriées pour la protection de ces informations, comme il est indiqué à la section 1.4.8 du SGH.</w:t>
      </w:r>
    </w:p>
    <w:p w:rsidR="00CF1696" w:rsidRPr="00CF2A2D" w:rsidRDefault="00CF1696" w:rsidP="0094657E">
      <w:pPr>
        <w:pStyle w:val="ParNoG"/>
        <w:rPr>
          <w:rFonts w:eastAsia="MS Mincho"/>
        </w:rPr>
      </w:pPr>
      <w:r w:rsidRPr="00CF2A2D">
        <w:t>Certains experts ont indiqué que l’application du texte actuel du pa</w:t>
      </w:r>
      <w:r w:rsidR="005C094E" w:rsidRPr="00CF2A2D">
        <w:t>ragraphe A4.3.3.2.3 de l’annexe </w:t>
      </w:r>
      <w:r w:rsidRPr="00CF2A2D">
        <w:t xml:space="preserve">4 du SGH pouvait présenter des difficultés pratiques et ont suggéré que cette question soit examinée au cours de la période biennale suivante. </w:t>
      </w:r>
    </w:p>
    <w:p w:rsidR="00CF1696" w:rsidRPr="00CF2A2D" w:rsidRDefault="00CF1696" w:rsidP="0094657E">
      <w:pPr>
        <w:pStyle w:val="ParNoG"/>
        <w:rPr>
          <w:rFonts w:eastAsia="MS Mincho"/>
        </w:rPr>
      </w:pPr>
      <w:r w:rsidRPr="00CF2A2D">
        <w:t>Le Sous-Comité a décidé de se pencher sur les propositions visant à examiner s’il convenait de rendre plus clair le texte du paragraphe A4.3.3.2.3, à condition que les questions liées aux informations commerciales confidentielles soient laissées de côté. Afin de faciliter les débats à venir, le représentant du CEFIC a été invité à préciser les questions soulevées dans le document informel INF.17.</w:t>
      </w:r>
    </w:p>
    <w:p w:rsidR="00CF1696" w:rsidRPr="00CF2A2D" w:rsidRDefault="00CF1696" w:rsidP="00CF1696">
      <w:pPr>
        <w:pStyle w:val="H23G"/>
        <w:rPr>
          <w:rFonts w:eastAsia="MS Mincho"/>
        </w:rPr>
      </w:pPr>
      <w:r w:rsidRPr="00CF2A2D">
        <w:tab/>
        <w:t>3.</w:t>
      </w:r>
      <w:r w:rsidRPr="00CF2A2D">
        <w:tab/>
        <w:t>Exemples de pictogramme</w:t>
      </w:r>
      <w:r w:rsidR="005C094E" w:rsidRPr="00CF2A2D">
        <w:t>s de mise en garde à la section </w:t>
      </w:r>
      <w:r w:rsidRPr="00CF2A2D">
        <w:t>5 de l’a</w:t>
      </w:r>
      <w:r w:rsidR="005C094E" w:rsidRPr="00CF2A2D">
        <w:t>nnexe </w:t>
      </w:r>
      <w:r w:rsidRPr="00CF2A2D">
        <w:t>3</w:t>
      </w:r>
    </w:p>
    <w:p w:rsidR="00CF1696" w:rsidRPr="00CF2A2D" w:rsidRDefault="00CF1696" w:rsidP="00CF1696">
      <w:pPr>
        <w:pStyle w:val="SingleTxtG"/>
        <w:tabs>
          <w:tab w:val="left" w:pos="3119"/>
        </w:tabs>
        <w:jc w:val="left"/>
        <w:rPr>
          <w:rFonts w:eastAsia="MS Mincho"/>
        </w:rPr>
      </w:pPr>
      <w:r w:rsidRPr="00CF2A2D">
        <w:rPr>
          <w:i/>
        </w:rPr>
        <w:t>Document informel </w:t>
      </w:r>
      <w:r w:rsidRPr="00CF2A2D">
        <w:t>:</w:t>
      </w:r>
      <w:r w:rsidRPr="00CF2A2D">
        <w:tab/>
        <w:t>INF.6 (RPMASA)</w:t>
      </w:r>
      <w:r w:rsidR="005C094E" w:rsidRPr="00CF2A2D">
        <w:t>.</w:t>
      </w:r>
    </w:p>
    <w:p w:rsidR="00CF1696" w:rsidRPr="00CF2A2D" w:rsidRDefault="00CF1696" w:rsidP="0094657E">
      <w:pPr>
        <w:pStyle w:val="ParNoG"/>
        <w:rPr>
          <w:rFonts w:eastAsia="MS Mincho"/>
        </w:rPr>
      </w:pPr>
      <w:r w:rsidRPr="00CF2A2D">
        <w:t>Le Sous-Comité a été informé que la norme sud-africaine SABS 0265:1999 avait été abolie et a décidé de supprimer la référence à cette norme et à ses pictogrammes de mise en garde qui figure à la section</w:t>
      </w:r>
      <w:r w:rsidR="005C094E" w:rsidRPr="00CF2A2D">
        <w:t> </w:t>
      </w:r>
      <w:r w:rsidRPr="00CF2A2D">
        <w:t>5 de l</w:t>
      </w:r>
      <w:r w:rsidR="005C094E" w:rsidRPr="00CF2A2D">
        <w:t>’annexe 3 du SGH (voir annexe </w:t>
      </w:r>
      <w:r w:rsidRPr="00CF2A2D">
        <w:t>I).</w:t>
      </w:r>
    </w:p>
    <w:p w:rsidR="00CF1696" w:rsidRPr="00CF2A2D" w:rsidRDefault="00CF1696" w:rsidP="00CF1696">
      <w:pPr>
        <w:pStyle w:val="H23G"/>
        <w:rPr>
          <w:rFonts w:eastAsia="MS Mincho"/>
        </w:rPr>
      </w:pPr>
      <w:r w:rsidRPr="00CF2A2D">
        <w:tab/>
        <w:t>4.</w:t>
      </w:r>
      <w:r w:rsidRPr="00CF2A2D">
        <w:tab/>
        <w:t>Présentation de l’information sur les fiches de données de sécurité</w:t>
      </w:r>
    </w:p>
    <w:p w:rsidR="00CF1696" w:rsidRPr="00CF2A2D" w:rsidRDefault="00CF1696" w:rsidP="00CF1696">
      <w:pPr>
        <w:pStyle w:val="SingleTxtG"/>
        <w:tabs>
          <w:tab w:val="left" w:pos="3119"/>
        </w:tabs>
        <w:jc w:val="left"/>
        <w:rPr>
          <w:rFonts w:eastAsia="MS Mincho"/>
        </w:rPr>
      </w:pPr>
      <w:r w:rsidRPr="00CF2A2D">
        <w:rPr>
          <w:i/>
        </w:rPr>
        <w:t>Document informel </w:t>
      </w:r>
      <w:r w:rsidRPr="00CF2A2D">
        <w:t>:</w:t>
      </w:r>
      <w:r w:rsidRPr="00CF2A2D">
        <w:tab/>
        <w:t>INF.32 (RPMASA)</w:t>
      </w:r>
      <w:r w:rsidR="005C094E" w:rsidRPr="00CF2A2D">
        <w:t>.</w:t>
      </w:r>
    </w:p>
    <w:p w:rsidR="00CF1696" w:rsidRPr="00CF2A2D" w:rsidRDefault="00CF1696" w:rsidP="0094657E">
      <w:pPr>
        <w:pStyle w:val="ParNoG"/>
        <w:rPr>
          <w:rFonts w:eastAsia="MS Mincho"/>
        </w:rPr>
      </w:pPr>
      <w:r w:rsidRPr="00CF2A2D">
        <w:t>Le Sous-Comité a noté qu’au Canada et aux États-Unis d’Amérique la numérotation des sous-rubriques était acceptée mais pas obligatoire dans la fiche de données de sécurité. Il a également noté que, dans l’Union européenne, il était demandé de fournir la numérotation des sous-rubriques. Le Sous-Comité a estimé qu’il était du ressort des autorités compétentes de décider comment elles souhaitaient mettre en œuvre les dispositions du SGH à cet égard.</w:t>
      </w:r>
    </w:p>
    <w:p w:rsidR="00CF1696" w:rsidRPr="00CF2A2D" w:rsidRDefault="00CF1696" w:rsidP="0094657E">
      <w:pPr>
        <w:pStyle w:val="ParNoG"/>
        <w:rPr>
          <w:rFonts w:eastAsia="MS Mincho"/>
        </w:rPr>
      </w:pPr>
      <w:r w:rsidRPr="00CF2A2D">
        <w:t>Le représentant de la RPMASA s’est félicité des informations communiquées par les autres experts au sujet de la manière dont ces dispositions étaient appliquées dans leurs pays respectifs.</w:t>
      </w:r>
    </w:p>
    <w:p w:rsidR="00CF1696" w:rsidRPr="00CF2A2D" w:rsidRDefault="005C094E" w:rsidP="00CF1696">
      <w:pPr>
        <w:pStyle w:val="HChG"/>
        <w:rPr>
          <w:rFonts w:eastAsia="MS Mincho"/>
        </w:rPr>
      </w:pPr>
      <w:r w:rsidRPr="00CF2A2D">
        <w:tab/>
        <w:t>V.</w:t>
      </w:r>
      <w:r w:rsidRPr="00CF2A2D">
        <w:tab/>
        <w:t>Mise en œuvre du SGH (point </w:t>
      </w:r>
      <w:r w:rsidR="00CF1696" w:rsidRPr="00CF2A2D">
        <w:t>4 de l’ordre du jour)</w:t>
      </w:r>
    </w:p>
    <w:p w:rsidR="00CF1696" w:rsidRPr="00CF2A2D" w:rsidRDefault="00CF1696" w:rsidP="00CF1696">
      <w:pPr>
        <w:pStyle w:val="H1G"/>
        <w:rPr>
          <w:rFonts w:eastAsia="MS Mincho"/>
        </w:rPr>
      </w:pPr>
      <w:r w:rsidRPr="00CF2A2D">
        <w:tab/>
        <w:t>A.</w:t>
      </w:r>
      <w:r w:rsidRPr="00CF2A2D">
        <w:tab/>
        <w:t>Élaboration d’une liste des produits chimiques</w:t>
      </w:r>
      <w:r w:rsidR="005C094E" w:rsidRPr="00CF2A2D">
        <w:t xml:space="preserve"> </w:t>
      </w:r>
      <w:r w:rsidR="005C094E" w:rsidRPr="00CF2A2D">
        <w:br/>
      </w:r>
      <w:r w:rsidRPr="00CF2A2D">
        <w:t>classés conformément au SGH</w:t>
      </w:r>
    </w:p>
    <w:p w:rsidR="00CF1696" w:rsidRPr="00CF2A2D" w:rsidRDefault="00CF1696" w:rsidP="00CF1696">
      <w:pPr>
        <w:pStyle w:val="SingleTxtG"/>
        <w:keepNext/>
        <w:keepLines/>
        <w:tabs>
          <w:tab w:val="left" w:pos="3119"/>
        </w:tabs>
        <w:rPr>
          <w:rFonts w:eastAsia="MS Mincho"/>
        </w:rPr>
      </w:pPr>
      <w:r w:rsidRPr="00CF2A2D">
        <w:rPr>
          <w:i/>
        </w:rPr>
        <w:t>Document </w:t>
      </w:r>
      <w:r w:rsidRPr="00CF2A2D">
        <w:t>:</w:t>
      </w:r>
      <w:r w:rsidRPr="00CF2A2D">
        <w:tab/>
        <w:t>ST/SG/AC.10/C.3/2016/18 (OCDE)</w:t>
      </w:r>
      <w:r w:rsidR="005C094E" w:rsidRPr="00CF2A2D">
        <w:t>.</w:t>
      </w:r>
    </w:p>
    <w:p w:rsidR="00CF1696" w:rsidRPr="00CF2A2D" w:rsidRDefault="00CF1696" w:rsidP="00CF1696">
      <w:pPr>
        <w:pStyle w:val="SingleTxtG"/>
        <w:tabs>
          <w:tab w:val="left" w:pos="3119"/>
        </w:tabs>
        <w:ind w:left="3119" w:hanging="1985"/>
        <w:jc w:val="left"/>
        <w:rPr>
          <w:rFonts w:eastAsia="MS Mincho"/>
        </w:rPr>
      </w:pPr>
      <w:r w:rsidRPr="00CF2A2D">
        <w:rPr>
          <w:i/>
        </w:rPr>
        <w:t>Documents informels </w:t>
      </w:r>
      <w:r w:rsidRPr="00CF2A2D">
        <w:t>:</w:t>
      </w:r>
      <w:r w:rsidRPr="00CF2A2D">
        <w:tab/>
        <w:t>INF.4 et Add.1 à 3 (OCDE)</w:t>
      </w:r>
      <w:r w:rsidRPr="00CF2A2D">
        <w:br/>
        <w:t>INF.25 (États-Unis d’Amérique)</w:t>
      </w:r>
      <w:r w:rsidRPr="00CF2A2D">
        <w:br/>
        <w:t>INF.40 (États-Unis d’Amérique)</w:t>
      </w:r>
      <w:r w:rsidR="005C094E" w:rsidRPr="00CF2A2D">
        <w:t>.</w:t>
      </w:r>
    </w:p>
    <w:p w:rsidR="00CF1696" w:rsidRPr="00CF2A2D" w:rsidRDefault="00CF1696" w:rsidP="0094657E">
      <w:pPr>
        <w:pStyle w:val="ParNoG"/>
        <w:rPr>
          <w:rFonts w:eastAsia="MS Mincho"/>
        </w:rPr>
      </w:pPr>
      <w:r w:rsidRPr="00CF2A2D">
        <w:t>Le Sous-Comité a pris note des résultats de la réunion du groupe de travail informel par corr</w:t>
      </w:r>
      <w:r w:rsidR="005C094E" w:rsidRPr="00CF2A2D">
        <w:t>espondance dans les paragraphes </w:t>
      </w:r>
      <w:r w:rsidR="00CF2A2D" w:rsidRPr="00CF2A2D">
        <w:t>1 à </w:t>
      </w:r>
      <w:r w:rsidRPr="00CF2A2D">
        <w:t>5 du document informel INF.40.</w:t>
      </w:r>
    </w:p>
    <w:p w:rsidR="00CF1696" w:rsidRPr="00CF2A2D" w:rsidRDefault="00CF1696" w:rsidP="0094657E">
      <w:pPr>
        <w:pStyle w:val="ParNoG"/>
        <w:rPr>
          <w:rFonts w:eastAsia="MS Mincho"/>
        </w:rPr>
      </w:pPr>
      <w:r w:rsidRPr="00CF2A2D">
        <w:t>Le Sous-Comité a approuvé le programme de travail du groupe de travail informel par correspondance pour la période biennale suivante, tel qu’indiqué au paragraphe</w:t>
      </w:r>
      <w:r w:rsidR="005C094E" w:rsidRPr="00CF2A2D">
        <w:t> </w:t>
      </w:r>
      <w:r w:rsidRPr="00CF2A2D">
        <w:t>6 du document informel INF.40, étant entendu qu’un plan de travail plus détaillé serait élaboré par le groupe informel une fois qu’un accord sur certaines des questions en suspens aurait été atteint.</w:t>
      </w:r>
    </w:p>
    <w:p w:rsidR="00CF1696" w:rsidRPr="00CF2A2D" w:rsidRDefault="00CF1696" w:rsidP="00CF1696">
      <w:pPr>
        <w:pStyle w:val="H1G"/>
        <w:rPr>
          <w:rFonts w:eastAsia="MS Mincho"/>
        </w:rPr>
      </w:pPr>
      <w:r w:rsidRPr="00CF2A2D">
        <w:tab/>
        <w:t>B.</w:t>
      </w:r>
      <w:r w:rsidRPr="00CF2A2D">
        <w:tab/>
        <w:t>Rapports sur l’état d’avancement de la mise en œuvre</w:t>
      </w:r>
    </w:p>
    <w:p w:rsidR="00CF1696" w:rsidRPr="00CF2A2D" w:rsidRDefault="00CF1696" w:rsidP="00CF1696">
      <w:pPr>
        <w:pStyle w:val="H23G"/>
        <w:rPr>
          <w:rFonts w:eastAsia="MS Mincho"/>
        </w:rPr>
      </w:pPr>
      <w:r w:rsidRPr="00CF2A2D">
        <w:tab/>
        <w:t xml:space="preserve">1. </w:t>
      </w:r>
      <w:r w:rsidRPr="00CF2A2D">
        <w:tab/>
        <w:t>Informations sur l’état d’avancement de la mise en œuvre à l’échelle mondiale</w:t>
      </w:r>
    </w:p>
    <w:p w:rsidR="00CF1696" w:rsidRPr="00CF2A2D" w:rsidRDefault="00CF1696" w:rsidP="0094657E">
      <w:pPr>
        <w:pStyle w:val="ParNoG"/>
        <w:rPr>
          <w:rFonts w:eastAsia="MS Mincho"/>
        </w:rPr>
      </w:pPr>
      <w:r w:rsidRPr="00CF2A2D">
        <w:t>Le représentant du CEFIC a déclaré que les informations fournies par le secrétariat au sujet de l’état d’avancement de la mise en œuvre du SGH sur le site Web</w:t>
      </w:r>
      <w:r w:rsidRPr="00CF2A2D">
        <w:rPr>
          <w:rStyle w:val="FootnoteReference"/>
          <w:rFonts w:eastAsia="MS Mincho"/>
        </w:rPr>
        <w:footnoteReference w:id="2"/>
      </w:r>
      <w:r w:rsidRPr="00CF2A2D">
        <w:rPr>
          <w:rStyle w:val="FootnoteReference"/>
        </w:rPr>
        <w:t xml:space="preserve"> </w:t>
      </w:r>
      <w:r w:rsidRPr="00CF2A2D">
        <w:t xml:space="preserve">avaient été très appréciées par l’industrie et a invité les membres du Sous-Comité à se pencher à nouveau sur la question et à communiquer au secrétariat tout progrès réalisé afin que le site puisse être mis à jour. </w:t>
      </w:r>
    </w:p>
    <w:p w:rsidR="00CF1696" w:rsidRPr="00CF2A2D" w:rsidRDefault="00CF1696" w:rsidP="00CF1696">
      <w:pPr>
        <w:pStyle w:val="H23G"/>
        <w:rPr>
          <w:rFonts w:eastAsia="MS Mincho"/>
        </w:rPr>
      </w:pPr>
      <w:r w:rsidRPr="00CF2A2D">
        <w:tab/>
        <w:t>2.</w:t>
      </w:r>
      <w:r w:rsidRPr="00CF2A2D">
        <w:tab/>
        <w:t>Canada</w:t>
      </w:r>
    </w:p>
    <w:p w:rsidR="00CF1696" w:rsidRPr="00CF2A2D" w:rsidRDefault="00CF1696" w:rsidP="00CF1696">
      <w:pPr>
        <w:pStyle w:val="SingleTxtG"/>
        <w:tabs>
          <w:tab w:val="left" w:pos="3119"/>
        </w:tabs>
        <w:jc w:val="left"/>
        <w:rPr>
          <w:rFonts w:eastAsia="MS Mincho"/>
        </w:rPr>
      </w:pPr>
      <w:r w:rsidRPr="00CF2A2D">
        <w:rPr>
          <w:i/>
        </w:rPr>
        <w:t>Document informel </w:t>
      </w:r>
      <w:r w:rsidRPr="00CF2A2D">
        <w:t>:</w:t>
      </w:r>
      <w:r w:rsidRPr="00CF2A2D">
        <w:tab/>
      </w:r>
      <w:r w:rsidRPr="00CF2A2D">
        <w:tab/>
        <w:t>INF.30 (Canada)</w:t>
      </w:r>
      <w:r w:rsidR="005C094E" w:rsidRPr="00CF2A2D">
        <w:t>.</w:t>
      </w:r>
    </w:p>
    <w:p w:rsidR="00CF1696" w:rsidRPr="00CF2A2D" w:rsidRDefault="00CF1696" w:rsidP="0094657E">
      <w:pPr>
        <w:pStyle w:val="ParNoG"/>
        <w:rPr>
          <w:rFonts w:eastAsia="MS Mincho"/>
        </w:rPr>
      </w:pPr>
      <w:r w:rsidRPr="00CF2A2D">
        <w:t xml:space="preserve">Le Sous-Comité a noté </w:t>
      </w:r>
      <w:r w:rsidR="005C094E" w:rsidRPr="00CF2A2D">
        <w:t>que le Canada avait publié le 2 </w:t>
      </w:r>
      <w:r w:rsidRPr="00CF2A2D">
        <w:t xml:space="preserve">décembre 2016 l’ensemble du Guide technique sur les exigences de la loi sur les produits dangereux et du règlement sur les produits dangereux. Ce guide technique aiderait les fabricants et les importateurs à se conformer aux dispositions du nouveau Système d’information sur les matières dangereuses utilisées au travail (SIMDUT 2015) fondé sur le SGH. </w:t>
      </w:r>
    </w:p>
    <w:p w:rsidR="00CF1696" w:rsidRPr="00CF2A2D" w:rsidRDefault="00CF1696" w:rsidP="00CF1696">
      <w:pPr>
        <w:pStyle w:val="H23G"/>
        <w:rPr>
          <w:rFonts w:eastAsia="MS Mincho"/>
        </w:rPr>
      </w:pPr>
      <w:r w:rsidRPr="00CF2A2D">
        <w:tab/>
        <w:t>3.</w:t>
      </w:r>
      <w:r w:rsidRPr="00CF2A2D">
        <w:tab/>
        <w:t>Fédération de Russie</w:t>
      </w:r>
    </w:p>
    <w:p w:rsidR="00CF1696" w:rsidRPr="00CF2A2D" w:rsidRDefault="00CF1696" w:rsidP="00CF1696">
      <w:pPr>
        <w:pStyle w:val="SingleTxtG"/>
        <w:tabs>
          <w:tab w:val="left" w:pos="3119"/>
        </w:tabs>
        <w:jc w:val="left"/>
        <w:rPr>
          <w:rFonts w:eastAsia="MS Mincho"/>
        </w:rPr>
      </w:pPr>
      <w:r w:rsidRPr="00CF2A2D">
        <w:rPr>
          <w:i/>
        </w:rPr>
        <w:t>Document informel </w:t>
      </w:r>
      <w:r w:rsidRPr="00CF2A2D">
        <w:t>:</w:t>
      </w:r>
      <w:r w:rsidRPr="00CF2A2D">
        <w:tab/>
      </w:r>
      <w:r w:rsidRPr="00CF2A2D">
        <w:tab/>
        <w:t>INF.31 (Fédération de Russie)</w:t>
      </w:r>
      <w:r w:rsidR="005C094E" w:rsidRPr="00CF2A2D">
        <w:t>.</w:t>
      </w:r>
    </w:p>
    <w:p w:rsidR="00CF1696" w:rsidRPr="00CF2A2D" w:rsidRDefault="00CF1696" w:rsidP="0094657E">
      <w:pPr>
        <w:pStyle w:val="ParNoG"/>
        <w:rPr>
          <w:rFonts w:eastAsia="MS Mincho"/>
        </w:rPr>
      </w:pPr>
      <w:r w:rsidRPr="00CF2A2D">
        <w:t>Le Sous-Comité a noté que le règlement technique « sur la sécurité des produits ch</w:t>
      </w:r>
      <w:r w:rsidR="005C094E" w:rsidRPr="00CF2A2D">
        <w:t>imiques » avait été adopté le 7 </w:t>
      </w:r>
      <w:r w:rsidRPr="00CF2A2D">
        <w:t>octobre 2016 par le décret gouvernemental n</w:t>
      </w:r>
      <w:r w:rsidRPr="00CF2A2D">
        <w:rPr>
          <w:vertAlign w:val="superscript"/>
        </w:rPr>
        <w:t>o</w:t>
      </w:r>
      <w:r w:rsidRPr="00CF2A2D">
        <w:t> 1019. Ce</w:t>
      </w:r>
      <w:r w:rsidR="005C094E" w:rsidRPr="00CF2A2D">
        <w:t> </w:t>
      </w:r>
      <w:r w:rsidRPr="00CF2A2D">
        <w:t>règlement rendait obligatoires les dispositions des normes nationales (GOSTs) fondées sur le SGH relatives aux méthodes d’essai, aux critères de classification et aux éléments de communication des dangers. La période de transition prenant fin le 1</w:t>
      </w:r>
      <w:r w:rsidRPr="00CF2A2D">
        <w:rPr>
          <w:vertAlign w:val="superscript"/>
        </w:rPr>
        <w:t>er</w:t>
      </w:r>
      <w:r w:rsidR="005C094E" w:rsidRPr="00CF2A2D">
        <w:t> </w:t>
      </w:r>
      <w:r w:rsidRPr="00CF2A2D">
        <w:t>juillet 2021 donnait aux fabricants et aux fournisseurs la possibilité de s’adapter aux nouvelles dispositions.</w:t>
      </w:r>
    </w:p>
    <w:p w:rsidR="00CF1696" w:rsidRPr="00CF2A2D" w:rsidRDefault="00CF1696" w:rsidP="00CF1696">
      <w:pPr>
        <w:pStyle w:val="H23G"/>
        <w:rPr>
          <w:rFonts w:eastAsia="MS Mincho"/>
        </w:rPr>
      </w:pPr>
      <w:r w:rsidRPr="00CF2A2D">
        <w:tab/>
        <w:t>4.</w:t>
      </w:r>
      <w:r w:rsidRPr="00CF2A2D">
        <w:tab/>
        <w:t>Afrique du Sud</w:t>
      </w:r>
    </w:p>
    <w:p w:rsidR="00CF1696" w:rsidRPr="00CF2A2D" w:rsidRDefault="00CF1696" w:rsidP="0094657E">
      <w:pPr>
        <w:pStyle w:val="ParNoG"/>
        <w:rPr>
          <w:rFonts w:eastAsia="MS Mincho"/>
        </w:rPr>
      </w:pPr>
      <w:r w:rsidRPr="00CF2A2D">
        <w:t xml:space="preserve">Le Sous-Comité a noté que plusieurs lois étaient en phase finale d’élaboration et que les travaux d’élaboration et d’actualisation du plan national de mise en œuvre du SGH s’étaient poursuivis. La participation des acteurs gouvernementaux chargés de la gestion des produits chimiques au renforcement des capacités et à des activités de sensibilisation a également été soulignée. </w:t>
      </w:r>
    </w:p>
    <w:p w:rsidR="00CF1696" w:rsidRPr="00CF2A2D" w:rsidRDefault="00CF1696" w:rsidP="00CF1696">
      <w:pPr>
        <w:pStyle w:val="H23G"/>
        <w:rPr>
          <w:rFonts w:eastAsia="MS Mincho"/>
        </w:rPr>
      </w:pPr>
      <w:r w:rsidRPr="00CF2A2D">
        <w:tab/>
        <w:t>5.</w:t>
      </w:r>
      <w:r w:rsidRPr="00CF2A2D">
        <w:tab/>
        <w:t>Australie</w:t>
      </w:r>
    </w:p>
    <w:p w:rsidR="00CF1696" w:rsidRPr="00CF2A2D" w:rsidRDefault="00CF1696" w:rsidP="0094657E">
      <w:pPr>
        <w:pStyle w:val="ParNoG"/>
        <w:rPr>
          <w:rFonts w:eastAsia="MS Mincho"/>
        </w:rPr>
      </w:pPr>
      <w:r w:rsidRPr="00CF2A2D">
        <w:t>Le Sous-Comité a noté que l’Australie avait mis en œuvre la troisième édition révisée du SGH pour la classification des produits chimiques et des prescriptions relatives à la communication des dangers concernant les produits chimiques sur le lieu de travail. Six États et territoires avaient mis en œuvre le SGH au moyen de la loi relative à la santé et la sécurité au travail (2011). Sa mise en œuvre dans trois autres juridictions é</w:t>
      </w:r>
      <w:r w:rsidR="00CF2A2D" w:rsidRPr="00CF2A2D">
        <w:t>tait prévue au cours de l’année </w:t>
      </w:r>
      <w:r w:rsidRPr="00CF2A2D">
        <w:t xml:space="preserve">2017. Il a été noté que le SGH était déjà reconnu dans ces États par d’autres textes législatifs. </w:t>
      </w:r>
    </w:p>
    <w:p w:rsidR="00CF1696" w:rsidRPr="00CF2A2D" w:rsidRDefault="00CF1696" w:rsidP="0094657E">
      <w:pPr>
        <w:pStyle w:val="ParNoG"/>
        <w:rPr>
          <w:rFonts w:eastAsia="MS Mincho"/>
        </w:rPr>
      </w:pPr>
      <w:r w:rsidRPr="00CF2A2D">
        <w:t xml:space="preserve">Les biens de consommation, médicaments, articles de toilette et cosmétiques ainsi que certains produits chimiques vétérinaires étaient exemptés de l’apposition d’étiquettes SGH en vertu du règlement relatif à la santé et à la sécurité. Les pesticides enregistrés par l’Autorité australienne des pesticides et des médicaments vétérinaires (APVMA) étaient aussi partiellement exemptés des prescriptions du SGH en matière d’étiquetage (seuls les mentions de danger et conseils de prudence devaient être indiqués s’ils ne figuraient pas déjà sur l’étiquette homologuée par l’APVMA). </w:t>
      </w:r>
    </w:p>
    <w:p w:rsidR="00CF1696" w:rsidRPr="00CF2A2D" w:rsidRDefault="00CF1696" w:rsidP="0094657E">
      <w:pPr>
        <w:pStyle w:val="ParNoG"/>
        <w:rPr>
          <w:rFonts w:eastAsia="MS Mincho"/>
        </w:rPr>
      </w:pPr>
      <w:r w:rsidRPr="00CF2A2D">
        <w:t>Au cours de la période de transition (qui courait du 1</w:t>
      </w:r>
      <w:r w:rsidRPr="00CF2A2D">
        <w:rPr>
          <w:vertAlign w:val="superscript"/>
        </w:rPr>
        <w:t>er</w:t>
      </w:r>
      <w:r w:rsidR="005C094E" w:rsidRPr="00CF2A2D">
        <w:t> janvier 2012 au 31 </w:t>
      </w:r>
      <w:r w:rsidRPr="00CF2A2D">
        <w:t>décembre 2016), les fabricants et importateurs pouvaient utiliser pour le classement, l’étiquetage et les fiches de données de sécurité soit le SGH, soit les systèmes antérieurs de classification des substances et marcha</w:t>
      </w:r>
      <w:r w:rsidR="005C094E" w:rsidRPr="00CF2A2D">
        <w:t>ndises dangereuses. Après le 31 </w:t>
      </w:r>
      <w:r w:rsidRPr="00CF2A2D">
        <w:t>décembre 2016, les fabricants et importateurs de produits chimiques utilisés sur le lieu de travail devraient les classer conformément au SGH et les étiquettes ainsi que les fiches de données de sécurité devraient être actualisées en conséquence. Après le 1</w:t>
      </w:r>
      <w:r w:rsidRPr="00CF2A2D">
        <w:rPr>
          <w:vertAlign w:val="superscript"/>
        </w:rPr>
        <w:t>er</w:t>
      </w:r>
      <w:r w:rsidR="005C094E" w:rsidRPr="00CF2A2D">
        <w:t> </w:t>
      </w:r>
      <w:r w:rsidRPr="00CF2A2D">
        <w:t>janvier 2017, les fournisseurs pourraient continuer à fournir les autres lieux de travail avec les stocks qu’ils détenaient à condition que ceux-ci aient été fabriqués ou importés avant le 1</w:t>
      </w:r>
      <w:r w:rsidRPr="00CF2A2D">
        <w:rPr>
          <w:vertAlign w:val="superscript"/>
        </w:rPr>
        <w:t>er</w:t>
      </w:r>
      <w:r w:rsidR="005C094E" w:rsidRPr="00CF2A2D">
        <w:t> </w:t>
      </w:r>
      <w:r w:rsidRPr="00CF2A2D">
        <w:t>janvier 2017 et aient été alors correctement étiquetés. À cette date, les fournisseurs devraient également disposer de fiches de données de sécurité conformes au SGH. Les utilisateurs de produits chimiques dangereux ne seraient pas tenus de changer les étiquettes ni de se défaire des stocks existants portant des étiquettes non conformes au SGH.</w:t>
      </w:r>
    </w:p>
    <w:p w:rsidR="00CF1696" w:rsidRPr="00CF2A2D" w:rsidRDefault="00CF1696" w:rsidP="0094657E">
      <w:pPr>
        <w:pStyle w:val="ParNoG"/>
        <w:rPr>
          <w:rFonts w:eastAsia="MS Mincho"/>
        </w:rPr>
      </w:pPr>
      <w:r w:rsidRPr="00CF2A2D">
        <w:t>Le Sous-Comité a noté qu’un accord politique avait été acquis en vue de l’adoption de la sixième édition révisée du SGH, même si le calendrier pour cette adoption n’avait pas encore été défini. L’experte de l’Australie a annoncé qu’elle informerait le Sous-Comité, à sa session suivante, des progrès accomplis dans la mise en œuvre du SGH dans son pays.</w:t>
      </w:r>
    </w:p>
    <w:p w:rsidR="00CF1696" w:rsidRPr="00CF2A2D" w:rsidRDefault="00CF1696" w:rsidP="0094657E">
      <w:pPr>
        <w:pStyle w:val="H1G"/>
        <w:rPr>
          <w:rFonts w:eastAsia="MS Mincho"/>
        </w:rPr>
      </w:pPr>
      <w:r w:rsidRPr="00CF2A2D">
        <w:tab/>
        <w:t>C.</w:t>
      </w:r>
      <w:r w:rsidRPr="00CF2A2D">
        <w:tab/>
        <w:t xml:space="preserve">Coopération avec d’autres organes ou avec </w:t>
      </w:r>
      <w:r w:rsidR="0094657E" w:rsidRPr="00CF2A2D">
        <w:br/>
      </w:r>
      <w:r w:rsidRPr="00CF2A2D">
        <w:t>des organisations internationales</w:t>
      </w:r>
    </w:p>
    <w:p w:rsidR="00CF1696" w:rsidRPr="00CF2A2D" w:rsidRDefault="00CF1696" w:rsidP="0094657E">
      <w:pPr>
        <w:pStyle w:val="ParNoG"/>
      </w:pPr>
      <w:r w:rsidRPr="00CF2A2D">
        <w:t>Aucun document n’ayant été soumis au titre de ce point de l’ordre du jour, il n’a pas été examiné.</w:t>
      </w:r>
    </w:p>
    <w:p w:rsidR="00CF1696" w:rsidRPr="00CF2A2D" w:rsidRDefault="00CF1696" w:rsidP="0094657E">
      <w:pPr>
        <w:pStyle w:val="H1G"/>
        <w:rPr>
          <w:rFonts w:eastAsia="MS Mincho"/>
        </w:rPr>
      </w:pPr>
      <w:r w:rsidRPr="00CF2A2D">
        <w:tab/>
        <w:t>D.</w:t>
      </w:r>
      <w:r w:rsidRPr="00CF2A2D">
        <w:tab/>
        <w:t>Divers</w:t>
      </w:r>
    </w:p>
    <w:p w:rsidR="00CF1696" w:rsidRPr="00CF2A2D" w:rsidRDefault="00CF1696" w:rsidP="0094657E">
      <w:pPr>
        <w:pStyle w:val="ParNoG"/>
      </w:pPr>
      <w:r w:rsidRPr="00CF2A2D">
        <w:t>Aucun document n’ayant été soumis au titre de ce point de l’ordre du jour, il n’a pas été examiné.</w:t>
      </w:r>
    </w:p>
    <w:p w:rsidR="00CF1696" w:rsidRPr="00CF2A2D" w:rsidRDefault="00CF1696" w:rsidP="00CF1696">
      <w:pPr>
        <w:pStyle w:val="HChG"/>
        <w:rPr>
          <w:rFonts w:eastAsia="MS Mincho"/>
        </w:rPr>
      </w:pPr>
      <w:r w:rsidRPr="00CF2A2D">
        <w:tab/>
        <w:t>VI.</w:t>
      </w:r>
      <w:r w:rsidRPr="00CF2A2D">
        <w:tab/>
        <w:t xml:space="preserve">Mise au point de directives pour l’application </w:t>
      </w:r>
      <w:r w:rsidR="0094657E" w:rsidRPr="00CF2A2D">
        <w:br/>
        <w:t>des critères du SGH (point </w:t>
      </w:r>
      <w:r w:rsidRPr="00CF2A2D">
        <w:t>5 de l’ordre du jour)</w:t>
      </w:r>
    </w:p>
    <w:p w:rsidR="00CF1696" w:rsidRPr="00CF2A2D" w:rsidRDefault="00CF1696" w:rsidP="00CF1696">
      <w:pPr>
        <w:pStyle w:val="H23G"/>
        <w:rPr>
          <w:rFonts w:eastAsia="MS Mincho"/>
        </w:rPr>
      </w:pPr>
      <w:r w:rsidRPr="00CF2A2D">
        <w:tab/>
      </w:r>
      <w:r w:rsidRPr="00CF2A2D">
        <w:tab/>
        <w:t xml:space="preserve">Directives concernant l’applicabilité du SGH pour la classification </w:t>
      </w:r>
      <w:r w:rsidR="0094657E" w:rsidRPr="00CF2A2D">
        <w:br/>
      </w:r>
      <w:r w:rsidRPr="00CF2A2D">
        <w:t>et l’étiquetage des pesticides</w:t>
      </w:r>
    </w:p>
    <w:p w:rsidR="00CF1696" w:rsidRPr="00CF2A2D" w:rsidRDefault="00CF1696" w:rsidP="00CF1696">
      <w:pPr>
        <w:pStyle w:val="SingleTxtG"/>
        <w:tabs>
          <w:tab w:val="left" w:pos="3119"/>
        </w:tabs>
        <w:jc w:val="left"/>
        <w:rPr>
          <w:rFonts w:eastAsia="MS Mincho"/>
        </w:rPr>
      </w:pPr>
      <w:r w:rsidRPr="00CF2A2D">
        <w:rPr>
          <w:i/>
        </w:rPr>
        <w:t>Document informel </w:t>
      </w:r>
      <w:r w:rsidRPr="00CF2A2D">
        <w:t>:</w:t>
      </w:r>
      <w:r w:rsidRPr="00CF2A2D">
        <w:tab/>
      </w:r>
      <w:r w:rsidRPr="00CF2A2D">
        <w:tab/>
        <w:t>INF.24 (secrétariat)</w:t>
      </w:r>
      <w:r w:rsidR="0094657E" w:rsidRPr="00CF2A2D">
        <w:t>.</w:t>
      </w:r>
    </w:p>
    <w:p w:rsidR="00CF1696" w:rsidRPr="00CF2A2D" w:rsidRDefault="00CF1696" w:rsidP="0094657E">
      <w:pPr>
        <w:pStyle w:val="ParNoG"/>
      </w:pPr>
      <w:r w:rsidRPr="00CF2A2D">
        <w:t>Le Sous-Comité a noté que plusieurs directives de l’OMS et de la FAO portant sur la classification et l’étiquetage des pesticides avaient été actualisées pour tenir compte des dispositions du SGH. Il a été noté en particulier que les « Guidelines on highly hazardous pesticides » (Directives sur les pesticides particulièrement dangereux) de la FAO, publiées en 2016, les « Guidelines on good labelling practice for pesticides » (Directives relatives aux bonnes pratiques en matière d’étiqueta</w:t>
      </w:r>
      <w:r w:rsidR="00CF2A2D" w:rsidRPr="00CF2A2D">
        <w:t>ge des pesticides), publiées en </w:t>
      </w:r>
      <w:r w:rsidRPr="00CF2A2D">
        <w:t xml:space="preserve">2015, et la « WHO recommended classification of pesticides by hazard and guidelines to classification » (Classification des pesticides en fonction des dangers recommandée par l’OMS et directives pour le classement), publiée en 2009, font référence de façon répétée à la pertinence du SGH pour la classification et l’étiquetage des pesticides. </w:t>
      </w:r>
    </w:p>
    <w:p w:rsidR="00CF1696" w:rsidRPr="00CF2A2D" w:rsidRDefault="00CF1696" w:rsidP="00CF1696">
      <w:pPr>
        <w:pStyle w:val="HChG"/>
        <w:rPr>
          <w:rFonts w:eastAsia="MS Mincho"/>
        </w:rPr>
      </w:pPr>
      <w:r w:rsidRPr="00CF2A2D">
        <w:tab/>
        <w:t>VII.</w:t>
      </w:r>
      <w:r w:rsidRPr="00CF2A2D">
        <w:tab/>
        <w:t>Re</w:t>
      </w:r>
      <w:r w:rsidR="0094657E" w:rsidRPr="00CF2A2D">
        <w:t xml:space="preserve">nforcement des capacités </w:t>
      </w:r>
      <w:r w:rsidR="0094657E" w:rsidRPr="00CF2A2D">
        <w:br/>
        <w:t>(point </w:t>
      </w:r>
      <w:r w:rsidRPr="00CF2A2D">
        <w:t>6 de l’ordre du jour)</w:t>
      </w:r>
    </w:p>
    <w:p w:rsidR="00CF1696" w:rsidRPr="00CF2A2D" w:rsidRDefault="00CF1696" w:rsidP="00CF1696">
      <w:pPr>
        <w:pStyle w:val="SingleTxtG"/>
        <w:tabs>
          <w:tab w:val="left" w:pos="3119"/>
        </w:tabs>
        <w:ind w:left="3402" w:hanging="2268"/>
        <w:jc w:val="left"/>
        <w:rPr>
          <w:rFonts w:eastAsia="MS Mincho"/>
        </w:rPr>
      </w:pPr>
      <w:r w:rsidRPr="00CF2A2D">
        <w:rPr>
          <w:i/>
        </w:rPr>
        <w:t>Documents informels </w:t>
      </w:r>
      <w:r w:rsidRPr="00CF2A2D">
        <w:t>:</w:t>
      </w:r>
      <w:r w:rsidRPr="00CF2A2D">
        <w:tab/>
      </w:r>
      <w:r w:rsidRPr="00CF2A2D">
        <w:tab/>
        <w:t>INF.29 (UNITAR)</w:t>
      </w:r>
      <w:r w:rsidRPr="00CF2A2D">
        <w:br/>
        <w:t>INF.38 (Suède)</w:t>
      </w:r>
      <w:r w:rsidRPr="00CF2A2D">
        <w:br/>
        <w:t>INF.42 (RPMASA)</w:t>
      </w:r>
      <w:r w:rsidR="0094657E" w:rsidRPr="00CF2A2D">
        <w:t>.</w:t>
      </w:r>
    </w:p>
    <w:p w:rsidR="00CF1696" w:rsidRPr="00CF2A2D" w:rsidRDefault="00CF1696" w:rsidP="0094657E">
      <w:pPr>
        <w:pStyle w:val="ParNoG"/>
        <w:rPr>
          <w:rFonts w:eastAsia="MS Mincho"/>
        </w:rPr>
      </w:pPr>
      <w:r w:rsidRPr="00CF2A2D">
        <w:t xml:space="preserve">Le Sous-Comité a pris note des activités de renforcement des capacités et de sensibilisation relatives aux SGH menées par l’UNITAR, l’Agence suédoise des produits chimiques (KEMI) et la RPMASA qui sont énumérées dans les documents informels INF.29, INF.38 et INF.42. </w:t>
      </w:r>
    </w:p>
    <w:p w:rsidR="00CF1696" w:rsidRPr="00CF2A2D" w:rsidRDefault="00CF1696" w:rsidP="00CF1696">
      <w:pPr>
        <w:pStyle w:val="HChG"/>
      </w:pPr>
      <w:r w:rsidRPr="00CF2A2D">
        <w:tab/>
      </w:r>
      <w:r w:rsidR="0094712C" w:rsidRPr="00CF2A2D">
        <w:t>VIII.</w:t>
      </w:r>
      <w:r w:rsidR="0094712C" w:rsidRPr="00CF2A2D">
        <w:tab/>
        <w:t>Programme de travail pour la période biennale 2017-2018 (point </w:t>
      </w:r>
      <w:r w:rsidR="0094712C">
        <w:t>7 de l’ordre du jour</w:t>
      </w:r>
      <w:r w:rsidR="0094712C" w:rsidRPr="00CF2A2D">
        <w:t>)</w:t>
      </w:r>
    </w:p>
    <w:p w:rsidR="00CF1696" w:rsidRPr="00CF2A2D" w:rsidRDefault="00CF1696" w:rsidP="00CF1696">
      <w:pPr>
        <w:pStyle w:val="SingleTxtG"/>
        <w:tabs>
          <w:tab w:val="left" w:pos="3119"/>
        </w:tabs>
        <w:ind w:left="3126" w:hanging="1992"/>
        <w:jc w:val="left"/>
        <w:rPr>
          <w:rFonts w:eastAsia="MS Mincho"/>
        </w:rPr>
      </w:pPr>
      <w:r w:rsidRPr="00CF2A2D">
        <w:rPr>
          <w:i/>
        </w:rPr>
        <w:t>Documents informels </w:t>
      </w:r>
      <w:r w:rsidRPr="00CF2A2D">
        <w:t>:</w:t>
      </w:r>
      <w:r w:rsidRPr="00CF2A2D">
        <w:tab/>
        <w:t>INF.22 (Allemagne)</w:t>
      </w:r>
      <w:r w:rsidRPr="00CF2A2D">
        <w:br/>
        <w:t>INF.33 (IPPIC)</w:t>
      </w:r>
      <w:r w:rsidRPr="00CF2A2D">
        <w:br/>
        <w:t>INF.44 (secrétariat)</w:t>
      </w:r>
      <w:r w:rsidR="0094657E" w:rsidRPr="00CF2A2D">
        <w:t>.</w:t>
      </w:r>
    </w:p>
    <w:p w:rsidR="00CF1696" w:rsidRPr="00CF2A2D" w:rsidRDefault="00CF1696" w:rsidP="0094657E">
      <w:pPr>
        <w:pStyle w:val="ParNoG"/>
        <w:rPr>
          <w:rFonts w:eastAsia="MS Mincho"/>
        </w:rPr>
      </w:pPr>
      <w:r w:rsidRPr="00CF2A2D">
        <w:t>Le représentant du CIMM a confirmé que les travaux d’harmonisation des o</w:t>
      </w:r>
      <w:r w:rsidR="0094657E" w:rsidRPr="00CF2A2D">
        <w:t>rientations énoncées à l’annexe 9 du chapitre </w:t>
      </w:r>
      <w:r w:rsidRPr="00CF2A2D">
        <w:t xml:space="preserve">4,1 étaient presque achevés. Il a invité le Sous-Comité à envisager de maintenir cette question à son programme de travail pour 2017-2018. Le Groupe de travail a approuvé la demande. </w:t>
      </w:r>
    </w:p>
    <w:p w:rsidR="00CF1696" w:rsidRPr="00CF2A2D" w:rsidRDefault="00CF1696" w:rsidP="0094657E">
      <w:pPr>
        <w:pStyle w:val="ParNoG"/>
        <w:rPr>
          <w:rFonts w:eastAsia="MS Mincho"/>
        </w:rPr>
      </w:pPr>
      <w:r w:rsidRPr="00CF2A2D">
        <w:t>Sur la base des propositions examinées et approuvées au titre du présent point de l’ordre du jour ainsi que d’autres au cours de sa session en cours et à ses sessions antérieures, le Sous-Comité a approuvé le programme de travail pour 2017-20</w:t>
      </w:r>
      <w:r w:rsidR="0094657E" w:rsidRPr="00CF2A2D">
        <w:t>18 tel que reproduit à l’annexe </w:t>
      </w:r>
      <w:r w:rsidRPr="00CF2A2D">
        <w:t>III.</w:t>
      </w:r>
    </w:p>
    <w:p w:rsidR="00CF1696" w:rsidRPr="00CF2A2D" w:rsidRDefault="00CF1696" w:rsidP="00CF1696">
      <w:pPr>
        <w:pStyle w:val="HChG"/>
        <w:rPr>
          <w:rFonts w:eastAsia="MS Mincho"/>
        </w:rPr>
      </w:pPr>
      <w:r w:rsidRPr="00CF2A2D">
        <w:tab/>
        <w:t>IX.</w:t>
      </w:r>
      <w:r w:rsidRPr="00CF2A2D">
        <w:tab/>
        <w:t>Projet de résolution 2017/… du Cons</w:t>
      </w:r>
      <w:r w:rsidR="0094657E" w:rsidRPr="00CF2A2D">
        <w:t xml:space="preserve">eil économique </w:t>
      </w:r>
      <w:r w:rsidR="0094657E" w:rsidRPr="00CF2A2D">
        <w:br/>
        <w:t>et social (point </w:t>
      </w:r>
      <w:r w:rsidRPr="00CF2A2D">
        <w:t>8 de l’ordre du jour)</w:t>
      </w:r>
    </w:p>
    <w:p w:rsidR="00CF1696" w:rsidRPr="00CF2A2D" w:rsidRDefault="00CF1696" w:rsidP="00CF1696">
      <w:pPr>
        <w:pStyle w:val="SingleTxtG"/>
        <w:tabs>
          <w:tab w:val="left" w:pos="3119"/>
        </w:tabs>
        <w:rPr>
          <w:rFonts w:eastAsia="MS Mincho"/>
        </w:rPr>
      </w:pPr>
      <w:r w:rsidRPr="00CF2A2D">
        <w:rPr>
          <w:i/>
        </w:rPr>
        <w:t>Document informel </w:t>
      </w:r>
      <w:r w:rsidRPr="00CF2A2D">
        <w:t>:</w:t>
      </w:r>
      <w:r w:rsidRPr="00CF2A2D">
        <w:tab/>
        <w:t>INF.16 (secrétariat)</w:t>
      </w:r>
      <w:r w:rsidR="0094657E" w:rsidRPr="00CF2A2D">
        <w:t>.</w:t>
      </w:r>
    </w:p>
    <w:p w:rsidR="00CF1696" w:rsidRPr="00CF2A2D" w:rsidRDefault="00CF1696" w:rsidP="0094657E">
      <w:pPr>
        <w:pStyle w:val="ParNoG"/>
        <w:rPr>
          <w:rFonts w:eastAsia="MS Mincho"/>
        </w:rPr>
      </w:pPr>
      <w:r w:rsidRPr="00CF2A2D">
        <w:t xml:space="preserve">Le Sous-Comité a adopté la partie B du projet de résolution à soumettre au Conseil économique et social pour examen à sa session de 2017, moyennant une correction mineure </w:t>
      </w:r>
      <w:r w:rsidR="0094657E" w:rsidRPr="00CF2A2D">
        <w:t>d’ordre rédactionnel à l’alinéa </w:t>
      </w:r>
      <w:r w:rsidRPr="00CF2A2D">
        <w:t xml:space="preserve">c). </w:t>
      </w:r>
    </w:p>
    <w:p w:rsidR="00CF1696" w:rsidRPr="00CF2A2D" w:rsidRDefault="00CF1696" w:rsidP="00CF1696">
      <w:pPr>
        <w:pStyle w:val="HChG"/>
        <w:rPr>
          <w:rFonts w:eastAsia="MS Mincho"/>
        </w:rPr>
      </w:pPr>
      <w:r w:rsidRPr="00CF2A2D">
        <w:tab/>
        <w:t>X.</w:t>
      </w:r>
      <w:r w:rsidRPr="00CF2A2D">
        <w:tab/>
        <w:t>Élection du Bureau pour la pé</w:t>
      </w:r>
      <w:r w:rsidR="0094657E" w:rsidRPr="00CF2A2D">
        <w:t>riode biennale 2017-2018 (point </w:t>
      </w:r>
      <w:r w:rsidRPr="00CF2A2D">
        <w:t>9 de l’ordre du jour)</w:t>
      </w:r>
    </w:p>
    <w:p w:rsidR="00CF1696" w:rsidRPr="00CF2A2D" w:rsidRDefault="00CF1696" w:rsidP="0094657E">
      <w:pPr>
        <w:pStyle w:val="ParNoG"/>
        <w:rPr>
          <w:rFonts w:eastAsia="MS Mincho"/>
        </w:rPr>
      </w:pPr>
      <w:r w:rsidRPr="00CF2A2D">
        <w:t>M</w:t>
      </w:r>
      <w:r w:rsidRPr="00CF2A2D">
        <w:rPr>
          <w:vertAlign w:val="superscript"/>
        </w:rPr>
        <w:t>me</w:t>
      </w:r>
      <w:r w:rsidR="0094657E" w:rsidRPr="00CF2A2D">
        <w:t> </w:t>
      </w:r>
      <w:r w:rsidRPr="00CF2A2D">
        <w:t>Maureen Ruski</w:t>
      </w:r>
      <w:r w:rsidR="0094657E" w:rsidRPr="00CF2A2D">
        <w:t>n (États-Unis d’Amérique) et M. </w:t>
      </w:r>
      <w:r w:rsidRPr="00CF2A2D">
        <w:t>Robin Foster (Royaume-Uni) ont été réélus par acclamations respectivement Présidente et Vice-Président du Sous-Comité pour la période biennale 2017-2018.</w:t>
      </w:r>
    </w:p>
    <w:p w:rsidR="00CF1696" w:rsidRPr="00CF2A2D" w:rsidRDefault="00CF1696" w:rsidP="00CF1696">
      <w:pPr>
        <w:pStyle w:val="HChG"/>
        <w:rPr>
          <w:rFonts w:eastAsia="MS Mincho"/>
        </w:rPr>
      </w:pPr>
      <w:r w:rsidRPr="00CF2A2D">
        <w:tab/>
        <w:t>XI.</w:t>
      </w:r>
      <w:r w:rsidRPr="00CF2A2D">
        <w:tab/>
        <w:t>Questions diver</w:t>
      </w:r>
      <w:r w:rsidR="00CF2A2D" w:rsidRPr="00CF2A2D">
        <w:t>ses (point </w:t>
      </w:r>
      <w:r w:rsidRPr="00CF2A2D">
        <w:t>10 de l’ordre du jour)</w:t>
      </w:r>
    </w:p>
    <w:p w:rsidR="00CF1696" w:rsidRPr="00CF2A2D" w:rsidRDefault="00CF1696" w:rsidP="00CF2A2D">
      <w:pPr>
        <w:pStyle w:val="ParNoG"/>
        <w:keepNext/>
        <w:keepLines/>
      </w:pPr>
      <w:r w:rsidRPr="00CF2A2D">
        <w:t xml:space="preserve">Le Sous-Comité a pris note des dates limites pour la soumission des documents à sa session suivante, comme suit : </w:t>
      </w:r>
    </w:p>
    <w:p w:rsidR="00CF1696" w:rsidRPr="00CF2A2D" w:rsidRDefault="00CF1696" w:rsidP="00CF1696">
      <w:pPr>
        <w:pStyle w:val="Bullet1G"/>
        <w:numPr>
          <w:ilvl w:val="0"/>
          <w:numId w:val="19"/>
        </w:numPr>
      </w:pPr>
      <w:r w:rsidRPr="00CF2A2D">
        <w:t>Documents soumis pour examen par les deu</w:t>
      </w:r>
      <w:r w:rsidR="0094657E" w:rsidRPr="00CF2A2D">
        <w:t>x Sous-Comités (TMD et SGH) : 7 </w:t>
      </w:r>
      <w:r w:rsidRPr="00CF2A2D">
        <w:t>avril</w:t>
      </w:r>
      <w:r w:rsidR="0094657E" w:rsidRPr="00CF2A2D">
        <w:t> 2017 ;</w:t>
      </w:r>
    </w:p>
    <w:p w:rsidR="00CF1696" w:rsidRPr="00CF2A2D" w:rsidRDefault="00CF1696" w:rsidP="00CF1696">
      <w:pPr>
        <w:pStyle w:val="Bullet1G"/>
        <w:numPr>
          <w:ilvl w:val="0"/>
          <w:numId w:val="19"/>
        </w:numPr>
        <w:rPr>
          <w:rFonts w:eastAsia="MS Mincho"/>
        </w:rPr>
      </w:pPr>
      <w:r w:rsidRPr="00CF2A2D">
        <w:t xml:space="preserve">Documents destinés à la trente-troisième </w:t>
      </w:r>
      <w:r w:rsidR="0094657E" w:rsidRPr="00CF2A2D">
        <w:t>session du Sous-Comité SGH : 14 </w:t>
      </w:r>
      <w:r w:rsidRPr="00CF2A2D">
        <w:t>avril</w:t>
      </w:r>
      <w:r w:rsidR="0094657E" w:rsidRPr="00CF2A2D">
        <w:t> </w:t>
      </w:r>
      <w:r w:rsidRPr="00CF2A2D">
        <w:t>2017</w:t>
      </w:r>
      <w:r w:rsidR="0094657E" w:rsidRPr="00CF2A2D">
        <w:t> ;</w:t>
      </w:r>
    </w:p>
    <w:p w:rsidR="00CF1696" w:rsidRPr="00CF2A2D" w:rsidRDefault="00CF1696" w:rsidP="00CF1696">
      <w:pPr>
        <w:pStyle w:val="HChG"/>
        <w:rPr>
          <w:rFonts w:eastAsia="MS Mincho"/>
        </w:rPr>
      </w:pPr>
      <w:r w:rsidRPr="00CF2A2D">
        <w:tab/>
      </w:r>
      <w:r w:rsidR="00CF2A2D" w:rsidRPr="00CF2A2D">
        <w:t>XII.</w:t>
      </w:r>
      <w:r w:rsidR="00CF2A2D" w:rsidRPr="00CF2A2D">
        <w:tab/>
        <w:t>Adoption du rapport (point </w:t>
      </w:r>
      <w:r w:rsidRPr="00CF2A2D">
        <w:t>11 de l’ordre du jour)</w:t>
      </w:r>
    </w:p>
    <w:p w:rsidR="00CF1696" w:rsidRPr="00CF2A2D" w:rsidRDefault="00CF1696" w:rsidP="0094657E">
      <w:pPr>
        <w:pStyle w:val="ParNoG"/>
      </w:pPr>
      <w:r w:rsidRPr="00CF2A2D">
        <w:t>Conformément à la pratique établie, le Sous-Comité a adopté le rapport de sa trente-deuxième session sur la base d’un projet établi par le secrétariat.</w:t>
      </w:r>
    </w:p>
    <w:p w:rsidR="00F332D6" w:rsidRPr="00CF2A2D" w:rsidRDefault="00CF1696" w:rsidP="00CF2A2D">
      <w:pPr>
        <w:pStyle w:val="HChG"/>
      </w:pPr>
      <w:r w:rsidRPr="00CF2A2D">
        <w:br w:type="page"/>
      </w:r>
      <w:r w:rsidR="00CF2A2D" w:rsidRPr="00CF2A2D">
        <w:tab/>
      </w:r>
      <w:r w:rsidR="00F332D6" w:rsidRPr="00CF2A2D">
        <w:t>Annexe</w:t>
      </w:r>
      <w:r w:rsidR="007A1F67" w:rsidRPr="00CF2A2D">
        <w:t> </w:t>
      </w:r>
      <w:r w:rsidR="00F332D6" w:rsidRPr="00CF2A2D">
        <w:t>I</w:t>
      </w:r>
    </w:p>
    <w:p w:rsidR="00F332D6" w:rsidRPr="00CF2A2D" w:rsidRDefault="00F332D6" w:rsidP="00F332D6">
      <w:pPr>
        <w:pStyle w:val="HChG"/>
      </w:pPr>
      <w:r w:rsidRPr="00CF2A2D">
        <w:tab/>
      </w:r>
      <w:r w:rsidRPr="00CF2A2D">
        <w:tab/>
        <w:t>Projet d’amendements à la sixième édition révisée du SGH (ST/SG/AC.10/30/Rev.6)</w:t>
      </w:r>
    </w:p>
    <w:p w:rsidR="00F332D6" w:rsidRPr="00CF2A2D" w:rsidRDefault="00F332D6" w:rsidP="00CF2A2D">
      <w:pPr>
        <w:pStyle w:val="SingleTxtG"/>
      </w:pPr>
      <w:r w:rsidRPr="00CF2A2D">
        <w:rPr>
          <w:b/>
        </w:rPr>
        <w:t xml:space="preserve">Document ST/SG/AC.10/C.4/2016/11 </w:t>
      </w:r>
      <w:r w:rsidRPr="00CF2A2D">
        <w:t>adopté avec les modifications suivantes</w:t>
      </w:r>
      <w:r w:rsidR="00CF2A2D" w:rsidRPr="00CF2A2D">
        <w:t> </w:t>
      </w:r>
      <w:r w:rsidRPr="00CF2A2D">
        <w:t>:</w:t>
      </w:r>
    </w:p>
    <w:p w:rsidR="00F332D6" w:rsidRPr="00CF2A2D" w:rsidRDefault="00CF2A2D" w:rsidP="00CF2A2D">
      <w:pPr>
        <w:pStyle w:val="H23G"/>
      </w:pPr>
      <w:r w:rsidRPr="00CF2A2D">
        <w:tab/>
      </w:r>
      <w:r w:rsidRPr="00CF2A2D">
        <w:tab/>
        <w:t>Chapitre </w:t>
      </w:r>
      <w:r w:rsidR="00F332D6" w:rsidRPr="00CF2A2D">
        <w:t>1.2</w:t>
      </w:r>
    </w:p>
    <w:p w:rsidR="00F332D6" w:rsidRPr="00CF2A2D" w:rsidRDefault="00F332D6" w:rsidP="00F332D6">
      <w:pPr>
        <w:pStyle w:val="SingleTxtG"/>
      </w:pPr>
      <w:r w:rsidRPr="00CF2A2D">
        <w:t xml:space="preserve">L’amendement applicable à la définition de « sensibilisant des voies respiratoires » en anglais est sans objet en français. </w:t>
      </w:r>
    </w:p>
    <w:p w:rsidR="00F332D6" w:rsidRPr="00CF2A2D" w:rsidRDefault="00CF2A2D" w:rsidP="00CF2A2D">
      <w:pPr>
        <w:pStyle w:val="H23G"/>
      </w:pPr>
      <w:r w:rsidRPr="00CF2A2D">
        <w:tab/>
      </w:r>
      <w:r w:rsidRPr="00CF2A2D">
        <w:tab/>
        <w:t>Chapitre </w:t>
      </w:r>
      <w:r w:rsidR="00F332D6" w:rsidRPr="00CF2A2D">
        <w:t>3.1</w:t>
      </w:r>
    </w:p>
    <w:p w:rsidR="00F332D6" w:rsidRPr="00CF2A2D" w:rsidRDefault="00F332D6" w:rsidP="00CF2A2D">
      <w:pPr>
        <w:pStyle w:val="SingleTxtG"/>
        <w:keepNext/>
        <w:keepLines/>
        <w:tabs>
          <w:tab w:val="left" w:pos="2268"/>
        </w:tabs>
      </w:pPr>
      <w:r w:rsidRPr="00CF2A2D">
        <w:t>Dans la ver</w:t>
      </w:r>
      <w:r w:rsidR="00CF2A2D" w:rsidRPr="00CF2A2D">
        <w:t>sion française, l’amendement au </w:t>
      </w:r>
      <w:r w:rsidRPr="00CF2A2D">
        <w:t>3.1.1 doit se lire comme suit</w:t>
      </w:r>
      <w:r w:rsidR="00CF2A2D" w:rsidRPr="00CF2A2D">
        <w:t> </w:t>
      </w:r>
      <w:r w:rsidRPr="00CF2A2D">
        <w:t>:</w:t>
      </w:r>
    </w:p>
    <w:p w:rsidR="00F332D6" w:rsidRPr="00CF2A2D" w:rsidRDefault="00F332D6" w:rsidP="00CF2A2D">
      <w:pPr>
        <w:pStyle w:val="SingleTxtG"/>
        <w:keepNext/>
        <w:keepLines/>
        <w:tabs>
          <w:tab w:val="left" w:pos="2268"/>
        </w:tabs>
      </w:pPr>
      <w:r w:rsidRPr="00CF2A2D">
        <w:t>«</w:t>
      </w:r>
      <w:r w:rsidR="00CF2A2D" w:rsidRPr="00CF2A2D">
        <w:t> </w:t>
      </w:r>
      <w:r w:rsidRPr="00CF2A2D">
        <w:t>3.1.1</w:t>
      </w:r>
      <w:r w:rsidRPr="00CF2A2D">
        <w:tab/>
        <w:t xml:space="preserve">Modifier la définition de </w:t>
      </w:r>
      <w:r w:rsidR="00CF2A2D" w:rsidRPr="00CF2A2D">
        <w:t>“</w:t>
      </w:r>
      <w:r w:rsidRPr="00CF2A2D">
        <w:t>toxicité aiguë</w:t>
      </w:r>
      <w:r w:rsidR="00CF2A2D" w:rsidRPr="00CF2A2D">
        <w:t>”</w:t>
      </w:r>
      <w:r w:rsidRPr="00CF2A2D">
        <w:t xml:space="preserve"> comme suit :</w:t>
      </w:r>
    </w:p>
    <w:p w:rsidR="00F332D6" w:rsidRPr="00CF2A2D" w:rsidRDefault="00CF2A2D" w:rsidP="00F332D6">
      <w:pPr>
        <w:pStyle w:val="SingleTxtG"/>
        <w:tabs>
          <w:tab w:val="left" w:pos="2268"/>
        </w:tabs>
        <w:ind w:left="2268"/>
      </w:pPr>
      <w:r w:rsidRPr="00CF2A2D">
        <w:t>“</w:t>
      </w:r>
      <w:r w:rsidR="00F332D6" w:rsidRPr="00CF2A2D">
        <w:t xml:space="preserve">La </w:t>
      </w:r>
      <w:r w:rsidR="00F332D6" w:rsidRPr="00CF2A2D">
        <w:rPr>
          <w:i/>
        </w:rPr>
        <w:t>toxicité aiguë</w:t>
      </w:r>
      <w:r w:rsidR="00F332D6" w:rsidRPr="00CF2A2D">
        <w:t xml:space="preserve"> désigne des effets néfastes graves pour la santé (y compris le décès) qui se manifestent après une exposition unique ou de courte durée à une substance ou à un mélange par voie orale ou cutanée ou par inhalation</w:t>
      </w:r>
      <w:r w:rsidRPr="00CF2A2D">
        <w:t>”</w:t>
      </w:r>
      <w:r w:rsidR="00F332D6" w:rsidRPr="00CF2A2D">
        <w:t> »</w:t>
      </w:r>
      <w:r w:rsidRPr="00CF2A2D">
        <w:t>.</w:t>
      </w:r>
    </w:p>
    <w:p w:rsidR="00F332D6" w:rsidRPr="00CF2A2D" w:rsidRDefault="00CF2A2D" w:rsidP="00CF2A2D">
      <w:pPr>
        <w:pStyle w:val="H23G"/>
      </w:pPr>
      <w:r w:rsidRPr="00CF2A2D">
        <w:tab/>
      </w:r>
      <w:r w:rsidRPr="00CF2A2D">
        <w:tab/>
        <w:t>Chapitre </w:t>
      </w:r>
      <w:r w:rsidR="00F332D6" w:rsidRPr="00CF2A2D">
        <w:t>3.4</w:t>
      </w:r>
    </w:p>
    <w:p w:rsidR="00F332D6" w:rsidRPr="00CF2A2D" w:rsidRDefault="00F332D6" w:rsidP="00CF2A2D">
      <w:pPr>
        <w:pStyle w:val="SingleTxtG"/>
        <w:ind w:left="2268" w:hanging="1134"/>
      </w:pPr>
      <w:r w:rsidRPr="00CF2A2D">
        <w:t>3.4.1.1</w:t>
      </w:r>
      <w:r w:rsidRPr="00CF2A2D">
        <w:tab/>
      </w:r>
      <w:r w:rsidRPr="00CF2A2D">
        <w:tab/>
        <w:t>L’amendement applicable aux définitions de « sensibilisant des voies respiratoires » et « sensibilisant cutané » en anglais est sans objet en français.</w:t>
      </w:r>
      <w:r w:rsidR="00F15CDD">
        <w:t xml:space="preserve"> </w:t>
      </w:r>
    </w:p>
    <w:p w:rsidR="00F332D6" w:rsidRPr="00CF2A2D" w:rsidRDefault="00CF2A2D" w:rsidP="00CF2A2D">
      <w:pPr>
        <w:pStyle w:val="H23G"/>
      </w:pPr>
      <w:r w:rsidRPr="00CF2A2D">
        <w:tab/>
      </w:r>
      <w:r w:rsidRPr="00CF2A2D">
        <w:tab/>
        <w:t>Chapitre </w:t>
      </w:r>
      <w:r w:rsidR="00F332D6" w:rsidRPr="00CF2A2D">
        <w:t>3.6</w:t>
      </w:r>
    </w:p>
    <w:p w:rsidR="00F332D6" w:rsidRPr="00CF2A2D" w:rsidRDefault="00CF2A2D" w:rsidP="00CF2A2D">
      <w:pPr>
        <w:pStyle w:val="SingleTxtG"/>
      </w:pPr>
      <w:r w:rsidRPr="00CF2A2D">
        <w:t>L’amendement au </w:t>
      </w:r>
      <w:r w:rsidR="00F332D6" w:rsidRPr="00CF2A2D">
        <w:t>3.6.1 doit se lire comme suit</w:t>
      </w:r>
      <w:r w:rsidRPr="00CF2A2D">
        <w:t> </w:t>
      </w:r>
      <w:r w:rsidR="00F332D6" w:rsidRPr="00CF2A2D">
        <w:t>:</w:t>
      </w:r>
    </w:p>
    <w:p w:rsidR="00F332D6" w:rsidRPr="00CF2A2D" w:rsidRDefault="00CF2A2D" w:rsidP="00F332D6">
      <w:pPr>
        <w:pStyle w:val="SingleTxtG"/>
        <w:tabs>
          <w:tab w:val="left" w:pos="2268"/>
        </w:tabs>
      </w:pPr>
      <w:r w:rsidRPr="00CF2A2D">
        <w:t>« </w:t>
      </w:r>
      <w:r w:rsidR="00F332D6" w:rsidRPr="00CF2A2D">
        <w:t>3.6.1</w:t>
      </w:r>
      <w:r w:rsidR="00F332D6" w:rsidRPr="00CF2A2D">
        <w:tab/>
        <w:t>Modifier la première phrase pour lire comme suit :</w:t>
      </w:r>
    </w:p>
    <w:p w:rsidR="00F332D6" w:rsidRPr="00CF2A2D" w:rsidRDefault="00CF2A2D" w:rsidP="00F332D6">
      <w:pPr>
        <w:pStyle w:val="SingleTxtG"/>
        <w:ind w:left="2268"/>
      </w:pPr>
      <w:r w:rsidRPr="00CF2A2D">
        <w:t>“</w:t>
      </w:r>
      <w:r w:rsidR="00F332D6" w:rsidRPr="00CF2A2D">
        <w:rPr>
          <w:iCs/>
        </w:rPr>
        <w:t xml:space="preserve">La </w:t>
      </w:r>
      <w:r w:rsidR="00F332D6" w:rsidRPr="00CF2A2D">
        <w:rPr>
          <w:i/>
        </w:rPr>
        <w:t xml:space="preserve">cancérogénicité </w:t>
      </w:r>
      <w:r w:rsidR="00F332D6" w:rsidRPr="00CF2A2D">
        <w:rPr>
          <w:iCs/>
        </w:rPr>
        <w:t>désigne l’induction d’un cancer ou une augmentation de l’incidence du cancer survenant après exposition à une substance ou un mélange</w:t>
      </w:r>
      <w:r w:rsidRPr="00CF2A2D">
        <w:t>”</w:t>
      </w:r>
      <w:r w:rsidR="00CE31AB">
        <w:t> </w:t>
      </w:r>
      <w:r w:rsidR="00F332D6" w:rsidRPr="00CF2A2D">
        <w:t>»</w:t>
      </w:r>
      <w:r w:rsidRPr="00CF2A2D">
        <w:t>.</w:t>
      </w:r>
    </w:p>
    <w:p w:rsidR="00F332D6" w:rsidRPr="00CF2A2D" w:rsidRDefault="00CF2A2D" w:rsidP="00CF2A2D">
      <w:pPr>
        <w:pStyle w:val="H23G"/>
      </w:pPr>
      <w:r w:rsidRPr="00CF2A2D">
        <w:tab/>
      </w:r>
      <w:r w:rsidRPr="00CF2A2D">
        <w:tab/>
        <w:t>Chapitre </w:t>
      </w:r>
      <w:r w:rsidR="00F332D6" w:rsidRPr="00CF2A2D">
        <w:t>3.7</w:t>
      </w:r>
    </w:p>
    <w:p w:rsidR="00F332D6" w:rsidRPr="00CF2A2D" w:rsidRDefault="00F332D6" w:rsidP="00CE31AB">
      <w:pPr>
        <w:pStyle w:val="SingleTxtG"/>
        <w:keepNext/>
        <w:keepLines/>
      </w:pPr>
      <w:r w:rsidRPr="00CF2A2D">
        <w:t>L’ame</w:t>
      </w:r>
      <w:r w:rsidR="00CF2A2D" w:rsidRPr="00CF2A2D">
        <w:t>ndement à la première phrase du </w:t>
      </w:r>
      <w:r w:rsidRPr="00CF2A2D">
        <w:t>3.7.1.1 doit se lire comme suit</w:t>
      </w:r>
      <w:r w:rsidR="00CF2A2D" w:rsidRPr="00CF2A2D">
        <w:t> </w:t>
      </w:r>
      <w:r w:rsidRPr="00CF2A2D">
        <w:t>:</w:t>
      </w:r>
    </w:p>
    <w:p w:rsidR="00F332D6" w:rsidRPr="00CF2A2D" w:rsidRDefault="00CF2A2D" w:rsidP="00F332D6">
      <w:pPr>
        <w:pStyle w:val="SingleTxtG"/>
        <w:tabs>
          <w:tab w:val="left" w:pos="1985"/>
        </w:tabs>
        <w:ind w:left="2268" w:hanging="1134"/>
      </w:pPr>
      <w:r w:rsidRPr="00CF2A2D">
        <w:t>« </w:t>
      </w:r>
      <w:r w:rsidR="00F332D6" w:rsidRPr="00CF2A2D">
        <w:t>3.7.1.1</w:t>
      </w:r>
      <w:r w:rsidR="00F332D6" w:rsidRPr="00CF2A2D">
        <w:tab/>
      </w:r>
      <w:r w:rsidR="00F332D6" w:rsidRPr="00CF2A2D">
        <w:tab/>
        <w:t>Modifier la première phrase pour lire comme suit :</w:t>
      </w:r>
    </w:p>
    <w:p w:rsidR="00F332D6" w:rsidRPr="00CF2A2D" w:rsidRDefault="00F332D6" w:rsidP="00F332D6">
      <w:pPr>
        <w:pStyle w:val="SingleTxtG"/>
        <w:tabs>
          <w:tab w:val="left" w:pos="1985"/>
        </w:tabs>
        <w:ind w:left="2268" w:hanging="1134"/>
      </w:pPr>
      <w:r w:rsidRPr="00CF2A2D">
        <w:tab/>
      </w:r>
      <w:r w:rsidRPr="00CF2A2D">
        <w:tab/>
      </w:r>
      <w:r w:rsidR="00CE31AB" w:rsidRPr="00CF2A2D">
        <w:t>“</w:t>
      </w:r>
      <w:r w:rsidRPr="00CF2A2D">
        <w:t xml:space="preserve">La </w:t>
      </w:r>
      <w:r w:rsidRPr="00CF2A2D">
        <w:rPr>
          <w:i/>
        </w:rPr>
        <w:t>toxicité pour la reproduction</w:t>
      </w:r>
      <w:r w:rsidRPr="00CF2A2D">
        <w:t xml:space="preserve"> désigne des effets néfastes sur la fonction sexuelle et la fertilité des mâles et des femelles adultes, ainsi que des effets néfastes sur le développement de leurs descendants, survenant après une exposition à une substance ou un mélange</w:t>
      </w:r>
      <w:r w:rsidR="00CE31AB" w:rsidRPr="00CF2A2D">
        <w:t>”</w:t>
      </w:r>
      <w:r w:rsidR="00CE31AB">
        <w:t> </w:t>
      </w:r>
      <w:r w:rsidRPr="00CF2A2D">
        <w:t>»</w:t>
      </w:r>
      <w:r w:rsidR="00CE31AB">
        <w:t>.</w:t>
      </w:r>
    </w:p>
    <w:p w:rsidR="00F332D6" w:rsidRPr="00CF2A2D" w:rsidRDefault="00CE31AB" w:rsidP="00CE31AB">
      <w:pPr>
        <w:pStyle w:val="H23G"/>
      </w:pPr>
      <w:r>
        <w:tab/>
      </w:r>
      <w:r>
        <w:tab/>
        <w:t>Chapitre </w:t>
      </w:r>
      <w:r w:rsidR="00F332D6" w:rsidRPr="00CF2A2D">
        <w:t>3.8</w:t>
      </w:r>
    </w:p>
    <w:p w:rsidR="00F332D6" w:rsidRPr="00CF2A2D" w:rsidRDefault="00F332D6" w:rsidP="00F332D6">
      <w:pPr>
        <w:pStyle w:val="SingleTxtG"/>
        <w:keepNext/>
        <w:keepLines/>
      </w:pPr>
      <w:r w:rsidRPr="00CF2A2D">
        <w:t>L’amendement au 3.8.1.1 doit se lire comme suit</w:t>
      </w:r>
      <w:r w:rsidR="00CE31AB">
        <w:t> </w:t>
      </w:r>
      <w:r w:rsidRPr="00CF2A2D">
        <w:t>:</w:t>
      </w:r>
    </w:p>
    <w:p w:rsidR="00F332D6" w:rsidRPr="00CF2A2D" w:rsidRDefault="00CE31AB" w:rsidP="00F332D6">
      <w:pPr>
        <w:pStyle w:val="SingleTxtG"/>
        <w:keepNext/>
        <w:rPr>
          <w:snapToGrid w:val="0"/>
        </w:rPr>
      </w:pPr>
      <w:r>
        <w:rPr>
          <w:snapToGrid w:val="0"/>
        </w:rPr>
        <w:t>« </w:t>
      </w:r>
      <w:r w:rsidR="00F332D6" w:rsidRPr="00CF2A2D">
        <w:rPr>
          <w:snapToGrid w:val="0"/>
        </w:rPr>
        <w:t>3.8.1.1</w:t>
      </w:r>
      <w:r w:rsidR="00F332D6" w:rsidRPr="00CF2A2D">
        <w:t xml:space="preserve"> </w:t>
      </w:r>
      <w:r w:rsidR="00F332D6" w:rsidRPr="00CF2A2D">
        <w:tab/>
        <w:t>Modifier la première phrase pour lire comme suit</w:t>
      </w:r>
      <w:r>
        <w:t> </w:t>
      </w:r>
      <w:r w:rsidR="00F332D6" w:rsidRPr="00CF2A2D">
        <w:t>:</w:t>
      </w:r>
    </w:p>
    <w:p w:rsidR="00F332D6" w:rsidRPr="00CF2A2D" w:rsidRDefault="00CE31AB" w:rsidP="00F332D6">
      <w:pPr>
        <w:pStyle w:val="SingleTxtG"/>
        <w:ind w:left="2268"/>
      </w:pPr>
      <w:r w:rsidRPr="00CF2A2D">
        <w:t>“</w:t>
      </w:r>
      <w:r w:rsidR="00F332D6" w:rsidRPr="00CF2A2D">
        <w:t xml:space="preserve">La </w:t>
      </w:r>
      <w:r w:rsidR="00F332D6" w:rsidRPr="00CF2A2D">
        <w:rPr>
          <w:i/>
        </w:rPr>
        <w:t xml:space="preserve">toxicité pour certains organes cibles </w:t>
      </w:r>
      <w:r>
        <w:rPr>
          <w:i/>
        </w:rPr>
        <w:t>–</w:t>
      </w:r>
      <w:r w:rsidR="00F332D6" w:rsidRPr="00CF2A2D">
        <w:rPr>
          <w:i/>
        </w:rPr>
        <w:t xml:space="preserve"> exposition unique</w:t>
      </w:r>
      <w:r w:rsidR="00F332D6" w:rsidRPr="00CF2A2D">
        <w:t xml:space="preserve"> désigne des effets toxiques spécifiques et non létaux sur des organes cibles survenant après une exposition unique </w:t>
      </w:r>
      <w:r>
        <w:t>à une substance ou un mélange</w:t>
      </w:r>
      <w:r w:rsidRPr="00CF2A2D">
        <w:t>”</w:t>
      </w:r>
      <w:r>
        <w:t> </w:t>
      </w:r>
      <w:r w:rsidR="00F332D6" w:rsidRPr="00CF2A2D">
        <w:t>».</w:t>
      </w:r>
    </w:p>
    <w:p w:rsidR="00F332D6" w:rsidRPr="00CF2A2D" w:rsidRDefault="00F332D6" w:rsidP="00F332D6">
      <w:pPr>
        <w:pStyle w:val="SingleTxtG"/>
        <w:keepNext/>
        <w:keepLines/>
        <w:rPr>
          <w:b/>
        </w:rPr>
      </w:pPr>
      <w:r w:rsidRPr="00CF2A2D">
        <w:rPr>
          <w:b/>
        </w:rPr>
        <w:t>Chapitre 3.9</w:t>
      </w:r>
    </w:p>
    <w:p w:rsidR="00F332D6" w:rsidRPr="00CF2A2D" w:rsidRDefault="00F332D6" w:rsidP="00F332D6">
      <w:pPr>
        <w:pStyle w:val="SingleTxtG"/>
        <w:keepNext/>
        <w:keepLines/>
      </w:pPr>
      <w:r w:rsidRPr="00CF2A2D">
        <w:t>L’amendement au 3.9.1.1 doit se lire comme suit</w:t>
      </w:r>
      <w:r w:rsidR="00CE31AB">
        <w:t> </w:t>
      </w:r>
      <w:r w:rsidRPr="00CF2A2D">
        <w:t>:</w:t>
      </w:r>
    </w:p>
    <w:p w:rsidR="00F332D6" w:rsidRPr="00CF2A2D" w:rsidRDefault="00CE31AB" w:rsidP="00F332D6">
      <w:pPr>
        <w:pStyle w:val="SingleTxtG"/>
        <w:keepNext/>
        <w:keepLines/>
      </w:pPr>
      <w:r>
        <w:t>« </w:t>
      </w:r>
      <w:r w:rsidR="00F332D6" w:rsidRPr="00CF2A2D">
        <w:t xml:space="preserve">3.9.1.1 </w:t>
      </w:r>
      <w:r w:rsidR="00F332D6" w:rsidRPr="00CF2A2D">
        <w:tab/>
        <w:t>Modifier la premi</w:t>
      </w:r>
      <w:r>
        <w:t>ère phrase pour lire comme suit :</w:t>
      </w:r>
    </w:p>
    <w:p w:rsidR="00F332D6" w:rsidRPr="00CF2A2D" w:rsidRDefault="00CE31AB" w:rsidP="00F332D6">
      <w:pPr>
        <w:pStyle w:val="SingleTxtG"/>
        <w:keepNext/>
        <w:keepLines/>
        <w:ind w:left="2268"/>
      </w:pPr>
      <w:r w:rsidRPr="00CF2A2D">
        <w:t>“</w:t>
      </w:r>
      <w:r w:rsidR="00F332D6" w:rsidRPr="00CF2A2D">
        <w:rPr>
          <w:i/>
        </w:rPr>
        <w:t xml:space="preserve">La toxicité pour certains organes cibles </w:t>
      </w:r>
      <w:r>
        <w:rPr>
          <w:i/>
        </w:rPr>
        <w:t>–</w:t>
      </w:r>
      <w:r w:rsidR="00F332D6" w:rsidRPr="00CF2A2D">
        <w:rPr>
          <w:i/>
        </w:rPr>
        <w:t xml:space="preserve"> expositions répétées</w:t>
      </w:r>
      <w:r w:rsidR="00F332D6" w:rsidRPr="00CF2A2D">
        <w:t xml:space="preserve"> désigne des effets toxiques spécifiques sur des organes cibles survenant après des expositions répétées à une substance ou un mélange</w:t>
      </w:r>
      <w:r w:rsidRPr="00CF2A2D">
        <w:t>”</w:t>
      </w:r>
      <w:r>
        <w:t> </w:t>
      </w:r>
      <w:r w:rsidR="00F332D6" w:rsidRPr="00CF2A2D">
        <w:t>»</w:t>
      </w:r>
      <w:r>
        <w:t>.</w:t>
      </w:r>
    </w:p>
    <w:p w:rsidR="00F332D6" w:rsidRPr="00CF2A2D" w:rsidRDefault="00CE31AB" w:rsidP="00CE31AB">
      <w:pPr>
        <w:pStyle w:val="H23G"/>
      </w:pPr>
      <w:r>
        <w:tab/>
      </w:r>
      <w:r>
        <w:tab/>
        <w:t>Chapitre </w:t>
      </w:r>
      <w:r w:rsidR="00F332D6" w:rsidRPr="00CF2A2D">
        <w:t>3.10</w:t>
      </w:r>
    </w:p>
    <w:p w:rsidR="00F332D6" w:rsidRPr="00CF2A2D" w:rsidRDefault="00F332D6" w:rsidP="00F332D6">
      <w:pPr>
        <w:pStyle w:val="SingleTxtG"/>
      </w:pPr>
      <w:r w:rsidRPr="00CF2A2D">
        <w:t>L’amendement au 3</w:t>
      </w:r>
      <w:r w:rsidR="00CE31AB">
        <w:t>.10.1.3 doit se lire comme suit :</w:t>
      </w:r>
    </w:p>
    <w:p w:rsidR="00F332D6" w:rsidRPr="00CF2A2D" w:rsidRDefault="00CE31AB" w:rsidP="00F332D6">
      <w:pPr>
        <w:pStyle w:val="SingleTxtG"/>
        <w:keepNext/>
        <w:keepLines/>
        <w:tabs>
          <w:tab w:val="left" w:pos="2268"/>
        </w:tabs>
        <w:spacing w:after="80"/>
        <w:ind w:left="2268" w:hanging="1134"/>
      </w:pPr>
      <w:r>
        <w:t>« </w:t>
      </w:r>
      <w:r w:rsidR="00F332D6" w:rsidRPr="00CF2A2D">
        <w:t>3.10.1.3</w:t>
      </w:r>
      <w:r w:rsidR="00F332D6" w:rsidRPr="00CF2A2D">
        <w:tab/>
        <w:t>Le paragraphe 3.10.1.3 devient le paragraphe 3.10.1.2, tel q</w:t>
      </w:r>
      <w:r>
        <w:t>ue modifié pour lire comme suit :</w:t>
      </w:r>
    </w:p>
    <w:p w:rsidR="00F332D6" w:rsidRPr="00CF2A2D" w:rsidRDefault="00CE31AB" w:rsidP="00F332D6">
      <w:pPr>
        <w:pStyle w:val="SingleTxtG"/>
        <w:ind w:left="2268"/>
      </w:pPr>
      <w:r w:rsidRPr="00CF2A2D">
        <w:t>“</w:t>
      </w:r>
      <w:r w:rsidR="00F332D6" w:rsidRPr="00CF2A2D">
        <w:t>Le danger par aspiration peut entraîner de graves effets aigus tels que pneumonie chimique, lésions pulmonaires plus ou moins importantes, voire décès survenant après à l’aspiration d’une substance ou d’un mélange</w:t>
      </w:r>
      <w:r w:rsidRPr="00CF2A2D">
        <w:t>”</w:t>
      </w:r>
      <w:r>
        <w:t> </w:t>
      </w:r>
      <w:r w:rsidRPr="00CF2A2D">
        <w:t>»</w:t>
      </w:r>
      <w:r>
        <w:t>.</w:t>
      </w:r>
    </w:p>
    <w:p w:rsidR="00F332D6" w:rsidRPr="00CF2A2D" w:rsidRDefault="00F332D6" w:rsidP="00CE31AB">
      <w:pPr>
        <w:pStyle w:val="SingleTxtG"/>
      </w:pPr>
      <w:r w:rsidRPr="00CF2A2D">
        <w:rPr>
          <w:b/>
        </w:rPr>
        <w:t>Document ST/SG/AC.10/C.4/2016/1</w:t>
      </w:r>
      <w:r w:rsidR="00B1594C">
        <w:rPr>
          <w:b/>
        </w:rPr>
        <w:t>3</w:t>
      </w:r>
      <w:r w:rsidRPr="00CF2A2D">
        <w:rPr>
          <w:b/>
        </w:rPr>
        <w:t>, </w:t>
      </w:r>
      <w:r w:rsidRPr="00CF2A2D">
        <w:t>amendement au paragraphe 2.6.4.2.2 : adopté sans modifications</w:t>
      </w:r>
      <w:r w:rsidR="00CE31AB">
        <w:t>.</w:t>
      </w:r>
    </w:p>
    <w:p w:rsidR="00F332D6" w:rsidRPr="00CE31AB" w:rsidRDefault="00F332D6" w:rsidP="00CE31AB">
      <w:pPr>
        <w:pStyle w:val="SingleTxtG"/>
        <w:rPr>
          <w:i/>
        </w:rPr>
      </w:pPr>
      <w:r w:rsidRPr="00CE31AB">
        <w:rPr>
          <w:i/>
        </w:rPr>
        <w:t>(Pour les amendements corolaires à l’appendice 6 du Manuel d’épre</w:t>
      </w:r>
      <w:r w:rsidR="00CE31AB">
        <w:rPr>
          <w:i/>
        </w:rPr>
        <w:t>uves et de critères voir annexe </w:t>
      </w:r>
      <w:r w:rsidRPr="00CE31AB">
        <w:rPr>
          <w:i/>
        </w:rPr>
        <w:t>II</w:t>
      </w:r>
      <w:r w:rsidR="00CE31AB">
        <w:rPr>
          <w:i/>
        </w:rPr>
        <w:t>.</w:t>
      </w:r>
      <w:r w:rsidRPr="00CE31AB">
        <w:rPr>
          <w:i/>
        </w:rPr>
        <w:t>)</w:t>
      </w:r>
    </w:p>
    <w:p w:rsidR="00F332D6" w:rsidRPr="00CF2A2D" w:rsidRDefault="00F332D6" w:rsidP="00CE31AB">
      <w:pPr>
        <w:pStyle w:val="SingleTxtG"/>
        <w:rPr>
          <w:iCs/>
        </w:rPr>
      </w:pPr>
      <w:r w:rsidRPr="00CF2A2D">
        <w:rPr>
          <w:b/>
        </w:rPr>
        <w:t>Document ST/SG/AC.10/C.4/2016/14,</w:t>
      </w:r>
      <w:r w:rsidRPr="00CF2A2D">
        <w:t xml:space="preserve"> les amendement</w:t>
      </w:r>
      <w:r w:rsidR="00CE31AB">
        <w:t>s au 2.1.1.2 c) et à la note b sous le tableau </w:t>
      </w:r>
      <w:r w:rsidRPr="00CF2A2D">
        <w:t xml:space="preserve">2.1.1 sont </w:t>
      </w:r>
      <w:r w:rsidRPr="00CF2A2D">
        <w:rPr>
          <w:iCs/>
        </w:rPr>
        <w:t>sans objet en français</w:t>
      </w:r>
      <w:r w:rsidR="00CE31AB">
        <w:rPr>
          <w:iCs/>
        </w:rPr>
        <w:t>.</w:t>
      </w:r>
    </w:p>
    <w:p w:rsidR="00F332D6" w:rsidRPr="00CF2A2D" w:rsidRDefault="00F332D6" w:rsidP="00CE31AB">
      <w:pPr>
        <w:pStyle w:val="SingleTxtG"/>
      </w:pPr>
      <w:r w:rsidRPr="00CE31AB">
        <w:rPr>
          <w:b/>
        </w:rPr>
        <w:t>Document ST/SG/AC.10/C.4/2016/19</w:t>
      </w:r>
      <w:r w:rsidRPr="00CF2A2D">
        <w:t>, adopté sans modifications</w:t>
      </w:r>
      <w:r w:rsidR="00CE31AB">
        <w:t>.</w:t>
      </w:r>
    </w:p>
    <w:p w:rsidR="00F332D6" w:rsidRPr="00CF2A2D" w:rsidRDefault="00F332D6" w:rsidP="00CE31AB">
      <w:pPr>
        <w:pStyle w:val="SingleTxtG"/>
        <w:rPr>
          <w:b/>
        </w:rPr>
      </w:pPr>
      <w:r w:rsidRPr="00CF2A2D">
        <w:rPr>
          <w:b/>
        </w:rPr>
        <w:t>Document ST/SG/AC.10/C.4/2016/12</w:t>
      </w:r>
      <w:r w:rsidRPr="00CF2A2D">
        <w:t>, adopté</w:t>
      </w:r>
      <w:r w:rsidRPr="00CF2A2D">
        <w:rPr>
          <w:b/>
        </w:rPr>
        <w:t xml:space="preserve"> </w:t>
      </w:r>
      <w:r w:rsidRPr="00CF2A2D">
        <w:t>avec les corrections du document informel INF.11 et tel que modifiés suivant l’option 1 du document informel INF.18, et la proposition 2 du document informel INF.20, comme suit :</w:t>
      </w:r>
    </w:p>
    <w:p w:rsidR="00F332D6" w:rsidRPr="00CF2A2D" w:rsidRDefault="00CE31AB" w:rsidP="00CE31AB">
      <w:pPr>
        <w:pStyle w:val="H23G"/>
      </w:pPr>
      <w:r>
        <w:tab/>
      </w:r>
      <w:r>
        <w:tab/>
        <w:t>Annexe </w:t>
      </w:r>
      <w:r w:rsidR="00F332D6" w:rsidRPr="00CF2A2D">
        <w:t>1</w:t>
      </w:r>
    </w:p>
    <w:p w:rsidR="00F332D6" w:rsidRPr="00CF2A2D" w:rsidRDefault="00CE31AB" w:rsidP="00F332D6">
      <w:pPr>
        <w:pStyle w:val="SingleTxtG"/>
      </w:pPr>
      <w:r>
        <w:t>Modifier le tableau A1.2 pour lire comme suit :</w:t>
      </w:r>
    </w:p>
    <w:p w:rsidR="00F332D6" w:rsidRPr="00CF2A2D" w:rsidRDefault="00CE31AB" w:rsidP="00F332D6">
      <w:pPr>
        <w:pStyle w:val="SingleTxtG"/>
        <w:tabs>
          <w:tab w:val="left" w:pos="2268"/>
        </w:tabs>
        <w:ind w:left="2268" w:hanging="1134"/>
        <w:rPr>
          <w:rFonts w:eastAsia="SimSun"/>
        </w:rPr>
      </w:pPr>
      <w:r>
        <w:rPr>
          <w:rFonts w:eastAsia="SimSun"/>
        </w:rPr>
        <w:t>« </w:t>
      </w:r>
      <w:r w:rsidR="00F332D6" w:rsidRPr="00CF2A2D">
        <w:rPr>
          <w:rFonts w:eastAsia="SimSun"/>
          <w:b/>
        </w:rPr>
        <w:t>A1.2</w:t>
      </w:r>
      <w:r w:rsidR="00F332D6" w:rsidRPr="00CF2A2D">
        <w:rPr>
          <w:rFonts w:eastAsia="SimSun"/>
          <w:b/>
        </w:rPr>
        <w:tab/>
        <w:t xml:space="preserve">Gaz inflammables </w:t>
      </w:r>
      <w:r w:rsidR="00F332D6" w:rsidRPr="00CF2A2D">
        <w:rPr>
          <w:rFonts w:eastAsia="SimSun"/>
        </w:rPr>
        <w:t>(voir chapitre</w:t>
      </w:r>
      <w:r>
        <w:rPr>
          <w:rFonts w:eastAsia="SimSun"/>
        </w:rPr>
        <w:t> </w:t>
      </w:r>
      <w:r w:rsidR="00F332D6" w:rsidRPr="00CF2A2D">
        <w:rPr>
          <w:rFonts w:eastAsia="SimSun"/>
        </w:rPr>
        <w:t>2.2 pour les critères de classification)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069"/>
        <w:gridCol w:w="538"/>
        <w:gridCol w:w="1168"/>
        <w:gridCol w:w="438"/>
        <w:gridCol w:w="1022"/>
        <w:gridCol w:w="1022"/>
        <w:gridCol w:w="1243"/>
        <w:gridCol w:w="2100"/>
        <w:gridCol w:w="1039"/>
      </w:tblGrid>
      <w:tr w:rsidR="00FC4E13" w:rsidRPr="00CF2A2D" w:rsidTr="00CE31AB">
        <w:trPr>
          <w:cantSplit/>
          <w:trHeight w:val="420"/>
          <w:tblHeader/>
        </w:trPr>
        <w:tc>
          <w:tcPr>
            <w:tcW w:w="3213" w:type="dxa"/>
            <w:gridSpan w:val="4"/>
            <w:shd w:val="clear" w:color="auto" w:fill="FFFFFF"/>
            <w:vAlign w:val="bottom"/>
          </w:tcPr>
          <w:p w:rsidR="00FC4E13" w:rsidRPr="00CF2A2D" w:rsidRDefault="00FC4E13" w:rsidP="00CE31AB">
            <w:pPr>
              <w:keepNext/>
              <w:keepLines/>
              <w:tabs>
                <w:tab w:val="left" w:pos="1425"/>
              </w:tabs>
              <w:spacing w:before="60" w:after="60" w:line="200" w:lineRule="exact"/>
              <w:ind w:left="57" w:right="57"/>
              <w:jc w:val="center"/>
              <w:rPr>
                <w:b/>
                <w:sz w:val="16"/>
                <w:szCs w:val="16"/>
              </w:rPr>
            </w:pPr>
            <w:r w:rsidRPr="00CF2A2D">
              <w:rPr>
                <w:b/>
                <w:sz w:val="16"/>
                <w:szCs w:val="16"/>
              </w:rPr>
              <w:t>Classification</w:t>
            </w:r>
          </w:p>
        </w:tc>
        <w:tc>
          <w:tcPr>
            <w:tcW w:w="5387" w:type="dxa"/>
            <w:gridSpan w:val="4"/>
            <w:shd w:val="clear" w:color="auto" w:fill="FFFFFF"/>
            <w:vAlign w:val="bottom"/>
          </w:tcPr>
          <w:p w:rsidR="00FC4E13" w:rsidRPr="00CF2A2D" w:rsidRDefault="00FC4E13" w:rsidP="00CE31AB">
            <w:pPr>
              <w:pStyle w:val="Heading5"/>
              <w:tabs>
                <w:tab w:val="left" w:pos="1425"/>
              </w:tabs>
              <w:spacing w:before="60" w:after="60" w:line="200" w:lineRule="exact"/>
              <w:ind w:left="57" w:right="57"/>
              <w:jc w:val="center"/>
              <w:rPr>
                <w:b/>
                <w:bCs/>
                <w:i/>
                <w:sz w:val="16"/>
                <w:szCs w:val="16"/>
              </w:rPr>
            </w:pPr>
            <w:r w:rsidRPr="00CF2A2D">
              <w:rPr>
                <w:b/>
                <w:sz w:val="16"/>
                <w:szCs w:val="16"/>
              </w:rPr>
              <w:t>Étiquetage</w:t>
            </w:r>
          </w:p>
        </w:tc>
        <w:tc>
          <w:tcPr>
            <w:tcW w:w="1039" w:type="dxa"/>
            <w:vMerge w:val="restart"/>
            <w:shd w:val="clear" w:color="auto" w:fill="FFFFFF"/>
            <w:vAlign w:val="bottom"/>
          </w:tcPr>
          <w:p w:rsidR="00FC4E13" w:rsidRPr="00CF2A2D" w:rsidRDefault="00FC4E13" w:rsidP="00CE31AB">
            <w:pPr>
              <w:keepLines/>
              <w:tabs>
                <w:tab w:val="left" w:pos="1425"/>
              </w:tabs>
              <w:spacing w:before="60" w:after="60" w:line="200" w:lineRule="exact"/>
              <w:ind w:left="57" w:right="57"/>
              <w:jc w:val="center"/>
              <w:rPr>
                <w:b/>
                <w:bCs/>
                <w:sz w:val="16"/>
                <w:szCs w:val="16"/>
              </w:rPr>
            </w:pPr>
            <w:r w:rsidRPr="00CF2A2D">
              <w:rPr>
                <w:b/>
                <w:bCs/>
                <w:sz w:val="16"/>
                <w:szCs w:val="16"/>
              </w:rPr>
              <w:t>Codes des mentions de danger</w:t>
            </w:r>
          </w:p>
        </w:tc>
      </w:tr>
      <w:tr w:rsidR="00FC4E13" w:rsidRPr="00CF2A2D" w:rsidTr="00CE31AB">
        <w:trPr>
          <w:cantSplit/>
          <w:trHeight w:val="173"/>
          <w:tblHeader/>
        </w:trPr>
        <w:tc>
          <w:tcPr>
            <w:tcW w:w="1069" w:type="dxa"/>
            <w:vMerge w:val="restart"/>
            <w:shd w:val="clear" w:color="auto" w:fill="FFFFFF"/>
            <w:vAlign w:val="bottom"/>
          </w:tcPr>
          <w:p w:rsidR="00FC4E13" w:rsidRPr="00CF2A2D" w:rsidRDefault="00FC4E13" w:rsidP="00CE31AB">
            <w:pPr>
              <w:keepNext/>
              <w:keepLines/>
              <w:tabs>
                <w:tab w:val="left" w:pos="1425"/>
              </w:tabs>
              <w:spacing w:before="60" w:after="60" w:line="200" w:lineRule="exact"/>
              <w:ind w:left="57" w:right="57"/>
              <w:jc w:val="center"/>
              <w:rPr>
                <w:b/>
                <w:sz w:val="16"/>
                <w:szCs w:val="16"/>
              </w:rPr>
            </w:pPr>
            <w:r w:rsidRPr="00CF2A2D">
              <w:rPr>
                <w:b/>
                <w:sz w:val="16"/>
                <w:szCs w:val="16"/>
              </w:rPr>
              <w:t xml:space="preserve">Classe </w:t>
            </w:r>
            <w:r w:rsidRPr="00CF2A2D">
              <w:rPr>
                <w:b/>
                <w:sz w:val="16"/>
                <w:szCs w:val="16"/>
              </w:rPr>
              <w:br/>
              <w:t>de danger</w:t>
            </w:r>
          </w:p>
        </w:tc>
        <w:tc>
          <w:tcPr>
            <w:tcW w:w="2144" w:type="dxa"/>
            <w:gridSpan w:val="3"/>
            <w:vMerge w:val="restart"/>
            <w:shd w:val="clear" w:color="auto" w:fill="FFFFFF"/>
            <w:vAlign w:val="bottom"/>
          </w:tcPr>
          <w:p w:rsidR="00FC4E13" w:rsidRPr="00CF2A2D" w:rsidRDefault="00FC4E13" w:rsidP="00CE31AB">
            <w:pPr>
              <w:spacing w:before="60" w:after="60" w:line="200" w:lineRule="exact"/>
              <w:ind w:left="57" w:right="57"/>
              <w:jc w:val="center"/>
              <w:outlineLvl w:val="4"/>
              <w:rPr>
                <w:b/>
                <w:sz w:val="16"/>
                <w:szCs w:val="16"/>
              </w:rPr>
            </w:pPr>
            <w:r w:rsidRPr="00CF2A2D">
              <w:rPr>
                <w:b/>
                <w:sz w:val="16"/>
                <w:szCs w:val="16"/>
              </w:rPr>
              <w:t>Catégorie de danger</w:t>
            </w:r>
          </w:p>
        </w:tc>
        <w:tc>
          <w:tcPr>
            <w:tcW w:w="2044" w:type="dxa"/>
            <w:gridSpan w:val="2"/>
            <w:shd w:val="clear" w:color="auto" w:fill="FFFFFF"/>
            <w:vAlign w:val="bottom"/>
          </w:tcPr>
          <w:p w:rsidR="00FC4E13" w:rsidRPr="00CF2A2D" w:rsidRDefault="00FC4E13" w:rsidP="00CE31AB">
            <w:pPr>
              <w:pStyle w:val="Heading5"/>
              <w:spacing w:before="60" w:after="60" w:line="200" w:lineRule="exact"/>
              <w:ind w:left="57" w:right="57"/>
              <w:jc w:val="center"/>
              <w:rPr>
                <w:b/>
                <w:bCs/>
                <w:i/>
                <w:sz w:val="16"/>
                <w:szCs w:val="16"/>
              </w:rPr>
            </w:pPr>
            <w:r w:rsidRPr="00CF2A2D">
              <w:rPr>
                <w:b/>
                <w:sz w:val="16"/>
                <w:szCs w:val="16"/>
              </w:rPr>
              <w:t>Pictogramme</w:t>
            </w:r>
          </w:p>
        </w:tc>
        <w:tc>
          <w:tcPr>
            <w:tcW w:w="1243" w:type="dxa"/>
            <w:vMerge w:val="restart"/>
            <w:shd w:val="clear" w:color="auto" w:fill="FFFFFF"/>
            <w:vAlign w:val="bottom"/>
          </w:tcPr>
          <w:p w:rsidR="00FC4E13" w:rsidRPr="00CF2A2D" w:rsidRDefault="00FC4E13" w:rsidP="00CE31AB">
            <w:pPr>
              <w:spacing w:before="60" w:after="60" w:line="200" w:lineRule="exact"/>
              <w:ind w:left="57" w:right="57"/>
              <w:jc w:val="center"/>
              <w:rPr>
                <w:b/>
                <w:bCs/>
                <w:i/>
                <w:sz w:val="16"/>
                <w:szCs w:val="16"/>
              </w:rPr>
            </w:pPr>
            <w:r w:rsidRPr="00CF2A2D">
              <w:rPr>
                <w:b/>
                <w:sz w:val="16"/>
                <w:szCs w:val="16"/>
              </w:rPr>
              <w:t>Mention d’avertissement</w:t>
            </w:r>
          </w:p>
        </w:tc>
        <w:tc>
          <w:tcPr>
            <w:tcW w:w="2100" w:type="dxa"/>
            <w:vMerge w:val="restart"/>
            <w:shd w:val="clear" w:color="auto" w:fill="FFFFFF"/>
            <w:vAlign w:val="bottom"/>
          </w:tcPr>
          <w:p w:rsidR="00FC4E13" w:rsidRPr="00CF2A2D" w:rsidRDefault="00FC4E13" w:rsidP="00CE31AB">
            <w:pPr>
              <w:pStyle w:val="Heading5"/>
              <w:tabs>
                <w:tab w:val="left" w:pos="1425"/>
              </w:tabs>
              <w:spacing w:before="60" w:after="60" w:line="200" w:lineRule="exact"/>
              <w:ind w:left="57" w:right="57"/>
              <w:jc w:val="center"/>
              <w:rPr>
                <w:b/>
                <w:bCs/>
                <w:i/>
                <w:sz w:val="16"/>
                <w:szCs w:val="16"/>
              </w:rPr>
            </w:pPr>
            <w:r w:rsidRPr="00CF2A2D">
              <w:rPr>
                <w:b/>
                <w:sz w:val="16"/>
                <w:szCs w:val="16"/>
              </w:rPr>
              <w:t xml:space="preserve">Mention </w:t>
            </w:r>
            <w:r w:rsidRPr="00CF2A2D">
              <w:rPr>
                <w:b/>
                <w:sz w:val="16"/>
                <w:szCs w:val="16"/>
              </w:rPr>
              <w:br/>
              <w:t>de danger</w:t>
            </w:r>
          </w:p>
        </w:tc>
        <w:tc>
          <w:tcPr>
            <w:tcW w:w="1039" w:type="dxa"/>
            <w:vMerge/>
            <w:shd w:val="clear" w:color="auto" w:fill="FFFFFF"/>
            <w:vAlign w:val="bottom"/>
          </w:tcPr>
          <w:p w:rsidR="00FC4E13" w:rsidRPr="00CF2A2D" w:rsidRDefault="00FC4E13" w:rsidP="00CE31AB">
            <w:pPr>
              <w:pStyle w:val="Heading5"/>
              <w:tabs>
                <w:tab w:val="left" w:pos="1425"/>
              </w:tabs>
              <w:spacing w:before="60" w:after="60" w:line="200" w:lineRule="exact"/>
              <w:ind w:left="57" w:right="57"/>
              <w:jc w:val="center"/>
              <w:rPr>
                <w:b/>
                <w:bCs/>
                <w:sz w:val="16"/>
                <w:szCs w:val="16"/>
              </w:rPr>
            </w:pPr>
          </w:p>
        </w:tc>
      </w:tr>
      <w:tr w:rsidR="00FC4E13" w:rsidRPr="00CF2A2D" w:rsidTr="00CE31AB">
        <w:trPr>
          <w:cantSplit/>
          <w:trHeight w:val="574"/>
        </w:trPr>
        <w:tc>
          <w:tcPr>
            <w:tcW w:w="1069" w:type="dxa"/>
            <w:vMerge/>
            <w:shd w:val="clear" w:color="auto" w:fill="FFFFFF"/>
            <w:vAlign w:val="bottom"/>
          </w:tcPr>
          <w:p w:rsidR="00FC4E13" w:rsidRPr="00CF2A2D" w:rsidRDefault="00FC4E13" w:rsidP="00CE31AB">
            <w:pPr>
              <w:keepNext/>
              <w:keepLines/>
              <w:tabs>
                <w:tab w:val="left" w:pos="1425"/>
              </w:tabs>
              <w:spacing w:before="60" w:after="60" w:line="200" w:lineRule="exact"/>
              <w:ind w:left="57" w:right="57"/>
              <w:jc w:val="center"/>
              <w:rPr>
                <w:b/>
                <w:sz w:val="16"/>
                <w:szCs w:val="16"/>
              </w:rPr>
            </w:pPr>
          </w:p>
        </w:tc>
        <w:tc>
          <w:tcPr>
            <w:tcW w:w="2144" w:type="dxa"/>
            <w:gridSpan w:val="3"/>
            <w:vMerge/>
            <w:tcBorders>
              <w:bottom w:val="single" w:sz="4" w:space="0" w:color="auto"/>
            </w:tcBorders>
            <w:shd w:val="clear" w:color="auto" w:fill="FFFFFF"/>
            <w:vAlign w:val="bottom"/>
          </w:tcPr>
          <w:p w:rsidR="00FC4E13" w:rsidRPr="00CF2A2D" w:rsidRDefault="00FC4E13" w:rsidP="00CE31AB">
            <w:pPr>
              <w:keepNext/>
              <w:keepLines/>
              <w:tabs>
                <w:tab w:val="left" w:pos="1425"/>
              </w:tabs>
              <w:spacing w:before="60" w:after="60" w:line="200" w:lineRule="exact"/>
              <w:ind w:left="57" w:right="57"/>
              <w:jc w:val="center"/>
              <w:rPr>
                <w:b/>
                <w:sz w:val="16"/>
                <w:szCs w:val="16"/>
              </w:rPr>
            </w:pPr>
          </w:p>
        </w:tc>
        <w:tc>
          <w:tcPr>
            <w:tcW w:w="1022" w:type="dxa"/>
            <w:tcBorders>
              <w:bottom w:val="single" w:sz="4" w:space="0" w:color="auto"/>
            </w:tcBorders>
            <w:shd w:val="clear" w:color="auto" w:fill="auto"/>
            <w:vAlign w:val="bottom"/>
          </w:tcPr>
          <w:p w:rsidR="00FC4E13" w:rsidRPr="00CF2A2D" w:rsidRDefault="00FC4E13" w:rsidP="00CE31AB">
            <w:pPr>
              <w:spacing w:before="60" w:after="60" w:line="200" w:lineRule="exact"/>
              <w:ind w:left="57" w:right="57"/>
              <w:jc w:val="center"/>
              <w:outlineLvl w:val="4"/>
              <w:rPr>
                <w:b/>
                <w:bCs/>
                <w:sz w:val="16"/>
                <w:szCs w:val="16"/>
              </w:rPr>
            </w:pPr>
            <w:r w:rsidRPr="00CF2A2D">
              <w:rPr>
                <w:b/>
                <w:bCs/>
                <w:sz w:val="16"/>
                <w:szCs w:val="16"/>
              </w:rPr>
              <w:t>SGH</w:t>
            </w:r>
          </w:p>
        </w:tc>
        <w:tc>
          <w:tcPr>
            <w:tcW w:w="1022" w:type="dxa"/>
            <w:shd w:val="clear" w:color="auto" w:fill="FFFFFF"/>
            <w:vAlign w:val="bottom"/>
          </w:tcPr>
          <w:p w:rsidR="00FC4E13" w:rsidRPr="00CF2A2D" w:rsidRDefault="00FC4E13" w:rsidP="00CE31AB">
            <w:pPr>
              <w:spacing w:before="60" w:after="60" w:line="200" w:lineRule="exact"/>
              <w:ind w:left="57" w:right="57"/>
              <w:jc w:val="center"/>
              <w:outlineLvl w:val="4"/>
              <w:rPr>
                <w:b/>
                <w:bCs/>
                <w:sz w:val="16"/>
                <w:szCs w:val="16"/>
              </w:rPr>
            </w:pPr>
            <w:r w:rsidRPr="00CF2A2D">
              <w:rPr>
                <w:b/>
                <w:bCs/>
                <w:sz w:val="16"/>
                <w:szCs w:val="16"/>
              </w:rPr>
              <w:t>Règlement type de l’ONU</w:t>
            </w:r>
            <w:r w:rsidRPr="00CF2A2D">
              <w:rPr>
                <w:b/>
                <w:bCs/>
                <w:sz w:val="16"/>
                <w:szCs w:val="16"/>
                <w:vertAlign w:val="superscript"/>
              </w:rPr>
              <w:t>a</w:t>
            </w:r>
          </w:p>
        </w:tc>
        <w:tc>
          <w:tcPr>
            <w:tcW w:w="1243" w:type="dxa"/>
            <w:vMerge/>
            <w:shd w:val="clear" w:color="auto" w:fill="FFFFFF"/>
            <w:vAlign w:val="bottom"/>
          </w:tcPr>
          <w:p w:rsidR="00FC4E13" w:rsidRPr="00CF2A2D" w:rsidRDefault="00FC4E13" w:rsidP="00CE31AB">
            <w:pPr>
              <w:keepNext/>
              <w:keepLines/>
              <w:tabs>
                <w:tab w:val="left" w:pos="1425"/>
              </w:tabs>
              <w:spacing w:before="60" w:after="60" w:line="200" w:lineRule="exact"/>
              <w:ind w:left="57" w:right="57"/>
              <w:jc w:val="center"/>
              <w:rPr>
                <w:b/>
                <w:sz w:val="16"/>
                <w:szCs w:val="16"/>
              </w:rPr>
            </w:pPr>
          </w:p>
        </w:tc>
        <w:tc>
          <w:tcPr>
            <w:tcW w:w="2100" w:type="dxa"/>
            <w:vMerge/>
            <w:shd w:val="clear" w:color="auto" w:fill="FFFFFF"/>
            <w:vAlign w:val="bottom"/>
          </w:tcPr>
          <w:p w:rsidR="00FC4E13" w:rsidRPr="00CF2A2D" w:rsidRDefault="00FC4E13" w:rsidP="00CE31AB">
            <w:pPr>
              <w:keepNext/>
              <w:keepLines/>
              <w:tabs>
                <w:tab w:val="left" w:pos="1425"/>
              </w:tabs>
              <w:spacing w:before="60" w:after="60" w:line="200" w:lineRule="exact"/>
              <w:ind w:left="57" w:right="57"/>
              <w:jc w:val="center"/>
              <w:rPr>
                <w:b/>
                <w:sz w:val="16"/>
                <w:szCs w:val="16"/>
                <w:lang w:eastAsia="sv-SE"/>
              </w:rPr>
            </w:pPr>
          </w:p>
        </w:tc>
        <w:tc>
          <w:tcPr>
            <w:tcW w:w="1039" w:type="dxa"/>
            <w:vMerge/>
            <w:shd w:val="clear" w:color="auto" w:fill="FFFFFF"/>
            <w:vAlign w:val="bottom"/>
          </w:tcPr>
          <w:p w:rsidR="00FC4E13" w:rsidRPr="00CF2A2D" w:rsidRDefault="00FC4E13" w:rsidP="00CE31AB">
            <w:pPr>
              <w:keepNext/>
              <w:keepLines/>
              <w:tabs>
                <w:tab w:val="left" w:pos="1425"/>
              </w:tabs>
              <w:spacing w:before="60" w:after="60" w:line="200" w:lineRule="exact"/>
              <w:ind w:left="57" w:right="57"/>
              <w:jc w:val="center"/>
              <w:rPr>
                <w:sz w:val="16"/>
                <w:szCs w:val="16"/>
                <w:lang w:eastAsia="sv-SE"/>
              </w:rPr>
            </w:pPr>
          </w:p>
        </w:tc>
      </w:tr>
      <w:tr w:rsidR="00F332D6" w:rsidRPr="00CF2A2D" w:rsidTr="00CE31AB">
        <w:trPr>
          <w:cantSplit/>
          <w:trHeight w:val="634"/>
        </w:trPr>
        <w:tc>
          <w:tcPr>
            <w:tcW w:w="1069" w:type="dxa"/>
            <w:vMerge w:val="restart"/>
            <w:shd w:val="clear" w:color="auto" w:fill="FFFFFF"/>
            <w:vAlign w:val="center"/>
          </w:tcPr>
          <w:p w:rsidR="00F332D6" w:rsidRPr="00CF2A2D" w:rsidRDefault="00F332D6" w:rsidP="00CE31AB">
            <w:pPr>
              <w:keepNext/>
              <w:keepLines/>
              <w:tabs>
                <w:tab w:val="left" w:pos="1425"/>
              </w:tabs>
              <w:spacing w:beforeLines="20" w:before="48" w:afterLines="20" w:after="48" w:line="240" w:lineRule="auto"/>
              <w:ind w:left="57" w:right="57"/>
              <w:jc w:val="center"/>
              <w:rPr>
                <w:b/>
                <w:sz w:val="16"/>
                <w:szCs w:val="16"/>
              </w:rPr>
            </w:pPr>
            <w:r w:rsidRPr="00CF2A2D">
              <w:rPr>
                <w:b/>
                <w:sz w:val="16"/>
                <w:szCs w:val="16"/>
              </w:rPr>
              <w:t>Gaz inflammables</w:t>
            </w:r>
          </w:p>
        </w:tc>
        <w:tc>
          <w:tcPr>
            <w:tcW w:w="538" w:type="dxa"/>
            <w:vMerge w:val="restart"/>
            <w:shd w:val="clear" w:color="auto" w:fill="auto"/>
            <w:vAlign w:val="center"/>
          </w:tcPr>
          <w:p w:rsidR="00F332D6" w:rsidRPr="00CF2A2D" w:rsidRDefault="00F332D6" w:rsidP="00CE31AB">
            <w:pPr>
              <w:keepNext/>
              <w:keepLines/>
              <w:tabs>
                <w:tab w:val="left" w:pos="1425"/>
              </w:tabs>
              <w:spacing w:beforeLines="20" w:before="48" w:afterLines="20" w:after="48" w:line="240" w:lineRule="auto"/>
              <w:ind w:left="57" w:right="57"/>
              <w:jc w:val="center"/>
              <w:rPr>
                <w:b/>
                <w:sz w:val="16"/>
                <w:szCs w:val="16"/>
              </w:rPr>
            </w:pPr>
            <w:r w:rsidRPr="00CF2A2D">
              <w:rPr>
                <w:b/>
                <w:sz w:val="16"/>
                <w:szCs w:val="16"/>
              </w:rPr>
              <w:t>1A</w:t>
            </w:r>
          </w:p>
          <w:p w:rsidR="00F332D6" w:rsidRPr="00CF2A2D" w:rsidRDefault="00F332D6" w:rsidP="00CE31AB">
            <w:pPr>
              <w:keepNext/>
              <w:keepLines/>
              <w:tabs>
                <w:tab w:val="left" w:pos="1425"/>
              </w:tabs>
              <w:spacing w:beforeLines="20" w:before="48" w:afterLines="20" w:after="48" w:line="240" w:lineRule="auto"/>
              <w:ind w:left="57" w:right="57"/>
              <w:jc w:val="center"/>
              <w:rPr>
                <w:b/>
                <w:sz w:val="16"/>
                <w:szCs w:val="16"/>
              </w:rPr>
            </w:pPr>
          </w:p>
        </w:tc>
        <w:tc>
          <w:tcPr>
            <w:tcW w:w="1606" w:type="dxa"/>
            <w:gridSpan w:val="2"/>
            <w:shd w:val="clear" w:color="auto" w:fill="auto"/>
            <w:vAlign w:val="center"/>
          </w:tcPr>
          <w:p w:rsidR="00F332D6" w:rsidRPr="00CF2A2D" w:rsidRDefault="00F332D6" w:rsidP="00CE31AB">
            <w:pPr>
              <w:keepNext/>
              <w:keepLines/>
              <w:tabs>
                <w:tab w:val="left" w:pos="1425"/>
              </w:tabs>
              <w:spacing w:beforeLines="20" w:before="48" w:afterLines="20" w:after="48" w:line="240" w:lineRule="auto"/>
              <w:ind w:left="57" w:right="57"/>
              <w:rPr>
                <w:b/>
                <w:sz w:val="16"/>
                <w:szCs w:val="16"/>
              </w:rPr>
            </w:pPr>
            <w:r w:rsidRPr="00CF2A2D">
              <w:rPr>
                <w:b/>
                <w:sz w:val="16"/>
                <w:szCs w:val="16"/>
              </w:rPr>
              <w:t>Gaz inflammables</w:t>
            </w:r>
          </w:p>
        </w:tc>
        <w:tc>
          <w:tcPr>
            <w:tcW w:w="1022" w:type="dxa"/>
            <w:shd w:val="clear" w:color="auto" w:fill="auto"/>
          </w:tcPr>
          <w:p w:rsidR="00F332D6" w:rsidRPr="00CF2A2D" w:rsidRDefault="00F332D6" w:rsidP="00CE31AB">
            <w:pPr>
              <w:keepNext/>
              <w:keepLines/>
              <w:tabs>
                <w:tab w:val="left" w:pos="1425"/>
              </w:tabs>
              <w:spacing w:beforeLines="20" w:before="48" w:afterLines="20" w:after="48" w:line="240" w:lineRule="auto"/>
              <w:ind w:left="57" w:right="57"/>
              <w:jc w:val="center"/>
              <w:rPr>
                <w:b/>
                <w:sz w:val="16"/>
                <w:szCs w:val="16"/>
              </w:rPr>
            </w:pPr>
            <w:r w:rsidRPr="00CF2A2D">
              <w:rPr>
                <w:b/>
                <w:noProof/>
                <w:sz w:val="16"/>
                <w:szCs w:val="16"/>
                <w:lang w:val="en-GB" w:eastAsia="en-GB"/>
              </w:rPr>
              <w:drawing>
                <wp:inline distT="0" distB="0" distL="0" distR="0" wp14:anchorId="44A41257" wp14:editId="65605D8F">
                  <wp:extent cx="394121" cy="400767"/>
                  <wp:effectExtent l="0" t="0" r="6350" b="0"/>
                  <wp:docPr id="8" name="Picture 234"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Description: Beskrivning: H:\Mina Dokument\KemI Internationellt\GHS\Pictograms\flamme.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687" cy="404393"/>
                          </a:xfrm>
                          <a:prstGeom prst="rect">
                            <a:avLst/>
                          </a:prstGeom>
                          <a:noFill/>
                          <a:ln>
                            <a:noFill/>
                          </a:ln>
                        </pic:spPr>
                      </pic:pic>
                    </a:graphicData>
                  </a:graphic>
                </wp:inline>
              </w:drawing>
            </w:r>
          </w:p>
        </w:tc>
        <w:tc>
          <w:tcPr>
            <w:tcW w:w="1022" w:type="dxa"/>
            <w:shd w:val="clear" w:color="auto" w:fill="FFFFFF"/>
          </w:tcPr>
          <w:p w:rsidR="00F332D6" w:rsidRPr="00CF2A2D" w:rsidRDefault="00F332D6" w:rsidP="00CE31AB">
            <w:pPr>
              <w:keepNext/>
              <w:keepLines/>
              <w:tabs>
                <w:tab w:val="left" w:pos="1425"/>
              </w:tabs>
              <w:spacing w:beforeLines="20" w:before="48" w:afterLines="20" w:after="48" w:line="240" w:lineRule="auto"/>
              <w:ind w:left="57" w:right="57"/>
              <w:jc w:val="center"/>
              <w:rPr>
                <w:b/>
                <w:sz w:val="16"/>
                <w:szCs w:val="16"/>
              </w:rPr>
            </w:pPr>
            <w:r w:rsidRPr="00CF2A2D">
              <w:rPr>
                <w:b/>
                <w:noProof/>
                <w:sz w:val="16"/>
                <w:szCs w:val="16"/>
                <w:lang w:val="en-GB" w:eastAsia="en-GB"/>
              </w:rPr>
              <w:drawing>
                <wp:inline distT="0" distB="0" distL="0" distR="0" wp14:anchorId="3CF21B81" wp14:editId="2F15F490">
                  <wp:extent cx="389467" cy="389467"/>
                  <wp:effectExtent l="0" t="0" r="0" b="0"/>
                  <wp:docPr id="13" name="Picture 233"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Description: Beskrivning: H:\Mina Dokument\KemI Internationellt\GHS\Pictograms\rouge2.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794" cy="388794"/>
                          </a:xfrm>
                          <a:prstGeom prst="rect">
                            <a:avLst/>
                          </a:prstGeom>
                          <a:noFill/>
                          <a:ln>
                            <a:noFill/>
                          </a:ln>
                        </pic:spPr>
                      </pic:pic>
                    </a:graphicData>
                  </a:graphic>
                </wp:inline>
              </w:drawing>
            </w:r>
          </w:p>
        </w:tc>
        <w:tc>
          <w:tcPr>
            <w:tcW w:w="1243" w:type="dxa"/>
            <w:shd w:val="clear" w:color="auto" w:fill="FFFFFF"/>
            <w:vAlign w:val="center"/>
          </w:tcPr>
          <w:p w:rsidR="00F332D6" w:rsidRPr="00CF2A2D" w:rsidRDefault="00F332D6" w:rsidP="00CE31AB">
            <w:pPr>
              <w:keepNext/>
              <w:keepLines/>
              <w:tabs>
                <w:tab w:val="left" w:pos="1425"/>
              </w:tabs>
              <w:spacing w:beforeLines="20" w:before="48" w:afterLines="20" w:after="48" w:line="240" w:lineRule="auto"/>
              <w:ind w:left="57" w:right="57"/>
              <w:jc w:val="center"/>
              <w:rPr>
                <w:b/>
                <w:sz w:val="16"/>
                <w:szCs w:val="16"/>
              </w:rPr>
            </w:pPr>
            <w:r w:rsidRPr="00CF2A2D">
              <w:rPr>
                <w:b/>
                <w:sz w:val="16"/>
                <w:szCs w:val="16"/>
              </w:rPr>
              <w:t>Danger</w:t>
            </w:r>
          </w:p>
        </w:tc>
        <w:tc>
          <w:tcPr>
            <w:tcW w:w="2100" w:type="dxa"/>
            <w:tcBorders>
              <w:bottom w:val="single" w:sz="4" w:space="0" w:color="auto"/>
            </w:tcBorders>
            <w:shd w:val="clear" w:color="auto" w:fill="FFFFFF"/>
            <w:vAlign w:val="center"/>
          </w:tcPr>
          <w:p w:rsidR="00F332D6" w:rsidRPr="00CF2A2D" w:rsidRDefault="00F332D6" w:rsidP="00CE31AB">
            <w:pPr>
              <w:keepNext/>
              <w:keepLines/>
              <w:tabs>
                <w:tab w:val="left" w:pos="1425"/>
              </w:tabs>
              <w:spacing w:beforeLines="20" w:before="48" w:afterLines="20" w:after="48" w:line="240" w:lineRule="auto"/>
              <w:ind w:left="57" w:right="57"/>
              <w:rPr>
                <w:sz w:val="16"/>
                <w:szCs w:val="16"/>
                <w:lang w:eastAsia="sv-SE"/>
              </w:rPr>
            </w:pPr>
            <w:r w:rsidRPr="00CF2A2D">
              <w:rPr>
                <w:sz w:val="16"/>
                <w:szCs w:val="16"/>
                <w:lang w:eastAsia="sv-SE"/>
              </w:rPr>
              <w:t>Gaz extrêmement inflammable</w:t>
            </w:r>
          </w:p>
        </w:tc>
        <w:tc>
          <w:tcPr>
            <w:tcW w:w="1039" w:type="dxa"/>
            <w:tcBorders>
              <w:bottom w:val="single" w:sz="4" w:space="0" w:color="auto"/>
            </w:tcBorders>
            <w:shd w:val="clear" w:color="auto" w:fill="FFFFFF"/>
            <w:vAlign w:val="center"/>
          </w:tcPr>
          <w:p w:rsidR="00F332D6" w:rsidRPr="00CF2A2D" w:rsidRDefault="00F332D6" w:rsidP="00CE31AB">
            <w:pPr>
              <w:keepNext/>
              <w:keepLines/>
              <w:tabs>
                <w:tab w:val="left" w:pos="1425"/>
              </w:tabs>
              <w:spacing w:beforeLines="20" w:before="48" w:afterLines="20" w:after="48" w:line="240" w:lineRule="auto"/>
              <w:ind w:left="57" w:right="57"/>
              <w:jc w:val="center"/>
              <w:rPr>
                <w:sz w:val="16"/>
                <w:szCs w:val="16"/>
                <w:lang w:eastAsia="sv-SE"/>
              </w:rPr>
            </w:pPr>
            <w:r w:rsidRPr="00CF2A2D">
              <w:rPr>
                <w:sz w:val="16"/>
                <w:szCs w:val="16"/>
                <w:lang w:eastAsia="sv-SE"/>
              </w:rPr>
              <w:t>H220</w:t>
            </w:r>
          </w:p>
        </w:tc>
      </w:tr>
      <w:tr w:rsidR="00F332D6" w:rsidRPr="00CF2A2D" w:rsidTr="00CE31AB">
        <w:trPr>
          <w:cantSplit/>
          <w:trHeight w:val="60"/>
        </w:trPr>
        <w:tc>
          <w:tcPr>
            <w:tcW w:w="1069" w:type="dxa"/>
            <w:vMerge/>
            <w:shd w:val="clear" w:color="auto" w:fill="FFFFFF"/>
          </w:tcPr>
          <w:p w:rsidR="00F332D6" w:rsidRPr="00CF2A2D" w:rsidRDefault="00F332D6" w:rsidP="00CE31AB">
            <w:pPr>
              <w:keepNext/>
              <w:keepLines/>
              <w:tabs>
                <w:tab w:val="left" w:pos="1425"/>
              </w:tabs>
              <w:spacing w:beforeLines="20" w:before="48" w:afterLines="20" w:after="48" w:line="240" w:lineRule="auto"/>
              <w:ind w:left="57" w:right="57"/>
              <w:jc w:val="center"/>
              <w:rPr>
                <w:b/>
                <w:sz w:val="16"/>
                <w:szCs w:val="16"/>
              </w:rPr>
            </w:pPr>
          </w:p>
        </w:tc>
        <w:tc>
          <w:tcPr>
            <w:tcW w:w="538" w:type="dxa"/>
            <w:vMerge/>
            <w:shd w:val="clear" w:color="auto" w:fill="auto"/>
            <w:vAlign w:val="center"/>
          </w:tcPr>
          <w:p w:rsidR="00F332D6" w:rsidRPr="00CF2A2D" w:rsidRDefault="00F332D6" w:rsidP="00CE31AB">
            <w:pPr>
              <w:keepNext/>
              <w:keepLines/>
              <w:tabs>
                <w:tab w:val="left" w:pos="1425"/>
              </w:tabs>
              <w:spacing w:beforeLines="20" w:before="48" w:afterLines="20" w:after="48" w:line="240" w:lineRule="auto"/>
              <w:ind w:left="57" w:right="57"/>
              <w:jc w:val="center"/>
              <w:rPr>
                <w:b/>
                <w:sz w:val="16"/>
                <w:szCs w:val="16"/>
              </w:rPr>
            </w:pPr>
          </w:p>
        </w:tc>
        <w:tc>
          <w:tcPr>
            <w:tcW w:w="1606" w:type="dxa"/>
            <w:gridSpan w:val="2"/>
            <w:vMerge w:val="restart"/>
            <w:shd w:val="clear" w:color="auto" w:fill="auto"/>
            <w:vAlign w:val="center"/>
          </w:tcPr>
          <w:p w:rsidR="00F332D6" w:rsidRPr="00CF2A2D" w:rsidRDefault="00F332D6" w:rsidP="00CE31AB">
            <w:pPr>
              <w:keepNext/>
              <w:keepLines/>
              <w:tabs>
                <w:tab w:val="left" w:pos="1425"/>
              </w:tabs>
              <w:spacing w:beforeLines="20" w:before="48" w:afterLines="20" w:after="48" w:line="240" w:lineRule="auto"/>
              <w:ind w:left="57" w:right="57"/>
              <w:rPr>
                <w:b/>
                <w:sz w:val="16"/>
                <w:szCs w:val="16"/>
              </w:rPr>
            </w:pPr>
            <w:r w:rsidRPr="00CF2A2D">
              <w:rPr>
                <w:b/>
                <w:sz w:val="16"/>
                <w:szCs w:val="16"/>
              </w:rPr>
              <w:t>Gaz pyrophoriques</w:t>
            </w:r>
          </w:p>
        </w:tc>
        <w:tc>
          <w:tcPr>
            <w:tcW w:w="1022" w:type="dxa"/>
            <w:vMerge w:val="restart"/>
            <w:shd w:val="clear" w:color="auto" w:fill="auto"/>
          </w:tcPr>
          <w:p w:rsidR="00F332D6" w:rsidRPr="00CF2A2D" w:rsidRDefault="00F332D6" w:rsidP="00CE31AB">
            <w:pPr>
              <w:keepNext/>
              <w:keepLines/>
              <w:tabs>
                <w:tab w:val="left" w:pos="1425"/>
              </w:tabs>
              <w:spacing w:beforeLines="20" w:before="48" w:afterLines="20" w:after="48" w:line="240" w:lineRule="auto"/>
              <w:ind w:left="57" w:right="57"/>
              <w:jc w:val="center"/>
              <w:rPr>
                <w:b/>
                <w:sz w:val="16"/>
                <w:szCs w:val="16"/>
              </w:rPr>
            </w:pPr>
            <w:r w:rsidRPr="00CF2A2D">
              <w:rPr>
                <w:b/>
                <w:noProof/>
                <w:sz w:val="16"/>
                <w:szCs w:val="16"/>
                <w:lang w:val="en-GB" w:eastAsia="en-GB"/>
              </w:rPr>
              <w:drawing>
                <wp:inline distT="0" distB="0" distL="0" distR="0" wp14:anchorId="77F177D6" wp14:editId="058F3F76">
                  <wp:extent cx="394121" cy="400767"/>
                  <wp:effectExtent l="0" t="0" r="6350" b="0"/>
                  <wp:docPr id="14" name="Picture 234"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Description: Beskrivning: H:\Mina Dokument\KemI Internationellt\GHS\Pictograms\flamme.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687" cy="404393"/>
                          </a:xfrm>
                          <a:prstGeom prst="rect">
                            <a:avLst/>
                          </a:prstGeom>
                          <a:noFill/>
                          <a:ln>
                            <a:noFill/>
                          </a:ln>
                        </pic:spPr>
                      </pic:pic>
                    </a:graphicData>
                  </a:graphic>
                </wp:inline>
              </w:drawing>
            </w:r>
          </w:p>
        </w:tc>
        <w:tc>
          <w:tcPr>
            <w:tcW w:w="1022" w:type="dxa"/>
            <w:vMerge w:val="restart"/>
            <w:shd w:val="clear" w:color="auto" w:fill="auto"/>
          </w:tcPr>
          <w:p w:rsidR="00F332D6" w:rsidRPr="00CF2A2D" w:rsidRDefault="00F332D6" w:rsidP="00CE31AB">
            <w:pPr>
              <w:keepNext/>
              <w:keepLines/>
              <w:tabs>
                <w:tab w:val="left" w:pos="1425"/>
              </w:tabs>
              <w:spacing w:beforeLines="20" w:before="48" w:afterLines="20" w:after="48" w:line="240" w:lineRule="auto"/>
              <w:ind w:left="57" w:right="57"/>
              <w:jc w:val="center"/>
              <w:rPr>
                <w:b/>
                <w:i/>
                <w:sz w:val="16"/>
                <w:szCs w:val="16"/>
              </w:rPr>
            </w:pPr>
            <w:r w:rsidRPr="00CF2A2D">
              <w:rPr>
                <w:b/>
                <w:noProof/>
                <w:sz w:val="16"/>
                <w:szCs w:val="16"/>
                <w:lang w:val="en-GB" w:eastAsia="en-GB"/>
              </w:rPr>
              <w:drawing>
                <wp:inline distT="0" distB="0" distL="0" distR="0" wp14:anchorId="638248F0" wp14:editId="18350C70">
                  <wp:extent cx="389467" cy="389467"/>
                  <wp:effectExtent l="0" t="0" r="0" b="0"/>
                  <wp:docPr id="15" name="Picture 233"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Description: Beskrivning: H:\Mina Dokument\KemI Internationellt\GHS\Pictograms\rouge2.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794" cy="388794"/>
                          </a:xfrm>
                          <a:prstGeom prst="rect">
                            <a:avLst/>
                          </a:prstGeom>
                          <a:noFill/>
                          <a:ln>
                            <a:noFill/>
                          </a:ln>
                        </pic:spPr>
                      </pic:pic>
                    </a:graphicData>
                  </a:graphic>
                </wp:inline>
              </w:drawing>
            </w:r>
          </w:p>
        </w:tc>
        <w:tc>
          <w:tcPr>
            <w:tcW w:w="1243" w:type="dxa"/>
            <w:vMerge w:val="restart"/>
            <w:shd w:val="clear" w:color="auto" w:fill="FFFFFF"/>
            <w:vAlign w:val="center"/>
          </w:tcPr>
          <w:p w:rsidR="00F332D6" w:rsidRPr="00CF2A2D" w:rsidRDefault="00F332D6" w:rsidP="00CE31AB">
            <w:pPr>
              <w:keepNext/>
              <w:keepLines/>
              <w:tabs>
                <w:tab w:val="left" w:pos="1425"/>
              </w:tabs>
              <w:spacing w:beforeLines="20" w:before="48" w:afterLines="20" w:after="48" w:line="240" w:lineRule="auto"/>
              <w:ind w:left="57" w:right="57"/>
              <w:jc w:val="center"/>
              <w:rPr>
                <w:b/>
                <w:sz w:val="16"/>
                <w:szCs w:val="16"/>
              </w:rPr>
            </w:pPr>
            <w:r w:rsidRPr="00CF2A2D">
              <w:rPr>
                <w:b/>
                <w:sz w:val="16"/>
                <w:szCs w:val="16"/>
              </w:rPr>
              <w:t>Danger</w:t>
            </w:r>
          </w:p>
        </w:tc>
        <w:tc>
          <w:tcPr>
            <w:tcW w:w="2100" w:type="dxa"/>
            <w:tcBorders>
              <w:bottom w:val="nil"/>
            </w:tcBorders>
            <w:shd w:val="clear" w:color="auto" w:fill="FFFFFF"/>
            <w:vAlign w:val="center"/>
          </w:tcPr>
          <w:p w:rsidR="00F332D6" w:rsidRPr="00CF2A2D" w:rsidRDefault="00F332D6" w:rsidP="00CE31AB">
            <w:pPr>
              <w:keepNext/>
              <w:keepLines/>
              <w:tabs>
                <w:tab w:val="left" w:pos="1425"/>
              </w:tabs>
              <w:spacing w:beforeLines="20" w:before="48" w:afterLines="20" w:after="48" w:line="240" w:lineRule="auto"/>
              <w:ind w:left="57" w:right="57"/>
              <w:rPr>
                <w:sz w:val="16"/>
                <w:szCs w:val="16"/>
                <w:lang w:eastAsia="sv-SE"/>
              </w:rPr>
            </w:pPr>
            <w:r w:rsidRPr="00CF2A2D">
              <w:rPr>
                <w:sz w:val="16"/>
                <w:szCs w:val="16"/>
                <w:lang w:eastAsia="sv-SE"/>
              </w:rPr>
              <w:t>Gaz extrêmement inflammable</w:t>
            </w:r>
          </w:p>
        </w:tc>
        <w:tc>
          <w:tcPr>
            <w:tcW w:w="1039" w:type="dxa"/>
            <w:tcBorders>
              <w:bottom w:val="nil"/>
            </w:tcBorders>
            <w:shd w:val="clear" w:color="auto" w:fill="FFFFFF"/>
            <w:vAlign w:val="center"/>
          </w:tcPr>
          <w:p w:rsidR="00F332D6" w:rsidRPr="00CF2A2D" w:rsidRDefault="00F332D6" w:rsidP="00CE31AB">
            <w:pPr>
              <w:keepNext/>
              <w:keepLines/>
              <w:tabs>
                <w:tab w:val="left" w:pos="1425"/>
              </w:tabs>
              <w:spacing w:beforeLines="20" w:before="48" w:afterLines="20" w:after="48" w:line="240" w:lineRule="auto"/>
              <w:ind w:left="57" w:right="57"/>
              <w:jc w:val="center"/>
              <w:rPr>
                <w:sz w:val="16"/>
                <w:szCs w:val="16"/>
                <w:lang w:eastAsia="sv-SE"/>
              </w:rPr>
            </w:pPr>
            <w:r w:rsidRPr="00CF2A2D">
              <w:rPr>
                <w:sz w:val="16"/>
                <w:szCs w:val="16"/>
                <w:lang w:eastAsia="sv-SE"/>
              </w:rPr>
              <w:t>H220</w:t>
            </w:r>
          </w:p>
        </w:tc>
      </w:tr>
      <w:tr w:rsidR="00F332D6" w:rsidRPr="00CF2A2D" w:rsidTr="00CE31AB">
        <w:trPr>
          <w:cantSplit/>
          <w:trHeight w:val="334"/>
        </w:trPr>
        <w:tc>
          <w:tcPr>
            <w:tcW w:w="1069" w:type="dxa"/>
            <w:vMerge/>
            <w:shd w:val="clear" w:color="auto" w:fill="FFFFFF"/>
          </w:tcPr>
          <w:p w:rsidR="00F332D6" w:rsidRPr="00CF2A2D" w:rsidRDefault="00F332D6" w:rsidP="00CE31AB">
            <w:pPr>
              <w:keepNext/>
              <w:keepLines/>
              <w:tabs>
                <w:tab w:val="left" w:pos="1425"/>
              </w:tabs>
              <w:spacing w:beforeLines="20" w:before="48" w:afterLines="20" w:after="48" w:line="240" w:lineRule="auto"/>
              <w:ind w:left="57" w:right="57"/>
              <w:jc w:val="center"/>
              <w:rPr>
                <w:b/>
                <w:sz w:val="16"/>
                <w:szCs w:val="16"/>
              </w:rPr>
            </w:pPr>
          </w:p>
        </w:tc>
        <w:tc>
          <w:tcPr>
            <w:tcW w:w="538" w:type="dxa"/>
            <w:vMerge/>
            <w:shd w:val="clear" w:color="auto" w:fill="auto"/>
            <w:vAlign w:val="center"/>
          </w:tcPr>
          <w:p w:rsidR="00F332D6" w:rsidRPr="00CF2A2D" w:rsidRDefault="00F332D6" w:rsidP="00CE31AB">
            <w:pPr>
              <w:keepNext/>
              <w:keepLines/>
              <w:tabs>
                <w:tab w:val="left" w:pos="1425"/>
              </w:tabs>
              <w:spacing w:beforeLines="20" w:before="48" w:afterLines="20" w:after="48" w:line="240" w:lineRule="auto"/>
              <w:ind w:left="57" w:right="57"/>
              <w:jc w:val="center"/>
              <w:rPr>
                <w:b/>
                <w:sz w:val="16"/>
                <w:szCs w:val="16"/>
              </w:rPr>
            </w:pPr>
          </w:p>
        </w:tc>
        <w:tc>
          <w:tcPr>
            <w:tcW w:w="1606" w:type="dxa"/>
            <w:gridSpan w:val="2"/>
            <w:vMerge/>
            <w:shd w:val="clear" w:color="auto" w:fill="auto"/>
          </w:tcPr>
          <w:p w:rsidR="00F332D6" w:rsidRPr="00CF2A2D" w:rsidRDefault="00F332D6" w:rsidP="00CE31AB">
            <w:pPr>
              <w:keepNext/>
              <w:keepLines/>
              <w:tabs>
                <w:tab w:val="left" w:pos="1425"/>
              </w:tabs>
              <w:spacing w:beforeLines="20" w:before="48" w:afterLines="20" w:after="48" w:line="240" w:lineRule="auto"/>
              <w:ind w:left="57" w:right="57"/>
              <w:rPr>
                <w:b/>
                <w:sz w:val="16"/>
                <w:szCs w:val="16"/>
              </w:rPr>
            </w:pPr>
          </w:p>
        </w:tc>
        <w:tc>
          <w:tcPr>
            <w:tcW w:w="1022" w:type="dxa"/>
            <w:vMerge/>
            <w:shd w:val="clear" w:color="auto" w:fill="auto"/>
          </w:tcPr>
          <w:p w:rsidR="00F332D6" w:rsidRPr="00CF2A2D" w:rsidRDefault="00F332D6" w:rsidP="00CE31AB">
            <w:pPr>
              <w:keepNext/>
              <w:keepLines/>
              <w:tabs>
                <w:tab w:val="left" w:pos="1425"/>
              </w:tabs>
              <w:spacing w:beforeLines="20" w:before="48" w:afterLines="20" w:after="48" w:line="240" w:lineRule="auto"/>
              <w:ind w:left="57" w:right="57"/>
              <w:jc w:val="center"/>
              <w:rPr>
                <w:b/>
                <w:noProof/>
                <w:sz w:val="16"/>
                <w:szCs w:val="16"/>
                <w:lang w:eastAsia="zh-CN"/>
              </w:rPr>
            </w:pPr>
          </w:p>
        </w:tc>
        <w:tc>
          <w:tcPr>
            <w:tcW w:w="1022" w:type="dxa"/>
            <w:vMerge/>
            <w:shd w:val="clear" w:color="auto" w:fill="auto"/>
          </w:tcPr>
          <w:p w:rsidR="00F332D6" w:rsidRPr="00CF2A2D" w:rsidRDefault="00F332D6" w:rsidP="00CE31AB">
            <w:pPr>
              <w:keepNext/>
              <w:keepLines/>
              <w:tabs>
                <w:tab w:val="left" w:pos="1425"/>
              </w:tabs>
              <w:spacing w:beforeLines="20" w:before="48" w:afterLines="20" w:after="48" w:line="240" w:lineRule="auto"/>
              <w:ind w:left="57" w:right="57"/>
              <w:jc w:val="center"/>
              <w:rPr>
                <w:b/>
                <w:noProof/>
                <w:sz w:val="16"/>
                <w:szCs w:val="16"/>
                <w:lang w:eastAsia="zh-CN"/>
              </w:rPr>
            </w:pPr>
          </w:p>
        </w:tc>
        <w:tc>
          <w:tcPr>
            <w:tcW w:w="1243" w:type="dxa"/>
            <w:vMerge/>
            <w:shd w:val="clear" w:color="auto" w:fill="FFFFFF"/>
            <w:vAlign w:val="center"/>
          </w:tcPr>
          <w:p w:rsidR="00F332D6" w:rsidRPr="00CF2A2D" w:rsidRDefault="00F332D6" w:rsidP="00CE31AB">
            <w:pPr>
              <w:keepNext/>
              <w:keepLines/>
              <w:tabs>
                <w:tab w:val="left" w:pos="1425"/>
              </w:tabs>
              <w:spacing w:beforeLines="20" w:before="48" w:afterLines="20" w:after="48" w:line="240" w:lineRule="auto"/>
              <w:ind w:left="57" w:right="57"/>
              <w:jc w:val="center"/>
              <w:rPr>
                <w:b/>
                <w:sz w:val="16"/>
                <w:szCs w:val="16"/>
              </w:rPr>
            </w:pPr>
          </w:p>
        </w:tc>
        <w:tc>
          <w:tcPr>
            <w:tcW w:w="2100" w:type="dxa"/>
            <w:tcBorders>
              <w:top w:val="nil"/>
              <w:bottom w:val="single" w:sz="4" w:space="0" w:color="auto"/>
            </w:tcBorders>
            <w:shd w:val="clear" w:color="auto" w:fill="FFFFFF"/>
            <w:vAlign w:val="center"/>
          </w:tcPr>
          <w:p w:rsidR="00F332D6" w:rsidRPr="00CF2A2D" w:rsidRDefault="00F332D6" w:rsidP="00CE31AB">
            <w:pPr>
              <w:keepNext/>
              <w:keepLines/>
              <w:tabs>
                <w:tab w:val="left" w:pos="1425"/>
              </w:tabs>
              <w:spacing w:beforeLines="20" w:before="48" w:afterLines="20" w:after="48" w:line="240" w:lineRule="auto"/>
              <w:ind w:left="57" w:right="57"/>
              <w:rPr>
                <w:sz w:val="16"/>
                <w:szCs w:val="16"/>
                <w:lang w:eastAsia="sv-SE"/>
              </w:rPr>
            </w:pPr>
            <w:r w:rsidRPr="00CF2A2D">
              <w:rPr>
                <w:sz w:val="16"/>
                <w:szCs w:val="16"/>
                <w:lang w:eastAsia="zh-CN"/>
              </w:rPr>
              <w:t>Peut s’enflammer spontanément au contact de l’air</w:t>
            </w:r>
          </w:p>
        </w:tc>
        <w:tc>
          <w:tcPr>
            <w:tcW w:w="1039" w:type="dxa"/>
            <w:tcBorders>
              <w:top w:val="nil"/>
              <w:bottom w:val="single" w:sz="4" w:space="0" w:color="auto"/>
            </w:tcBorders>
            <w:shd w:val="clear" w:color="auto" w:fill="FFFFFF"/>
            <w:vAlign w:val="center"/>
          </w:tcPr>
          <w:p w:rsidR="00F332D6" w:rsidRPr="00CF2A2D" w:rsidRDefault="00F332D6" w:rsidP="00CE31AB">
            <w:pPr>
              <w:keepNext/>
              <w:keepLines/>
              <w:tabs>
                <w:tab w:val="left" w:pos="1425"/>
              </w:tabs>
              <w:spacing w:beforeLines="20" w:before="48" w:afterLines="20" w:after="48" w:line="240" w:lineRule="auto"/>
              <w:ind w:left="57" w:right="57"/>
              <w:jc w:val="center"/>
              <w:rPr>
                <w:sz w:val="16"/>
                <w:szCs w:val="16"/>
                <w:lang w:eastAsia="sv-SE"/>
              </w:rPr>
            </w:pPr>
            <w:r w:rsidRPr="00CF2A2D">
              <w:rPr>
                <w:sz w:val="16"/>
                <w:szCs w:val="16"/>
                <w:lang w:eastAsia="sv-SE"/>
              </w:rPr>
              <w:t>H232</w:t>
            </w:r>
          </w:p>
        </w:tc>
      </w:tr>
      <w:tr w:rsidR="00F332D6" w:rsidRPr="00CF2A2D" w:rsidTr="00CE31AB">
        <w:trPr>
          <w:cantSplit/>
          <w:trHeight w:val="37"/>
        </w:trPr>
        <w:tc>
          <w:tcPr>
            <w:tcW w:w="1069" w:type="dxa"/>
            <w:vMerge/>
            <w:shd w:val="clear" w:color="auto" w:fill="FFFFFF"/>
          </w:tcPr>
          <w:p w:rsidR="00F332D6" w:rsidRPr="00CF2A2D" w:rsidRDefault="00F332D6" w:rsidP="00CE31AB">
            <w:pPr>
              <w:keepNext/>
              <w:keepLines/>
              <w:tabs>
                <w:tab w:val="left" w:pos="1425"/>
              </w:tabs>
              <w:spacing w:beforeLines="20" w:before="48" w:afterLines="20" w:after="48" w:line="240" w:lineRule="auto"/>
              <w:ind w:left="57" w:right="57"/>
              <w:jc w:val="center"/>
              <w:rPr>
                <w:b/>
                <w:sz w:val="16"/>
                <w:szCs w:val="16"/>
              </w:rPr>
            </w:pPr>
          </w:p>
        </w:tc>
        <w:tc>
          <w:tcPr>
            <w:tcW w:w="538" w:type="dxa"/>
            <w:vMerge/>
            <w:shd w:val="clear" w:color="auto" w:fill="auto"/>
            <w:vAlign w:val="center"/>
          </w:tcPr>
          <w:p w:rsidR="00F332D6" w:rsidRPr="00CF2A2D" w:rsidRDefault="00F332D6" w:rsidP="00CE31AB">
            <w:pPr>
              <w:keepNext/>
              <w:keepLines/>
              <w:tabs>
                <w:tab w:val="left" w:pos="1425"/>
              </w:tabs>
              <w:spacing w:beforeLines="20" w:before="48" w:afterLines="20" w:after="48" w:line="240" w:lineRule="auto"/>
              <w:ind w:left="57" w:right="57"/>
              <w:jc w:val="center"/>
              <w:rPr>
                <w:b/>
                <w:sz w:val="16"/>
                <w:szCs w:val="16"/>
              </w:rPr>
            </w:pPr>
          </w:p>
        </w:tc>
        <w:tc>
          <w:tcPr>
            <w:tcW w:w="1168" w:type="dxa"/>
            <w:vMerge w:val="restart"/>
            <w:shd w:val="clear" w:color="auto" w:fill="auto"/>
            <w:vAlign w:val="center"/>
          </w:tcPr>
          <w:p w:rsidR="00F332D6" w:rsidRPr="00CF2A2D" w:rsidRDefault="00F332D6" w:rsidP="00CE31AB">
            <w:pPr>
              <w:keepNext/>
              <w:keepLines/>
              <w:tabs>
                <w:tab w:val="left" w:pos="1425"/>
              </w:tabs>
              <w:spacing w:beforeLines="20" w:before="48" w:afterLines="20" w:after="48" w:line="240" w:lineRule="auto"/>
              <w:ind w:left="57" w:right="57"/>
              <w:jc w:val="center"/>
              <w:rPr>
                <w:b/>
                <w:sz w:val="16"/>
                <w:szCs w:val="16"/>
              </w:rPr>
            </w:pPr>
            <w:r w:rsidRPr="00CF2A2D">
              <w:rPr>
                <w:b/>
                <w:sz w:val="16"/>
                <w:szCs w:val="16"/>
              </w:rPr>
              <w:t>Gaz chimiquement instables</w:t>
            </w:r>
          </w:p>
        </w:tc>
        <w:tc>
          <w:tcPr>
            <w:tcW w:w="438" w:type="dxa"/>
            <w:vMerge w:val="restart"/>
            <w:shd w:val="clear" w:color="auto" w:fill="auto"/>
            <w:vAlign w:val="center"/>
          </w:tcPr>
          <w:p w:rsidR="00F332D6" w:rsidRPr="00CF2A2D" w:rsidRDefault="00F332D6" w:rsidP="00CE31AB">
            <w:pPr>
              <w:keepNext/>
              <w:keepLines/>
              <w:tabs>
                <w:tab w:val="left" w:pos="1425"/>
              </w:tabs>
              <w:spacing w:beforeLines="20" w:before="48" w:afterLines="20" w:after="48" w:line="240" w:lineRule="auto"/>
              <w:ind w:left="57" w:right="57"/>
              <w:jc w:val="center"/>
              <w:rPr>
                <w:b/>
                <w:sz w:val="16"/>
                <w:szCs w:val="16"/>
              </w:rPr>
            </w:pPr>
            <w:r w:rsidRPr="00CF2A2D">
              <w:rPr>
                <w:b/>
                <w:sz w:val="16"/>
                <w:szCs w:val="16"/>
              </w:rPr>
              <w:t>A</w:t>
            </w:r>
          </w:p>
        </w:tc>
        <w:tc>
          <w:tcPr>
            <w:tcW w:w="1022" w:type="dxa"/>
            <w:vMerge w:val="restart"/>
            <w:shd w:val="clear" w:color="auto" w:fill="auto"/>
          </w:tcPr>
          <w:p w:rsidR="00F332D6" w:rsidRPr="00CF2A2D" w:rsidRDefault="00F332D6" w:rsidP="00CE31AB">
            <w:pPr>
              <w:keepNext/>
              <w:keepLines/>
              <w:tabs>
                <w:tab w:val="left" w:pos="1425"/>
              </w:tabs>
              <w:spacing w:beforeLines="20" w:before="48" w:afterLines="20" w:after="48" w:line="240" w:lineRule="auto"/>
              <w:ind w:left="57" w:right="57"/>
              <w:jc w:val="center"/>
              <w:rPr>
                <w:b/>
                <w:sz w:val="16"/>
                <w:szCs w:val="16"/>
              </w:rPr>
            </w:pPr>
            <w:r w:rsidRPr="00CF2A2D">
              <w:rPr>
                <w:b/>
                <w:noProof/>
                <w:sz w:val="16"/>
                <w:szCs w:val="16"/>
                <w:lang w:val="en-GB" w:eastAsia="en-GB"/>
              </w:rPr>
              <w:drawing>
                <wp:inline distT="0" distB="0" distL="0" distR="0" wp14:anchorId="6CA6583D" wp14:editId="44941AB7">
                  <wp:extent cx="394121" cy="400767"/>
                  <wp:effectExtent l="0" t="0" r="6350" b="0"/>
                  <wp:docPr id="16" name="Picture 234"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Description: Beskrivning: H:\Mina Dokument\KemI Internationellt\GHS\Pictograms\flamme.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687" cy="404393"/>
                          </a:xfrm>
                          <a:prstGeom prst="rect">
                            <a:avLst/>
                          </a:prstGeom>
                          <a:noFill/>
                          <a:ln>
                            <a:noFill/>
                          </a:ln>
                        </pic:spPr>
                      </pic:pic>
                    </a:graphicData>
                  </a:graphic>
                </wp:inline>
              </w:drawing>
            </w:r>
          </w:p>
        </w:tc>
        <w:tc>
          <w:tcPr>
            <w:tcW w:w="1022" w:type="dxa"/>
            <w:vMerge w:val="restart"/>
            <w:shd w:val="clear" w:color="auto" w:fill="auto"/>
          </w:tcPr>
          <w:p w:rsidR="00F332D6" w:rsidRPr="00CF2A2D" w:rsidRDefault="00F332D6" w:rsidP="00CE31AB">
            <w:pPr>
              <w:keepNext/>
              <w:keepLines/>
              <w:tabs>
                <w:tab w:val="left" w:pos="1425"/>
              </w:tabs>
              <w:spacing w:beforeLines="20" w:before="48" w:afterLines="20" w:after="48" w:line="240" w:lineRule="auto"/>
              <w:ind w:left="57" w:right="57"/>
              <w:jc w:val="center"/>
              <w:rPr>
                <w:b/>
                <w:i/>
                <w:sz w:val="16"/>
                <w:szCs w:val="16"/>
              </w:rPr>
            </w:pPr>
            <w:r w:rsidRPr="00CF2A2D">
              <w:rPr>
                <w:b/>
                <w:noProof/>
                <w:sz w:val="16"/>
                <w:szCs w:val="16"/>
                <w:lang w:val="en-GB" w:eastAsia="en-GB"/>
              </w:rPr>
              <w:drawing>
                <wp:inline distT="0" distB="0" distL="0" distR="0" wp14:anchorId="00D1B062" wp14:editId="0768412C">
                  <wp:extent cx="389467" cy="389467"/>
                  <wp:effectExtent l="0" t="0" r="0" b="0"/>
                  <wp:docPr id="17" name="Picture 233"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Description: Beskrivning: H:\Mina Dokument\KemI Internationellt\GHS\Pictograms\rouge2.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794" cy="388794"/>
                          </a:xfrm>
                          <a:prstGeom prst="rect">
                            <a:avLst/>
                          </a:prstGeom>
                          <a:noFill/>
                          <a:ln>
                            <a:noFill/>
                          </a:ln>
                        </pic:spPr>
                      </pic:pic>
                    </a:graphicData>
                  </a:graphic>
                </wp:inline>
              </w:drawing>
            </w:r>
          </w:p>
        </w:tc>
        <w:tc>
          <w:tcPr>
            <w:tcW w:w="1243" w:type="dxa"/>
            <w:vMerge w:val="restart"/>
            <w:shd w:val="clear" w:color="auto" w:fill="FFFFFF"/>
            <w:vAlign w:val="center"/>
          </w:tcPr>
          <w:p w:rsidR="00F332D6" w:rsidRPr="00CF2A2D" w:rsidRDefault="00F332D6" w:rsidP="00CE31AB">
            <w:pPr>
              <w:keepNext/>
              <w:keepLines/>
              <w:tabs>
                <w:tab w:val="left" w:pos="1425"/>
              </w:tabs>
              <w:spacing w:beforeLines="20" w:before="48" w:afterLines="20" w:after="48" w:line="240" w:lineRule="auto"/>
              <w:ind w:left="57" w:right="57"/>
              <w:jc w:val="center"/>
              <w:rPr>
                <w:b/>
                <w:sz w:val="16"/>
                <w:szCs w:val="16"/>
              </w:rPr>
            </w:pPr>
            <w:r w:rsidRPr="00CF2A2D">
              <w:rPr>
                <w:b/>
                <w:sz w:val="16"/>
                <w:szCs w:val="16"/>
              </w:rPr>
              <w:t>Danger</w:t>
            </w:r>
          </w:p>
        </w:tc>
        <w:tc>
          <w:tcPr>
            <w:tcW w:w="2100" w:type="dxa"/>
            <w:tcBorders>
              <w:bottom w:val="nil"/>
            </w:tcBorders>
            <w:shd w:val="clear" w:color="auto" w:fill="FFFFFF"/>
            <w:vAlign w:val="center"/>
          </w:tcPr>
          <w:p w:rsidR="00F332D6" w:rsidRPr="00CF2A2D" w:rsidRDefault="00F332D6" w:rsidP="00CE31AB">
            <w:pPr>
              <w:keepNext/>
              <w:keepLines/>
              <w:tabs>
                <w:tab w:val="left" w:pos="1425"/>
              </w:tabs>
              <w:spacing w:beforeLines="20" w:before="48" w:afterLines="20" w:after="48" w:line="240" w:lineRule="auto"/>
              <w:ind w:left="57" w:right="57"/>
              <w:rPr>
                <w:sz w:val="16"/>
                <w:szCs w:val="16"/>
                <w:lang w:eastAsia="sv-SE"/>
              </w:rPr>
            </w:pPr>
            <w:r w:rsidRPr="00CF2A2D">
              <w:rPr>
                <w:sz w:val="16"/>
                <w:szCs w:val="16"/>
                <w:lang w:eastAsia="sv-SE"/>
              </w:rPr>
              <w:t>Gaz extrêmement inflammable</w:t>
            </w:r>
          </w:p>
        </w:tc>
        <w:tc>
          <w:tcPr>
            <w:tcW w:w="1039" w:type="dxa"/>
            <w:tcBorders>
              <w:bottom w:val="nil"/>
            </w:tcBorders>
            <w:shd w:val="clear" w:color="auto" w:fill="FFFFFF"/>
            <w:vAlign w:val="center"/>
          </w:tcPr>
          <w:p w:rsidR="00F332D6" w:rsidRPr="00CF2A2D" w:rsidRDefault="00F332D6" w:rsidP="00CE31AB">
            <w:pPr>
              <w:keepNext/>
              <w:keepLines/>
              <w:tabs>
                <w:tab w:val="left" w:pos="1425"/>
              </w:tabs>
              <w:spacing w:beforeLines="20" w:before="48" w:afterLines="20" w:after="48" w:line="240" w:lineRule="auto"/>
              <w:ind w:left="57" w:right="57"/>
              <w:jc w:val="center"/>
              <w:rPr>
                <w:sz w:val="16"/>
                <w:szCs w:val="16"/>
                <w:lang w:eastAsia="sv-SE"/>
              </w:rPr>
            </w:pPr>
            <w:r w:rsidRPr="00CF2A2D">
              <w:rPr>
                <w:sz w:val="16"/>
                <w:szCs w:val="16"/>
                <w:lang w:eastAsia="sv-SE"/>
              </w:rPr>
              <w:t>H220</w:t>
            </w:r>
          </w:p>
        </w:tc>
      </w:tr>
      <w:tr w:rsidR="00F332D6" w:rsidRPr="00CF2A2D" w:rsidTr="00CE31AB">
        <w:trPr>
          <w:cantSplit/>
          <w:trHeight w:val="495"/>
        </w:trPr>
        <w:tc>
          <w:tcPr>
            <w:tcW w:w="1069" w:type="dxa"/>
            <w:vMerge/>
            <w:shd w:val="clear" w:color="auto" w:fill="FFFFFF"/>
          </w:tcPr>
          <w:p w:rsidR="00F332D6" w:rsidRPr="00CF2A2D" w:rsidRDefault="00F332D6" w:rsidP="00CE31AB">
            <w:pPr>
              <w:keepNext/>
              <w:keepLines/>
              <w:tabs>
                <w:tab w:val="left" w:pos="1425"/>
              </w:tabs>
              <w:spacing w:beforeLines="20" w:before="48" w:afterLines="20" w:after="48" w:line="240" w:lineRule="auto"/>
              <w:ind w:left="57" w:right="57"/>
              <w:jc w:val="center"/>
              <w:rPr>
                <w:b/>
                <w:sz w:val="16"/>
                <w:szCs w:val="16"/>
              </w:rPr>
            </w:pPr>
          </w:p>
        </w:tc>
        <w:tc>
          <w:tcPr>
            <w:tcW w:w="538" w:type="dxa"/>
            <w:vMerge/>
            <w:shd w:val="clear" w:color="auto" w:fill="auto"/>
            <w:vAlign w:val="center"/>
          </w:tcPr>
          <w:p w:rsidR="00F332D6" w:rsidRPr="00CF2A2D" w:rsidRDefault="00F332D6" w:rsidP="00CE31AB">
            <w:pPr>
              <w:keepNext/>
              <w:keepLines/>
              <w:tabs>
                <w:tab w:val="left" w:pos="1425"/>
              </w:tabs>
              <w:spacing w:beforeLines="20" w:before="48" w:afterLines="20" w:after="48" w:line="240" w:lineRule="auto"/>
              <w:ind w:left="57" w:right="57"/>
              <w:jc w:val="center"/>
              <w:rPr>
                <w:b/>
                <w:sz w:val="16"/>
                <w:szCs w:val="16"/>
              </w:rPr>
            </w:pPr>
          </w:p>
        </w:tc>
        <w:tc>
          <w:tcPr>
            <w:tcW w:w="1168" w:type="dxa"/>
            <w:vMerge/>
            <w:shd w:val="clear" w:color="auto" w:fill="auto"/>
            <w:vAlign w:val="center"/>
          </w:tcPr>
          <w:p w:rsidR="00F332D6" w:rsidRPr="00CF2A2D" w:rsidRDefault="00F332D6" w:rsidP="00CE31AB">
            <w:pPr>
              <w:keepNext/>
              <w:keepLines/>
              <w:tabs>
                <w:tab w:val="left" w:pos="1425"/>
              </w:tabs>
              <w:spacing w:beforeLines="20" w:before="48" w:afterLines="20" w:after="48" w:line="240" w:lineRule="auto"/>
              <w:ind w:left="57" w:right="57"/>
              <w:jc w:val="center"/>
              <w:rPr>
                <w:b/>
                <w:sz w:val="16"/>
                <w:szCs w:val="16"/>
              </w:rPr>
            </w:pPr>
          </w:p>
        </w:tc>
        <w:tc>
          <w:tcPr>
            <w:tcW w:w="438" w:type="dxa"/>
            <w:vMerge/>
            <w:shd w:val="clear" w:color="auto" w:fill="auto"/>
            <w:vAlign w:val="center"/>
          </w:tcPr>
          <w:p w:rsidR="00F332D6" w:rsidRPr="00CF2A2D" w:rsidRDefault="00F332D6" w:rsidP="00CE31AB">
            <w:pPr>
              <w:keepNext/>
              <w:keepLines/>
              <w:tabs>
                <w:tab w:val="left" w:pos="1425"/>
              </w:tabs>
              <w:spacing w:beforeLines="20" w:before="48" w:afterLines="20" w:after="48" w:line="240" w:lineRule="auto"/>
              <w:ind w:left="57" w:right="57"/>
              <w:jc w:val="center"/>
              <w:rPr>
                <w:b/>
                <w:sz w:val="16"/>
                <w:szCs w:val="16"/>
              </w:rPr>
            </w:pPr>
          </w:p>
        </w:tc>
        <w:tc>
          <w:tcPr>
            <w:tcW w:w="1022" w:type="dxa"/>
            <w:vMerge/>
            <w:shd w:val="clear" w:color="auto" w:fill="auto"/>
          </w:tcPr>
          <w:p w:rsidR="00F332D6" w:rsidRPr="00CF2A2D" w:rsidRDefault="00F332D6" w:rsidP="00CE31AB">
            <w:pPr>
              <w:keepNext/>
              <w:keepLines/>
              <w:tabs>
                <w:tab w:val="left" w:pos="1425"/>
              </w:tabs>
              <w:spacing w:beforeLines="20" w:before="48" w:afterLines="20" w:after="48" w:line="240" w:lineRule="auto"/>
              <w:ind w:left="57" w:right="57"/>
              <w:jc w:val="center"/>
              <w:rPr>
                <w:b/>
                <w:noProof/>
                <w:sz w:val="16"/>
                <w:szCs w:val="16"/>
                <w:lang w:eastAsia="zh-CN"/>
              </w:rPr>
            </w:pPr>
          </w:p>
        </w:tc>
        <w:tc>
          <w:tcPr>
            <w:tcW w:w="1022" w:type="dxa"/>
            <w:vMerge/>
            <w:shd w:val="clear" w:color="auto" w:fill="auto"/>
          </w:tcPr>
          <w:p w:rsidR="00F332D6" w:rsidRPr="00CF2A2D" w:rsidRDefault="00F332D6" w:rsidP="00CE31AB">
            <w:pPr>
              <w:keepNext/>
              <w:keepLines/>
              <w:tabs>
                <w:tab w:val="left" w:pos="1425"/>
              </w:tabs>
              <w:spacing w:beforeLines="20" w:before="48" w:afterLines="20" w:after="48" w:line="240" w:lineRule="auto"/>
              <w:ind w:left="57" w:right="57"/>
              <w:jc w:val="center"/>
              <w:rPr>
                <w:b/>
                <w:noProof/>
                <w:sz w:val="16"/>
                <w:szCs w:val="16"/>
                <w:lang w:eastAsia="zh-CN"/>
              </w:rPr>
            </w:pPr>
          </w:p>
        </w:tc>
        <w:tc>
          <w:tcPr>
            <w:tcW w:w="1243" w:type="dxa"/>
            <w:vMerge/>
            <w:shd w:val="clear" w:color="auto" w:fill="FFFFFF"/>
            <w:vAlign w:val="center"/>
          </w:tcPr>
          <w:p w:rsidR="00F332D6" w:rsidRPr="00CF2A2D" w:rsidRDefault="00F332D6" w:rsidP="00CE31AB">
            <w:pPr>
              <w:keepNext/>
              <w:keepLines/>
              <w:tabs>
                <w:tab w:val="left" w:pos="1425"/>
              </w:tabs>
              <w:spacing w:beforeLines="20" w:before="48" w:afterLines="20" w:after="48" w:line="240" w:lineRule="auto"/>
              <w:ind w:left="57" w:right="57"/>
              <w:jc w:val="center"/>
              <w:rPr>
                <w:b/>
                <w:sz w:val="16"/>
                <w:szCs w:val="16"/>
              </w:rPr>
            </w:pPr>
          </w:p>
        </w:tc>
        <w:tc>
          <w:tcPr>
            <w:tcW w:w="2100" w:type="dxa"/>
            <w:tcBorders>
              <w:top w:val="nil"/>
              <w:bottom w:val="single" w:sz="4" w:space="0" w:color="auto"/>
            </w:tcBorders>
            <w:shd w:val="clear" w:color="auto" w:fill="FFFFFF"/>
            <w:vAlign w:val="center"/>
          </w:tcPr>
          <w:p w:rsidR="00F332D6" w:rsidRPr="00CF2A2D" w:rsidRDefault="00F332D6" w:rsidP="00CE31AB">
            <w:pPr>
              <w:keepNext/>
              <w:keepLines/>
              <w:tabs>
                <w:tab w:val="left" w:pos="1425"/>
              </w:tabs>
              <w:spacing w:beforeLines="20" w:before="48" w:afterLines="20" w:after="48" w:line="240" w:lineRule="auto"/>
              <w:ind w:left="57" w:right="57"/>
              <w:rPr>
                <w:sz w:val="16"/>
                <w:szCs w:val="16"/>
                <w:lang w:eastAsia="sv-SE"/>
              </w:rPr>
            </w:pPr>
            <w:r w:rsidRPr="00CF2A2D">
              <w:rPr>
                <w:sz w:val="16"/>
                <w:szCs w:val="16"/>
              </w:rPr>
              <w:t>Peut exploser même en l’absence d’air</w:t>
            </w:r>
          </w:p>
        </w:tc>
        <w:tc>
          <w:tcPr>
            <w:tcW w:w="1039" w:type="dxa"/>
            <w:tcBorders>
              <w:top w:val="nil"/>
              <w:bottom w:val="single" w:sz="4" w:space="0" w:color="auto"/>
            </w:tcBorders>
            <w:shd w:val="clear" w:color="auto" w:fill="FFFFFF"/>
            <w:vAlign w:val="center"/>
          </w:tcPr>
          <w:p w:rsidR="00F332D6" w:rsidRPr="00CF2A2D" w:rsidRDefault="00F332D6" w:rsidP="00CE31AB">
            <w:pPr>
              <w:keepNext/>
              <w:keepLines/>
              <w:tabs>
                <w:tab w:val="left" w:pos="1425"/>
              </w:tabs>
              <w:spacing w:beforeLines="20" w:before="48" w:afterLines="20" w:after="48" w:line="240" w:lineRule="auto"/>
              <w:ind w:left="57" w:right="57"/>
              <w:jc w:val="center"/>
              <w:rPr>
                <w:sz w:val="16"/>
                <w:szCs w:val="16"/>
                <w:lang w:eastAsia="sv-SE"/>
              </w:rPr>
            </w:pPr>
            <w:r w:rsidRPr="00CF2A2D">
              <w:rPr>
                <w:sz w:val="16"/>
                <w:szCs w:val="16"/>
                <w:lang w:eastAsia="sv-SE"/>
              </w:rPr>
              <w:t>H230</w:t>
            </w:r>
          </w:p>
        </w:tc>
      </w:tr>
      <w:tr w:rsidR="00F332D6" w:rsidRPr="00CF2A2D" w:rsidTr="00CE31AB">
        <w:trPr>
          <w:cantSplit/>
          <w:trHeight w:val="196"/>
        </w:trPr>
        <w:tc>
          <w:tcPr>
            <w:tcW w:w="1069" w:type="dxa"/>
            <w:vMerge/>
            <w:shd w:val="clear" w:color="auto" w:fill="FFFFFF"/>
          </w:tcPr>
          <w:p w:rsidR="00F332D6" w:rsidRPr="00CF2A2D" w:rsidRDefault="00F332D6" w:rsidP="00CE31AB">
            <w:pPr>
              <w:keepNext/>
              <w:keepLines/>
              <w:tabs>
                <w:tab w:val="left" w:pos="1425"/>
              </w:tabs>
              <w:spacing w:beforeLines="20" w:before="48" w:afterLines="20" w:after="48" w:line="240" w:lineRule="auto"/>
              <w:ind w:left="57" w:right="57"/>
              <w:jc w:val="center"/>
              <w:rPr>
                <w:b/>
                <w:sz w:val="16"/>
                <w:szCs w:val="16"/>
              </w:rPr>
            </w:pPr>
          </w:p>
        </w:tc>
        <w:tc>
          <w:tcPr>
            <w:tcW w:w="538" w:type="dxa"/>
            <w:vMerge/>
            <w:shd w:val="clear" w:color="auto" w:fill="auto"/>
            <w:vAlign w:val="center"/>
          </w:tcPr>
          <w:p w:rsidR="00F332D6" w:rsidRPr="00CF2A2D" w:rsidRDefault="00F332D6" w:rsidP="00CE31AB">
            <w:pPr>
              <w:keepNext/>
              <w:keepLines/>
              <w:tabs>
                <w:tab w:val="left" w:pos="1425"/>
              </w:tabs>
              <w:spacing w:beforeLines="20" w:before="48" w:afterLines="20" w:after="48" w:line="240" w:lineRule="auto"/>
              <w:ind w:left="57" w:right="57"/>
              <w:jc w:val="center"/>
              <w:rPr>
                <w:b/>
                <w:sz w:val="16"/>
                <w:szCs w:val="16"/>
                <w:highlight w:val="yellow"/>
              </w:rPr>
            </w:pPr>
          </w:p>
        </w:tc>
        <w:tc>
          <w:tcPr>
            <w:tcW w:w="1168" w:type="dxa"/>
            <w:vMerge/>
            <w:shd w:val="clear" w:color="auto" w:fill="auto"/>
            <w:vAlign w:val="center"/>
          </w:tcPr>
          <w:p w:rsidR="00F332D6" w:rsidRPr="00CF2A2D" w:rsidRDefault="00F332D6" w:rsidP="00CE31AB">
            <w:pPr>
              <w:keepNext/>
              <w:keepLines/>
              <w:tabs>
                <w:tab w:val="left" w:pos="1425"/>
              </w:tabs>
              <w:spacing w:beforeLines="20" w:before="48" w:afterLines="20" w:after="48" w:line="240" w:lineRule="auto"/>
              <w:ind w:left="57" w:right="57"/>
              <w:jc w:val="center"/>
              <w:rPr>
                <w:b/>
                <w:sz w:val="16"/>
                <w:szCs w:val="16"/>
              </w:rPr>
            </w:pPr>
          </w:p>
        </w:tc>
        <w:tc>
          <w:tcPr>
            <w:tcW w:w="438" w:type="dxa"/>
            <w:vMerge w:val="restart"/>
            <w:shd w:val="clear" w:color="auto" w:fill="auto"/>
            <w:vAlign w:val="center"/>
          </w:tcPr>
          <w:p w:rsidR="00F332D6" w:rsidRPr="00CF2A2D" w:rsidRDefault="00F332D6" w:rsidP="00CE31AB">
            <w:pPr>
              <w:keepNext/>
              <w:keepLines/>
              <w:tabs>
                <w:tab w:val="left" w:pos="1425"/>
              </w:tabs>
              <w:spacing w:beforeLines="20" w:before="48" w:afterLines="20" w:after="48" w:line="240" w:lineRule="auto"/>
              <w:ind w:left="57" w:right="57"/>
              <w:jc w:val="center"/>
              <w:rPr>
                <w:b/>
                <w:sz w:val="16"/>
                <w:szCs w:val="16"/>
              </w:rPr>
            </w:pPr>
            <w:r w:rsidRPr="00CF2A2D">
              <w:rPr>
                <w:b/>
                <w:sz w:val="16"/>
                <w:szCs w:val="16"/>
              </w:rPr>
              <w:t>B</w:t>
            </w:r>
          </w:p>
        </w:tc>
        <w:tc>
          <w:tcPr>
            <w:tcW w:w="1022" w:type="dxa"/>
            <w:vMerge w:val="restart"/>
            <w:shd w:val="clear" w:color="auto" w:fill="auto"/>
          </w:tcPr>
          <w:p w:rsidR="00F332D6" w:rsidRPr="00CF2A2D" w:rsidRDefault="00F332D6" w:rsidP="00CE31AB">
            <w:pPr>
              <w:keepNext/>
              <w:keepLines/>
              <w:tabs>
                <w:tab w:val="left" w:pos="1425"/>
              </w:tabs>
              <w:spacing w:beforeLines="20" w:before="48" w:afterLines="20" w:after="48" w:line="240" w:lineRule="auto"/>
              <w:ind w:left="57" w:right="57"/>
              <w:jc w:val="center"/>
              <w:rPr>
                <w:b/>
                <w:sz w:val="16"/>
                <w:szCs w:val="16"/>
              </w:rPr>
            </w:pPr>
            <w:r w:rsidRPr="00CF2A2D">
              <w:rPr>
                <w:b/>
                <w:noProof/>
                <w:sz w:val="16"/>
                <w:szCs w:val="16"/>
                <w:lang w:val="en-GB" w:eastAsia="en-GB"/>
              </w:rPr>
              <w:drawing>
                <wp:inline distT="0" distB="0" distL="0" distR="0" wp14:anchorId="3BF24588" wp14:editId="58625755">
                  <wp:extent cx="394121" cy="400767"/>
                  <wp:effectExtent l="0" t="0" r="6350" b="0"/>
                  <wp:docPr id="18" name="Picture 234"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Description: Beskrivning: H:\Mina Dokument\KemI Internationellt\GHS\Pictograms\flamme.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687" cy="404393"/>
                          </a:xfrm>
                          <a:prstGeom prst="rect">
                            <a:avLst/>
                          </a:prstGeom>
                          <a:noFill/>
                          <a:ln>
                            <a:noFill/>
                          </a:ln>
                        </pic:spPr>
                      </pic:pic>
                    </a:graphicData>
                  </a:graphic>
                </wp:inline>
              </w:drawing>
            </w:r>
          </w:p>
        </w:tc>
        <w:tc>
          <w:tcPr>
            <w:tcW w:w="1022" w:type="dxa"/>
            <w:vMerge w:val="restart"/>
            <w:shd w:val="clear" w:color="auto" w:fill="auto"/>
          </w:tcPr>
          <w:p w:rsidR="00F332D6" w:rsidRPr="00CF2A2D" w:rsidRDefault="00F332D6" w:rsidP="00CE31AB">
            <w:pPr>
              <w:keepNext/>
              <w:keepLines/>
              <w:tabs>
                <w:tab w:val="left" w:pos="1425"/>
              </w:tabs>
              <w:spacing w:beforeLines="20" w:before="48" w:afterLines="20" w:after="48" w:line="240" w:lineRule="auto"/>
              <w:ind w:left="57" w:right="57"/>
              <w:jc w:val="center"/>
              <w:rPr>
                <w:b/>
                <w:i/>
                <w:sz w:val="16"/>
                <w:szCs w:val="16"/>
              </w:rPr>
            </w:pPr>
            <w:r w:rsidRPr="00CF2A2D">
              <w:rPr>
                <w:b/>
                <w:noProof/>
                <w:sz w:val="16"/>
                <w:szCs w:val="16"/>
                <w:lang w:val="en-GB" w:eastAsia="en-GB"/>
              </w:rPr>
              <w:drawing>
                <wp:inline distT="0" distB="0" distL="0" distR="0" wp14:anchorId="4FBD4B6B" wp14:editId="2C032529">
                  <wp:extent cx="389467" cy="389467"/>
                  <wp:effectExtent l="0" t="0" r="0" b="0"/>
                  <wp:docPr id="19" name="Picture 233"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Description: Beskrivning: H:\Mina Dokument\KemI Internationellt\GHS\Pictograms\rouge2.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794" cy="388794"/>
                          </a:xfrm>
                          <a:prstGeom prst="rect">
                            <a:avLst/>
                          </a:prstGeom>
                          <a:noFill/>
                          <a:ln>
                            <a:noFill/>
                          </a:ln>
                        </pic:spPr>
                      </pic:pic>
                    </a:graphicData>
                  </a:graphic>
                </wp:inline>
              </w:drawing>
            </w:r>
          </w:p>
        </w:tc>
        <w:tc>
          <w:tcPr>
            <w:tcW w:w="1243" w:type="dxa"/>
            <w:vMerge w:val="restart"/>
            <w:shd w:val="clear" w:color="auto" w:fill="FFFFFF"/>
            <w:vAlign w:val="center"/>
          </w:tcPr>
          <w:p w:rsidR="00F332D6" w:rsidRPr="00CF2A2D" w:rsidRDefault="00F332D6" w:rsidP="00CE31AB">
            <w:pPr>
              <w:keepNext/>
              <w:keepLines/>
              <w:tabs>
                <w:tab w:val="left" w:pos="1425"/>
              </w:tabs>
              <w:spacing w:beforeLines="20" w:before="48" w:afterLines="20" w:after="48" w:line="240" w:lineRule="auto"/>
              <w:ind w:left="57" w:right="57"/>
              <w:jc w:val="center"/>
              <w:rPr>
                <w:b/>
                <w:sz w:val="16"/>
                <w:szCs w:val="16"/>
              </w:rPr>
            </w:pPr>
            <w:r w:rsidRPr="00CF2A2D">
              <w:rPr>
                <w:b/>
                <w:sz w:val="16"/>
                <w:szCs w:val="16"/>
              </w:rPr>
              <w:t>Danger</w:t>
            </w:r>
          </w:p>
        </w:tc>
        <w:tc>
          <w:tcPr>
            <w:tcW w:w="2100" w:type="dxa"/>
            <w:tcBorders>
              <w:bottom w:val="nil"/>
            </w:tcBorders>
            <w:shd w:val="clear" w:color="auto" w:fill="FFFFFF"/>
            <w:vAlign w:val="center"/>
          </w:tcPr>
          <w:p w:rsidR="00F332D6" w:rsidRPr="00CF2A2D" w:rsidRDefault="00F332D6" w:rsidP="00CE31AB">
            <w:pPr>
              <w:keepNext/>
              <w:keepLines/>
              <w:tabs>
                <w:tab w:val="left" w:pos="1425"/>
              </w:tabs>
              <w:spacing w:beforeLines="20" w:before="48" w:afterLines="20" w:after="48" w:line="240" w:lineRule="auto"/>
              <w:ind w:left="57" w:right="57"/>
              <w:rPr>
                <w:sz w:val="16"/>
                <w:szCs w:val="16"/>
                <w:lang w:eastAsia="sv-SE"/>
              </w:rPr>
            </w:pPr>
            <w:r w:rsidRPr="00CF2A2D">
              <w:rPr>
                <w:sz w:val="16"/>
                <w:szCs w:val="16"/>
                <w:lang w:eastAsia="sv-SE"/>
              </w:rPr>
              <w:t>Gaz extrêmement inflammable</w:t>
            </w:r>
          </w:p>
        </w:tc>
        <w:tc>
          <w:tcPr>
            <w:tcW w:w="1039" w:type="dxa"/>
            <w:tcBorders>
              <w:bottom w:val="nil"/>
            </w:tcBorders>
            <w:shd w:val="clear" w:color="auto" w:fill="FFFFFF"/>
            <w:vAlign w:val="center"/>
          </w:tcPr>
          <w:p w:rsidR="00F332D6" w:rsidRPr="00CF2A2D" w:rsidRDefault="00F332D6" w:rsidP="00CE31AB">
            <w:pPr>
              <w:keepNext/>
              <w:keepLines/>
              <w:tabs>
                <w:tab w:val="left" w:pos="1425"/>
              </w:tabs>
              <w:spacing w:beforeLines="20" w:before="48" w:afterLines="20" w:after="48" w:line="240" w:lineRule="auto"/>
              <w:ind w:left="57" w:right="57"/>
              <w:jc w:val="center"/>
              <w:rPr>
                <w:sz w:val="16"/>
                <w:szCs w:val="16"/>
                <w:lang w:eastAsia="sv-SE"/>
              </w:rPr>
            </w:pPr>
            <w:r w:rsidRPr="00CF2A2D">
              <w:rPr>
                <w:sz w:val="16"/>
                <w:szCs w:val="16"/>
                <w:lang w:eastAsia="sv-SE"/>
              </w:rPr>
              <w:t>H220</w:t>
            </w:r>
          </w:p>
        </w:tc>
      </w:tr>
      <w:tr w:rsidR="00F332D6" w:rsidRPr="00CF2A2D" w:rsidTr="00CE31AB">
        <w:trPr>
          <w:cantSplit/>
          <w:trHeight w:val="625"/>
        </w:trPr>
        <w:tc>
          <w:tcPr>
            <w:tcW w:w="1069" w:type="dxa"/>
            <w:vMerge/>
            <w:shd w:val="clear" w:color="auto" w:fill="FFFFFF"/>
          </w:tcPr>
          <w:p w:rsidR="00F332D6" w:rsidRPr="00CF2A2D" w:rsidRDefault="00F332D6" w:rsidP="00CE31AB">
            <w:pPr>
              <w:keepNext/>
              <w:keepLines/>
              <w:tabs>
                <w:tab w:val="left" w:pos="1425"/>
              </w:tabs>
              <w:spacing w:beforeLines="20" w:before="48" w:afterLines="20" w:after="48" w:line="240" w:lineRule="auto"/>
              <w:ind w:left="57" w:right="57"/>
              <w:jc w:val="center"/>
              <w:rPr>
                <w:b/>
                <w:sz w:val="16"/>
                <w:szCs w:val="16"/>
              </w:rPr>
            </w:pPr>
          </w:p>
        </w:tc>
        <w:tc>
          <w:tcPr>
            <w:tcW w:w="538" w:type="dxa"/>
            <w:vMerge/>
            <w:shd w:val="clear" w:color="auto" w:fill="auto"/>
            <w:vAlign w:val="center"/>
          </w:tcPr>
          <w:p w:rsidR="00F332D6" w:rsidRPr="00CF2A2D" w:rsidRDefault="00F332D6" w:rsidP="00CE31AB">
            <w:pPr>
              <w:keepNext/>
              <w:keepLines/>
              <w:tabs>
                <w:tab w:val="left" w:pos="1425"/>
              </w:tabs>
              <w:spacing w:beforeLines="20" w:before="48" w:afterLines="20" w:after="48" w:line="240" w:lineRule="auto"/>
              <w:ind w:left="57" w:right="57"/>
              <w:jc w:val="center"/>
              <w:rPr>
                <w:b/>
                <w:sz w:val="16"/>
                <w:szCs w:val="16"/>
                <w:highlight w:val="yellow"/>
              </w:rPr>
            </w:pPr>
          </w:p>
        </w:tc>
        <w:tc>
          <w:tcPr>
            <w:tcW w:w="1168" w:type="dxa"/>
            <w:vMerge/>
            <w:shd w:val="clear" w:color="auto" w:fill="auto"/>
            <w:vAlign w:val="center"/>
          </w:tcPr>
          <w:p w:rsidR="00F332D6" w:rsidRPr="00CF2A2D" w:rsidRDefault="00F332D6" w:rsidP="00CE31AB">
            <w:pPr>
              <w:keepNext/>
              <w:keepLines/>
              <w:tabs>
                <w:tab w:val="left" w:pos="1425"/>
              </w:tabs>
              <w:spacing w:beforeLines="20" w:before="48" w:afterLines="20" w:after="48" w:line="240" w:lineRule="auto"/>
              <w:ind w:left="57" w:right="57"/>
              <w:jc w:val="center"/>
              <w:rPr>
                <w:b/>
                <w:sz w:val="16"/>
                <w:szCs w:val="16"/>
              </w:rPr>
            </w:pPr>
          </w:p>
        </w:tc>
        <w:tc>
          <w:tcPr>
            <w:tcW w:w="438" w:type="dxa"/>
            <w:vMerge/>
            <w:shd w:val="clear" w:color="auto" w:fill="auto"/>
            <w:vAlign w:val="center"/>
          </w:tcPr>
          <w:p w:rsidR="00F332D6" w:rsidRPr="00CF2A2D" w:rsidRDefault="00F332D6" w:rsidP="00CE31AB">
            <w:pPr>
              <w:keepNext/>
              <w:keepLines/>
              <w:tabs>
                <w:tab w:val="left" w:pos="1425"/>
              </w:tabs>
              <w:spacing w:beforeLines="20" w:before="48" w:afterLines="20" w:after="48" w:line="240" w:lineRule="auto"/>
              <w:ind w:left="57" w:right="57"/>
              <w:jc w:val="center"/>
              <w:rPr>
                <w:b/>
                <w:sz w:val="16"/>
                <w:szCs w:val="16"/>
              </w:rPr>
            </w:pPr>
          </w:p>
        </w:tc>
        <w:tc>
          <w:tcPr>
            <w:tcW w:w="1022" w:type="dxa"/>
            <w:vMerge/>
            <w:shd w:val="clear" w:color="auto" w:fill="auto"/>
          </w:tcPr>
          <w:p w:rsidR="00F332D6" w:rsidRPr="00CF2A2D" w:rsidRDefault="00F332D6" w:rsidP="00CE31AB">
            <w:pPr>
              <w:keepNext/>
              <w:keepLines/>
              <w:tabs>
                <w:tab w:val="left" w:pos="1425"/>
              </w:tabs>
              <w:spacing w:beforeLines="20" w:before="48" w:afterLines="20" w:after="48" w:line="240" w:lineRule="auto"/>
              <w:ind w:left="57" w:right="57"/>
              <w:jc w:val="center"/>
              <w:rPr>
                <w:b/>
                <w:noProof/>
                <w:sz w:val="16"/>
                <w:szCs w:val="16"/>
                <w:lang w:eastAsia="zh-CN"/>
              </w:rPr>
            </w:pPr>
          </w:p>
        </w:tc>
        <w:tc>
          <w:tcPr>
            <w:tcW w:w="1022" w:type="dxa"/>
            <w:vMerge/>
            <w:shd w:val="clear" w:color="auto" w:fill="auto"/>
          </w:tcPr>
          <w:p w:rsidR="00F332D6" w:rsidRPr="00CF2A2D" w:rsidRDefault="00F332D6" w:rsidP="00CE31AB">
            <w:pPr>
              <w:keepNext/>
              <w:keepLines/>
              <w:tabs>
                <w:tab w:val="left" w:pos="1425"/>
              </w:tabs>
              <w:spacing w:beforeLines="20" w:before="48" w:afterLines="20" w:after="48" w:line="240" w:lineRule="auto"/>
              <w:ind w:left="57" w:right="57"/>
              <w:jc w:val="center"/>
              <w:rPr>
                <w:b/>
                <w:noProof/>
                <w:sz w:val="16"/>
                <w:szCs w:val="16"/>
                <w:lang w:eastAsia="zh-CN"/>
              </w:rPr>
            </w:pPr>
          </w:p>
        </w:tc>
        <w:tc>
          <w:tcPr>
            <w:tcW w:w="1243" w:type="dxa"/>
            <w:vMerge/>
            <w:shd w:val="clear" w:color="auto" w:fill="FFFFFF"/>
            <w:vAlign w:val="center"/>
          </w:tcPr>
          <w:p w:rsidR="00F332D6" w:rsidRPr="00CF2A2D" w:rsidRDefault="00F332D6" w:rsidP="00CE31AB">
            <w:pPr>
              <w:keepNext/>
              <w:keepLines/>
              <w:tabs>
                <w:tab w:val="left" w:pos="1425"/>
              </w:tabs>
              <w:spacing w:beforeLines="20" w:before="48" w:afterLines="20" w:after="48" w:line="240" w:lineRule="auto"/>
              <w:ind w:left="57" w:right="57"/>
              <w:jc w:val="center"/>
              <w:rPr>
                <w:b/>
                <w:sz w:val="16"/>
                <w:szCs w:val="16"/>
              </w:rPr>
            </w:pPr>
          </w:p>
        </w:tc>
        <w:tc>
          <w:tcPr>
            <w:tcW w:w="2100" w:type="dxa"/>
            <w:tcBorders>
              <w:top w:val="nil"/>
            </w:tcBorders>
            <w:shd w:val="clear" w:color="auto" w:fill="FFFFFF"/>
            <w:vAlign w:val="center"/>
          </w:tcPr>
          <w:p w:rsidR="00F332D6" w:rsidRPr="00CF2A2D" w:rsidRDefault="00F332D6" w:rsidP="00CE31AB">
            <w:pPr>
              <w:keepNext/>
              <w:keepLines/>
              <w:tabs>
                <w:tab w:val="left" w:pos="1425"/>
              </w:tabs>
              <w:spacing w:beforeLines="20" w:before="48" w:afterLines="20" w:after="48" w:line="240" w:lineRule="auto"/>
              <w:ind w:left="57" w:right="57"/>
              <w:rPr>
                <w:sz w:val="16"/>
                <w:szCs w:val="16"/>
                <w:lang w:eastAsia="sv-SE"/>
              </w:rPr>
            </w:pPr>
            <w:r w:rsidRPr="00CF2A2D">
              <w:rPr>
                <w:sz w:val="16"/>
                <w:szCs w:val="16"/>
              </w:rPr>
              <w:t>Peut exploser même en l’absence d’air à une pression et/ou une température élevée(s)</w:t>
            </w:r>
          </w:p>
        </w:tc>
        <w:tc>
          <w:tcPr>
            <w:tcW w:w="1039" w:type="dxa"/>
            <w:tcBorders>
              <w:top w:val="nil"/>
            </w:tcBorders>
            <w:shd w:val="clear" w:color="auto" w:fill="FFFFFF"/>
            <w:vAlign w:val="center"/>
          </w:tcPr>
          <w:p w:rsidR="00F332D6" w:rsidRPr="00CF2A2D" w:rsidRDefault="00F332D6" w:rsidP="00CE31AB">
            <w:pPr>
              <w:keepNext/>
              <w:keepLines/>
              <w:tabs>
                <w:tab w:val="left" w:pos="1425"/>
              </w:tabs>
              <w:spacing w:beforeLines="20" w:before="48" w:afterLines="20" w:after="48" w:line="240" w:lineRule="auto"/>
              <w:ind w:left="57" w:right="57"/>
              <w:jc w:val="center"/>
              <w:rPr>
                <w:sz w:val="16"/>
                <w:szCs w:val="16"/>
                <w:lang w:eastAsia="sv-SE"/>
              </w:rPr>
            </w:pPr>
            <w:r w:rsidRPr="00CF2A2D">
              <w:rPr>
                <w:sz w:val="16"/>
                <w:szCs w:val="16"/>
                <w:lang w:eastAsia="sv-SE"/>
              </w:rPr>
              <w:t>H231</w:t>
            </w:r>
          </w:p>
        </w:tc>
      </w:tr>
      <w:tr w:rsidR="00F332D6" w:rsidRPr="00CF2A2D" w:rsidTr="00CE31AB">
        <w:trPr>
          <w:cantSplit/>
          <w:trHeight w:val="380"/>
        </w:trPr>
        <w:tc>
          <w:tcPr>
            <w:tcW w:w="1069" w:type="dxa"/>
            <w:vMerge/>
            <w:shd w:val="clear" w:color="auto" w:fill="FFFFFF"/>
          </w:tcPr>
          <w:p w:rsidR="00F332D6" w:rsidRPr="00CF2A2D" w:rsidRDefault="00F332D6" w:rsidP="00CE31AB">
            <w:pPr>
              <w:keepNext/>
              <w:keepLines/>
              <w:tabs>
                <w:tab w:val="left" w:pos="1425"/>
              </w:tabs>
              <w:spacing w:beforeLines="20" w:before="48" w:afterLines="20" w:after="48" w:line="240" w:lineRule="auto"/>
              <w:ind w:left="57" w:right="57"/>
              <w:jc w:val="center"/>
              <w:rPr>
                <w:b/>
                <w:sz w:val="16"/>
                <w:szCs w:val="16"/>
              </w:rPr>
            </w:pPr>
          </w:p>
        </w:tc>
        <w:tc>
          <w:tcPr>
            <w:tcW w:w="2144" w:type="dxa"/>
            <w:gridSpan w:val="3"/>
            <w:shd w:val="clear" w:color="auto" w:fill="FFFFFF"/>
            <w:vAlign w:val="center"/>
          </w:tcPr>
          <w:p w:rsidR="00F332D6" w:rsidRPr="00CF2A2D" w:rsidRDefault="00F332D6" w:rsidP="00CE31AB">
            <w:pPr>
              <w:keepNext/>
              <w:keepLines/>
              <w:tabs>
                <w:tab w:val="left" w:pos="1425"/>
              </w:tabs>
              <w:spacing w:beforeLines="20" w:before="48" w:afterLines="20" w:after="48" w:line="240" w:lineRule="auto"/>
              <w:ind w:left="57" w:right="57"/>
              <w:jc w:val="center"/>
              <w:rPr>
                <w:b/>
                <w:sz w:val="16"/>
                <w:szCs w:val="16"/>
              </w:rPr>
            </w:pPr>
            <w:r w:rsidRPr="00CF2A2D">
              <w:rPr>
                <w:b/>
                <w:sz w:val="16"/>
                <w:szCs w:val="16"/>
              </w:rPr>
              <w:t>1B</w:t>
            </w:r>
          </w:p>
        </w:tc>
        <w:tc>
          <w:tcPr>
            <w:tcW w:w="1022" w:type="dxa"/>
            <w:shd w:val="clear" w:color="auto" w:fill="auto"/>
          </w:tcPr>
          <w:p w:rsidR="00F332D6" w:rsidRPr="00CF2A2D" w:rsidRDefault="00F332D6" w:rsidP="00CE31AB">
            <w:pPr>
              <w:keepNext/>
              <w:keepLines/>
              <w:tabs>
                <w:tab w:val="left" w:pos="1425"/>
              </w:tabs>
              <w:spacing w:beforeLines="20" w:before="48" w:afterLines="20" w:after="48" w:line="240" w:lineRule="auto"/>
              <w:ind w:left="57" w:right="57"/>
              <w:jc w:val="center"/>
              <w:rPr>
                <w:b/>
                <w:sz w:val="16"/>
                <w:szCs w:val="16"/>
              </w:rPr>
            </w:pPr>
            <w:r w:rsidRPr="00CF2A2D">
              <w:rPr>
                <w:b/>
                <w:noProof/>
                <w:sz w:val="16"/>
                <w:szCs w:val="16"/>
                <w:lang w:val="en-GB" w:eastAsia="en-GB"/>
              </w:rPr>
              <w:drawing>
                <wp:inline distT="0" distB="0" distL="0" distR="0" wp14:anchorId="1333B365" wp14:editId="4175D8E5">
                  <wp:extent cx="394121" cy="400767"/>
                  <wp:effectExtent l="0" t="0" r="6350" b="0"/>
                  <wp:docPr id="20" name="Picture 234"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Description: Beskrivning: H:\Mina Dokument\KemI Internationellt\GHS\Pictograms\flamme.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687" cy="404393"/>
                          </a:xfrm>
                          <a:prstGeom prst="rect">
                            <a:avLst/>
                          </a:prstGeom>
                          <a:noFill/>
                          <a:ln>
                            <a:noFill/>
                          </a:ln>
                        </pic:spPr>
                      </pic:pic>
                    </a:graphicData>
                  </a:graphic>
                </wp:inline>
              </w:drawing>
            </w:r>
          </w:p>
        </w:tc>
        <w:tc>
          <w:tcPr>
            <w:tcW w:w="1022" w:type="dxa"/>
            <w:shd w:val="clear" w:color="auto" w:fill="FFFFFF"/>
          </w:tcPr>
          <w:p w:rsidR="00F332D6" w:rsidRPr="00CF2A2D" w:rsidRDefault="00F332D6" w:rsidP="00CE31AB">
            <w:pPr>
              <w:keepNext/>
              <w:keepLines/>
              <w:tabs>
                <w:tab w:val="left" w:pos="1425"/>
              </w:tabs>
              <w:spacing w:beforeLines="20" w:before="48" w:afterLines="20" w:after="48" w:line="240" w:lineRule="auto"/>
              <w:ind w:left="57" w:right="57"/>
              <w:jc w:val="center"/>
              <w:rPr>
                <w:b/>
                <w:sz w:val="16"/>
                <w:szCs w:val="16"/>
              </w:rPr>
            </w:pPr>
            <w:r w:rsidRPr="00CF2A2D">
              <w:rPr>
                <w:b/>
                <w:noProof/>
                <w:sz w:val="16"/>
                <w:szCs w:val="16"/>
                <w:lang w:val="en-GB" w:eastAsia="en-GB"/>
              </w:rPr>
              <w:drawing>
                <wp:inline distT="0" distB="0" distL="0" distR="0" wp14:anchorId="610EB3AA" wp14:editId="0C0F5EDF">
                  <wp:extent cx="389467" cy="389467"/>
                  <wp:effectExtent l="0" t="0" r="0" b="0"/>
                  <wp:docPr id="23" name="Picture 233"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Description: Beskrivning: H:\Mina Dokument\KemI Internationellt\GHS\Pictograms\rouge2.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794" cy="388794"/>
                          </a:xfrm>
                          <a:prstGeom prst="rect">
                            <a:avLst/>
                          </a:prstGeom>
                          <a:noFill/>
                          <a:ln>
                            <a:noFill/>
                          </a:ln>
                        </pic:spPr>
                      </pic:pic>
                    </a:graphicData>
                  </a:graphic>
                </wp:inline>
              </w:drawing>
            </w:r>
          </w:p>
        </w:tc>
        <w:tc>
          <w:tcPr>
            <w:tcW w:w="1243" w:type="dxa"/>
            <w:shd w:val="clear" w:color="auto" w:fill="FFFFFF"/>
            <w:vAlign w:val="center"/>
          </w:tcPr>
          <w:p w:rsidR="00F332D6" w:rsidRPr="00CF2A2D" w:rsidRDefault="00F332D6" w:rsidP="00CE31AB">
            <w:pPr>
              <w:keepNext/>
              <w:keepLines/>
              <w:tabs>
                <w:tab w:val="left" w:pos="1425"/>
              </w:tabs>
              <w:spacing w:beforeLines="20" w:before="48" w:afterLines="20" w:after="48" w:line="240" w:lineRule="auto"/>
              <w:ind w:left="57" w:right="57"/>
              <w:jc w:val="center"/>
              <w:rPr>
                <w:b/>
                <w:sz w:val="16"/>
                <w:szCs w:val="16"/>
              </w:rPr>
            </w:pPr>
            <w:r w:rsidRPr="00CF2A2D">
              <w:rPr>
                <w:rFonts w:eastAsia="SimSun"/>
                <w:b/>
                <w:sz w:val="16"/>
                <w:szCs w:val="16"/>
              </w:rPr>
              <w:t>Danger</w:t>
            </w:r>
          </w:p>
        </w:tc>
        <w:tc>
          <w:tcPr>
            <w:tcW w:w="2100" w:type="dxa"/>
            <w:shd w:val="clear" w:color="auto" w:fill="FFFFFF"/>
            <w:vAlign w:val="center"/>
          </w:tcPr>
          <w:p w:rsidR="00F332D6" w:rsidRPr="00CF2A2D" w:rsidRDefault="00F332D6" w:rsidP="00CE31AB">
            <w:pPr>
              <w:keepNext/>
              <w:keepLines/>
              <w:tabs>
                <w:tab w:val="left" w:pos="1425"/>
              </w:tabs>
              <w:spacing w:beforeLines="20" w:before="48" w:afterLines="20" w:after="48" w:line="240" w:lineRule="auto"/>
              <w:ind w:left="57" w:right="57"/>
              <w:rPr>
                <w:sz w:val="16"/>
                <w:szCs w:val="16"/>
                <w:lang w:eastAsia="sv-SE"/>
              </w:rPr>
            </w:pPr>
            <w:r w:rsidRPr="00CF2A2D">
              <w:rPr>
                <w:rFonts w:eastAsia="SimSun"/>
                <w:sz w:val="16"/>
                <w:szCs w:val="16"/>
              </w:rPr>
              <w:t>Gaz inflammable</w:t>
            </w:r>
          </w:p>
        </w:tc>
        <w:tc>
          <w:tcPr>
            <w:tcW w:w="1039" w:type="dxa"/>
            <w:shd w:val="clear" w:color="auto" w:fill="FFFFFF"/>
            <w:vAlign w:val="center"/>
          </w:tcPr>
          <w:p w:rsidR="00F332D6" w:rsidRPr="00CF2A2D" w:rsidRDefault="00F332D6" w:rsidP="00CE31AB">
            <w:pPr>
              <w:keepNext/>
              <w:keepLines/>
              <w:tabs>
                <w:tab w:val="left" w:pos="1425"/>
              </w:tabs>
              <w:spacing w:beforeLines="20" w:before="48" w:afterLines="20" w:after="48" w:line="240" w:lineRule="auto"/>
              <w:ind w:left="57" w:right="57"/>
              <w:jc w:val="center"/>
              <w:rPr>
                <w:sz w:val="16"/>
                <w:szCs w:val="16"/>
                <w:lang w:eastAsia="sv-SE"/>
              </w:rPr>
            </w:pPr>
            <w:r w:rsidRPr="00CF2A2D">
              <w:rPr>
                <w:sz w:val="16"/>
                <w:szCs w:val="16"/>
                <w:lang w:eastAsia="sv-SE"/>
              </w:rPr>
              <w:t>H221</w:t>
            </w:r>
          </w:p>
        </w:tc>
      </w:tr>
      <w:tr w:rsidR="00F332D6" w:rsidRPr="00CF2A2D" w:rsidTr="00CE31AB">
        <w:trPr>
          <w:cantSplit/>
          <w:trHeight w:val="220"/>
        </w:trPr>
        <w:tc>
          <w:tcPr>
            <w:tcW w:w="1069" w:type="dxa"/>
            <w:vMerge/>
            <w:shd w:val="clear" w:color="auto" w:fill="FFFFFF"/>
          </w:tcPr>
          <w:p w:rsidR="00F332D6" w:rsidRPr="00CF2A2D" w:rsidRDefault="00F332D6" w:rsidP="00CE31AB">
            <w:pPr>
              <w:keepNext/>
              <w:keepLines/>
              <w:tabs>
                <w:tab w:val="left" w:pos="1425"/>
              </w:tabs>
              <w:spacing w:beforeLines="20" w:before="48" w:afterLines="20" w:after="48" w:line="240" w:lineRule="auto"/>
              <w:ind w:left="57" w:right="57"/>
              <w:jc w:val="center"/>
              <w:rPr>
                <w:b/>
                <w:sz w:val="16"/>
                <w:szCs w:val="16"/>
              </w:rPr>
            </w:pPr>
          </w:p>
        </w:tc>
        <w:tc>
          <w:tcPr>
            <w:tcW w:w="2144" w:type="dxa"/>
            <w:gridSpan w:val="3"/>
            <w:shd w:val="clear" w:color="auto" w:fill="FFFFFF"/>
            <w:vAlign w:val="center"/>
          </w:tcPr>
          <w:p w:rsidR="00F332D6" w:rsidRPr="00CF2A2D" w:rsidRDefault="00F332D6" w:rsidP="00CE31AB">
            <w:pPr>
              <w:keepNext/>
              <w:keepLines/>
              <w:tabs>
                <w:tab w:val="left" w:pos="1425"/>
              </w:tabs>
              <w:spacing w:beforeLines="20" w:before="48" w:afterLines="20" w:after="48" w:line="240" w:lineRule="auto"/>
              <w:ind w:left="57" w:right="57"/>
              <w:jc w:val="center"/>
              <w:rPr>
                <w:b/>
                <w:sz w:val="16"/>
                <w:szCs w:val="16"/>
              </w:rPr>
            </w:pPr>
            <w:r w:rsidRPr="00CF2A2D">
              <w:rPr>
                <w:b/>
                <w:sz w:val="16"/>
                <w:szCs w:val="16"/>
              </w:rPr>
              <w:t>2</w:t>
            </w:r>
          </w:p>
        </w:tc>
        <w:tc>
          <w:tcPr>
            <w:tcW w:w="1022" w:type="dxa"/>
            <w:shd w:val="clear" w:color="auto" w:fill="FFFFFF"/>
            <w:vAlign w:val="center"/>
          </w:tcPr>
          <w:p w:rsidR="00F332D6" w:rsidRPr="00CF2A2D" w:rsidRDefault="00F332D6" w:rsidP="00CE31AB">
            <w:pPr>
              <w:keepNext/>
              <w:keepLines/>
              <w:tabs>
                <w:tab w:val="left" w:pos="1425"/>
              </w:tabs>
              <w:spacing w:beforeLines="20" w:before="48" w:afterLines="20" w:after="48" w:line="240" w:lineRule="auto"/>
              <w:ind w:left="57" w:right="57"/>
              <w:jc w:val="center"/>
              <w:rPr>
                <w:i/>
                <w:sz w:val="16"/>
                <w:szCs w:val="16"/>
              </w:rPr>
            </w:pPr>
            <w:r w:rsidRPr="00CF2A2D">
              <w:rPr>
                <w:i/>
                <w:sz w:val="16"/>
                <w:szCs w:val="16"/>
              </w:rPr>
              <w:t>Pas de pictogramme</w:t>
            </w:r>
          </w:p>
        </w:tc>
        <w:tc>
          <w:tcPr>
            <w:tcW w:w="1022" w:type="dxa"/>
            <w:shd w:val="clear" w:color="auto" w:fill="FFFFFF"/>
            <w:vAlign w:val="center"/>
          </w:tcPr>
          <w:p w:rsidR="00F332D6" w:rsidRPr="00CF2A2D" w:rsidRDefault="00F332D6" w:rsidP="00CE31AB">
            <w:pPr>
              <w:keepNext/>
              <w:keepLines/>
              <w:tabs>
                <w:tab w:val="left" w:pos="1425"/>
              </w:tabs>
              <w:spacing w:beforeLines="20" w:before="48" w:afterLines="20" w:after="48" w:line="240" w:lineRule="auto"/>
              <w:ind w:left="57" w:right="57"/>
              <w:jc w:val="center"/>
              <w:rPr>
                <w:i/>
                <w:sz w:val="16"/>
                <w:szCs w:val="16"/>
              </w:rPr>
            </w:pPr>
            <w:r w:rsidRPr="00CF2A2D">
              <w:rPr>
                <w:i/>
                <w:sz w:val="16"/>
                <w:szCs w:val="16"/>
              </w:rPr>
              <w:t>Non prescrit</w:t>
            </w:r>
          </w:p>
        </w:tc>
        <w:tc>
          <w:tcPr>
            <w:tcW w:w="1243" w:type="dxa"/>
            <w:shd w:val="clear" w:color="auto" w:fill="FFFFFF"/>
            <w:vAlign w:val="center"/>
          </w:tcPr>
          <w:p w:rsidR="00F332D6" w:rsidRPr="00CF2A2D" w:rsidRDefault="00F332D6" w:rsidP="00CE31AB">
            <w:pPr>
              <w:keepNext/>
              <w:keepLines/>
              <w:tabs>
                <w:tab w:val="left" w:pos="1425"/>
              </w:tabs>
              <w:spacing w:beforeLines="20" w:before="48" w:afterLines="20" w:after="48" w:line="240" w:lineRule="auto"/>
              <w:ind w:left="57" w:right="57"/>
              <w:jc w:val="center"/>
              <w:rPr>
                <w:b/>
                <w:sz w:val="16"/>
                <w:szCs w:val="16"/>
              </w:rPr>
            </w:pPr>
            <w:r w:rsidRPr="00CF2A2D">
              <w:rPr>
                <w:b/>
                <w:sz w:val="16"/>
                <w:szCs w:val="16"/>
              </w:rPr>
              <w:t>Attention</w:t>
            </w:r>
          </w:p>
        </w:tc>
        <w:tc>
          <w:tcPr>
            <w:tcW w:w="2100" w:type="dxa"/>
            <w:shd w:val="clear" w:color="auto" w:fill="FFFFFF"/>
            <w:vAlign w:val="center"/>
          </w:tcPr>
          <w:p w:rsidR="00F332D6" w:rsidRPr="00CF2A2D" w:rsidRDefault="00F332D6" w:rsidP="00CE31AB">
            <w:pPr>
              <w:keepNext/>
              <w:keepLines/>
              <w:tabs>
                <w:tab w:val="left" w:pos="1425"/>
              </w:tabs>
              <w:spacing w:beforeLines="20" w:before="48" w:afterLines="20" w:after="48" w:line="240" w:lineRule="auto"/>
              <w:ind w:left="57" w:right="57"/>
              <w:rPr>
                <w:sz w:val="16"/>
                <w:szCs w:val="16"/>
              </w:rPr>
            </w:pPr>
            <w:r w:rsidRPr="00CF2A2D">
              <w:rPr>
                <w:rFonts w:eastAsia="SimSun"/>
                <w:sz w:val="16"/>
                <w:szCs w:val="16"/>
              </w:rPr>
              <w:t>Gaz inflammable</w:t>
            </w:r>
          </w:p>
        </w:tc>
        <w:tc>
          <w:tcPr>
            <w:tcW w:w="1039" w:type="dxa"/>
            <w:shd w:val="clear" w:color="auto" w:fill="FFFFFF"/>
            <w:vAlign w:val="center"/>
          </w:tcPr>
          <w:p w:rsidR="00F332D6" w:rsidRPr="00CF2A2D" w:rsidRDefault="00F332D6" w:rsidP="00CE31AB">
            <w:pPr>
              <w:keepNext/>
              <w:keepLines/>
              <w:tabs>
                <w:tab w:val="left" w:pos="1425"/>
              </w:tabs>
              <w:spacing w:beforeLines="20" w:before="48" w:afterLines="20" w:after="48" w:line="240" w:lineRule="auto"/>
              <w:ind w:left="57" w:right="57"/>
              <w:jc w:val="center"/>
              <w:rPr>
                <w:sz w:val="16"/>
                <w:szCs w:val="16"/>
                <w:lang w:eastAsia="sv-SE"/>
              </w:rPr>
            </w:pPr>
            <w:r w:rsidRPr="00CF2A2D">
              <w:rPr>
                <w:sz w:val="16"/>
                <w:szCs w:val="16"/>
                <w:lang w:eastAsia="sv-SE"/>
              </w:rPr>
              <w:t>H221</w:t>
            </w:r>
          </w:p>
        </w:tc>
      </w:tr>
    </w:tbl>
    <w:p w:rsidR="00F332D6" w:rsidRPr="00CF2A2D" w:rsidRDefault="00F332D6" w:rsidP="00983FF9">
      <w:pPr>
        <w:spacing w:before="120" w:after="240"/>
        <w:ind w:firstLine="170"/>
        <w:rPr>
          <w:rFonts w:eastAsia="SimSun"/>
          <w:sz w:val="18"/>
          <w:szCs w:val="18"/>
        </w:rPr>
      </w:pPr>
      <w:r w:rsidRPr="00CF2A2D">
        <w:rPr>
          <w:rFonts w:eastAsia="SimSun"/>
          <w:i/>
          <w:sz w:val="18"/>
          <w:szCs w:val="18"/>
          <w:vertAlign w:val="superscript"/>
        </w:rPr>
        <w:t>a</w:t>
      </w:r>
      <w:r w:rsidR="00F15CDD">
        <w:rPr>
          <w:rFonts w:eastAsia="SimSun"/>
          <w:sz w:val="18"/>
          <w:szCs w:val="18"/>
          <w:vertAlign w:val="superscript"/>
        </w:rPr>
        <w:t xml:space="preserve"> </w:t>
      </w:r>
      <w:r w:rsidR="003C6F80">
        <w:rPr>
          <w:rFonts w:eastAsia="SimSun"/>
          <w:i/>
          <w:sz w:val="18"/>
          <w:szCs w:val="18"/>
        </w:rPr>
        <w:t xml:space="preserve"> </w:t>
      </w:r>
      <w:r w:rsidRPr="00CF2A2D">
        <w:rPr>
          <w:rFonts w:eastAsia="SimSun"/>
          <w:i/>
          <w:sz w:val="18"/>
          <w:szCs w:val="18"/>
        </w:rPr>
        <w:t>Selon les Recommandations relatives au transport des marchandises dangereuses de l’ONU (Règlement type), le symbole, le numéro et le liseré peuvent être en noir au lieu de blanc. Le fond doit être rouge dans les deux cas</w:t>
      </w:r>
      <w:r w:rsidR="00B1594C">
        <w:rPr>
          <w:rFonts w:eastAsia="SimSun"/>
          <w:i/>
          <w:sz w:val="18"/>
          <w:szCs w:val="18"/>
        </w:rPr>
        <w:t> </w:t>
      </w:r>
      <w:r w:rsidRPr="00B1594C">
        <w:rPr>
          <w:rFonts w:eastAsia="SimSun"/>
          <w:sz w:val="18"/>
          <w:szCs w:val="18"/>
        </w:rPr>
        <w:t>».</w:t>
      </w:r>
    </w:p>
    <w:p w:rsidR="00F332D6" w:rsidRPr="00CF2A2D" w:rsidRDefault="00983FF9" w:rsidP="00983FF9">
      <w:pPr>
        <w:pStyle w:val="H23G"/>
      </w:pPr>
      <w:r>
        <w:tab/>
      </w:r>
      <w:r>
        <w:tab/>
        <w:t>Chapitre </w:t>
      </w:r>
      <w:r w:rsidR="00F332D6" w:rsidRPr="00CF2A2D">
        <w:t>2.2</w:t>
      </w:r>
    </w:p>
    <w:p w:rsidR="00F332D6" w:rsidRPr="00CF2A2D" w:rsidRDefault="00F332D6" w:rsidP="00983FF9">
      <w:pPr>
        <w:pStyle w:val="SingleTxtG"/>
        <w:rPr>
          <w:rFonts w:eastAsia="SimSun"/>
        </w:rPr>
      </w:pPr>
      <w:r w:rsidRPr="00CF2A2D">
        <w:rPr>
          <w:rFonts w:eastAsia="SimSun"/>
        </w:rPr>
        <w:t>Au 2.2.5, sous «</w:t>
      </w:r>
      <w:r w:rsidR="00983FF9">
        <w:rPr>
          <w:rFonts w:eastAsia="SimSun"/>
        </w:rPr>
        <w:t> </w:t>
      </w:r>
      <w:r w:rsidRPr="00CF2A2D">
        <w:rPr>
          <w:rFonts w:eastAsia="SimSun"/>
        </w:rPr>
        <w:t>Calcul</w:t>
      </w:r>
      <w:r w:rsidR="00983FF9">
        <w:rPr>
          <w:rFonts w:eastAsia="SimSun"/>
        </w:rPr>
        <w:t> », modifier le point </w:t>
      </w:r>
      <w:r w:rsidR="00B1594C">
        <w:rPr>
          <w:rFonts w:eastAsia="SimSun"/>
        </w:rPr>
        <w:t>3</w:t>
      </w:r>
      <w:r w:rsidRPr="00CF2A2D">
        <w:rPr>
          <w:rFonts w:eastAsia="SimSun"/>
        </w:rPr>
        <w:t xml:space="preserve"> pour lire comme suit</w:t>
      </w:r>
      <w:r w:rsidR="00983FF9">
        <w:rPr>
          <w:rFonts w:eastAsia="SimSun"/>
        </w:rPr>
        <w:t> </w:t>
      </w:r>
      <w:r w:rsidRPr="00CF2A2D">
        <w:rPr>
          <w:rFonts w:eastAsia="SimSun"/>
        </w:rPr>
        <w:t>:</w:t>
      </w:r>
    </w:p>
    <w:p w:rsidR="00F332D6" w:rsidRPr="00CF2A2D" w:rsidRDefault="00F332D6" w:rsidP="00983FF9">
      <w:pPr>
        <w:pStyle w:val="SingleTxtG"/>
      </w:pPr>
      <w:r w:rsidRPr="00CF2A2D">
        <w:t>«</w:t>
      </w:r>
      <w:r w:rsidR="00983FF9">
        <w:t> </w:t>
      </w:r>
      <w:r w:rsidRPr="00CF2A2D">
        <w:t>3.</w:t>
      </w:r>
      <w:r w:rsidRPr="00CF2A2D">
        <w:tab/>
      </w:r>
      <w:r w:rsidR="00983FF9">
        <w:tab/>
      </w:r>
      <w:r w:rsidRPr="00CF2A2D">
        <w:t>Ajuster la somme des contenus à 100 % :</w:t>
      </w:r>
    </w:p>
    <w:p w:rsidR="00F332D6" w:rsidRPr="00CF2A2D" w:rsidRDefault="00F332D6" w:rsidP="00983FF9">
      <w:pPr>
        <w:pStyle w:val="SingleTxtG"/>
        <w:tabs>
          <w:tab w:val="left" w:pos="3261"/>
        </w:tabs>
        <w:ind w:left="1701" w:right="567" w:hanging="567"/>
        <w:jc w:val="left"/>
      </w:pPr>
      <w:r w:rsidRPr="00CF2A2D">
        <w:rPr>
          <w:position w:val="-24"/>
        </w:rPr>
        <w:object w:dxaOrig="54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26.4pt" o:ole="" fillcolor="window">
            <v:imagedata r:id="rId12" o:title=""/>
          </v:shape>
          <o:OLEObject Type="Embed" ProgID="Equation.3" ShapeID="_x0000_i1025" DrawAspect="Content" ObjectID="_1549278445" r:id="rId13"/>
        </w:object>
      </w:r>
      <w:r w:rsidRPr="00CF2A2D">
        <w:t xml:space="preserve"> × [2 %(H</w:t>
      </w:r>
      <w:r w:rsidRPr="00CF2A2D">
        <w:rPr>
          <w:vertAlign w:val="subscript"/>
        </w:rPr>
        <w:t>2</w:t>
      </w:r>
      <w:r w:rsidRPr="00CF2A2D">
        <w:t>) + 6 %(CH</w:t>
      </w:r>
      <w:r w:rsidRPr="00CF2A2D">
        <w:rPr>
          <w:vertAlign w:val="subscript"/>
        </w:rPr>
        <w:t>4</w:t>
      </w:r>
      <w:r w:rsidRPr="00CF2A2D">
        <w:t>) + 73,35 %(N</w:t>
      </w:r>
      <w:r w:rsidRPr="00CF2A2D">
        <w:rPr>
          <w:vertAlign w:val="subscript"/>
        </w:rPr>
        <w:t>2</w:t>
      </w:r>
      <w:r w:rsidRPr="00CF2A2D">
        <w:t>)] = 2,46 %(H</w:t>
      </w:r>
      <w:r w:rsidRPr="00CF2A2D">
        <w:rPr>
          <w:vertAlign w:val="subscript"/>
        </w:rPr>
        <w:t>2</w:t>
      </w:r>
      <w:r w:rsidRPr="00CF2A2D">
        <w:t>)</w:t>
      </w:r>
      <w:r w:rsidRPr="00CF2A2D">
        <w:rPr>
          <w:vertAlign w:val="subscript"/>
        </w:rPr>
        <w:t xml:space="preserve"> </w:t>
      </w:r>
      <w:r w:rsidRPr="00CF2A2D">
        <w:t>+ 7,37 %(CH</w:t>
      </w:r>
      <w:r w:rsidRPr="00CF2A2D">
        <w:rPr>
          <w:vertAlign w:val="subscript"/>
        </w:rPr>
        <w:t>4</w:t>
      </w:r>
      <w:r w:rsidRPr="00CF2A2D">
        <w:t xml:space="preserve">) + </w:t>
      </w:r>
      <w:r w:rsidRPr="00CF2A2D">
        <w:rPr>
          <w:rFonts w:eastAsia="SimSun"/>
        </w:rPr>
        <w:t>90,17</w:t>
      </w:r>
      <w:r w:rsidRPr="00CF2A2D">
        <w:t>%(N</w:t>
      </w:r>
      <w:r w:rsidRPr="00CF2A2D">
        <w:rPr>
          <w:vertAlign w:val="subscript"/>
        </w:rPr>
        <w:t>2</w:t>
      </w:r>
      <w:r w:rsidRPr="00CF2A2D">
        <w:t>)</w:t>
      </w:r>
      <w:r w:rsidR="00983FF9">
        <w:t> </w:t>
      </w:r>
      <w:r w:rsidRPr="00CF2A2D">
        <w:t>».</w:t>
      </w:r>
    </w:p>
    <w:p w:rsidR="00F332D6" w:rsidRPr="00CF2A2D" w:rsidRDefault="00F332D6" w:rsidP="00983FF9">
      <w:pPr>
        <w:pStyle w:val="SingleTxtG"/>
      </w:pPr>
      <w:r w:rsidRPr="00CF2A2D">
        <w:rPr>
          <w:b/>
        </w:rPr>
        <w:t>Document ST/SG/AC.10/C.4/2016/17</w:t>
      </w:r>
      <w:r w:rsidRPr="00CF2A2D">
        <w:t xml:space="preserve"> adopté avec quelques modifications à la version anglaise sans objet en français. </w:t>
      </w:r>
    </w:p>
    <w:p w:rsidR="00F332D6" w:rsidRPr="00CF2A2D" w:rsidRDefault="00F332D6" w:rsidP="00983FF9">
      <w:pPr>
        <w:pStyle w:val="SingleTxtG"/>
        <w:keepNext/>
        <w:keepLines/>
      </w:pPr>
      <w:r w:rsidRPr="00CF2A2D">
        <w:rPr>
          <w:b/>
        </w:rPr>
        <w:t>Document ST/SG/AC.10/C.4/2016/21</w:t>
      </w:r>
      <w:r w:rsidRPr="00CF2A2D">
        <w:t xml:space="preserve"> adopté tel que modifié par le document informel INF.43, avec quelques modificatio</w:t>
      </w:r>
      <w:r w:rsidR="00983FF9">
        <w:t>ns supplémentaires, comme suit :</w:t>
      </w:r>
    </w:p>
    <w:p w:rsidR="00F332D6" w:rsidRPr="00CF2A2D" w:rsidRDefault="00983FF9" w:rsidP="00983FF9">
      <w:pPr>
        <w:pStyle w:val="SingleTxtG"/>
        <w:keepNext/>
        <w:keepLines/>
        <w:rPr>
          <w:rFonts w:eastAsia="MS Mincho"/>
        </w:rPr>
      </w:pPr>
      <w:r>
        <w:rPr>
          <w:rFonts w:eastAsia="MS Mincho"/>
        </w:rPr>
        <w:t>Modifier la section </w:t>
      </w:r>
      <w:r w:rsidR="00F332D6" w:rsidRPr="00CF2A2D">
        <w:rPr>
          <w:rFonts w:eastAsia="MS Mincho"/>
        </w:rPr>
        <w:t>A4.3.14.7 comme suit</w:t>
      </w:r>
      <w:r>
        <w:rPr>
          <w:rFonts w:eastAsia="MS Mincho"/>
        </w:rPr>
        <w:t> </w:t>
      </w:r>
      <w:r w:rsidR="00F332D6" w:rsidRPr="00CF2A2D">
        <w:rPr>
          <w:rFonts w:eastAsia="MS Mincho"/>
        </w:rPr>
        <w:t>:</w:t>
      </w:r>
    </w:p>
    <w:p w:rsidR="00F332D6" w:rsidRPr="00CF2A2D" w:rsidRDefault="00F332D6" w:rsidP="00F332D6">
      <w:pPr>
        <w:pStyle w:val="SingleTxtG"/>
        <w:rPr>
          <w:b/>
        </w:rPr>
      </w:pPr>
      <w:r w:rsidRPr="00983FF9">
        <w:t>« </w:t>
      </w:r>
      <w:r w:rsidRPr="00CF2A2D">
        <w:rPr>
          <w:b/>
        </w:rPr>
        <w:t>A4.3.14.7</w:t>
      </w:r>
      <w:r w:rsidRPr="00CF2A2D">
        <w:rPr>
          <w:b/>
        </w:rPr>
        <w:tab/>
        <w:t>Transport en vrac conformément aux instruments de l’OMI</w:t>
      </w:r>
    </w:p>
    <w:p w:rsidR="00F332D6" w:rsidRPr="00CF2A2D" w:rsidRDefault="00F332D6" w:rsidP="00983FF9">
      <w:pPr>
        <w:pStyle w:val="SingleTxtG"/>
        <w:tabs>
          <w:tab w:val="left" w:pos="2268"/>
        </w:tabs>
        <w:ind w:left="2268" w:hanging="1134"/>
      </w:pPr>
      <w:r w:rsidRPr="00CF2A2D">
        <w:tab/>
      </w:r>
      <w:r w:rsidRPr="00CF2A2D">
        <w:rPr>
          <w:szCs w:val="24"/>
        </w:rPr>
        <w:t>La présente sous-section s’applique uniquement aux marchandises destinées à être transportées en vrac conformément aux instruments de l’OMI, à savoir : le chapitre VI ou VII de la Convention SOLAS</w:t>
      </w:r>
      <w:r w:rsidRPr="00CF2A2D">
        <w:rPr>
          <w:szCs w:val="24"/>
          <w:vertAlign w:val="superscript"/>
        </w:rPr>
        <w:t>9</w:t>
      </w:r>
      <w:r w:rsidR="00983FF9">
        <w:rPr>
          <w:szCs w:val="24"/>
        </w:rPr>
        <w:t>, l’annexe </w:t>
      </w:r>
      <w:r w:rsidRPr="00CF2A2D">
        <w:rPr>
          <w:szCs w:val="24"/>
        </w:rPr>
        <w:t>II ou</w:t>
      </w:r>
      <w:r w:rsidR="00983FF9">
        <w:rPr>
          <w:szCs w:val="24"/>
        </w:rPr>
        <w:t> </w:t>
      </w:r>
      <w:r w:rsidRPr="00CF2A2D">
        <w:rPr>
          <w:szCs w:val="24"/>
        </w:rPr>
        <w:t>V de la Convention MARPOL</w:t>
      </w:r>
      <w:r w:rsidR="00B1594C">
        <w:rPr>
          <w:sz w:val="18"/>
          <w:szCs w:val="18"/>
          <w:vertAlign w:val="superscript"/>
        </w:rPr>
        <w:t>10</w:t>
      </w:r>
      <w:r w:rsidRPr="00CF2A2D">
        <w:rPr>
          <w:szCs w:val="24"/>
        </w:rPr>
        <w:t>, le Recueil IBC</w:t>
      </w:r>
      <w:r w:rsidRPr="00CF2A2D">
        <w:rPr>
          <w:sz w:val="18"/>
          <w:szCs w:val="18"/>
          <w:vertAlign w:val="superscript"/>
        </w:rPr>
        <w:t>11</w:t>
      </w:r>
      <w:r w:rsidRPr="00CF2A2D">
        <w:rPr>
          <w:szCs w:val="24"/>
        </w:rPr>
        <w:t>, le Code IMSBC</w:t>
      </w:r>
      <w:r w:rsidRPr="00CF2A2D">
        <w:rPr>
          <w:sz w:val="18"/>
          <w:szCs w:val="18"/>
          <w:vertAlign w:val="superscript"/>
        </w:rPr>
        <w:t>12</w:t>
      </w:r>
      <w:r w:rsidRPr="00CF2A2D">
        <w:rPr>
          <w:szCs w:val="24"/>
        </w:rPr>
        <w:t xml:space="preserve"> et le Recueil IGC</w:t>
      </w:r>
      <w:r w:rsidRPr="00CF2A2D">
        <w:rPr>
          <w:sz w:val="18"/>
          <w:szCs w:val="18"/>
          <w:vertAlign w:val="superscript"/>
        </w:rPr>
        <w:t xml:space="preserve">13 </w:t>
      </w:r>
      <w:r w:rsidRPr="00CF2A2D">
        <w:rPr>
          <w:sz w:val="18"/>
          <w:szCs w:val="18"/>
        </w:rPr>
        <w:t>(</w:t>
      </w:r>
      <w:r w:rsidRPr="00CF2A2D">
        <w:rPr>
          <w:szCs w:val="24"/>
        </w:rPr>
        <w:t xml:space="preserve">ou aux versions précédentes </w:t>
      </w:r>
      <w:r w:rsidRPr="00CF2A2D">
        <w:t>c’est-à-dire le Recueil eGC</w:t>
      </w:r>
      <w:r w:rsidRPr="00CF2A2D">
        <w:rPr>
          <w:szCs w:val="24"/>
          <w:vertAlign w:val="superscript"/>
        </w:rPr>
        <w:t>14</w:t>
      </w:r>
      <w:r w:rsidRPr="00CF2A2D">
        <w:rPr>
          <w:szCs w:val="24"/>
        </w:rPr>
        <w:t xml:space="preserve"> ou le </w:t>
      </w:r>
      <w:r w:rsidRPr="00CF2A2D">
        <w:t>Recueil</w:t>
      </w:r>
      <w:r w:rsidRPr="00CF2A2D">
        <w:rPr>
          <w:szCs w:val="24"/>
        </w:rPr>
        <w:t xml:space="preserve"> GC</w:t>
      </w:r>
      <w:r w:rsidRPr="00CF2A2D">
        <w:rPr>
          <w:szCs w:val="24"/>
          <w:vertAlign w:val="superscript"/>
        </w:rPr>
        <w:t>15</w:t>
      </w:r>
      <w:r w:rsidRPr="00CF2A2D">
        <w:rPr>
          <w:szCs w:val="24"/>
        </w:rPr>
        <w:t>).</w:t>
      </w:r>
      <w:r w:rsidRPr="00CF2A2D">
        <w:t xml:space="preserve"> </w:t>
      </w:r>
    </w:p>
    <w:p w:rsidR="00F332D6" w:rsidRPr="00CF2A2D" w:rsidRDefault="00F332D6" w:rsidP="00983FF9">
      <w:pPr>
        <w:pStyle w:val="SingleTxtG"/>
        <w:ind w:left="2268" w:hanging="1134"/>
      </w:pPr>
      <w:r w:rsidRPr="00CF2A2D">
        <w:tab/>
        <w:t>Pour les cargaisons liquides en vrac indiquer le nom du produit (s’il est différent de celui donné au A4.3.1.1) comme prescrit dans le document d’expédition et conformément au nom utilisé dans les listes de noms de produits figurant aux chapitres 17 et 18 du Recueil IBC, ou dans la dernière version de la circulaire MEPC.2 de l’OMI. Indiquer le type de navire requis et la catégorie de pollution.</w:t>
      </w:r>
    </w:p>
    <w:p w:rsidR="00F332D6" w:rsidRPr="00CF2A2D" w:rsidRDefault="00F332D6" w:rsidP="00983FF9">
      <w:pPr>
        <w:pStyle w:val="SingleTxtG"/>
        <w:ind w:left="2268" w:hanging="1134"/>
      </w:pPr>
      <w:r w:rsidRPr="00CF2A2D">
        <w:tab/>
      </w:r>
      <w:r w:rsidRPr="00CF2A2D">
        <w:tab/>
        <w:t>Pour les cargaisons solides en vrac, indiquer la désignation de transport de la cargaison en vrac, si celle-ci est ou non considérée comme étant nocive pour le milieu marin au titre de l’annexe V de la Convention MARPOL, s’il s’agit d’une matière qui n’est dangereuse qu’en vrac, conformément au Code IMSBC, et à quel groupe appartient la cargaison, conformément au Code IMSBC. </w:t>
      </w:r>
    </w:p>
    <w:p w:rsidR="00F332D6" w:rsidRPr="00CF2A2D" w:rsidRDefault="00F332D6" w:rsidP="00983FF9">
      <w:pPr>
        <w:pStyle w:val="SingleTxtG"/>
        <w:ind w:left="2268" w:hanging="1134"/>
      </w:pPr>
      <w:r w:rsidRPr="00CF2A2D">
        <w:tab/>
      </w:r>
      <w:r w:rsidRPr="00CF2A2D">
        <w:tab/>
        <w:t>Pour les cargaisons de gaz liquéfiés en vrac, indiquer le nom du produit et le type de bateau conformément au Recueil IGC (ou aux versions précédentes, c’est-à-dire, le Recueil eGC ou le Recueil GC)</w:t>
      </w:r>
      <w:r w:rsidR="00983FF9">
        <w:t> ».</w:t>
      </w:r>
    </w:p>
    <w:p w:rsidR="00F332D6" w:rsidRPr="00CF2A2D" w:rsidRDefault="00F332D6" w:rsidP="00F332D6">
      <w:pPr>
        <w:pStyle w:val="SingleTxtG"/>
      </w:pPr>
      <w:r w:rsidRPr="00CF2A2D">
        <w:t>I</w:t>
      </w:r>
      <w:r w:rsidR="00983FF9">
        <w:t>nsérer les notes en bas de page 9 à </w:t>
      </w:r>
      <w:r w:rsidRPr="00CF2A2D">
        <w:t xml:space="preserve">15 suivantes et </w:t>
      </w:r>
      <w:r w:rsidR="00983FF9" w:rsidRPr="00CF2A2D">
        <w:t>renuméroter</w:t>
      </w:r>
      <w:r w:rsidRPr="00CF2A2D">
        <w:t xml:space="preserve"> les notes existantes à l’ann</w:t>
      </w:r>
      <w:r w:rsidR="00983FF9">
        <w:t>exe </w:t>
      </w:r>
      <w:r w:rsidRPr="00CF2A2D">
        <w:t>4 en conséquence :</w:t>
      </w:r>
    </w:p>
    <w:p w:rsidR="00F332D6" w:rsidRPr="00CF2A2D" w:rsidRDefault="00983FF9" w:rsidP="00983FF9">
      <w:pPr>
        <w:pStyle w:val="SingleTxtG"/>
        <w:ind w:left="2268"/>
        <w:rPr>
          <w:bCs/>
          <w:i/>
        </w:rPr>
      </w:pPr>
      <w:r w:rsidRPr="00983FF9">
        <w:rPr>
          <w:bCs/>
        </w:rPr>
        <w:t>« </w:t>
      </w:r>
      <w:r w:rsidR="00F332D6" w:rsidRPr="00CF2A2D">
        <w:rPr>
          <w:bCs/>
          <w:vertAlign w:val="superscript"/>
        </w:rPr>
        <w:t>9</w:t>
      </w:r>
      <w:r w:rsidR="00F15CDD">
        <w:rPr>
          <w:bCs/>
          <w:vertAlign w:val="superscript"/>
        </w:rPr>
        <w:t xml:space="preserve"> </w:t>
      </w:r>
      <w:r w:rsidR="00F332D6" w:rsidRPr="00CF2A2D">
        <w:rPr>
          <w:b/>
          <w:bCs/>
          <w:i/>
        </w:rPr>
        <w:t xml:space="preserve">SOLAS </w:t>
      </w:r>
      <w:r w:rsidR="00F332D6" w:rsidRPr="00CF2A2D">
        <w:rPr>
          <w:bCs/>
          <w:i/>
        </w:rPr>
        <w:t>désigne la Convention internationale de 1974 pour la sauvegarde de la vie humaine en mer, telle que modifiée.</w:t>
      </w:r>
    </w:p>
    <w:p w:rsidR="00F332D6" w:rsidRPr="00CF2A2D" w:rsidRDefault="00F332D6" w:rsidP="00983FF9">
      <w:pPr>
        <w:pStyle w:val="SingleTxtG"/>
        <w:ind w:left="2268"/>
        <w:rPr>
          <w:i/>
        </w:rPr>
      </w:pPr>
      <w:r w:rsidRPr="00CF2A2D">
        <w:rPr>
          <w:bCs/>
          <w:vertAlign w:val="superscript"/>
        </w:rPr>
        <w:t>10</w:t>
      </w:r>
      <w:r w:rsidR="00F15CDD">
        <w:rPr>
          <w:b/>
          <w:bCs/>
          <w:i/>
        </w:rPr>
        <w:t xml:space="preserve"> </w:t>
      </w:r>
      <w:r w:rsidRPr="00CF2A2D">
        <w:rPr>
          <w:b/>
          <w:bCs/>
          <w:i/>
        </w:rPr>
        <w:t xml:space="preserve">MARPOL </w:t>
      </w:r>
      <w:r w:rsidRPr="00CF2A2D">
        <w:rPr>
          <w:i/>
        </w:rPr>
        <w:t>désigne la Convention internationale pour la prévention de la pollution par les navires de 1973, telle que modifiée par le Protocole de 1978 y relatif, telle que modifiée.</w:t>
      </w:r>
    </w:p>
    <w:p w:rsidR="00F332D6" w:rsidRPr="00CF2A2D" w:rsidRDefault="00F332D6" w:rsidP="00983FF9">
      <w:pPr>
        <w:pStyle w:val="SingleTxtG"/>
        <w:ind w:left="2268"/>
        <w:rPr>
          <w:i/>
        </w:rPr>
      </w:pPr>
      <w:r w:rsidRPr="00CF2A2D">
        <w:rPr>
          <w:bCs/>
          <w:vertAlign w:val="superscript"/>
        </w:rPr>
        <w:t>11</w:t>
      </w:r>
      <w:r w:rsidR="00F15CDD">
        <w:rPr>
          <w:bCs/>
          <w:vertAlign w:val="superscript"/>
        </w:rPr>
        <w:t xml:space="preserve"> </w:t>
      </w:r>
      <w:r w:rsidRPr="00CF2A2D">
        <w:rPr>
          <w:b/>
          <w:bCs/>
          <w:i/>
        </w:rPr>
        <w:t>Recueil IBC</w:t>
      </w:r>
      <w:r w:rsidRPr="00CF2A2D">
        <w:rPr>
          <w:i/>
        </w:rPr>
        <w:t xml:space="preserve"> désigne le </w:t>
      </w:r>
      <w:r w:rsidRPr="00CF2A2D">
        <w:rPr>
          <w:i/>
          <w:color w:val="000000"/>
        </w:rPr>
        <w:t>Recueil international de règles relatives à la construction et à l’équipement des navires transportant des produits chimiques dangereux en vrac.</w:t>
      </w:r>
    </w:p>
    <w:p w:rsidR="00F332D6" w:rsidRPr="00CF2A2D" w:rsidRDefault="00F332D6" w:rsidP="00983FF9">
      <w:pPr>
        <w:pStyle w:val="SingleTxtG"/>
        <w:ind w:left="2268"/>
        <w:rPr>
          <w:bCs/>
          <w:i/>
        </w:rPr>
      </w:pPr>
      <w:r w:rsidRPr="00CF2A2D">
        <w:rPr>
          <w:bCs/>
          <w:vertAlign w:val="superscript"/>
        </w:rPr>
        <w:t>12</w:t>
      </w:r>
      <w:r w:rsidR="00F15CDD">
        <w:rPr>
          <w:bCs/>
          <w:vertAlign w:val="superscript"/>
        </w:rPr>
        <w:t xml:space="preserve"> </w:t>
      </w:r>
      <w:r w:rsidRPr="00CF2A2D">
        <w:rPr>
          <w:b/>
          <w:bCs/>
          <w:i/>
        </w:rPr>
        <w:t>Code IMSBC</w:t>
      </w:r>
      <w:r w:rsidRPr="00CF2A2D">
        <w:rPr>
          <w:bCs/>
          <w:i/>
        </w:rPr>
        <w:t> désigne le Code maritime international des cargaisons solides en vrac, tel que modifié.</w:t>
      </w:r>
    </w:p>
    <w:p w:rsidR="00F332D6" w:rsidRPr="00CF2A2D" w:rsidRDefault="00F332D6" w:rsidP="00983FF9">
      <w:pPr>
        <w:pStyle w:val="SingleTxtG"/>
        <w:ind w:left="2268"/>
        <w:rPr>
          <w:bCs/>
          <w:i/>
        </w:rPr>
      </w:pPr>
      <w:r w:rsidRPr="00CF2A2D">
        <w:rPr>
          <w:bCs/>
          <w:vertAlign w:val="superscript"/>
        </w:rPr>
        <w:t>13</w:t>
      </w:r>
      <w:r w:rsidR="00F15CDD">
        <w:rPr>
          <w:bCs/>
          <w:vertAlign w:val="superscript"/>
        </w:rPr>
        <w:t xml:space="preserve"> </w:t>
      </w:r>
      <w:r w:rsidRPr="00CF2A2D">
        <w:rPr>
          <w:b/>
          <w:bCs/>
          <w:i/>
        </w:rPr>
        <w:t>Recueil IGC</w:t>
      </w:r>
      <w:r w:rsidRPr="00CF2A2D">
        <w:rPr>
          <w:bCs/>
          <w:i/>
        </w:rPr>
        <w:t> désigne le Recueil international de règles relatives à la construction et à l’équipement des navires transportant des gaz liquéfiés en vrac, y compris les amendements applicables pour la délivrance du certificat du navire. </w:t>
      </w:r>
    </w:p>
    <w:p w:rsidR="00F332D6" w:rsidRPr="00CF2A2D" w:rsidRDefault="00F332D6" w:rsidP="00983FF9">
      <w:pPr>
        <w:pStyle w:val="SingleTxtG"/>
        <w:ind w:left="2268"/>
        <w:rPr>
          <w:bCs/>
          <w:i/>
        </w:rPr>
      </w:pPr>
      <w:r w:rsidRPr="00CF2A2D">
        <w:rPr>
          <w:bCs/>
          <w:vertAlign w:val="superscript"/>
        </w:rPr>
        <w:t>14</w:t>
      </w:r>
      <w:r w:rsidR="00F15CDD">
        <w:rPr>
          <w:bCs/>
          <w:vertAlign w:val="superscript"/>
        </w:rPr>
        <w:t xml:space="preserve"> </w:t>
      </w:r>
      <w:r w:rsidRPr="00CF2A2D">
        <w:rPr>
          <w:b/>
          <w:bCs/>
          <w:i/>
        </w:rPr>
        <w:t>Recueil eGC</w:t>
      </w:r>
      <w:r w:rsidRPr="00CF2A2D">
        <w:rPr>
          <w:bCs/>
          <w:i/>
        </w:rPr>
        <w:t xml:space="preserve"> désigne le Recueil des règles applicables aux navires existants transportant des gaz liquéfiés en vrac.</w:t>
      </w:r>
    </w:p>
    <w:p w:rsidR="00F332D6" w:rsidRPr="00CF2A2D" w:rsidRDefault="00F332D6" w:rsidP="00983FF9">
      <w:pPr>
        <w:pStyle w:val="SingleTxtG"/>
        <w:ind w:left="2268"/>
        <w:rPr>
          <w:bCs/>
          <w:i/>
        </w:rPr>
      </w:pPr>
      <w:r w:rsidRPr="00CF2A2D">
        <w:rPr>
          <w:bCs/>
          <w:vertAlign w:val="superscript"/>
        </w:rPr>
        <w:t>15</w:t>
      </w:r>
      <w:r w:rsidR="00F15CDD">
        <w:rPr>
          <w:bCs/>
          <w:vertAlign w:val="superscript"/>
        </w:rPr>
        <w:t xml:space="preserve"> </w:t>
      </w:r>
      <w:r w:rsidRPr="00CF2A2D">
        <w:rPr>
          <w:b/>
          <w:bCs/>
          <w:i/>
        </w:rPr>
        <w:t xml:space="preserve">Recueil GC </w:t>
      </w:r>
      <w:r w:rsidRPr="00CF2A2D">
        <w:rPr>
          <w:bCs/>
          <w:i/>
        </w:rPr>
        <w:t>désigne le Recueil des règles relatives à la construction et à l’équipement des navires transpo</w:t>
      </w:r>
      <w:r w:rsidR="00597C30">
        <w:rPr>
          <w:bCs/>
          <w:i/>
        </w:rPr>
        <w:t>rtant des gaz liquéfiés en vrac</w:t>
      </w:r>
      <w:r w:rsidRPr="00CF2A2D">
        <w:rPr>
          <w:bCs/>
          <w:i/>
        </w:rPr>
        <w:t> </w:t>
      </w:r>
      <w:r w:rsidRPr="00983FF9">
        <w:rPr>
          <w:bCs/>
        </w:rPr>
        <w:t>»</w:t>
      </w:r>
      <w:r w:rsidR="00983FF9">
        <w:rPr>
          <w:bCs/>
        </w:rPr>
        <w:t>.</w:t>
      </w:r>
    </w:p>
    <w:p w:rsidR="00F332D6" w:rsidRPr="00CF2A2D" w:rsidRDefault="00F332D6" w:rsidP="00983FF9">
      <w:pPr>
        <w:pStyle w:val="H23G"/>
        <w:rPr>
          <w:rFonts w:eastAsia="MS Mincho"/>
        </w:rPr>
      </w:pPr>
      <w:r w:rsidRPr="00CF2A2D">
        <w:tab/>
      </w:r>
      <w:r w:rsidRPr="00CF2A2D">
        <w:tab/>
      </w:r>
      <w:r w:rsidRPr="00CF2A2D">
        <w:rPr>
          <w:rFonts w:eastAsia="MS Mincho"/>
        </w:rPr>
        <w:t xml:space="preserve">Amendements </w:t>
      </w:r>
      <w:r w:rsidR="00983FF9">
        <w:rPr>
          <w:rFonts w:eastAsia="MS Mincho"/>
        </w:rPr>
        <w:t>corol</w:t>
      </w:r>
      <w:r w:rsidR="00983FF9" w:rsidRPr="00CF2A2D">
        <w:rPr>
          <w:rFonts w:eastAsia="MS Mincho"/>
        </w:rPr>
        <w:t>aires</w:t>
      </w:r>
      <w:r w:rsidR="00983FF9">
        <w:rPr>
          <w:rFonts w:eastAsia="MS Mincho"/>
        </w:rPr>
        <w:t xml:space="preserve"> au chapitre </w:t>
      </w:r>
      <w:r w:rsidRPr="00CF2A2D">
        <w:rPr>
          <w:rFonts w:eastAsia="MS Mincho"/>
        </w:rPr>
        <w:t>1.5</w:t>
      </w:r>
    </w:p>
    <w:p w:rsidR="00F332D6" w:rsidRPr="00CF2A2D" w:rsidRDefault="00F332D6" w:rsidP="00983FF9">
      <w:pPr>
        <w:pStyle w:val="SingleTxtG"/>
      </w:pPr>
      <w:r w:rsidRPr="00CF2A2D">
        <w:t>Au tableau 1.5.2, modifier l’aliné</w:t>
      </w:r>
      <w:r w:rsidR="00983FF9">
        <w:t>a </w:t>
      </w:r>
      <w:r w:rsidRPr="00CF2A2D">
        <w:t xml:space="preserve">g) de la section 14 </w:t>
      </w:r>
      <w:r w:rsidR="00983FF9">
        <w:t>« </w:t>
      </w:r>
      <w:r w:rsidRPr="00CF2A2D">
        <w:t>Informations relatives au transport</w:t>
      </w:r>
      <w:r w:rsidR="00983FF9">
        <w:t> »</w:t>
      </w:r>
      <w:r w:rsidRPr="00CF2A2D">
        <w:t xml:space="preserve"> pour lire comme suit : </w:t>
      </w:r>
    </w:p>
    <w:p w:rsidR="00F332D6" w:rsidRPr="00CF2A2D" w:rsidRDefault="00983FF9" w:rsidP="00F332D6">
      <w:pPr>
        <w:pStyle w:val="SingleTxtG"/>
      </w:pPr>
      <w:r>
        <w:t>« </w:t>
      </w:r>
      <w:r w:rsidR="00F332D6" w:rsidRPr="00CF2A2D">
        <w:t xml:space="preserve">g) </w:t>
      </w:r>
      <w:r w:rsidR="00F332D6" w:rsidRPr="00CF2A2D">
        <w:tab/>
      </w:r>
      <w:r>
        <w:tab/>
      </w:r>
      <w:r w:rsidR="00F332D6" w:rsidRPr="00CF2A2D">
        <w:t>Transport en vrac conform</w:t>
      </w:r>
      <w:r>
        <w:t>ément aux instruments de l’OMI »</w:t>
      </w:r>
      <w:r w:rsidR="00F332D6" w:rsidRPr="00CF2A2D">
        <w:t>.</w:t>
      </w:r>
    </w:p>
    <w:p w:rsidR="00F332D6" w:rsidRPr="00CF2A2D" w:rsidRDefault="00F332D6" w:rsidP="00983FF9">
      <w:pPr>
        <w:pStyle w:val="SingleTxtG"/>
        <w:keepNext/>
        <w:keepLines/>
      </w:pPr>
      <w:r w:rsidRPr="00CF2A2D">
        <w:rPr>
          <w:b/>
        </w:rPr>
        <w:t>D</w:t>
      </w:r>
      <w:r w:rsidR="00983FF9">
        <w:rPr>
          <w:b/>
        </w:rPr>
        <w:t>ocument informel INF.36, annexe </w:t>
      </w:r>
      <w:r w:rsidRPr="00CF2A2D">
        <w:rPr>
          <w:b/>
        </w:rPr>
        <w:t>I, section</w:t>
      </w:r>
      <w:r w:rsidR="00983FF9">
        <w:rPr>
          <w:b/>
        </w:rPr>
        <w:t> </w:t>
      </w:r>
      <w:r w:rsidRPr="00CF2A2D">
        <w:rPr>
          <w:b/>
        </w:rPr>
        <w:t>B,</w:t>
      </w:r>
      <w:r w:rsidR="00F15CDD">
        <w:rPr>
          <w:b/>
        </w:rPr>
        <w:t xml:space="preserve"> </w:t>
      </w:r>
      <w:r w:rsidRPr="00CF2A2D">
        <w:t>proposition adoptée</w:t>
      </w:r>
      <w:r w:rsidR="00983FF9">
        <w:t xml:space="preserve"> sans modifications comme suit :</w:t>
      </w:r>
    </w:p>
    <w:p w:rsidR="00F332D6" w:rsidRPr="00CF2A2D" w:rsidRDefault="00983FF9" w:rsidP="00983FF9">
      <w:pPr>
        <w:pStyle w:val="H23G"/>
      </w:pPr>
      <w:r>
        <w:tab/>
      </w:r>
      <w:r>
        <w:tab/>
        <w:t>Chapitre </w:t>
      </w:r>
      <w:r w:rsidR="00F332D6" w:rsidRPr="00CF2A2D">
        <w:t>2.7</w:t>
      </w:r>
    </w:p>
    <w:p w:rsidR="00F332D6" w:rsidRPr="00CF2A2D" w:rsidRDefault="00F332D6" w:rsidP="00983FF9">
      <w:pPr>
        <w:pStyle w:val="SingleTxtG"/>
        <w:ind w:left="2268" w:hanging="1134"/>
      </w:pPr>
      <w:r w:rsidRPr="00CF2A2D">
        <w:t>2.7.2.2</w:t>
      </w:r>
      <w:r w:rsidRPr="00CF2A2D">
        <w:tab/>
      </w:r>
      <w:r w:rsidRPr="00CF2A2D">
        <w:tab/>
        <w:t>Modifier la fin du paragraphe pour lire comme suit : « …</w:t>
      </w:r>
      <w:r w:rsidR="00983FF9">
        <w:t xml:space="preserve"> </w:t>
      </w:r>
      <w:r w:rsidRPr="00CF2A2D">
        <w:t xml:space="preserve">et si la réaction se propage sur toute la longueur de l’échantillon </w:t>
      </w:r>
      <w:r w:rsidR="00983FF9">
        <w:t>(100 </w:t>
      </w:r>
      <w:r w:rsidRPr="00CF2A2D">
        <w:t>mm)</w:t>
      </w:r>
      <w:r w:rsidR="00983FF9">
        <w:t xml:space="preserve"> en 10 </w:t>
      </w:r>
      <w:r w:rsidRPr="00CF2A2D">
        <w:t>min ou moins ».</w:t>
      </w:r>
    </w:p>
    <w:p w:rsidR="00F332D6" w:rsidRPr="00CF2A2D" w:rsidRDefault="00F332D6" w:rsidP="00983FF9">
      <w:pPr>
        <w:pStyle w:val="SingleTxtG"/>
      </w:pPr>
      <w:r w:rsidRPr="00CF2A2D">
        <w:rPr>
          <w:b/>
        </w:rPr>
        <w:t>Document informel INF.6</w:t>
      </w:r>
      <w:r w:rsidR="00F15CDD">
        <w:rPr>
          <w:b/>
        </w:rPr>
        <w:t xml:space="preserve"> </w:t>
      </w:r>
      <w:r w:rsidRPr="00CF2A2D">
        <w:t>adopt</w:t>
      </w:r>
      <w:r w:rsidR="00983FF9">
        <w:t>é sans modifications comme suit :</w:t>
      </w:r>
    </w:p>
    <w:p w:rsidR="00F332D6" w:rsidRPr="00CF2A2D" w:rsidRDefault="00983FF9" w:rsidP="00F332D6">
      <w:pPr>
        <w:pStyle w:val="SingleTxtG"/>
        <w:rPr>
          <w:b/>
        </w:rPr>
      </w:pPr>
      <w:r>
        <w:rPr>
          <w:b/>
        </w:rPr>
        <w:t>Annexe </w:t>
      </w:r>
      <w:r w:rsidR="00F332D6" w:rsidRPr="00CF2A2D">
        <w:rPr>
          <w:b/>
        </w:rPr>
        <w:t>3, section</w:t>
      </w:r>
      <w:r>
        <w:rPr>
          <w:b/>
        </w:rPr>
        <w:t> </w:t>
      </w:r>
      <w:r w:rsidR="00F332D6" w:rsidRPr="00CF2A2D">
        <w:rPr>
          <w:b/>
        </w:rPr>
        <w:t>5</w:t>
      </w:r>
    </w:p>
    <w:p w:rsidR="008E32EA" w:rsidRDefault="00F332D6" w:rsidP="008E32EA">
      <w:pPr>
        <w:pStyle w:val="SingleTxtG"/>
        <w:ind w:left="2268" w:hanging="1134"/>
      </w:pPr>
      <w:r w:rsidRPr="00CF2A2D">
        <w:t>A3.5.1</w:t>
      </w:r>
      <w:r w:rsidRPr="00CF2A2D">
        <w:tab/>
      </w:r>
      <w:r w:rsidRPr="00CF2A2D">
        <w:tab/>
        <w:t xml:space="preserve">Supprimer </w:t>
      </w:r>
      <w:r w:rsidR="008E32EA">
        <w:t>« </w:t>
      </w:r>
      <w:r w:rsidRPr="00CF2A2D">
        <w:t>Du Bureau sud-africain des normes</w:t>
      </w:r>
      <w:r w:rsidRPr="00CF2A2D">
        <w:rPr>
          <w:snapToGrid w:val="0"/>
          <w:color w:val="000000"/>
          <w:lang w:eastAsia="de-DE"/>
        </w:rPr>
        <w:t xml:space="preserve"> (SABS 0265:1999)</w:t>
      </w:r>
      <w:r w:rsidR="008E32EA">
        <w:rPr>
          <w:snapToGrid w:val="0"/>
          <w:color w:val="000000"/>
          <w:lang w:eastAsia="de-DE"/>
        </w:rPr>
        <w:t> »</w:t>
      </w:r>
      <w:r w:rsidRPr="00CF2A2D">
        <w:t xml:space="preserve"> et les</w:t>
      </w:r>
      <w:r w:rsidR="008E32EA">
        <w:t> </w:t>
      </w:r>
      <w:r w:rsidRPr="00CF2A2D">
        <w:t>pictogrammes y relatifs.</w:t>
      </w:r>
    </w:p>
    <w:p w:rsidR="00F332D6" w:rsidRPr="00CF2A2D" w:rsidRDefault="008E32EA" w:rsidP="008E32EA">
      <w:pPr>
        <w:pStyle w:val="HChG"/>
      </w:pPr>
      <w:r>
        <w:br w:type="page"/>
      </w:r>
      <w:r>
        <w:rPr>
          <w:rFonts w:eastAsia="MS Mincho"/>
          <w:lang w:eastAsia="ja-JP"/>
        </w:rPr>
        <w:tab/>
        <w:t>Annexe </w:t>
      </w:r>
      <w:r w:rsidR="00F332D6" w:rsidRPr="00CF2A2D">
        <w:rPr>
          <w:rFonts w:eastAsia="MS Mincho"/>
          <w:lang w:eastAsia="ja-JP"/>
        </w:rPr>
        <w:t>II</w:t>
      </w:r>
    </w:p>
    <w:p w:rsidR="00F332D6" w:rsidRPr="00CF2A2D" w:rsidRDefault="00F332D6" w:rsidP="008E32EA">
      <w:pPr>
        <w:pStyle w:val="HChG"/>
        <w:rPr>
          <w:rFonts w:eastAsia="MS Mincho"/>
          <w:lang w:eastAsia="ja-JP"/>
        </w:rPr>
      </w:pPr>
      <w:r w:rsidRPr="00CF2A2D">
        <w:rPr>
          <w:rFonts w:eastAsia="MS Mincho"/>
          <w:lang w:eastAsia="ja-JP"/>
        </w:rPr>
        <w:tab/>
      </w:r>
      <w:r w:rsidRPr="00CF2A2D">
        <w:rPr>
          <w:rFonts w:eastAsia="MS Mincho"/>
          <w:lang w:eastAsia="ja-JP"/>
        </w:rPr>
        <w:tab/>
        <w:t xml:space="preserve">Projet d’amendements à la sixième édition révisée </w:t>
      </w:r>
      <w:r w:rsidR="008E32EA">
        <w:rPr>
          <w:rFonts w:eastAsia="MS Mincho"/>
          <w:lang w:eastAsia="ja-JP"/>
        </w:rPr>
        <w:br/>
      </w:r>
      <w:r w:rsidRPr="00CF2A2D">
        <w:rPr>
          <w:rFonts w:eastAsia="MS Mincho"/>
          <w:lang w:eastAsia="ja-JP"/>
        </w:rPr>
        <w:t xml:space="preserve">du Manuel d’épreuves et de critères </w:t>
      </w:r>
      <w:r w:rsidR="008E32EA">
        <w:rPr>
          <w:rFonts w:eastAsia="MS Mincho"/>
          <w:lang w:eastAsia="ja-JP"/>
        </w:rPr>
        <w:br/>
      </w:r>
      <w:r w:rsidRPr="00CF2A2D">
        <w:rPr>
          <w:rFonts w:eastAsia="MS Mincho"/>
          <w:lang w:eastAsia="ja-JP"/>
        </w:rPr>
        <w:t>(ST/SG/AC.10/11/Rev.6)</w:t>
      </w:r>
    </w:p>
    <w:p w:rsidR="00F332D6" w:rsidRPr="00CF2A2D" w:rsidRDefault="008E32EA" w:rsidP="008E32EA">
      <w:pPr>
        <w:pStyle w:val="H23G"/>
      </w:pPr>
      <w:r>
        <w:tab/>
      </w:r>
      <w:r>
        <w:tab/>
        <w:t>Appendice </w:t>
      </w:r>
      <w:r w:rsidR="00F332D6" w:rsidRPr="00CF2A2D">
        <w:t>6</w:t>
      </w:r>
    </w:p>
    <w:p w:rsidR="00F332D6" w:rsidRPr="00CF2A2D" w:rsidRDefault="008E32EA" w:rsidP="00F332D6">
      <w:pPr>
        <w:pStyle w:val="SingleTxtG"/>
      </w:pPr>
      <w:r>
        <w:t>Au paragraphe </w:t>
      </w:r>
      <w:r w:rsidR="00F332D6" w:rsidRPr="00CF2A2D">
        <w:t xml:space="preserve">4.1, à la fin de la phrase d’introduction, supprimer </w:t>
      </w:r>
      <w:r>
        <w:t>« (23 °C et 60°C, respectivement) »</w:t>
      </w:r>
      <w:r w:rsidR="00F332D6" w:rsidRPr="00CF2A2D">
        <w:t xml:space="preserve">. </w:t>
      </w:r>
    </w:p>
    <w:p w:rsidR="00F332D6" w:rsidRPr="00CF2A2D" w:rsidRDefault="008E32EA" w:rsidP="008E32EA">
      <w:pPr>
        <w:pStyle w:val="H4G"/>
        <w:rPr>
          <w:b/>
        </w:rPr>
      </w:pPr>
      <w:r>
        <w:tab/>
      </w:r>
      <w:r>
        <w:tab/>
      </w:r>
      <w:r w:rsidR="00F332D6" w:rsidRPr="00CF2A2D">
        <w:t>(Document de référence</w:t>
      </w:r>
      <w:r>
        <w:t> </w:t>
      </w:r>
      <w:r w:rsidR="00F332D6" w:rsidRPr="00CF2A2D">
        <w:t>: ST/SG/AC.10/C.4/2016/13</w:t>
      </w:r>
      <w:r>
        <w:t>.</w:t>
      </w:r>
      <w:r w:rsidR="00F332D6" w:rsidRPr="00CF2A2D">
        <w:t>)</w:t>
      </w:r>
    </w:p>
    <w:p w:rsidR="00F332D6" w:rsidRPr="00CF2A2D" w:rsidRDefault="00F332D6" w:rsidP="001C2D3C">
      <w:pPr>
        <w:pStyle w:val="HChG"/>
        <w:rPr>
          <w:rFonts w:eastAsia="MS Mincho"/>
          <w:lang w:eastAsia="ja-JP"/>
        </w:rPr>
      </w:pPr>
      <w:r w:rsidRPr="00CF2A2D">
        <w:rPr>
          <w:rFonts w:eastAsia="MS Mincho"/>
          <w:lang w:eastAsia="ja-JP"/>
        </w:rPr>
        <w:br w:type="page"/>
      </w:r>
      <w:r w:rsidR="001C2D3C">
        <w:rPr>
          <w:rFonts w:eastAsia="MS Mincho"/>
          <w:lang w:eastAsia="ja-JP"/>
        </w:rPr>
        <w:tab/>
        <w:t>Annexe </w:t>
      </w:r>
      <w:r w:rsidRPr="00CF2A2D">
        <w:rPr>
          <w:rFonts w:eastAsia="MS Mincho"/>
          <w:lang w:eastAsia="ja-JP"/>
        </w:rPr>
        <w:t>III</w:t>
      </w:r>
    </w:p>
    <w:p w:rsidR="00F332D6" w:rsidRPr="00CF2A2D" w:rsidRDefault="00A1700C" w:rsidP="001C2D3C">
      <w:pPr>
        <w:pStyle w:val="HChG"/>
      </w:pPr>
      <w:r>
        <w:tab/>
      </w:r>
      <w:r>
        <w:tab/>
        <w:t>Programme de travail du Sous-</w:t>
      </w:r>
      <w:r w:rsidR="00F332D6" w:rsidRPr="00CF2A2D">
        <w:t xml:space="preserve">Comité </w:t>
      </w:r>
      <w:r w:rsidR="001C2D3C">
        <w:br/>
      </w:r>
      <w:r w:rsidR="00F332D6" w:rsidRPr="00CF2A2D">
        <w:t>pour la période biennale 2017-2018</w:t>
      </w:r>
    </w:p>
    <w:p w:rsidR="00F332D6" w:rsidRPr="00CF2A2D" w:rsidRDefault="00F332D6" w:rsidP="001C2D3C">
      <w:pPr>
        <w:pStyle w:val="H23G"/>
      </w:pPr>
      <w:r w:rsidRPr="00CF2A2D">
        <w:tab/>
        <w:t>1.</w:t>
      </w:r>
      <w:r w:rsidRPr="00CF2A2D">
        <w:tab/>
        <w:t>Critères de classification et communication des dangers y relatifs, y compris :</w:t>
      </w:r>
    </w:p>
    <w:p w:rsidR="00F332D6" w:rsidRPr="00CF2A2D" w:rsidRDefault="00F332D6" w:rsidP="00F332D6">
      <w:pPr>
        <w:pStyle w:val="SingleTxtG"/>
        <w:ind w:left="1701" w:hanging="567"/>
      </w:pPr>
      <w:r w:rsidRPr="00CF2A2D">
        <w:t>a)</w:t>
      </w:r>
      <w:r w:rsidRPr="00CF2A2D">
        <w:tab/>
        <w:t>Révision du chapitre 2.1 (Matières et objets explosibles) du SGH</w:t>
      </w:r>
    </w:p>
    <w:p w:rsidR="00F332D6" w:rsidRPr="00CF2A2D" w:rsidRDefault="00F332D6" w:rsidP="00F332D6">
      <w:pPr>
        <w:pStyle w:val="SingleTxtG"/>
        <w:ind w:left="1701"/>
      </w:pPr>
      <w:r w:rsidRPr="00CF2A2D">
        <w:rPr>
          <w:u w:val="single"/>
        </w:rPr>
        <w:t>Pays chef de file</w:t>
      </w:r>
      <w:r w:rsidR="001C2D3C" w:rsidRPr="001C2D3C">
        <w:t> </w:t>
      </w:r>
      <w:r w:rsidRPr="001C2D3C">
        <w:t>:</w:t>
      </w:r>
      <w:r w:rsidRPr="00CF2A2D">
        <w:t xml:space="preserve"> Suède</w:t>
      </w:r>
    </w:p>
    <w:p w:rsidR="00F332D6" w:rsidRPr="00CF2A2D" w:rsidRDefault="00F332D6" w:rsidP="001C2D3C">
      <w:pPr>
        <w:pStyle w:val="SingleTxtG"/>
        <w:ind w:left="1701"/>
        <w:jc w:val="left"/>
      </w:pPr>
      <w:r w:rsidRPr="00CF2A2D">
        <w:rPr>
          <w:u w:val="single"/>
        </w:rPr>
        <w:t>Mandat</w:t>
      </w:r>
      <w:r w:rsidR="001C2D3C">
        <w:t> </w:t>
      </w:r>
      <w:r w:rsidRPr="00CF2A2D">
        <w:t>: rapport du Sous-Comité sur sa trente-deuxième session</w:t>
      </w:r>
      <w:r w:rsidR="001C2D3C">
        <w:t xml:space="preserve"> (ST/SG/AC.10/C.4/64, par.</w:t>
      </w:r>
      <w:r w:rsidRPr="00CF2A2D">
        <w:t> 21)</w:t>
      </w:r>
    </w:p>
    <w:p w:rsidR="00F332D6" w:rsidRPr="00CF2A2D" w:rsidRDefault="00F332D6" w:rsidP="00F332D6">
      <w:pPr>
        <w:pStyle w:val="SingleTxtG"/>
        <w:ind w:left="1701" w:hanging="567"/>
      </w:pPr>
      <w:r w:rsidRPr="00CF2A2D">
        <w:t>b)</w:t>
      </w:r>
      <w:r w:rsidRPr="00CF2A2D">
        <w:tab/>
        <w:t>Utilisation du Manuel d’épreuves et de critères dans le cadre du SGH</w:t>
      </w:r>
    </w:p>
    <w:p w:rsidR="00F332D6" w:rsidRPr="00CF2A2D" w:rsidRDefault="00F332D6" w:rsidP="00F332D6">
      <w:pPr>
        <w:pStyle w:val="SingleTxtG"/>
        <w:ind w:left="1701"/>
      </w:pPr>
      <w:r w:rsidRPr="00CF2A2D">
        <w:rPr>
          <w:u w:val="single"/>
        </w:rPr>
        <w:t>Coordonnateur</w:t>
      </w:r>
      <w:r w:rsidR="001C2D3C">
        <w:t> </w:t>
      </w:r>
      <w:r w:rsidRPr="00CF2A2D">
        <w:t>: Sous</w:t>
      </w:r>
      <w:r w:rsidR="001C2D3C">
        <w:t>-</w:t>
      </w:r>
      <w:r w:rsidRPr="00CF2A2D">
        <w:t>Comité TMD</w:t>
      </w:r>
    </w:p>
    <w:p w:rsidR="00F332D6" w:rsidRPr="00CF2A2D" w:rsidRDefault="00F332D6" w:rsidP="00F332D6">
      <w:pPr>
        <w:pStyle w:val="SingleTxtG"/>
        <w:ind w:left="1701"/>
      </w:pPr>
      <w:r w:rsidRPr="00CF2A2D">
        <w:rPr>
          <w:u w:val="single"/>
        </w:rPr>
        <w:t>Mandat</w:t>
      </w:r>
      <w:r w:rsidR="001C2D3C">
        <w:t> </w:t>
      </w:r>
      <w:r w:rsidRPr="00CF2A2D">
        <w:t>: document informel INF.19 (vingt-huitième session)</w:t>
      </w:r>
    </w:p>
    <w:p w:rsidR="00F332D6" w:rsidRPr="00CF2A2D" w:rsidRDefault="00F332D6" w:rsidP="00F332D6">
      <w:pPr>
        <w:pStyle w:val="SingleTxtG"/>
        <w:ind w:left="1701" w:hanging="567"/>
      </w:pPr>
      <w:r w:rsidRPr="00CF2A2D">
        <w:t>c)</w:t>
      </w:r>
      <w:r w:rsidRPr="00CF2A2D">
        <w:tab/>
        <w:t>Critères relatifs à l’hydroréactivité</w:t>
      </w:r>
    </w:p>
    <w:p w:rsidR="00F332D6" w:rsidRPr="00CF2A2D" w:rsidRDefault="00F332D6" w:rsidP="00F332D6">
      <w:pPr>
        <w:pStyle w:val="SingleTxtG"/>
        <w:ind w:left="1701"/>
      </w:pPr>
      <w:r w:rsidRPr="00CF2A2D">
        <w:rPr>
          <w:u w:val="single"/>
        </w:rPr>
        <w:t>Coordonnateur</w:t>
      </w:r>
      <w:r w:rsidR="001C2D3C">
        <w:t> : Sous-</w:t>
      </w:r>
      <w:r w:rsidRPr="00CF2A2D">
        <w:t>Comité TMD</w:t>
      </w:r>
    </w:p>
    <w:p w:rsidR="00F332D6" w:rsidRPr="00CF2A2D" w:rsidRDefault="00F332D6" w:rsidP="00F332D6">
      <w:pPr>
        <w:pStyle w:val="SingleTxtG"/>
        <w:ind w:left="1701"/>
      </w:pPr>
      <w:r w:rsidRPr="00CF2A2D">
        <w:rPr>
          <w:u w:val="single"/>
        </w:rPr>
        <w:t>Mandat</w:t>
      </w:r>
      <w:r w:rsidR="001C2D3C" w:rsidRPr="001C2D3C">
        <w:t> </w:t>
      </w:r>
      <w:r w:rsidRPr="001C2D3C">
        <w:t>:</w:t>
      </w:r>
      <w:r w:rsidRPr="00CF2A2D">
        <w:t xml:space="preserve"> ST/SG/AC.10/C.4/40 (annexe II)</w:t>
      </w:r>
    </w:p>
    <w:p w:rsidR="00F332D6" w:rsidRPr="00CF2A2D" w:rsidRDefault="00F332D6" w:rsidP="00F332D6">
      <w:pPr>
        <w:pStyle w:val="SingleTxtG"/>
        <w:ind w:left="1701" w:hanging="567"/>
      </w:pPr>
      <w:r w:rsidRPr="00CF2A2D">
        <w:t>d)</w:t>
      </w:r>
      <w:r w:rsidRPr="00CF2A2D">
        <w:tab/>
        <w:t xml:space="preserve">Épreuves pour les matières liquides comburantes et les matières solides comburantes </w:t>
      </w:r>
    </w:p>
    <w:p w:rsidR="00F332D6" w:rsidRPr="00CF2A2D" w:rsidRDefault="00F332D6" w:rsidP="00F332D6">
      <w:pPr>
        <w:pStyle w:val="SingleTxtG"/>
        <w:ind w:left="1701"/>
      </w:pPr>
      <w:r w:rsidRPr="00CF2A2D">
        <w:rPr>
          <w:u w:val="single"/>
        </w:rPr>
        <w:t>Pays chef de file</w:t>
      </w:r>
      <w:r w:rsidR="001C2D3C" w:rsidRPr="001C2D3C">
        <w:t> :</w:t>
      </w:r>
      <w:r w:rsidRPr="00CF2A2D">
        <w:t xml:space="preserve"> France</w:t>
      </w:r>
    </w:p>
    <w:p w:rsidR="00F332D6" w:rsidRPr="00CF2A2D" w:rsidRDefault="00F332D6" w:rsidP="00F332D6">
      <w:pPr>
        <w:pStyle w:val="SingleTxtG"/>
        <w:ind w:left="1701"/>
      </w:pPr>
      <w:r w:rsidRPr="00CF2A2D">
        <w:rPr>
          <w:u w:val="single"/>
        </w:rPr>
        <w:t>Coordonnateur</w:t>
      </w:r>
      <w:r w:rsidR="001C2D3C" w:rsidRPr="001C2D3C">
        <w:t> :</w:t>
      </w:r>
      <w:r w:rsidRPr="00CF2A2D">
        <w:t xml:space="preserve"> </w:t>
      </w:r>
      <w:r w:rsidR="001C2D3C">
        <w:t>Sous-</w:t>
      </w:r>
      <w:r w:rsidRPr="00CF2A2D">
        <w:t>Comité TMD</w:t>
      </w:r>
    </w:p>
    <w:p w:rsidR="00F332D6" w:rsidRPr="00CF2A2D" w:rsidRDefault="00F332D6" w:rsidP="001C2D3C">
      <w:pPr>
        <w:pStyle w:val="SingleTxtG"/>
        <w:ind w:left="1701"/>
        <w:jc w:val="left"/>
      </w:pPr>
      <w:r w:rsidRPr="00CF2A2D">
        <w:rPr>
          <w:u w:val="single"/>
        </w:rPr>
        <w:t>Mandat</w:t>
      </w:r>
      <w:r w:rsidR="001C2D3C" w:rsidRPr="001C2D3C">
        <w:t> :</w:t>
      </w:r>
      <w:r w:rsidRPr="00CF2A2D">
        <w:t xml:space="preserve"> rapport du Sous-Comité sur sa trente-deuxième session (ST/SG/AC.10/C.4/64, par</w:t>
      </w:r>
      <w:r w:rsidR="001C2D3C">
        <w:t>.</w:t>
      </w:r>
      <w:r w:rsidRPr="00CF2A2D">
        <w:t> 14)</w:t>
      </w:r>
    </w:p>
    <w:p w:rsidR="00F332D6" w:rsidRPr="00CF2A2D" w:rsidRDefault="00F332D6" w:rsidP="00F332D6">
      <w:pPr>
        <w:pStyle w:val="SingleTxtG"/>
        <w:ind w:left="1701" w:hanging="567"/>
      </w:pPr>
      <w:r w:rsidRPr="00CF2A2D">
        <w:t>e)</w:t>
      </w:r>
      <w:r w:rsidRPr="00CF2A2D">
        <w:tab/>
        <w:t xml:space="preserve">Épreuves de stabilité pour la cellulose industrielle </w:t>
      </w:r>
    </w:p>
    <w:p w:rsidR="00F332D6" w:rsidRPr="00CF2A2D" w:rsidRDefault="00F332D6" w:rsidP="00F332D6">
      <w:pPr>
        <w:pStyle w:val="SingleTxtG"/>
        <w:ind w:left="1701"/>
      </w:pPr>
      <w:r w:rsidRPr="00CF2A2D">
        <w:rPr>
          <w:u w:val="single"/>
        </w:rPr>
        <w:t>Pays chef de file</w:t>
      </w:r>
      <w:r w:rsidR="001C2D3C" w:rsidRPr="001C2D3C">
        <w:t> :</w:t>
      </w:r>
      <w:r w:rsidRPr="00CF2A2D">
        <w:t xml:space="preserve"> Allemagne</w:t>
      </w:r>
    </w:p>
    <w:p w:rsidR="00F332D6" w:rsidRPr="00CF2A2D" w:rsidRDefault="00F332D6" w:rsidP="00F332D6">
      <w:pPr>
        <w:pStyle w:val="SingleTxtG"/>
        <w:ind w:left="1701"/>
      </w:pPr>
      <w:r w:rsidRPr="00CF2A2D">
        <w:rPr>
          <w:u w:val="single"/>
        </w:rPr>
        <w:t>Coordonnateur</w:t>
      </w:r>
      <w:r w:rsidR="001C2D3C" w:rsidRPr="001C2D3C">
        <w:t> :</w:t>
      </w:r>
      <w:r w:rsidRPr="00CF2A2D">
        <w:t xml:space="preserve"> </w:t>
      </w:r>
      <w:r w:rsidR="001C2D3C">
        <w:t>Sous-</w:t>
      </w:r>
      <w:r w:rsidRPr="00CF2A2D">
        <w:t>Comité TMD</w:t>
      </w:r>
    </w:p>
    <w:p w:rsidR="00F332D6" w:rsidRPr="00CF2A2D" w:rsidRDefault="00F332D6" w:rsidP="00F332D6">
      <w:pPr>
        <w:pStyle w:val="SingleTxtG"/>
        <w:ind w:left="1701"/>
      </w:pPr>
      <w:r w:rsidRPr="00CF2A2D">
        <w:rPr>
          <w:u w:val="single"/>
        </w:rPr>
        <w:t>Mandat</w:t>
      </w:r>
      <w:r w:rsidR="001C2D3C">
        <w:t> </w:t>
      </w:r>
      <w:r w:rsidRPr="00CF2A2D">
        <w:t>: document informel INF.22 (trente-deuxième session) et rapport du Sous-Comité sur sa trente-deuxième session (ST/SG/AC.10/C.4/64, par</w:t>
      </w:r>
      <w:r w:rsidR="001C2D3C">
        <w:t>.</w:t>
      </w:r>
      <w:r w:rsidRPr="00CF2A2D">
        <w:t> 67)</w:t>
      </w:r>
    </w:p>
    <w:p w:rsidR="00F332D6" w:rsidRPr="00CF2A2D" w:rsidRDefault="00F332D6" w:rsidP="00F332D6">
      <w:pPr>
        <w:pStyle w:val="SingleTxtG"/>
        <w:ind w:left="1701" w:hanging="567"/>
      </w:pPr>
      <w:r w:rsidRPr="00CF2A2D">
        <w:t>f)</w:t>
      </w:r>
      <w:r w:rsidRPr="00CF2A2D">
        <w:tab/>
        <w:t xml:space="preserve">Dangers d’explosion des poussières </w:t>
      </w:r>
    </w:p>
    <w:p w:rsidR="00F332D6" w:rsidRPr="00CF2A2D" w:rsidRDefault="00F332D6" w:rsidP="00F332D6">
      <w:pPr>
        <w:pStyle w:val="SingleTxtG"/>
        <w:ind w:left="1701"/>
      </w:pPr>
      <w:r w:rsidRPr="00CF2A2D">
        <w:rPr>
          <w:u w:val="single"/>
        </w:rPr>
        <w:t>Pays chef de file</w:t>
      </w:r>
      <w:r w:rsidR="001C2D3C" w:rsidRPr="001C2D3C">
        <w:t> :</w:t>
      </w:r>
      <w:r w:rsidRPr="00CF2A2D">
        <w:t xml:space="preserve"> États-Unis d’Amérique</w:t>
      </w:r>
    </w:p>
    <w:p w:rsidR="00F332D6" w:rsidRPr="00CF2A2D" w:rsidRDefault="00F332D6" w:rsidP="00F332D6">
      <w:pPr>
        <w:pStyle w:val="SingleTxtG"/>
        <w:ind w:left="1701"/>
      </w:pPr>
      <w:r w:rsidRPr="00CF2A2D">
        <w:rPr>
          <w:u w:val="single"/>
        </w:rPr>
        <w:t>Mandat</w:t>
      </w:r>
      <w:r w:rsidR="001C2D3C" w:rsidRPr="001C2D3C">
        <w:t> :</w:t>
      </w:r>
      <w:r w:rsidRPr="00CF2A2D">
        <w:t xml:space="preserve"> document informel INF.23 (trente-deuxième session) et rapport du Sous-Comité sur sa trente-deuxième session (ST/SG/AC.10/C.4/64, par</w:t>
      </w:r>
      <w:r w:rsidR="001C2D3C">
        <w:t>.</w:t>
      </w:r>
      <w:r w:rsidRPr="00CF2A2D">
        <w:t> 26)</w:t>
      </w:r>
    </w:p>
    <w:p w:rsidR="00F332D6" w:rsidRPr="00CF2A2D" w:rsidRDefault="00F332D6" w:rsidP="00F332D6">
      <w:pPr>
        <w:pStyle w:val="SingleTxtG"/>
        <w:ind w:left="1701" w:hanging="567"/>
      </w:pPr>
      <w:r w:rsidRPr="00CF2A2D">
        <w:t>g)</w:t>
      </w:r>
      <w:r w:rsidRPr="00CF2A2D">
        <w:tab/>
        <w:t>Utilisation de méthodes d’expérimentation non animales pour le classement des dangers pour la santé</w:t>
      </w:r>
    </w:p>
    <w:p w:rsidR="00F332D6" w:rsidRPr="00CF2A2D" w:rsidRDefault="00F332D6" w:rsidP="00F332D6">
      <w:pPr>
        <w:pStyle w:val="SingleTxtG"/>
        <w:ind w:left="1701"/>
      </w:pPr>
      <w:r w:rsidRPr="00CF2A2D">
        <w:rPr>
          <w:u w:val="single"/>
        </w:rPr>
        <w:t>Pays chef de file</w:t>
      </w:r>
      <w:r w:rsidR="001C2D3C" w:rsidRPr="001C2D3C">
        <w:t> :</w:t>
      </w:r>
      <w:r w:rsidRPr="00CF2A2D">
        <w:t xml:space="preserve"> Pays-Bas et Royaume-Uni</w:t>
      </w:r>
    </w:p>
    <w:p w:rsidR="00F332D6" w:rsidRPr="00CF2A2D" w:rsidRDefault="00F332D6" w:rsidP="00F332D6">
      <w:pPr>
        <w:pStyle w:val="SingleTxtG"/>
        <w:ind w:left="1701"/>
      </w:pPr>
      <w:r w:rsidRPr="00CF2A2D">
        <w:rPr>
          <w:u w:val="single"/>
        </w:rPr>
        <w:t>Mandat</w:t>
      </w:r>
      <w:r w:rsidR="001C2D3C" w:rsidRPr="001C2D3C">
        <w:t> :</w:t>
      </w:r>
      <w:r w:rsidRPr="00CF2A2D">
        <w:t xml:space="preserve"> documen</w:t>
      </w:r>
      <w:r w:rsidR="00597C30">
        <w:t xml:space="preserve">t informel INF.27/Rev.2 (trente et </w:t>
      </w:r>
      <w:r w:rsidRPr="00CF2A2D">
        <w:t>unième session) et rappo</w:t>
      </w:r>
      <w:r w:rsidR="00597C30">
        <w:t xml:space="preserve">rt du Sous-Comité sur sa trente et </w:t>
      </w:r>
      <w:r w:rsidRPr="00CF2A2D">
        <w:t>unième session (ST/SG/AC.10/C.4/62, par</w:t>
      </w:r>
      <w:r w:rsidR="001C2D3C">
        <w:t>.</w:t>
      </w:r>
      <w:r w:rsidRPr="00CF2A2D">
        <w:t> 36)</w:t>
      </w:r>
    </w:p>
    <w:p w:rsidR="00F332D6" w:rsidRPr="00CF2A2D" w:rsidRDefault="00F332D6" w:rsidP="00F332D6">
      <w:pPr>
        <w:pStyle w:val="SingleTxtG"/>
        <w:keepNext/>
        <w:keepLines/>
        <w:ind w:left="1701" w:hanging="567"/>
      </w:pPr>
      <w:r w:rsidRPr="00CF2A2D">
        <w:t>h)</w:t>
      </w:r>
      <w:r w:rsidRPr="00CF2A2D">
        <w:tab/>
        <w:t>Questions pratiques de classification</w:t>
      </w:r>
    </w:p>
    <w:p w:rsidR="00F332D6" w:rsidRPr="00CF2A2D" w:rsidRDefault="00F332D6" w:rsidP="00F332D6">
      <w:pPr>
        <w:pStyle w:val="SingleTxtG"/>
        <w:ind w:left="1701"/>
      </w:pPr>
      <w:r w:rsidRPr="00CF2A2D">
        <w:rPr>
          <w:u w:val="single"/>
        </w:rPr>
        <w:t>Pays chef de file</w:t>
      </w:r>
      <w:r w:rsidR="001C2D3C" w:rsidRPr="001C2D3C">
        <w:t> :</w:t>
      </w:r>
      <w:r w:rsidRPr="001C2D3C">
        <w:t xml:space="preserve"> </w:t>
      </w:r>
      <w:r w:rsidRPr="00CF2A2D">
        <w:t>États</w:t>
      </w:r>
      <w:r w:rsidRPr="00CF2A2D">
        <w:noBreakHyphen/>
        <w:t>Unis d’Amérique</w:t>
      </w:r>
    </w:p>
    <w:p w:rsidR="00F332D6" w:rsidRPr="00CF2A2D" w:rsidRDefault="00F332D6" w:rsidP="00F332D6">
      <w:pPr>
        <w:pStyle w:val="SingleTxtG"/>
        <w:ind w:left="1701"/>
      </w:pPr>
      <w:r w:rsidRPr="00CF2A2D">
        <w:rPr>
          <w:u w:val="single"/>
        </w:rPr>
        <w:t>Coordonnateur</w:t>
      </w:r>
      <w:r w:rsidR="001C2D3C" w:rsidRPr="001C2D3C">
        <w:t> :</w:t>
      </w:r>
      <w:r w:rsidRPr="00CF2A2D">
        <w:t xml:space="preserve"> Groupe de travail informel chargé des questions pratiques de classification</w:t>
      </w:r>
    </w:p>
    <w:p w:rsidR="00F332D6" w:rsidRPr="00CF2A2D" w:rsidRDefault="00F332D6" w:rsidP="00F332D6">
      <w:pPr>
        <w:pStyle w:val="SingleTxtG"/>
        <w:ind w:left="1701"/>
      </w:pPr>
      <w:r w:rsidRPr="00CF2A2D">
        <w:rPr>
          <w:u w:val="single"/>
        </w:rPr>
        <w:t>Mandat</w:t>
      </w:r>
      <w:r w:rsidR="001C2D3C" w:rsidRPr="001C2D3C">
        <w:t> :</w:t>
      </w:r>
      <w:r w:rsidRPr="00CF2A2D">
        <w:t xml:space="preserve"> document informel INF.39 (trente-deuxième session) et rapport du Sous-Comité sur sa trente-deuxième session (ST/SG/AC.10/C.4/64, par</w:t>
      </w:r>
      <w:r w:rsidR="001C2D3C">
        <w:t>.</w:t>
      </w:r>
      <w:r w:rsidRPr="00CF2A2D">
        <w:t> 30)</w:t>
      </w:r>
    </w:p>
    <w:p w:rsidR="00F332D6" w:rsidRPr="00CF2A2D" w:rsidRDefault="00F332D6" w:rsidP="00F332D6">
      <w:pPr>
        <w:pStyle w:val="SingleTxtG"/>
        <w:ind w:left="1701" w:hanging="567"/>
      </w:pPr>
      <w:r w:rsidRPr="00CF2A2D">
        <w:t>i)</w:t>
      </w:r>
      <w:r w:rsidRPr="00CF2A2D">
        <w:tab/>
        <w:t>Danger d’aspiration</w:t>
      </w:r>
    </w:p>
    <w:p w:rsidR="00F332D6" w:rsidRPr="00CF2A2D" w:rsidRDefault="00F332D6" w:rsidP="00F332D6">
      <w:pPr>
        <w:pStyle w:val="SingleTxtG"/>
        <w:ind w:left="1701"/>
      </w:pPr>
      <w:r w:rsidRPr="00CF2A2D">
        <w:rPr>
          <w:u w:val="single"/>
        </w:rPr>
        <w:t>Organisations chefs de file</w:t>
      </w:r>
      <w:r w:rsidR="001C2D3C" w:rsidRPr="001C2D3C">
        <w:t> :</w:t>
      </w:r>
      <w:r w:rsidRPr="00CF2A2D">
        <w:t xml:space="preserve"> OMI et IPPIC</w:t>
      </w:r>
    </w:p>
    <w:p w:rsidR="00F332D6" w:rsidRPr="00CF2A2D" w:rsidRDefault="00F332D6" w:rsidP="00F332D6">
      <w:pPr>
        <w:pStyle w:val="SingleTxtG"/>
        <w:ind w:left="1701"/>
      </w:pPr>
      <w:r w:rsidRPr="00CF2A2D">
        <w:rPr>
          <w:u w:val="single"/>
        </w:rPr>
        <w:t>Mandat</w:t>
      </w:r>
      <w:r w:rsidR="001C2D3C" w:rsidRPr="001C2D3C">
        <w:t> :</w:t>
      </w:r>
      <w:r w:rsidRPr="00CF2A2D">
        <w:t xml:space="preserve"> document informel INF.33 (trente-deuxième session) et rapport du Sous-Comité sur sa trente-deuxième session (ST/SG/AC.10/C.4/64, par</w:t>
      </w:r>
      <w:r w:rsidR="001C2D3C">
        <w:t>.</w:t>
      </w:r>
      <w:r w:rsidRPr="00CF2A2D">
        <w:t> 67)</w:t>
      </w:r>
    </w:p>
    <w:p w:rsidR="00F332D6" w:rsidRPr="00CF2A2D" w:rsidRDefault="00F332D6" w:rsidP="00F332D6">
      <w:pPr>
        <w:pStyle w:val="SingleTxtG"/>
        <w:ind w:left="1701" w:hanging="567"/>
      </w:pPr>
      <w:r w:rsidRPr="00CF2A2D">
        <w:t>j)</w:t>
      </w:r>
      <w:r w:rsidRPr="00CF2A2D">
        <w:tab/>
        <w:t>Nanomatériaux</w:t>
      </w:r>
    </w:p>
    <w:p w:rsidR="00F332D6" w:rsidRPr="00CF2A2D" w:rsidRDefault="00F332D6" w:rsidP="00F332D6">
      <w:pPr>
        <w:pStyle w:val="SingleTxtG"/>
        <w:ind w:left="1701"/>
      </w:pPr>
      <w:r w:rsidRPr="00CF2A2D">
        <w:rPr>
          <w:u w:val="single"/>
        </w:rPr>
        <w:t>Pays chef de file</w:t>
      </w:r>
      <w:r w:rsidR="001C2D3C" w:rsidRPr="001C2D3C">
        <w:t> :</w:t>
      </w:r>
      <w:r w:rsidRPr="00CF2A2D">
        <w:t xml:space="preserve"> France</w:t>
      </w:r>
    </w:p>
    <w:p w:rsidR="00F332D6" w:rsidRPr="00CF2A2D" w:rsidRDefault="00F332D6" w:rsidP="00F332D6">
      <w:pPr>
        <w:pStyle w:val="SingleTxtG"/>
        <w:ind w:left="1701"/>
      </w:pPr>
      <w:r w:rsidRPr="00CF2A2D">
        <w:rPr>
          <w:u w:val="single"/>
        </w:rPr>
        <w:t>Mandat</w:t>
      </w:r>
      <w:r w:rsidR="001C2D3C" w:rsidRPr="001C2D3C">
        <w:t> :</w:t>
      </w:r>
      <w:r w:rsidRPr="00CF2A2D">
        <w:t xml:space="preserve"> document informel INF.27 (trente-deuxième session) et rapport du Sous-Comité sur sa trente-deuxième session (ST/SG/AC.10/C.4/64, par</w:t>
      </w:r>
      <w:r w:rsidR="001C2D3C">
        <w:t>.</w:t>
      </w:r>
      <w:r w:rsidRPr="00CF2A2D">
        <w:t> 32)</w:t>
      </w:r>
    </w:p>
    <w:p w:rsidR="00F332D6" w:rsidRPr="00CF2A2D" w:rsidRDefault="00F332D6" w:rsidP="001C2D3C">
      <w:pPr>
        <w:pStyle w:val="H23G"/>
      </w:pPr>
      <w:r w:rsidRPr="00CF2A2D">
        <w:tab/>
        <w:t>2.</w:t>
      </w:r>
      <w:r w:rsidRPr="00CF2A2D">
        <w:tab/>
        <w:t>Questions relatives à la communication des dangers, y compris :</w:t>
      </w:r>
    </w:p>
    <w:p w:rsidR="00F332D6" w:rsidRPr="00CF2A2D" w:rsidRDefault="00F332D6" w:rsidP="00F332D6">
      <w:pPr>
        <w:pStyle w:val="SingleTxtG"/>
        <w:ind w:left="1701" w:hanging="567"/>
      </w:pPr>
      <w:r w:rsidRPr="00CF2A2D">
        <w:t>a)</w:t>
      </w:r>
      <w:r w:rsidRPr="00CF2A2D">
        <w:tab/>
        <w:t>Étiquetage des petits emballages</w:t>
      </w:r>
    </w:p>
    <w:p w:rsidR="00F332D6" w:rsidRPr="00CF2A2D" w:rsidRDefault="00F332D6" w:rsidP="00F332D6">
      <w:pPr>
        <w:pStyle w:val="SingleTxtG"/>
        <w:ind w:left="1701"/>
      </w:pPr>
      <w:r w:rsidRPr="00CF2A2D">
        <w:rPr>
          <w:u w:val="single"/>
        </w:rPr>
        <w:t>Organisation chef de file</w:t>
      </w:r>
      <w:r w:rsidR="001C2D3C" w:rsidRPr="001C2D3C">
        <w:t> :</w:t>
      </w:r>
      <w:r w:rsidRPr="00CF2A2D">
        <w:t xml:space="preserve"> CEFIC</w:t>
      </w:r>
    </w:p>
    <w:p w:rsidR="00F332D6" w:rsidRPr="00CF2A2D" w:rsidRDefault="00F332D6" w:rsidP="00F332D6">
      <w:pPr>
        <w:pStyle w:val="SingleTxtG"/>
        <w:ind w:left="1701"/>
      </w:pPr>
      <w:r w:rsidRPr="00CF2A2D">
        <w:rPr>
          <w:u w:val="single"/>
        </w:rPr>
        <w:t>Mandat</w:t>
      </w:r>
      <w:r w:rsidR="001C2D3C" w:rsidRPr="001C2D3C">
        <w:t> :</w:t>
      </w:r>
      <w:r w:rsidRPr="00CF2A2D">
        <w:t xml:space="preserve"> rapport du Sous-Comité sur sa trente-deuxième session (ST/SG/AC.10/C.4/64, par</w:t>
      </w:r>
      <w:r w:rsidR="001C2D3C">
        <w:t>.</w:t>
      </w:r>
      <w:r w:rsidRPr="00CF2A2D">
        <w:t> 38)</w:t>
      </w:r>
    </w:p>
    <w:p w:rsidR="00F332D6" w:rsidRPr="00CF2A2D" w:rsidRDefault="00F332D6" w:rsidP="00F332D6">
      <w:pPr>
        <w:pStyle w:val="SingleTxtG"/>
        <w:ind w:left="1701" w:hanging="567"/>
      </w:pPr>
      <w:r w:rsidRPr="00CF2A2D">
        <w:t>b)</w:t>
      </w:r>
      <w:r w:rsidRPr="00CF2A2D">
        <w:tab/>
        <w:t>Amélioration des annexes 1 à</w:t>
      </w:r>
      <w:r w:rsidR="001C2D3C">
        <w:t> </w:t>
      </w:r>
      <w:r w:rsidRPr="00CF2A2D">
        <w:t>3 du SGH et rationalisation des conseils de prudence</w:t>
      </w:r>
    </w:p>
    <w:p w:rsidR="00F332D6" w:rsidRPr="00CF2A2D" w:rsidRDefault="00F332D6" w:rsidP="00F332D6">
      <w:pPr>
        <w:pStyle w:val="SingleTxtG"/>
        <w:ind w:left="1701"/>
      </w:pPr>
      <w:r w:rsidRPr="00CF2A2D">
        <w:rPr>
          <w:u w:val="single"/>
        </w:rPr>
        <w:t>Pays chef de file</w:t>
      </w:r>
      <w:r w:rsidR="001C2D3C" w:rsidRPr="001C2D3C">
        <w:t> :</w:t>
      </w:r>
      <w:r w:rsidRPr="00CF2A2D">
        <w:t xml:space="preserve"> Royaume-Uni</w:t>
      </w:r>
    </w:p>
    <w:p w:rsidR="00F332D6" w:rsidRPr="00CF2A2D" w:rsidRDefault="00F332D6" w:rsidP="00F332D6">
      <w:pPr>
        <w:pStyle w:val="SingleTxtG"/>
        <w:ind w:left="1701"/>
      </w:pPr>
      <w:r w:rsidRPr="00CF2A2D">
        <w:rPr>
          <w:u w:val="single"/>
        </w:rPr>
        <w:t>Mandat</w:t>
      </w:r>
      <w:r w:rsidR="001C2D3C" w:rsidRPr="001C2D3C">
        <w:t> :</w:t>
      </w:r>
      <w:r w:rsidRPr="00CF2A2D">
        <w:t xml:space="preserve"> document informel INF.12/Rev.1 (trente-deuxième session) et rapport du Sous-Comité sur sa trente-deuxième session (ST/SG/AC.10/C.4/64, par</w:t>
      </w:r>
      <w:r w:rsidR="001C2D3C">
        <w:t>.</w:t>
      </w:r>
      <w:r w:rsidRPr="00CF2A2D">
        <w:t> 41)</w:t>
      </w:r>
    </w:p>
    <w:p w:rsidR="00F332D6" w:rsidRPr="00CF2A2D" w:rsidRDefault="001C2D3C" w:rsidP="00F332D6">
      <w:pPr>
        <w:pStyle w:val="SingleTxtG"/>
        <w:ind w:left="1701" w:hanging="567"/>
      </w:pPr>
      <w:r>
        <w:t>c)</w:t>
      </w:r>
      <w:r>
        <w:tab/>
        <w:t>Révision de l’annexe </w:t>
      </w:r>
      <w:r w:rsidR="00F332D6" w:rsidRPr="00CF2A2D">
        <w:t>4, sous-section A4.3.3.2.3</w:t>
      </w:r>
    </w:p>
    <w:p w:rsidR="00F332D6" w:rsidRPr="00503285" w:rsidRDefault="00F332D6" w:rsidP="00F332D6">
      <w:pPr>
        <w:pStyle w:val="SingleTxtG"/>
        <w:ind w:left="1701"/>
      </w:pPr>
      <w:r w:rsidRPr="00503285">
        <w:rPr>
          <w:u w:val="single"/>
        </w:rPr>
        <w:t>Organisation chef de file</w:t>
      </w:r>
      <w:r w:rsidR="001C2D3C" w:rsidRPr="00503285">
        <w:t> :</w:t>
      </w:r>
      <w:r w:rsidRPr="00503285">
        <w:t xml:space="preserve"> CEFIC</w:t>
      </w:r>
    </w:p>
    <w:p w:rsidR="00F332D6" w:rsidRPr="00CF2A2D" w:rsidRDefault="00F332D6" w:rsidP="00F332D6">
      <w:pPr>
        <w:pStyle w:val="SingleTxtG"/>
        <w:ind w:left="1701"/>
      </w:pPr>
      <w:r w:rsidRPr="00503285">
        <w:rPr>
          <w:u w:val="single"/>
        </w:rPr>
        <w:t>Mandat</w:t>
      </w:r>
      <w:r w:rsidR="001C2D3C" w:rsidRPr="00503285">
        <w:t> :</w:t>
      </w:r>
      <w:r w:rsidRPr="00503285">
        <w:t xml:space="preserve"> rapport du Sous-Comité sur sa trente-deuxième session (ST/SG/AC.10/C.4/64, par</w:t>
      </w:r>
      <w:r w:rsidR="001C2D3C" w:rsidRPr="00503285">
        <w:t>.</w:t>
      </w:r>
      <w:r w:rsidRPr="00503285">
        <w:t> 48)</w:t>
      </w:r>
    </w:p>
    <w:p w:rsidR="00F332D6" w:rsidRPr="00CF2A2D" w:rsidRDefault="00F332D6" w:rsidP="00503285">
      <w:pPr>
        <w:pStyle w:val="H23G"/>
      </w:pPr>
      <w:r w:rsidRPr="00CF2A2D">
        <w:tab/>
        <w:t>3.</w:t>
      </w:r>
      <w:r w:rsidRPr="00CF2A2D">
        <w:tab/>
        <w:t>Questions relatives à la mise en œuvre, y compris :</w:t>
      </w:r>
    </w:p>
    <w:p w:rsidR="00F332D6" w:rsidRPr="00CF2A2D" w:rsidRDefault="00F332D6" w:rsidP="00F332D6">
      <w:pPr>
        <w:pStyle w:val="SingleTxtG"/>
        <w:ind w:left="1701" w:hanging="567"/>
      </w:pPr>
      <w:r w:rsidRPr="00CF2A2D">
        <w:t>a)</w:t>
      </w:r>
      <w:r w:rsidRPr="00CF2A2D">
        <w:tab/>
        <w:t>Examiner les possibilités d’élaboration d’une liste des produits chimiques classés conformément au SGH</w:t>
      </w:r>
    </w:p>
    <w:p w:rsidR="00F332D6" w:rsidRPr="00CF2A2D" w:rsidRDefault="00F332D6" w:rsidP="00F332D6">
      <w:pPr>
        <w:pStyle w:val="SingleTxtG"/>
        <w:ind w:left="1701"/>
      </w:pPr>
      <w:r w:rsidRPr="00CF2A2D">
        <w:rPr>
          <w:u w:val="single"/>
        </w:rPr>
        <w:t>Pays chef de file</w:t>
      </w:r>
      <w:r w:rsidR="00503285" w:rsidRPr="00503285">
        <w:t> </w:t>
      </w:r>
      <w:r w:rsidRPr="00503285">
        <w:t>:</w:t>
      </w:r>
      <w:r w:rsidRPr="00CF2A2D">
        <w:t xml:space="preserve"> </w:t>
      </w:r>
      <w:r w:rsidR="00503285">
        <w:t>États-</w:t>
      </w:r>
      <w:r w:rsidRPr="00CF2A2D">
        <w:t>Unis d’Amérique</w:t>
      </w:r>
    </w:p>
    <w:p w:rsidR="00F332D6" w:rsidRPr="00CF2A2D" w:rsidRDefault="00F332D6" w:rsidP="00F332D6">
      <w:pPr>
        <w:pStyle w:val="SingleTxtG"/>
        <w:ind w:left="1701"/>
      </w:pPr>
      <w:r w:rsidRPr="00CF2A2D">
        <w:rPr>
          <w:u w:val="single"/>
        </w:rPr>
        <w:t>Mandat</w:t>
      </w:r>
      <w:r w:rsidR="00503285" w:rsidRPr="00503285">
        <w:t> :</w:t>
      </w:r>
      <w:r w:rsidRPr="00CF2A2D">
        <w:t xml:space="preserve"> document informel INF.40 (trente-deuxième session) et rapport du Sous-Comité sur sa trente-deuxième session (ST/SG/AC.10/C.4/64, par</w:t>
      </w:r>
      <w:r w:rsidR="00503285">
        <w:t>.</w:t>
      </w:r>
      <w:r w:rsidRPr="00CF2A2D">
        <w:t> 53)</w:t>
      </w:r>
    </w:p>
    <w:p w:rsidR="00F332D6" w:rsidRPr="00CF2A2D" w:rsidRDefault="00F332D6" w:rsidP="00F332D6">
      <w:pPr>
        <w:pStyle w:val="SingleTxtG"/>
        <w:ind w:left="1701" w:hanging="567"/>
      </w:pPr>
      <w:r w:rsidRPr="00CF2A2D">
        <w:t>b)</w:t>
      </w:r>
      <w:r w:rsidRPr="00CF2A2D">
        <w:tab/>
        <w:t>Faciliter la mise en œuvre coordonnée dans les pays et en suivre l’avancement</w:t>
      </w:r>
    </w:p>
    <w:p w:rsidR="00F332D6" w:rsidRPr="00CF2A2D" w:rsidRDefault="00F332D6" w:rsidP="00F332D6">
      <w:pPr>
        <w:pStyle w:val="SingleTxtG"/>
        <w:ind w:left="1701" w:hanging="567"/>
      </w:pPr>
      <w:r w:rsidRPr="00CF2A2D">
        <w:t>c)</w:t>
      </w:r>
      <w:r w:rsidRPr="00CF2A2D">
        <w:tab/>
        <w:t>Coopérer avec d’autres organes ou organisations internationales chargés d’administrer les accords et conventions internationales traitant des questions de gestion des produits chimiques, en vue de faire appliquer le SGH par l’intermédiaire de tels instruments</w:t>
      </w:r>
    </w:p>
    <w:p w:rsidR="00F332D6" w:rsidRPr="00CF2A2D" w:rsidRDefault="00F332D6" w:rsidP="00F332D6">
      <w:pPr>
        <w:pStyle w:val="H23G"/>
      </w:pPr>
      <w:r w:rsidRPr="00CF2A2D">
        <w:tab/>
        <w:t>4.</w:t>
      </w:r>
      <w:r w:rsidRPr="00CF2A2D">
        <w:tab/>
        <w:t>Orientations sur l’application des critères du SGH, y compris :</w:t>
      </w:r>
    </w:p>
    <w:p w:rsidR="00F332D6" w:rsidRPr="00CF2A2D" w:rsidRDefault="00F332D6" w:rsidP="00F332D6">
      <w:pPr>
        <w:pStyle w:val="SingleTxtG"/>
        <w:ind w:left="1701" w:hanging="567"/>
      </w:pPr>
      <w:r w:rsidRPr="00CF2A2D">
        <w:t>a)</w:t>
      </w:r>
      <w:r w:rsidRPr="00CF2A2D">
        <w:tab/>
        <w:t>Élaboration d’exemples illustrant l’application des critères et les éventuelles questions connexes de communication des dangers, le cas échéant</w:t>
      </w:r>
    </w:p>
    <w:p w:rsidR="00F332D6" w:rsidRPr="00CF2A2D" w:rsidRDefault="00F332D6" w:rsidP="00F332D6">
      <w:pPr>
        <w:pStyle w:val="SingleTxtG"/>
        <w:ind w:left="1701"/>
      </w:pPr>
      <w:r w:rsidRPr="00CF2A2D">
        <w:rPr>
          <w:u w:val="single"/>
        </w:rPr>
        <w:t>Pays chef de file</w:t>
      </w:r>
      <w:r w:rsidR="00503285" w:rsidRPr="00503285">
        <w:t> :</w:t>
      </w:r>
      <w:r w:rsidRPr="00CF2A2D">
        <w:t xml:space="preserve"> </w:t>
      </w:r>
      <w:r w:rsidR="00503285">
        <w:t>États-</w:t>
      </w:r>
      <w:r w:rsidRPr="00CF2A2D">
        <w:t>Unis d’Amérique</w:t>
      </w:r>
    </w:p>
    <w:p w:rsidR="00F332D6" w:rsidRPr="00CF2A2D" w:rsidRDefault="00F332D6" w:rsidP="00F332D6">
      <w:pPr>
        <w:pStyle w:val="SingleTxtG"/>
        <w:ind w:left="1701"/>
      </w:pPr>
      <w:r w:rsidRPr="00CF2A2D">
        <w:rPr>
          <w:u w:val="single"/>
        </w:rPr>
        <w:t>Coordonnateur</w:t>
      </w:r>
      <w:r w:rsidR="00503285" w:rsidRPr="00503285">
        <w:t> :</w:t>
      </w:r>
      <w:r w:rsidRPr="00CF2A2D">
        <w:t xml:space="preserve"> Groupe de travail informel par correspondance chargé des questions pratiques de classification</w:t>
      </w:r>
    </w:p>
    <w:p w:rsidR="00F332D6" w:rsidRPr="00CF2A2D" w:rsidRDefault="00F332D6" w:rsidP="00F332D6">
      <w:pPr>
        <w:pStyle w:val="SingleTxtG"/>
        <w:ind w:left="1701"/>
      </w:pPr>
      <w:r w:rsidRPr="00CF2A2D">
        <w:rPr>
          <w:u w:val="single"/>
        </w:rPr>
        <w:t>Mandat</w:t>
      </w:r>
      <w:r w:rsidR="00503285" w:rsidRPr="00503285">
        <w:t> :</w:t>
      </w:r>
      <w:r w:rsidRPr="00CF2A2D">
        <w:t xml:space="preserve"> document informel INF.39 (trente-deuxième session) et rapport du Sous-Comité sur sa trente-deuxième session (ST/SG/AC.10/C.4/64, par</w:t>
      </w:r>
      <w:r w:rsidR="00503285">
        <w:t>.</w:t>
      </w:r>
      <w:r w:rsidRPr="00CF2A2D">
        <w:t> 30)</w:t>
      </w:r>
    </w:p>
    <w:p w:rsidR="00F332D6" w:rsidRPr="00CF2A2D" w:rsidRDefault="00F332D6" w:rsidP="00F332D6">
      <w:pPr>
        <w:pStyle w:val="SingleTxtG"/>
        <w:ind w:left="1701" w:hanging="567"/>
      </w:pPr>
      <w:r w:rsidRPr="00CF2A2D">
        <w:t>b)</w:t>
      </w:r>
      <w:r w:rsidRPr="00CF2A2D">
        <w:tab/>
        <w:t>Alignement des orientations figurant dans l’annexe 9 (section A9.7) et dans l’annexe 10 du SGH sur les critères du chapitre 4.1</w:t>
      </w:r>
    </w:p>
    <w:p w:rsidR="00F332D6" w:rsidRPr="00CF2A2D" w:rsidRDefault="00F332D6" w:rsidP="00F332D6">
      <w:pPr>
        <w:pStyle w:val="SingleTxtG"/>
        <w:ind w:left="1701"/>
      </w:pPr>
      <w:r w:rsidRPr="00CF2A2D">
        <w:rPr>
          <w:u w:val="single"/>
        </w:rPr>
        <w:t>Organisation chef de file</w:t>
      </w:r>
      <w:r w:rsidR="00503285" w:rsidRPr="00503285">
        <w:t> :</w:t>
      </w:r>
      <w:r w:rsidRPr="00CF2A2D">
        <w:t xml:space="preserve"> ICMM</w:t>
      </w:r>
    </w:p>
    <w:p w:rsidR="00F332D6" w:rsidRPr="00CF2A2D" w:rsidRDefault="00F332D6" w:rsidP="00F332D6">
      <w:pPr>
        <w:pStyle w:val="SingleTxtG"/>
        <w:ind w:left="1701"/>
      </w:pPr>
      <w:r w:rsidRPr="00CF2A2D">
        <w:rPr>
          <w:u w:val="single"/>
        </w:rPr>
        <w:t>Mandat</w:t>
      </w:r>
      <w:r w:rsidR="00503285" w:rsidRPr="00503285">
        <w:t> :</w:t>
      </w:r>
      <w:r w:rsidRPr="00CF2A2D">
        <w:t xml:space="preserve"> document informel INF.25 (vingt-quatrième session) et rapport du Sous-Comité sur sa trente-deuxième session (ST/SG/AC.10/C.4/64, par</w:t>
      </w:r>
      <w:r w:rsidR="00503285">
        <w:t>.</w:t>
      </w:r>
      <w:r w:rsidRPr="00CF2A2D">
        <w:t> 66)</w:t>
      </w:r>
    </w:p>
    <w:p w:rsidR="00F332D6" w:rsidRPr="00CF2A2D" w:rsidRDefault="00F332D6" w:rsidP="00503285">
      <w:pPr>
        <w:pStyle w:val="H23G"/>
      </w:pPr>
      <w:r w:rsidRPr="00CF2A2D">
        <w:tab/>
        <w:t>5.</w:t>
      </w:r>
      <w:r w:rsidRPr="00CF2A2D">
        <w:tab/>
        <w:t>Renforcement des capacités</w:t>
      </w:r>
    </w:p>
    <w:p w:rsidR="00F332D6" w:rsidRPr="00CF2A2D" w:rsidRDefault="00F332D6" w:rsidP="00F332D6">
      <w:pPr>
        <w:pStyle w:val="SingleTxtG"/>
        <w:ind w:left="1701" w:hanging="567"/>
      </w:pPr>
      <w:r w:rsidRPr="00CF2A2D">
        <w:t>a)</w:t>
      </w:r>
      <w:r w:rsidRPr="00CF2A2D">
        <w:tab/>
        <w:t>Examiner les rapports sur les activités de formation et de renforcement des capacités</w:t>
      </w:r>
      <w:r w:rsidR="00503285">
        <w:t>.</w:t>
      </w:r>
    </w:p>
    <w:p w:rsidR="00F332D6" w:rsidRPr="00CF2A2D" w:rsidRDefault="00F332D6" w:rsidP="00F332D6">
      <w:pPr>
        <w:pStyle w:val="SingleTxtG"/>
        <w:ind w:left="1701" w:hanging="567"/>
      </w:pPr>
      <w:r w:rsidRPr="00CF2A2D">
        <w:t>b)</w:t>
      </w:r>
      <w:r w:rsidRPr="00CF2A2D">
        <w:tab/>
        <w:t>Apporter une assistance aux programmes des Nations Unies et aux institutions spécialisées menant des activités de formation et de renforcement des capacités, notamment l’UNITAR, l’OIT, la FAO et le PIST/OMS, en élaborant des documents directifs, en fournissant des conseils pour les programmes de formation et en recensant les experts et ressources disponibles</w:t>
      </w:r>
      <w:r w:rsidR="00503285">
        <w:t>.</w:t>
      </w:r>
    </w:p>
    <w:p w:rsidR="00F332D6" w:rsidRPr="00CF2A2D" w:rsidRDefault="00F332D6" w:rsidP="00F332D6">
      <w:pPr>
        <w:pStyle w:val="SingleTxtG"/>
        <w:spacing w:before="240" w:after="0"/>
        <w:jc w:val="center"/>
        <w:rPr>
          <w:u w:val="single"/>
        </w:rPr>
      </w:pPr>
      <w:r w:rsidRPr="00CF2A2D">
        <w:rPr>
          <w:u w:val="single"/>
        </w:rPr>
        <w:tab/>
      </w:r>
      <w:r w:rsidRPr="00CF2A2D">
        <w:rPr>
          <w:u w:val="single"/>
        </w:rPr>
        <w:tab/>
      </w:r>
      <w:r w:rsidRPr="00CF2A2D">
        <w:rPr>
          <w:u w:val="single"/>
        </w:rPr>
        <w:tab/>
      </w:r>
    </w:p>
    <w:sectPr w:rsidR="00F332D6" w:rsidRPr="00CF2A2D" w:rsidSect="00CF1696">
      <w:headerReference w:type="even" r:id="rId14"/>
      <w:headerReference w:type="default" r:id="rId15"/>
      <w:footerReference w:type="even" r:id="rId16"/>
      <w:footerReference w:type="default" r:id="rId17"/>
      <w:footerReference w:type="first" r:id="rId18"/>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F6E" w:rsidRDefault="000A6F6E" w:rsidP="00F95C08">
      <w:pPr>
        <w:spacing w:line="240" w:lineRule="auto"/>
      </w:pPr>
    </w:p>
  </w:endnote>
  <w:endnote w:type="continuationSeparator" w:id="0">
    <w:p w:rsidR="000A6F6E" w:rsidRPr="00AC3823" w:rsidRDefault="000A6F6E" w:rsidP="00AC3823">
      <w:pPr>
        <w:pStyle w:val="Footer"/>
      </w:pPr>
    </w:p>
  </w:endnote>
  <w:endnote w:type="continuationNotice" w:id="1">
    <w:p w:rsidR="000A6F6E" w:rsidRDefault="000A6F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F6E" w:rsidRPr="00CF1696" w:rsidRDefault="000A6F6E" w:rsidP="00CF1696">
    <w:pPr>
      <w:pStyle w:val="Footer"/>
      <w:tabs>
        <w:tab w:val="right" w:pos="9638"/>
      </w:tabs>
    </w:pPr>
    <w:r w:rsidRPr="00CF1696">
      <w:rPr>
        <w:b/>
        <w:sz w:val="18"/>
      </w:rPr>
      <w:fldChar w:fldCharType="begin"/>
    </w:r>
    <w:r w:rsidRPr="00CF1696">
      <w:rPr>
        <w:b/>
        <w:sz w:val="18"/>
      </w:rPr>
      <w:instrText xml:space="preserve"> PAGE  \* MERGEFORMAT </w:instrText>
    </w:r>
    <w:r w:rsidRPr="00CF1696">
      <w:rPr>
        <w:b/>
        <w:sz w:val="18"/>
      </w:rPr>
      <w:fldChar w:fldCharType="separate"/>
    </w:r>
    <w:r w:rsidR="00F904E0">
      <w:rPr>
        <w:b/>
        <w:noProof/>
        <w:sz w:val="18"/>
      </w:rPr>
      <w:t>24</w:t>
    </w:r>
    <w:r w:rsidRPr="00CF1696">
      <w:rPr>
        <w:b/>
        <w:sz w:val="18"/>
      </w:rPr>
      <w:fldChar w:fldCharType="end"/>
    </w:r>
    <w:r>
      <w:rPr>
        <w:b/>
        <w:sz w:val="18"/>
      </w:rPr>
      <w:tab/>
    </w:r>
    <w:r>
      <w:t>GE.16-22035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F6E" w:rsidRPr="00CF1696" w:rsidRDefault="000A6F6E" w:rsidP="00CF1696">
    <w:pPr>
      <w:pStyle w:val="Footer"/>
      <w:tabs>
        <w:tab w:val="right" w:pos="9638"/>
      </w:tabs>
      <w:rPr>
        <w:b/>
        <w:sz w:val="18"/>
      </w:rPr>
    </w:pPr>
    <w:r>
      <w:t>GE.16-22035</w:t>
    </w:r>
    <w:r>
      <w:tab/>
    </w:r>
    <w:r w:rsidRPr="00CF1696">
      <w:rPr>
        <w:b/>
        <w:sz w:val="18"/>
      </w:rPr>
      <w:fldChar w:fldCharType="begin"/>
    </w:r>
    <w:r w:rsidRPr="00CF1696">
      <w:rPr>
        <w:b/>
        <w:sz w:val="18"/>
      </w:rPr>
      <w:instrText xml:space="preserve"> PAGE  \* MERGEFORMAT </w:instrText>
    </w:r>
    <w:r w:rsidRPr="00CF1696">
      <w:rPr>
        <w:b/>
        <w:sz w:val="18"/>
      </w:rPr>
      <w:fldChar w:fldCharType="separate"/>
    </w:r>
    <w:r w:rsidR="00F904E0">
      <w:rPr>
        <w:b/>
        <w:noProof/>
        <w:sz w:val="18"/>
      </w:rPr>
      <w:t>25</w:t>
    </w:r>
    <w:r w:rsidRPr="00CF169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F6E" w:rsidRPr="00CF1696" w:rsidRDefault="000A6F6E" w:rsidP="00CF1696">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2BD0219E" wp14:editId="6AA67D7E">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16-22035 (F)    250117    </w:t>
    </w:r>
    <w:r w:rsidRPr="00A1700C">
      <w:rPr>
        <w:sz w:val="20"/>
      </w:rPr>
      <w:t>270117</w:t>
    </w:r>
    <w:r>
      <w:rPr>
        <w:sz w:val="20"/>
      </w:rPr>
      <w:br/>
    </w:r>
    <w:r w:rsidRPr="00CF1696">
      <w:rPr>
        <w:rFonts w:ascii="C39T30Lfz" w:hAnsi="C39T30Lfz"/>
        <w:sz w:val="56"/>
      </w:rPr>
      <w:t></w:t>
    </w:r>
    <w:r w:rsidRPr="00CF1696">
      <w:rPr>
        <w:rFonts w:ascii="C39T30Lfz" w:hAnsi="C39T30Lfz"/>
        <w:sz w:val="56"/>
      </w:rPr>
      <w:t></w:t>
    </w:r>
    <w:r w:rsidRPr="00CF1696">
      <w:rPr>
        <w:rFonts w:ascii="C39T30Lfz" w:hAnsi="C39T30Lfz"/>
        <w:sz w:val="56"/>
      </w:rPr>
      <w:t></w:t>
    </w:r>
    <w:r w:rsidRPr="00CF1696">
      <w:rPr>
        <w:rFonts w:ascii="C39T30Lfz" w:hAnsi="C39T30Lfz"/>
        <w:sz w:val="56"/>
      </w:rPr>
      <w:t></w:t>
    </w:r>
    <w:r w:rsidRPr="00CF1696">
      <w:rPr>
        <w:rFonts w:ascii="C39T30Lfz" w:hAnsi="C39T30Lfz"/>
        <w:sz w:val="56"/>
      </w:rPr>
      <w:t></w:t>
    </w:r>
    <w:r w:rsidRPr="00CF1696">
      <w:rPr>
        <w:rFonts w:ascii="C39T30Lfz" w:hAnsi="C39T30Lfz"/>
        <w:sz w:val="56"/>
      </w:rPr>
      <w:t></w:t>
    </w:r>
    <w:r w:rsidRPr="00CF1696">
      <w:rPr>
        <w:rFonts w:ascii="C39T30Lfz" w:hAnsi="C39T30Lfz"/>
        <w:sz w:val="56"/>
      </w:rPr>
      <w:t></w:t>
    </w:r>
    <w:r w:rsidRPr="00CF1696">
      <w:rPr>
        <w:rFonts w:ascii="C39T30Lfz" w:hAnsi="C39T30Lfz"/>
        <w:sz w:val="56"/>
      </w:rPr>
      <w:t></w:t>
    </w:r>
    <w:r w:rsidRPr="00CF1696">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10293579" wp14:editId="17F52F9D">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ST/SG/AC.10/C.4/6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4/6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F6E" w:rsidRPr="00AC3823" w:rsidRDefault="000A6F6E" w:rsidP="00AC3823">
      <w:pPr>
        <w:pStyle w:val="Footer"/>
        <w:tabs>
          <w:tab w:val="right" w:pos="2155"/>
        </w:tabs>
        <w:spacing w:after="80" w:line="240" w:lineRule="atLeast"/>
        <w:ind w:left="680"/>
        <w:rPr>
          <w:u w:val="single"/>
        </w:rPr>
      </w:pPr>
      <w:r>
        <w:rPr>
          <w:u w:val="single"/>
        </w:rPr>
        <w:tab/>
      </w:r>
    </w:p>
  </w:footnote>
  <w:footnote w:type="continuationSeparator" w:id="0">
    <w:p w:rsidR="000A6F6E" w:rsidRPr="00AC3823" w:rsidRDefault="000A6F6E" w:rsidP="00AC3823">
      <w:pPr>
        <w:pStyle w:val="Footer"/>
        <w:tabs>
          <w:tab w:val="right" w:pos="2155"/>
        </w:tabs>
        <w:spacing w:after="80" w:line="240" w:lineRule="atLeast"/>
        <w:ind w:left="680"/>
        <w:rPr>
          <w:u w:val="single"/>
        </w:rPr>
      </w:pPr>
      <w:r>
        <w:rPr>
          <w:u w:val="single"/>
        </w:rPr>
        <w:tab/>
      </w:r>
    </w:p>
  </w:footnote>
  <w:footnote w:type="continuationNotice" w:id="1">
    <w:p w:rsidR="000A6F6E" w:rsidRPr="00AC3823" w:rsidRDefault="000A6F6E">
      <w:pPr>
        <w:spacing w:line="240" w:lineRule="auto"/>
        <w:rPr>
          <w:sz w:val="2"/>
          <w:szCs w:val="2"/>
        </w:rPr>
      </w:pPr>
    </w:p>
  </w:footnote>
  <w:footnote w:id="2">
    <w:p w:rsidR="000A6F6E" w:rsidRPr="00CF2A2D" w:rsidRDefault="000A6F6E" w:rsidP="00CF2A2D">
      <w:pPr>
        <w:pStyle w:val="FootnoteText"/>
      </w:pPr>
      <w:r>
        <w:rPr>
          <w:lang w:val="fr-FR"/>
        </w:rPr>
        <w:tab/>
      </w:r>
      <w:r w:rsidRPr="005076E3">
        <w:rPr>
          <w:rStyle w:val="FootnoteReference"/>
        </w:rPr>
        <w:footnoteRef/>
      </w:r>
      <w:r>
        <w:rPr>
          <w:lang w:val="fr-FR"/>
        </w:rPr>
        <w:t xml:space="preserve"> </w:t>
      </w:r>
      <w:r>
        <w:rPr>
          <w:lang w:val="fr-FR"/>
        </w:rPr>
        <w:tab/>
        <w:t>http://www.unece.org/trans/danger/publi/ghs/implementation_e.html.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F6E" w:rsidRPr="00CF1696" w:rsidRDefault="000A6F6E">
    <w:pPr>
      <w:pStyle w:val="Header"/>
    </w:pPr>
    <w:r>
      <w:t>ST/SG/AC.10/C.4/64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F6E" w:rsidRPr="00CF1696" w:rsidRDefault="000A6F6E" w:rsidP="00CF1696">
    <w:pPr>
      <w:pStyle w:val="Header"/>
      <w:jc w:val="right"/>
    </w:pPr>
    <w:r>
      <w:t>ST/SG/AC.10/C.4/64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34530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49382E3C"/>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55B36B9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0"/>
  </w:num>
  <w:num w:numId="16">
    <w:abstractNumId w:val="14"/>
  </w:num>
  <w:num w:numId="17">
    <w:abstractNumId w:val="16"/>
  </w:num>
  <w:num w:numId="18">
    <w:abstractNumId w:val="18"/>
  </w:num>
  <w:num w:numId="19">
    <w:abstractNumId w:val="11"/>
    <w:lvlOverride w:ilvl="0">
      <w:lvl w:ilvl="0" w:tplc="9008FA9E">
        <w:start w:val="1"/>
        <w:numFmt w:val="bullet"/>
        <w:lvlText w:val="•"/>
        <w:lvlJc w:val="left"/>
        <w:pPr>
          <w:tabs>
            <w:tab w:val="num" w:pos="1701"/>
          </w:tabs>
          <w:ind w:left="1701" w:hanging="170"/>
        </w:pPr>
        <w:rPr>
          <w:rFonts w:ascii="Times New Roman" w:hAnsi="Times New Roman" w:cs="Times New Roman" w:hint="default"/>
        </w:rPr>
      </w:lvl>
    </w:lvlOverride>
  </w:num>
  <w:num w:numId="20">
    <w:abstractNumId w:val="17"/>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5AB"/>
    <w:rsid w:val="00017F94"/>
    <w:rsid w:val="00023842"/>
    <w:rsid w:val="000305D3"/>
    <w:rsid w:val="000334F9"/>
    <w:rsid w:val="0007796D"/>
    <w:rsid w:val="000A6F6E"/>
    <w:rsid w:val="000B7790"/>
    <w:rsid w:val="00111F2F"/>
    <w:rsid w:val="00132EA9"/>
    <w:rsid w:val="0014365E"/>
    <w:rsid w:val="001455AB"/>
    <w:rsid w:val="00176178"/>
    <w:rsid w:val="00194269"/>
    <w:rsid w:val="001C2D3C"/>
    <w:rsid w:val="001F525A"/>
    <w:rsid w:val="00223272"/>
    <w:rsid w:val="0024779E"/>
    <w:rsid w:val="00283190"/>
    <w:rsid w:val="002832AC"/>
    <w:rsid w:val="002D7C93"/>
    <w:rsid w:val="003C6F80"/>
    <w:rsid w:val="003D72DA"/>
    <w:rsid w:val="00415A57"/>
    <w:rsid w:val="00441C3B"/>
    <w:rsid w:val="00446FE5"/>
    <w:rsid w:val="00452396"/>
    <w:rsid w:val="004E468C"/>
    <w:rsid w:val="00503285"/>
    <w:rsid w:val="005505B7"/>
    <w:rsid w:val="00573BE5"/>
    <w:rsid w:val="00586ED3"/>
    <w:rsid w:val="00596AA9"/>
    <w:rsid w:val="00597C30"/>
    <w:rsid w:val="005C094E"/>
    <w:rsid w:val="0068456F"/>
    <w:rsid w:val="0071601D"/>
    <w:rsid w:val="007877CA"/>
    <w:rsid w:val="007A1F67"/>
    <w:rsid w:val="007A62E6"/>
    <w:rsid w:val="0080684C"/>
    <w:rsid w:val="008566E1"/>
    <w:rsid w:val="00871C75"/>
    <w:rsid w:val="008776DC"/>
    <w:rsid w:val="008C127F"/>
    <w:rsid w:val="008E32EA"/>
    <w:rsid w:val="0094657E"/>
    <w:rsid w:val="0094712C"/>
    <w:rsid w:val="009705C8"/>
    <w:rsid w:val="00983FF9"/>
    <w:rsid w:val="009C1CF4"/>
    <w:rsid w:val="00A1700C"/>
    <w:rsid w:val="00A30353"/>
    <w:rsid w:val="00A469C7"/>
    <w:rsid w:val="00AC3823"/>
    <w:rsid w:val="00AE323C"/>
    <w:rsid w:val="00B00181"/>
    <w:rsid w:val="00B00B0D"/>
    <w:rsid w:val="00B1594C"/>
    <w:rsid w:val="00B765F7"/>
    <w:rsid w:val="00BA0CA9"/>
    <w:rsid w:val="00C02897"/>
    <w:rsid w:val="00CE31AB"/>
    <w:rsid w:val="00CF1696"/>
    <w:rsid w:val="00CF2A2D"/>
    <w:rsid w:val="00D3439C"/>
    <w:rsid w:val="00DB1831"/>
    <w:rsid w:val="00DD3BFD"/>
    <w:rsid w:val="00DF6678"/>
    <w:rsid w:val="00E03BDC"/>
    <w:rsid w:val="00ED4F86"/>
    <w:rsid w:val="00EF2E22"/>
    <w:rsid w:val="00F15CDD"/>
    <w:rsid w:val="00F332D6"/>
    <w:rsid w:val="00F660DF"/>
    <w:rsid w:val="00F730C8"/>
    <w:rsid w:val="00F904E0"/>
    <w:rsid w:val="00F95C08"/>
    <w:rsid w:val="00FC4E1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80684C"/>
    <w:pPr>
      <w:spacing w:after="120"/>
      <w:ind w:left="1134" w:right="1134"/>
      <w:jc w:val="both"/>
    </w:pPr>
  </w:style>
  <w:style w:type="character" w:customStyle="1" w:styleId="SingleTxtGChar">
    <w:name w:val="_ Single Txt_G Char"/>
    <w:link w:val="SingleTxtG"/>
    <w:qFormat/>
    <w:rsid w:val="00CF1696"/>
    <w:rPr>
      <w:rFonts w:ascii="Times New Roman" w:hAnsi="Times New Roman" w:cs="Times New Roman"/>
      <w:sz w:val="20"/>
      <w:szCs w:val="20"/>
      <w:lang w:eastAsia="en-US"/>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CF1696"/>
    <w:rPr>
      <w:rFonts w:ascii="Times New Roman" w:hAnsi="Times New Roman" w:cs="Times New Roman"/>
      <w:b/>
      <w:sz w:val="28"/>
      <w:szCs w:val="20"/>
      <w:lang w:eastAsia="en-US"/>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CF1696"/>
    <w:rPr>
      <w:rFonts w:ascii="Times New Roman" w:hAnsi="Times New Roman" w:cs="Times New Roman"/>
      <w:b/>
      <w:sz w:val="24"/>
      <w:szCs w:val="20"/>
      <w:lang w:eastAsia="en-US"/>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paragraph" w:styleId="BalloonText">
    <w:name w:val="Balloon Text"/>
    <w:basedOn w:val="Normal"/>
    <w:link w:val="BalloonTextChar"/>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32E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80684C"/>
    <w:pPr>
      <w:spacing w:after="120"/>
      <w:ind w:left="1134" w:right="1134"/>
      <w:jc w:val="both"/>
    </w:pPr>
  </w:style>
  <w:style w:type="character" w:customStyle="1" w:styleId="SingleTxtGChar">
    <w:name w:val="_ Single Txt_G Char"/>
    <w:link w:val="SingleTxtG"/>
    <w:qFormat/>
    <w:rsid w:val="00CF1696"/>
    <w:rPr>
      <w:rFonts w:ascii="Times New Roman" w:hAnsi="Times New Roman" w:cs="Times New Roman"/>
      <w:sz w:val="20"/>
      <w:szCs w:val="20"/>
      <w:lang w:eastAsia="en-US"/>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CF1696"/>
    <w:rPr>
      <w:rFonts w:ascii="Times New Roman" w:hAnsi="Times New Roman" w:cs="Times New Roman"/>
      <w:b/>
      <w:sz w:val="28"/>
      <w:szCs w:val="20"/>
      <w:lang w:eastAsia="en-US"/>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CF1696"/>
    <w:rPr>
      <w:rFonts w:ascii="Times New Roman" w:hAnsi="Times New Roman" w:cs="Times New Roman"/>
      <w:b/>
      <w:sz w:val="24"/>
      <w:szCs w:val="20"/>
      <w:lang w:eastAsia="en-US"/>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paragraph" w:styleId="BalloonText">
    <w:name w:val="Balloon Text"/>
    <w:basedOn w:val="Normal"/>
    <w:link w:val="BalloonTextChar"/>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7A06F-9EC2-417C-92FD-7CE78EC82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7772</Words>
  <Characters>44307</Characters>
  <Application>Microsoft Office Word</Application>
  <DocSecurity>0</DocSecurity>
  <Lines>369</Lines>
  <Paragraphs>103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ST/SG/AC.10/C.4/64</vt:lpstr>
      <vt:lpstr>ST/SG/AC.10/C.4/64</vt:lpstr>
    </vt:vector>
  </TitlesOfParts>
  <Company>DCM</Company>
  <LinksUpToDate>false</LinksUpToDate>
  <CharactersWithSpaces>51976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ST/SG/AC.10/C.4/64</dc:title>
  <dc:creator>Bourion</dc:creator>
  <cp:lastModifiedBy>Laurence Berthet</cp:lastModifiedBy>
  <cp:revision>2</cp:revision>
  <cp:lastPrinted>2017-02-22T13:21:00Z</cp:lastPrinted>
  <dcterms:created xsi:type="dcterms:W3CDTF">2017-02-22T13:21:00Z</dcterms:created>
  <dcterms:modified xsi:type="dcterms:W3CDTF">2017-02-22T13:21:00Z</dcterms:modified>
</cp:coreProperties>
</file>