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482AF2" w:rsidRPr="00A27836" w:rsidTr="0034591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482AF2" w:rsidRPr="00A27836" w:rsidRDefault="00482AF2" w:rsidP="00866D6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82AF2" w:rsidRPr="00A27836" w:rsidRDefault="00482AF2" w:rsidP="00866D64">
            <w:pPr>
              <w:spacing w:after="80" w:line="300" w:lineRule="exact"/>
              <w:rPr>
                <w:sz w:val="28"/>
                <w:lang w:val="fr-FR"/>
              </w:rPr>
            </w:pPr>
            <w:r w:rsidRPr="00A27836">
              <w:rPr>
                <w:sz w:val="28"/>
                <w:lang w:val="fr-FR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482AF2" w:rsidRPr="00A27836" w:rsidRDefault="00A50670" w:rsidP="00A50670">
            <w:pPr>
              <w:jc w:val="right"/>
              <w:rPr>
                <w:lang w:val="fr-FR"/>
              </w:rPr>
            </w:pPr>
            <w:r w:rsidRPr="00A50670">
              <w:rPr>
                <w:sz w:val="40"/>
                <w:lang w:val="fr-FR"/>
              </w:rPr>
              <w:t>ST</w:t>
            </w:r>
            <w:r>
              <w:rPr>
                <w:lang w:val="fr-FR"/>
              </w:rPr>
              <w:t>/SG/AC.10/C.4/63/Add.1</w:t>
            </w:r>
          </w:p>
        </w:tc>
      </w:tr>
      <w:tr w:rsidR="00482AF2" w:rsidRPr="00A27836" w:rsidTr="00866D64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482AF2" w:rsidRPr="00A27836" w:rsidRDefault="00A27836" w:rsidP="00866D64">
            <w:pPr>
              <w:spacing w:before="120"/>
              <w:jc w:val="center"/>
              <w:rPr>
                <w:lang w:val="fr-FR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82AF2" w:rsidRPr="00A27836" w:rsidRDefault="00482AF2" w:rsidP="00866D64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A27836">
              <w:rPr>
                <w:b/>
                <w:sz w:val="40"/>
                <w:szCs w:val="40"/>
                <w:lang w:val="fr-FR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482AF2" w:rsidRDefault="00A50670" w:rsidP="00A50670">
            <w:pPr>
              <w:spacing w:before="240" w:line="240" w:lineRule="exact"/>
              <w:rPr>
                <w:lang w:val="fr-FR"/>
              </w:rPr>
            </w:pPr>
            <w:proofErr w:type="spellStart"/>
            <w:r>
              <w:rPr>
                <w:lang w:val="fr-FR"/>
              </w:rPr>
              <w:t>Distr</w:t>
            </w:r>
            <w:proofErr w:type="spellEnd"/>
            <w:r>
              <w:rPr>
                <w:lang w:val="fr-FR"/>
              </w:rPr>
              <w:t>. générale</w:t>
            </w:r>
          </w:p>
          <w:p w:rsidR="00A50670" w:rsidRDefault="003E297A" w:rsidP="00A50670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30</w:t>
            </w:r>
            <w:r w:rsidR="00A50670">
              <w:rPr>
                <w:lang w:val="fr-FR"/>
              </w:rPr>
              <w:t xml:space="preserve"> septembre 2016</w:t>
            </w:r>
          </w:p>
          <w:p w:rsidR="00A50670" w:rsidRDefault="003E297A" w:rsidP="00A50670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Français</w:t>
            </w:r>
          </w:p>
          <w:p w:rsidR="00A50670" w:rsidRPr="00A27836" w:rsidRDefault="00A50670" w:rsidP="00A50670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 xml:space="preserve">Original: français </w:t>
            </w:r>
            <w:r w:rsidR="003E297A">
              <w:rPr>
                <w:lang w:val="fr-FR"/>
              </w:rPr>
              <w:t>et anglais</w:t>
            </w:r>
          </w:p>
        </w:tc>
      </w:tr>
    </w:tbl>
    <w:p w:rsidR="0034591A" w:rsidRPr="00A27836" w:rsidRDefault="0034591A" w:rsidP="00CA0680">
      <w:pPr>
        <w:spacing w:before="120"/>
        <w:rPr>
          <w:b/>
          <w:sz w:val="24"/>
          <w:szCs w:val="24"/>
          <w:lang w:val="fr-FR"/>
        </w:rPr>
      </w:pPr>
      <w:r w:rsidRPr="00A27836">
        <w:rPr>
          <w:b/>
          <w:sz w:val="24"/>
          <w:szCs w:val="24"/>
          <w:lang w:val="fr-FR"/>
        </w:rPr>
        <w:t>C</w:t>
      </w:r>
      <w:r w:rsidR="00CA0680" w:rsidRPr="00A27836">
        <w:rPr>
          <w:b/>
          <w:sz w:val="24"/>
          <w:szCs w:val="24"/>
          <w:lang w:val="fr-FR"/>
        </w:rPr>
        <w:t>omité d’experts du transport des marchandises dangereuses</w:t>
      </w:r>
      <w:r w:rsidR="00CA0680" w:rsidRPr="00A27836">
        <w:rPr>
          <w:b/>
          <w:sz w:val="24"/>
          <w:szCs w:val="24"/>
          <w:lang w:val="fr-FR"/>
        </w:rPr>
        <w:br/>
        <w:t>et du Système général harmonisé de classification</w:t>
      </w:r>
      <w:r w:rsidR="00CA0680" w:rsidRPr="00A27836">
        <w:rPr>
          <w:b/>
          <w:sz w:val="24"/>
          <w:szCs w:val="24"/>
          <w:lang w:val="fr-FR"/>
        </w:rPr>
        <w:br/>
        <w:t>et d’étiquetage des produits chimiques</w:t>
      </w:r>
    </w:p>
    <w:p w:rsidR="0034591A" w:rsidRPr="00A27836" w:rsidRDefault="0034591A" w:rsidP="0094723C">
      <w:pPr>
        <w:spacing w:before="120"/>
        <w:rPr>
          <w:b/>
          <w:lang w:val="fr-FR"/>
        </w:rPr>
      </w:pPr>
      <w:r w:rsidRPr="00A27836">
        <w:rPr>
          <w:b/>
          <w:lang w:val="fr-FR"/>
        </w:rPr>
        <w:t>Sous</w:t>
      </w:r>
      <w:r w:rsidR="00CA0680" w:rsidRPr="00A27836">
        <w:rPr>
          <w:b/>
          <w:lang w:val="fr-FR"/>
        </w:rPr>
        <w:t>-</w:t>
      </w:r>
      <w:r w:rsidRPr="00A27836">
        <w:rPr>
          <w:b/>
          <w:lang w:val="fr-FR"/>
        </w:rPr>
        <w:t xml:space="preserve">Comité d’experts </w:t>
      </w:r>
      <w:r w:rsidR="00F34A9F" w:rsidRPr="00A27836">
        <w:rPr>
          <w:b/>
          <w:lang w:val="fr-FR"/>
        </w:rPr>
        <w:t>du Système général harmonisé</w:t>
      </w:r>
      <w:r w:rsidR="00F34A9F" w:rsidRPr="00A27836">
        <w:rPr>
          <w:b/>
          <w:lang w:val="fr-FR"/>
        </w:rPr>
        <w:br/>
        <w:t>de classification et d’étiquetage des produits chimiques</w:t>
      </w:r>
    </w:p>
    <w:p w:rsidR="00D51E92" w:rsidRPr="004A02E0" w:rsidRDefault="00D51E92" w:rsidP="00D51E92">
      <w:pPr>
        <w:spacing w:before="100"/>
        <w:rPr>
          <w:b/>
        </w:rPr>
      </w:pPr>
      <w:r>
        <w:rPr>
          <w:b/>
        </w:rPr>
        <w:t xml:space="preserve">Trente-deuxième </w:t>
      </w:r>
      <w:r w:rsidRPr="004A02E0">
        <w:rPr>
          <w:b/>
        </w:rPr>
        <w:t>session</w:t>
      </w:r>
    </w:p>
    <w:p w:rsidR="00FF1DBD" w:rsidRDefault="00D51E92" w:rsidP="00D51E92">
      <w:pPr>
        <w:rPr>
          <w:b/>
        </w:rPr>
      </w:pPr>
      <w:r w:rsidRPr="00BB50F3">
        <w:t xml:space="preserve">Genève, </w:t>
      </w:r>
      <w:r>
        <w:t>7</w:t>
      </w:r>
      <w:r w:rsidR="00DE1226">
        <w:t>-</w:t>
      </w:r>
      <w:r>
        <w:t>9 décembre</w:t>
      </w:r>
      <w:r w:rsidRPr="00BB50F3">
        <w:t xml:space="preserve"> 2016</w:t>
      </w:r>
      <w:r w:rsidRPr="004A02E0">
        <w:br/>
        <w:t>Point 1 de l'ordre du jour provisoire</w:t>
      </w:r>
      <w:r w:rsidRPr="004A02E0">
        <w:br/>
      </w:r>
      <w:r w:rsidRPr="004A02E0">
        <w:rPr>
          <w:b/>
        </w:rPr>
        <w:t>Adoption de l'ordre du jour</w:t>
      </w:r>
    </w:p>
    <w:p w:rsidR="00CF55FF" w:rsidRDefault="00CF55FF" w:rsidP="00CF55FF">
      <w:pPr>
        <w:pStyle w:val="HChG"/>
        <w:spacing w:line="220" w:lineRule="exact"/>
        <w:rPr>
          <w:vertAlign w:val="superscript"/>
        </w:rPr>
      </w:pPr>
      <w:r>
        <w:rPr>
          <w:lang w:val="fr-FR"/>
        </w:rPr>
        <w:tab/>
      </w:r>
      <w:r>
        <w:rPr>
          <w:lang w:val="fr-FR"/>
        </w:rPr>
        <w:tab/>
      </w:r>
      <w:r w:rsidRPr="004A02E0">
        <w:rPr>
          <w:lang w:val="fr-FR"/>
        </w:rPr>
        <w:t xml:space="preserve">Ordre du jour provisoire de la </w:t>
      </w:r>
      <w:r>
        <w:rPr>
          <w:lang w:val="fr-FR"/>
        </w:rPr>
        <w:t>t</w:t>
      </w:r>
      <w:r w:rsidRPr="00445ADC">
        <w:rPr>
          <w:lang w:val="fr-FR"/>
        </w:rPr>
        <w:t>rent</w:t>
      </w:r>
      <w:r>
        <w:rPr>
          <w:lang w:val="fr-FR"/>
        </w:rPr>
        <w:t>e-deuxième</w:t>
      </w:r>
      <w:r w:rsidRPr="004A02E0">
        <w:rPr>
          <w:lang w:val="fr-FR"/>
        </w:rPr>
        <w:t xml:space="preserve"> session</w:t>
      </w:r>
    </w:p>
    <w:p w:rsidR="00D74332" w:rsidRPr="0091435A" w:rsidRDefault="00D74332" w:rsidP="00D74332">
      <w:pPr>
        <w:pStyle w:val="H1G"/>
      </w:pPr>
      <w:r w:rsidRPr="0091435A">
        <w:tab/>
      </w:r>
      <w:r w:rsidRPr="0091435A">
        <w:tab/>
        <w:t>Additif</w:t>
      </w:r>
    </w:p>
    <w:p w:rsidR="00D74332" w:rsidRPr="0091435A" w:rsidRDefault="00D74332" w:rsidP="00D74332">
      <w:pPr>
        <w:pStyle w:val="H1G"/>
      </w:pPr>
      <w:r w:rsidRPr="0091435A">
        <w:tab/>
      </w:r>
      <w:r w:rsidRPr="0091435A">
        <w:tab/>
        <w:t>Liste des documents et annotations</w:t>
      </w:r>
    </w:p>
    <w:p w:rsidR="00CF55FF" w:rsidRDefault="00D74332" w:rsidP="00D74332">
      <w:pPr>
        <w:pStyle w:val="H1G"/>
        <w:kinsoku w:val="0"/>
        <w:overflowPunct w:val="0"/>
        <w:autoSpaceDE w:val="0"/>
        <w:autoSpaceDN w:val="0"/>
        <w:adjustRightInd w:val="0"/>
        <w:snapToGrid w:val="0"/>
      </w:pPr>
      <w:r>
        <w:tab/>
        <w:t>1</w:t>
      </w:r>
      <w:r w:rsidR="00CF55FF" w:rsidRPr="00D74332">
        <w:t>.</w:t>
      </w:r>
      <w:r w:rsidR="00CF55FF" w:rsidRPr="00D74332">
        <w:tab/>
        <w:t>Adoption de l’ordre du jour</w:t>
      </w:r>
    </w:p>
    <w:tbl>
      <w:tblPr>
        <w:tblW w:w="7371" w:type="dxa"/>
        <w:tblInd w:w="11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819"/>
      </w:tblGrid>
      <w:tr w:rsidR="0007052F" w:rsidRPr="0091435A" w:rsidTr="00E534F9">
        <w:tc>
          <w:tcPr>
            <w:tcW w:w="2552" w:type="dxa"/>
            <w:shd w:val="clear" w:color="auto" w:fill="auto"/>
          </w:tcPr>
          <w:p w:rsidR="0007052F" w:rsidRPr="0091435A" w:rsidRDefault="0007052F" w:rsidP="0007052F">
            <w:pPr>
              <w:spacing w:after="120"/>
            </w:pPr>
            <w:r w:rsidRPr="0091435A">
              <w:t>ST/SG/AC.10/C.4/</w:t>
            </w:r>
            <w:r>
              <w:t>63</w:t>
            </w:r>
          </w:p>
        </w:tc>
        <w:tc>
          <w:tcPr>
            <w:tcW w:w="4819" w:type="dxa"/>
            <w:shd w:val="clear" w:color="auto" w:fill="auto"/>
          </w:tcPr>
          <w:p w:rsidR="0007052F" w:rsidRPr="0091435A" w:rsidRDefault="0007052F" w:rsidP="0007052F">
            <w:pPr>
              <w:spacing w:after="120"/>
            </w:pPr>
            <w:r w:rsidRPr="0091435A">
              <w:t xml:space="preserve">Ordre </w:t>
            </w:r>
            <w:r>
              <w:t xml:space="preserve">du jour provisoire de la trente-deuxième </w:t>
            </w:r>
            <w:r w:rsidRPr="0091435A">
              <w:t>session</w:t>
            </w:r>
          </w:p>
        </w:tc>
      </w:tr>
      <w:tr w:rsidR="0007052F" w:rsidRPr="0091435A" w:rsidTr="00E534F9">
        <w:tc>
          <w:tcPr>
            <w:tcW w:w="2552" w:type="dxa"/>
            <w:shd w:val="clear" w:color="auto" w:fill="auto"/>
          </w:tcPr>
          <w:p w:rsidR="0007052F" w:rsidRPr="0091435A" w:rsidRDefault="0007052F" w:rsidP="0007052F">
            <w:pPr>
              <w:spacing w:after="120"/>
            </w:pPr>
            <w:r w:rsidRPr="0091435A">
              <w:t>ST/SG/AC.10/C.4/</w:t>
            </w:r>
            <w:r>
              <w:t>63</w:t>
            </w:r>
            <w:r w:rsidRPr="0091435A">
              <w:t>/Add.1</w:t>
            </w:r>
          </w:p>
        </w:tc>
        <w:tc>
          <w:tcPr>
            <w:tcW w:w="4819" w:type="dxa"/>
            <w:shd w:val="clear" w:color="auto" w:fill="auto"/>
          </w:tcPr>
          <w:p w:rsidR="0007052F" w:rsidRPr="0091435A" w:rsidRDefault="0007052F" w:rsidP="00E534F9">
            <w:pPr>
              <w:spacing w:after="120"/>
            </w:pPr>
            <w:r w:rsidRPr="0091435A">
              <w:t>Liste des documents et annotations</w:t>
            </w:r>
          </w:p>
        </w:tc>
      </w:tr>
    </w:tbl>
    <w:p w:rsidR="0007052F" w:rsidRPr="0091435A" w:rsidRDefault="0007052F" w:rsidP="0007052F">
      <w:pPr>
        <w:pStyle w:val="H23G"/>
        <w:spacing w:line="240" w:lineRule="atLeast"/>
      </w:pPr>
      <w:r w:rsidRPr="0091435A">
        <w:tab/>
      </w:r>
      <w:r w:rsidRPr="0091435A">
        <w:tab/>
        <w:t>Documents de référence (Secrétariat)</w:t>
      </w:r>
    </w:p>
    <w:tbl>
      <w:tblPr>
        <w:tblW w:w="7371" w:type="dxa"/>
        <w:tblInd w:w="11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819"/>
      </w:tblGrid>
      <w:tr w:rsidR="0007052F" w:rsidRPr="0091435A" w:rsidTr="00E534F9">
        <w:tc>
          <w:tcPr>
            <w:tcW w:w="2552" w:type="dxa"/>
            <w:shd w:val="clear" w:color="auto" w:fill="auto"/>
          </w:tcPr>
          <w:p w:rsidR="0007052F" w:rsidRPr="0091435A" w:rsidRDefault="0007052F" w:rsidP="00E534F9">
            <w:pPr>
              <w:spacing w:after="120"/>
            </w:pPr>
            <w:r w:rsidRPr="0091435A">
              <w:t>ST/SG/AC.10/30/Rev.6</w:t>
            </w:r>
          </w:p>
        </w:tc>
        <w:tc>
          <w:tcPr>
            <w:tcW w:w="4819" w:type="dxa"/>
            <w:shd w:val="clear" w:color="auto" w:fill="auto"/>
          </w:tcPr>
          <w:p w:rsidR="0007052F" w:rsidRPr="0091435A" w:rsidRDefault="0007052F" w:rsidP="00E534F9">
            <w:pPr>
              <w:spacing w:after="120"/>
            </w:pPr>
            <w:r w:rsidRPr="0091435A">
              <w:t>Système général harmonisé de classification et d’étiquetage des produits chimiques (SGH), sixième édition révisée</w:t>
            </w:r>
          </w:p>
        </w:tc>
      </w:tr>
      <w:tr w:rsidR="0007052F" w:rsidRPr="0091435A" w:rsidTr="00E534F9">
        <w:tc>
          <w:tcPr>
            <w:tcW w:w="2552" w:type="dxa"/>
            <w:shd w:val="clear" w:color="auto" w:fill="auto"/>
          </w:tcPr>
          <w:p w:rsidR="0007052F" w:rsidRPr="0091435A" w:rsidRDefault="0007052F" w:rsidP="00E534F9">
            <w:pPr>
              <w:spacing w:after="120"/>
            </w:pPr>
            <w:r w:rsidRPr="0091435A">
              <w:t>ST/SG/AC.10/1/Rev.19</w:t>
            </w:r>
          </w:p>
        </w:tc>
        <w:tc>
          <w:tcPr>
            <w:tcW w:w="4819" w:type="dxa"/>
            <w:shd w:val="clear" w:color="auto" w:fill="auto"/>
          </w:tcPr>
          <w:p w:rsidR="0007052F" w:rsidRPr="0091435A" w:rsidRDefault="0007052F" w:rsidP="00E534F9">
            <w:pPr>
              <w:spacing w:after="120"/>
            </w:pPr>
            <w:r w:rsidRPr="0091435A">
              <w:t>Recommandations relatives au transport des marchandises dangereuses, Règlement type, dix-neuvième édition révisée</w:t>
            </w:r>
          </w:p>
        </w:tc>
      </w:tr>
      <w:tr w:rsidR="0007052F" w:rsidRPr="0091435A" w:rsidTr="00E534F9">
        <w:tc>
          <w:tcPr>
            <w:tcW w:w="2552" w:type="dxa"/>
            <w:shd w:val="clear" w:color="auto" w:fill="auto"/>
          </w:tcPr>
          <w:p w:rsidR="0007052F" w:rsidRPr="0091435A" w:rsidRDefault="0007052F" w:rsidP="00E534F9">
            <w:pPr>
              <w:spacing w:after="120"/>
            </w:pPr>
            <w:r w:rsidRPr="0091435A">
              <w:t>ST/SG/AC.10/11/Rev.6</w:t>
            </w:r>
          </w:p>
        </w:tc>
        <w:tc>
          <w:tcPr>
            <w:tcW w:w="4819" w:type="dxa"/>
            <w:shd w:val="clear" w:color="auto" w:fill="auto"/>
          </w:tcPr>
          <w:p w:rsidR="0007052F" w:rsidRPr="0091435A" w:rsidRDefault="0007052F" w:rsidP="00E534F9">
            <w:pPr>
              <w:spacing w:after="120"/>
            </w:pPr>
            <w:r w:rsidRPr="0091435A">
              <w:t>Recommandations relatives au transport des marchandises dangereuses, Manuel d’épreuves et de critères, sixième édition révisée</w:t>
            </w:r>
          </w:p>
        </w:tc>
      </w:tr>
      <w:tr w:rsidR="0007052F" w:rsidRPr="0091435A" w:rsidTr="00E534F9">
        <w:tc>
          <w:tcPr>
            <w:tcW w:w="2552" w:type="dxa"/>
            <w:shd w:val="clear" w:color="auto" w:fill="auto"/>
          </w:tcPr>
          <w:p w:rsidR="0007052F" w:rsidRPr="0091435A" w:rsidRDefault="0007052F" w:rsidP="0007052F">
            <w:pPr>
              <w:spacing w:after="120"/>
            </w:pPr>
            <w:r w:rsidRPr="0091435A">
              <w:t>ST/SG/AC.10/C.4/</w:t>
            </w:r>
            <w:r>
              <w:t>58</w:t>
            </w:r>
          </w:p>
        </w:tc>
        <w:tc>
          <w:tcPr>
            <w:tcW w:w="4819" w:type="dxa"/>
            <w:shd w:val="clear" w:color="auto" w:fill="auto"/>
          </w:tcPr>
          <w:p w:rsidR="0007052F" w:rsidRPr="0091435A" w:rsidRDefault="0007052F" w:rsidP="00DE1226">
            <w:pPr>
              <w:spacing w:after="120"/>
            </w:pPr>
            <w:r w:rsidRPr="0091435A">
              <w:t xml:space="preserve">Rapport du Sous-Comité sur sa </w:t>
            </w:r>
            <w:r>
              <w:t>vingt</w:t>
            </w:r>
            <w:r w:rsidR="00DE1226">
              <w:t>-</w:t>
            </w:r>
            <w:r>
              <w:t>et</w:t>
            </w:r>
            <w:r w:rsidR="00DE1226">
              <w:t>-</w:t>
            </w:r>
            <w:r>
              <w:t>unième</w:t>
            </w:r>
            <w:r w:rsidRPr="0091435A">
              <w:t xml:space="preserve"> session</w:t>
            </w:r>
          </w:p>
        </w:tc>
      </w:tr>
      <w:tr w:rsidR="0007052F" w:rsidRPr="0091435A" w:rsidTr="00E534F9">
        <w:tc>
          <w:tcPr>
            <w:tcW w:w="2552" w:type="dxa"/>
            <w:shd w:val="clear" w:color="auto" w:fill="auto"/>
          </w:tcPr>
          <w:p w:rsidR="0007052F" w:rsidRPr="0091435A" w:rsidRDefault="0007052F" w:rsidP="00E534F9">
            <w:pPr>
              <w:spacing w:after="120"/>
              <w:rPr>
                <w:b/>
              </w:rPr>
            </w:pPr>
            <w:r w:rsidRPr="0091435A">
              <w:t>ST/SG/AC.10/C.4/60</w:t>
            </w:r>
          </w:p>
        </w:tc>
        <w:tc>
          <w:tcPr>
            <w:tcW w:w="4819" w:type="dxa"/>
            <w:shd w:val="clear" w:color="auto" w:fill="auto"/>
          </w:tcPr>
          <w:p w:rsidR="0007052F" w:rsidRPr="0091435A" w:rsidRDefault="0007052F" w:rsidP="00E534F9">
            <w:pPr>
              <w:spacing w:after="120"/>
            </w:pPr>
            <w:r w:rsidRPr="0091435A">
              <w:t>Rapport du Sous-Comité sur sa trentième session</w:t>
            </w:r>
          </w:p>
        </w:tc>
      </w:tr>
      <w:tr w:rsidR="0007052F" w:rsidRPr="0091435A" w:rsidTr="00E534F9">
        <w:tc>
          <w:tcPr>
            <w:tcW w:w="2552" w:type="dxa"/>
            <w:shd w:val="clear" w:color="auto" w:fill="auto"/>
          </w:tcPr>
          <w:p w:rsidR="0007052F" w:rsidRPr="0091435A" w:rsidRDefault="0007052F" w:rsidP="0007052F">
            <w:pPr>
              <w:spacing w:after="120"/>
            </w:pPr>
            <w:r w:rsidRPr="0091435A">
              <w:t>ST/SG/AC.10/C.4/</w:t>
            </w:r>
            <w:r>
              <w:t>62</w:t>
            </w:r>
          </w:p>
        </w:tc>
        <w:tc>
          <w:tcPr>
            <w:tcW w:w="4819" w:type="dxa"/>
            <w:shd w:val="clear" w:color="auto" w:fill="auto"/>
          </w:tcPr>
          <w:p w:rsidR="0007052F" w:rsidRPr="0091435A" w:rsidRDefault="0007052F" w:rsidP="00DE1226">
            <w:pPr>
              <w:spacing w:after="120"/>
            </w:pPr>
            <w:r w:rsidRPr="0091435A">
              <w:t>Rapport du Sous-Comité sur sa trent</w:t>
            </w:r>
            <w:r>
              <w:t>e</w:t>
            </w:r>
            <w:r w:rsidR="00DE1226">
              <w:t>-</w:t>
            </w:r>
            <w:r>
              <w:t>et</w:t>
            </w:r>
            <w:r w:rsidR="00DE1226">
              <w:t>-</w:t>
            </w:r>
            <w:r>
              <w:t xml:space="preserve">unième </w:t>
            </w:r>
            <w:r w:rsidRPr="0091435A">
              <w:t>session</w:t>
            </w:r>
          </w:p>
        </w:tc>
      </w:tr>
      <w:tr w:rsidR="0007052F" w:rsidRPr="0091435A" w:rsidTr="00E534F9">
        <w:tc>
          <w:tcPr>
            <w:tcW w:w="2552" w:type="dxa"/>
            <w:shd w:val="clear" w:color="auto" w:fill="auto"/>
          </w:tcPr>
          <w:p w:rsidR="0007052F" w:rsidRPr="0091435A" w:rsidRDefault="0007052F" w:rsidP="00DE1226">
            <w:pPr>
              <w:keepNext/>
              <w:keepLines/>
              <w:spacing w:after="120"/>
              <w:rPr>
                <w:b/>
              </w:rPr>
            </w:pPr>
            <w:r w:rsidRPr="0091435A">
              <w:lastRenderedPageBreak/>
              <w:t>ST/SG/AC.10/C.3/</w:t>
            </w:r>
            <w:r>
              <w:t>94 et Corr.1</w:t>
            </w:r>
          </w:p>
        </w:tc>
        <w:tc>
          <w:tcPr>
            <w:tcW w:w="4819" w:type="dxa"/>
            <w:shd w:val="clear" w:color="auto" w:fill="auto"/>
          </w:tcPr>
          <w:p w:rsidR="0007052F" w:rsidRPr="0091435A" w:rsidRDefault="0007052F" w:rsidP="00DE1226">
            <w:pPr>
              <w:keepNext/>
              <w:keepLines/>
              <w:spacing w:after="120"/>
            </w:pPr>
            <w:r w:rsidRPr="0091435A">
              <w:t>Rapport du Sous-Comité d’experts du transport de marchandises dangereuses sur sa quarante-</w:t>
            </w:r>
            <w:r w:rsidR="00DE1226">
              <w:t>septième</w:t>
            </w:r>
            <w:r w:rsidRPr="0091435A">
              <w:t xml:space="preserve"> session</w:t>
            </w:r>
          </w:p>
        </w:tc>
      </w:tr>
      <w:tr w:rsidR="0007052F" w:rsidRPr="0091435A" w:rsidTr="00E534F9">
        <w:tc>
          <w:tcPr>
            <w:tcW w:w="2552" w:type="dxa"/>
            <w:shd w:val="clear" w:color="auto" w:fill="auto"/>
          </w:tcPr>
          <w:p w:rsidR="0007052F" w:rsidRPr="0091435A" w:rsidRDefault="0007052F" w:rsidP="00E534F9">
            <w:pPr>
              <w:spacing w:after="120"/>
              <w:rPr>
                <w:b/>
              </w:rPr>
            </w:pPr>
            <w:r w:rsidRPr="0091435A">
              <w:t>ST/SG/AC.10/C.3/96</w:t>
            </w:r>
            <w:r>
              <w:t xml:space="preserve"> et Add.1</w:t>
            </w:r>
          </w:p>
        </w:tc>
        <w:tc>
          <w:tcPr>
            <w:tcW w:w="4819" w:type="dxa"/>
            <w:shd w:val="clear" w:color="auto" w:fill="auto"/>
          </w:tcPr>
          <w:p w:rsidR="0007052F" w:rsidRPr="0091435A" w:rsidRDefault="0007052F" w:rsidP="00E534F9">
            <w:pPr>
              <w:spacing w:after="120"/>
            </w:pPr>
            <w:r w:rsidRPr="0091435A">
              <w:t>Rapport du Sous-Comité d’experts du transport de marchandises dangereuses sur sa quarante-huitième session</w:t>
            </w:r>
          </w:p>
        </w:tc>
      </w:tr>
      <w:tr w:rsidR="00B50626" w:rsidRPr="0091435A" w:rsidTr="00E534F9">
        <w:tc>
          <w:tcPr>
            <w:tcW w:w="2552" w:type="dxa"/>
            <w:shd w:val="clear" w:color="auto" w:fill="auto"/>
          </w:tcPr>
          <w:p w:rsidR="00B50626" w:rsidRPr="0091435A" w:rsidRDefault="00B50626" w:rsidP="00B50626">
            <w:pPr>
              <w:spacing w:after="120"/>
            </w:pPr>
            <w:r w:rsidRPr="0091435A">
              <w:t>ST/SG/AC.10/C.3/</w:t>
            </w:r>
            <w:r>
              <w:t>98 et Add.1</w:t>
            </w:r>
          </w:p>
        </w:tc>
        <w:tc>
          <w:tcPr>
            <w:tcW w:w="4819" w:type="dxa"/>
            <w:shd w:val="clear" w:color="auto" w:fill="auto"/>
          </w:tcPr>
          <w:p w:rsidR="00B50626" w:rsidRPr="0091435A" w:rsidRDefault="00B50626" w:rsidP="00B50626">
            <w:pPr>
              <w:spacing w:after="120"/>
            </w:pPr>
            <w:r w:rsidRPr="0091435A">
              <w:t>Rapport du Sous-Comité d’experts du transport de marchandises dangereuses sur sa quarante-</w:t>
            </w:r>
            <w:r>
              <w:t>neuvième</w:t>
            </w:r>
            <w:r w:rsidRPr="0091435A">
              <w:t xml:space="preserve"> session</w:t>
            </w:r>
          </w:p>
        </w:tc>
      </w:tr>
    </w:tbl>
    <w:p w:rsidR="00CF55FF" w:rsidRPr="0007052F" w:rsidRDefault="0007052F" w:rsidP="0007052F">
      <w:pPr>
        <w:pStyle w:val="H1G"/>
        <w:kinsoku w:val="0"/>
        <w:overflowPunct w:val="0"/>
        <w:autoSpaceDE w:val="0"/>
        <w:autoSpaceDN w:val="0"/>
        <w:adjustRightInd w:val="0"/>
        <w:snapToGrid w:val="0"/>
      </w:pPr>
      <w:r>
        <w:tab/>
      </w:r>
      <w:r w:rsidR="00CF55FF" w:rsidRPr="0007052F">
        <w:t>2.</w:t>
      </w:r>
      <w:r w:rsidR="00CF55FF" w:rsidRPr="0007052F">
        <w:tab/>
        <w:t>Critères de classification et communication des dangers y relatifs</w:t>
      </w:r>
    </w:p>
    <w:p w:rsidR="00B50626" w:rsidRDefault="00CF55FF" w:rsidP="00B50626">
      <w:pPr>
        <w:pStyle w:val="H23G"/>
        <w:rPr>
          <w:lang w:val="fr-FR"/>
        </w:rPr>
      </w:pPr>
      <w:r>
        <w:rPr>
          <w:lang w:val="fr-FR"/>
        </w:rPr>
        <w:tab/>
        <w:t xml:space="preserve">a) </w:t>
      </w:r>
      <w:r>
        <w:rPr>
          <w:lang w:val="fr-FR"/>
        </w:rPr>
        <w:tab/>
      </w:r>
      <w:r w:rsidRPr="00551E73">
        <w:rPr>
          <w:lang w:val="fr-FR"/>
        </w:rPr>
        <w:t>Recommandations du Sous-Comité formulées à ses vingt-neuvième, trentième et trente-et-unième sessions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B50626" w:rsidRPr="007F2AEF" w:rsidTr="00E534F9">
        <w:tc>
          <w:tcPr>
            <w:tcW w:w="3402" w:type="dxa"/>
            <w:shd w:val="clear" w:color="auto" w:fill="auto"/>
          </w:tcPr>
          <w:p w:rsidR="00B50626" w:rsidRPr="00210F77" w:rsidRDefault="00B50626" w:rsidP="00E534F9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</w:t>
            </w:r>
            <w:r w:rsidRPr="00210F77">
              <w:t>1 (</w:t>
            </w:r>
            <w:r>
              <w:t>Secrétariat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B50626" w:rsidRPr="00210F77" w:rsidRDefault="00B50626" w:rsidP="00E534F9">
            <w:pPr>
              <w:spacing w:after="120"/>
            </w:pPr>
            <w:r>
              <w:t>Liste récapitulative des textes adoptés par le sous-comité à sa vingt-neuvième, trentième et trente-et-unième session</w:t>
            </w:r>
          </w:p>
        </w:tc>
      </w:tr>
      <w:tr w:rsidR="00B50626" w:rsidRPr="007F2AEF" w:rsidTr="00E534F9">
        <w:tc>
          <w:tcPr>
            <w:tcW w:w="3402" w:type="dxa"/>
            <w:shd w:val="clear" w:color="auto" w:fill="auto"/>
          </w:tcPr>
          <w:p w:rsidR="00B50626" w:rsidRPr="00210F77" w:rsidRDefault="00B50626" w:rsidP="00E534F9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14</w:t>
            </w:r>
            <w:r w:rsidRPr="00210F77">
              <w:t xml:space="preserve"> (</w:t>
            </w:r>
            <w:r>
              <w:t>AEISG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B50626" w:rsidRPr="009A24A5" w:rsidRDefault="00B50626" w:rsidP="00DE1226">
            <w:pPr>
              <w:spacing w:after="120"/>
            </w:pPr>
            <w:r>
              <w:t xml:space="preserve">Chapitre 2.1 du </w:t>
            </w:r>
            <w:r w:rsidR="00CE3740">
              <w:t>Règlement</w:t>
            </w:r>
            <w:r>
              <w:t xml:space="preserve"> t</w:t>
            </w:r>
            <w:r w:rsidR="00CE3740">
              <w:t>y</w:t>
            </w:r>
            <w:r>
              <w:t>pe – Définition de la Classe 1</w:t>
            </w:r>
            <w:r w:rsidR="00DE1226">
              <w:t xml:space="preserve"> au</w:t>
            </w:r>
            <w:r>
              <w:t> </w:t>
            </w:r>
            <w:r w:rsidR="00DE1226">
              <w:t>c</w:t>
            </w:r>
            <w:r>
              <w:t>hapitre 2.1 du SGH –</w:t>
            </w:r>
            <w:r w:rsidR="00CE3740">
              <w:t xml:space="preserve"> M</w:t>
            </w:r>
            <w:r>
              <w:t>atières et objets explosi</w:t>
            </w:r>
            <w:r w:rsidR="00CE3740">
              <w:t>bles</w:t>
            </w:r>
          </w:p>
        </w:tc>
      </w:tr>
    </w:tbl>
    <w:p w:rsidR="00CF55FF" w:rsidRDefault="00CF55FF" w:rsidP="00CE3740">
      <w:pPr>
        <w:pStyle w:val="H23G"/>
        <w:rPr>
          <w:lang w:val="fr-FR"/>
        </w:rPr>
      </w:pPr>
      <w:r w:rsidRPr="00B15AA2">
        <w:rPr>
          <w:lang w:val="fr-FR"/>
        </w:rPr>
        <w:tab/>
      </w:r>
      <w:r>
        <w:rPr>
          <w:lang w:val="fr-FR"/>
        </w:rPr>
        <w:t xml:space="preserve">b) </w:t>
      </w:r>
      <w:r>
        <w:rPr>
          <w:lang w:val="fr-FR"/>
        </w:rPr>
        <w:tab/>
      </w:r>
      <w:r w:rsidRPr="00CE3740">
        <w:rPr>
          <w:lang w:val="fr-FR"/>
        </w:rPr>
        <w:t xml:space="preserve">Travaux du Sous-Comité </w:t>
      </w:r>
      <w:r w:rsidR="00CE3740">
        <w:rPr>
          <w:lang w:val="fr-FR"/>
        </w:rPr>
        <w:t xml:space="preserve">d’experts </w:t>
      </w:r>
      <w:r w:rsidR="00CE3740" w:rsidRPr="00CE3740">
        <w:rPr>
          <w:lang w:val="fr-FR"/>
        </w:rPr>
        <w:t xml:space="preserve">du transport des marchandises dangereuses </w:t>
      </w:r>
      <w:r w:rsidR="00CE3740">
        <w:rPr>
          <w:lang w:val="fr-FR"/>
        </w:rPr>
        <w:t xml:space="preserve">(Sous-comité </w:t>
      </w:r>
      <w:r w:rsidRPr="00CE3740">
        <w:rPr>
          <w:lang w:val="fr-FR"/>
        </w:rPr>
        <w:t>TMD</w:t>
      </w:r>
      <w:r w:rsidR="00CE3740">
        <w:rPr>
          <w:lang w:val="fr-FR"/>
        </w:rPr>
        <w:t>)</w:t>
      </w:r>
      <w:r w:rsidRPr="00CE3740">
        <w:rPr>
          <w:lang w:val="fr-FR"/>
        </w:rPr>
        <w:t xml:space="preserve"> sur des questions intéressant le Sous-Comité SGH</w:t>
      </w:r>
      <w:r w:rsidRPr="00CE3740">
        <w:rPr>
          <w:vertAlign w:val="superscript"/>
          <w:lang w:val="fr-FR"/>
        </w:rPr>
        <w:footnoteReference w:id="2"/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CE3740" w:rsidRPr="007F2AEF" w:rsidTr="00E534F9">
        <w:tc>
          <w:tcPr>
            <w:tcW w:w="3402" w:type="dxa"/>
            <w:shd w:val="clear" w:color="auto" w:fill="auto"/>
          </w:tcPr>
          <w:p w:rsidR="00CE3740" w:rsidRPr="00210F77" w:rsidRDefault="00CE3740" w:rsidP="00CE3740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12</w:t>
            </w:r>
            <w:r w:rsidRPr="00210F77">
              <w:t xml:space="preserve"> (</w:t>
            </w:r>
            <w:r>
              <w:t>Belgique et Japon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CE3740" w:rsidRPr="00210F77" w:rsidRDefault="00CE3740" w:rsidP="00CE3740">
            <w:pPr>
              <w:spacing w:after="120"/>
            </w:pPr>
            <w:r>
              <w:t>Proposition d’amendement aux critères de classification et de communication des dangers des gaz inflammables</w:t>
            </w:r>
          </w:p>
        </w:tc>
      </w:tr>
      <w:tr w:rsidR="00CE3740" w:rsidRPr="007F2AEF" w:rsidTr="00E534F9">
        <w:tc>
          <w:tcPr>
            <w:tcW w:w="3402" w:type="dxa"/>
            <w:shd w:val="clear" w:color="auto" w:fill="auto"/>
          </w:tcPr>
          <w:p w:rsidR="00CE3740" w:rsidRPr="00210F77" w:rsidRDefault="00CE3740" w:rsidP="00CE3740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13</w:t>
            </w:r>
            <w:r w:rsidRPr="00210F77">
              <w:t xml:space="preserve"> (</w:t>
            </w:r>
            <w:r>
              <w:t>Allemagne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CE3740" w:rsidRPr="009A24A5" w:rsidRDefault="00CE3740" w:rsidP="00D21117">
            <w:pPr>
              <w:spacing w:after="120"/>
            </w:pPr>
            <w:r w:rsidRPr="009A3C87">
              <w:t xml:space="preserve">Corrections </w:t>
            </w:r>
            <w:r w:rsidR="00D21117">
              <w:t>au</w:t>
            </w:r>
            <w:r>
              <w:t xml:space="preserve"> </w:t>
            </w:r>
            <w:r w:rsidR="00D21117">
              <w:t xml:space="preserve">classement </w:t>
            </w:r>
            <w:r>
              <w:t xml:space="preserve">des gaz </w:t>
            </w:r>
            <w:r w:rsidR="003E297A">
              <w:t>inflammables</w:t>
            </w:r>
          </w:p>
        </w:tc>
      </w:tr>
      <w:tr w:rsidR="00CE3740" w:rsidRPr="007F2AEF" w:rsidTr="00E534F9">
        <w:tc>
          <w:tcPr>
            <w:tcW w:w="3402" w:type="dxa"/>
            <w:shd w:val="clear" w:color="auto" w:fill="auto"/>
          </w:tcPr>
          <w:p w:rsidR="00CE3740" w:rsidRPr="00210F77" w:rsidRDefault="00CE3740" w:rsidP="00E534F9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15</w:t>
            </w:r>
            <w:r w:rsidRPr="00210F77">
              <w:t xml:space="preserve"> (</w:t>
            </w:r>
            <w:r>
              <w:t>France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CE3740" w:rsidRPr="009A24A5" w:rsidRDefault="00D21117" w:rsidP="00A24DEA">
            <w:pPr>
              <w:spacing w:after="120"/>
            </w:pPr>
            <w:r>
              <w:t>Épreuves et critères pour les liquides comburants (</w:t>
            </w:r>
            <w:r w:rsidR="00A24DEA">
              <w:t xml:space="preserve">Épreuve O.2) et les matières solides comburantes (Épreuve O.3) – Résultats définitifs du programme d’épreuves </w:t>
            </w:r>
            <w:r w:rsidR="003E297A">
              <w:t>inter laboratoires</w:t>
            </w:r>
            <w:r w:rsidR="00CF06CD">
              <w:t xml:space="preserve"> et propositions d’amendements aux descriptions des épreu</w:t>
            </w:r>
            <w:r w:rsidR="00A24DEA">
              <w:t>ves</w:t>
            </w:r>
          </w:p>
        </w:tc>
      </w:tr>
      <w:tr w:rsidR="00CE3740" w:rsidRPr="007F2AEF" w:rsidTr="00E534F9">
        <w:tc>
          <w:tcPr>
            <w:tcW w:w="3402" w:type="dxa"/>
            <w:shd w:val="clear" w:color="auto" w:fill="auto"/>
          </w:tcPr>
          <w:p w:rsidR="00CE3740" w:rsidRPr="00210F77" w:rsidRDefault="00CE3740" w:rsidP="00601D4A">
            <w:pPr>
              <w:pStyle w:val="SingleTxtG"/>
              <w:spacing w:after="80" w:line="240" w:lineRule="auto"/>
              <w:ind w:left="0" w:right="0"/>
              <w:jc w:val="left"/>
            </w:pPr>
            <w:r w:rsidRPr="009A3C87">
              <w:t>ST/SG/AC.10/C.4/2016/16</w:t>
            </w:r>
            <w:r w:rsidRPr="009A3C87">
              <w:rPr>
                <w:rFonts w:hint="eastAsia"/>
              </w:rPr>
              <w:t> </w:t>
            </w:r>
            <w:r>
              <w:t>(</w:t>
            </w:r>
            <w:r w:rsidR="00A24DEA">
              <w:t>Président du Group</w:t>
            </w:r>
            <w:r w:rsidR="00601D4A">
              <w:t>e</w:t>
            </w:r>
            <w:r w:rsidR="00A24DEA">
              <w:t xml:space="preserve"> de travail </w:t>
            </w:r>
            <w:r w:rsidR="00601D4A">
              <w:t>des</w:t>
            </w:r>
            <w:r w:rsidR="00A24DEA">
              <w:t xml:space="preserve"> explosifs)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E3740" w:rsidRPr="00EE4742" w:rsidRDefault="00A24DEA" w:rsidP="00E534F9">
            <w:pPr>
              <w:spacing w:after="120"/>
            </w:pPr>
            <w:r>
              <w:t>Utilisation du Manuel d’épreuves et de critères dans le contexte du SGH</w:t>
            </w:r>
          </w:p>
        </w:tc>
      </w:tr>
      <w:tr w:rsidR="00CE3740" w:rsidRPr="007F2AEF" w:rsidTr="00E534F9">
        <w:tc>
          <w:tcPr>
            <w:tcW w:w="3402" w:type="dxa"/>
            <w:shd w:val="clear" w:color="auto" w:fill="auto"/>
          </w:tcPr>
          <w:p w:rsidR="00CE3740" w:rsidRPr="00210F77" w:rsidRDefault="00CE3740" w:rsidP="00DE1226">
            <w:pPr>
              <w:pStyle w:val="SingleTxtG"/>
              <w:spacing w:after="80" w:line="240" w:lineRule="auto"/>
              <w:ind w:left="0" w:right="0"/>
              <w:jc w:val="left"/>
            </w:pPr>
            <w:r>
              <w:t xml:space="preserve">+ </w:t>
            </w:r>
            <w:r w:rsidR="00A24DEA">
              <w:t xml:space="preserve">documents </w:t>
            </w:r>
            <w:r w:rsidR="00DE1226">
              <w:t>informel</w:t>
            </w:r>
            <w:r>
              <w:t xml:space="preserve"> INF.5 </w:t>
            </w:r>
            <w:r w:rsidR="00A24DEA">
              <w:t>et</w:t>
            </w:r>
            <w:r>
              <w:t xml:space="preserve"> </w:t>
            </w:r>
            <w:r w:rsidR="00DE1226">
              <w:t>Adds.</w:t>
            </w:r>
            <w:r>
              <w:t>1</w:t>
            </w:r>
            <w:r w:rsidR="003E297A">
              <w:t>-</w:t>
            </w:r>
            <w:r>
              <w:t>5</w:t>
            </w:r>
          </w:p>
        </w:tc>
        <w:tc>
          <w:tcPr>
            <w:tcW w:w="3969" w:type="dxa"/>
            <w:vMerge/>
            <w:shd w:val="clear" w:color="auto" w:fill="auto"/>
          </w:tcPr>
          <w:p w:rsidR="00CE3740" w:rsidRPr="003E7485" w:rsidRDefault="00CE3740" w:rsidP="00E534F9">
            <w:pPr>
              <w:spacing w:after="120"/>
            </w:pPr>
          </w:p>
        </w:tc>
      </w:tr>
    </w:tbl>
    <w:p w:rsidR="00CE3740" w:rsidRDefault="00CE3740" w:rsidP="00CE3740">
      <w:pPr>
        <w:rPr>
          <w:lang w:val="fr-FR"/>
        </w:rPr>
      </w:pPr>
    </w:p>
    <w:p w:rsidR="00CE3740" w:rsidRPr="00CE3740" w:rsidRDefault="0079364E" w:rsidP="00EF7EA4">
      <w:pPr>
        <w:pStyle w:val="SingleTxtG"/>
        <w:rPr>
          <w:lang w:val="fr-FR"/>
        </w:rPr>
      </w:pPr>
      <w:r w:rsidRPr="0091435A">
        <w:t xml:space="preserve">Le Sous-Comité sera </w:t>
      </w:r>
      <w:r>
        <w:t xml:space="preserve">également </w:t>
      </w:r>
      <w:r w:rsidRPr="0091435A">
        <w:t xml:space="preserve">tenu au courant des résultats des discussions qui ont eu lieu au sein du Sous-Comité </w:t>
      </w:r>
      <w:r>
        <w:t>TMD</w:t>
      </w:r>
      <w:r w:rsidRPr="0091435A">
        <w:t xml:space="preserve"> à sa </w:t>
      </w:r>
      <w:r>
        <w:t>cinquantième</w:t>
      </w:r>
      <w:r w:rsidRPr="0091435A">
        <w:t xml:space="preserve"> session en ce qui concerne </w:t>
      </w:r>
      <w:r w:rsidR="006C055C">
        <w:t xml:space="preserve">toute autre </w:t>
      </w:r>
      <w:r w:rsidRPr="0091435A">
        <w:t>question intéressant le Sous-Comité</w:t>
      </w:r>
      <w:r w:rsidR="006C055C">
        <w:t>.</w:t>
      </w:r>
    </w:p>
    <w:p w:rsidR="00CF55FF" w:rsidRDefault="00CF55FF" w:rsidP="00CE3740">
      <w:pPr>
        <w:pStyle w:val="H23G"/>
        <w:rPr>
          <w:lang w:val="fr-FR"/>
        </w:rPr>
      </w:pPr>
      <w:r>
        <w:rPr>
          <w:lang w:val="fr-FR"/>
        </w:rPr>
        <w:lastRenderedPageBreak/>
        <w:tab/>
        <w:t>c</w:t>
      </w:r>
      <w:r w:rsidRPr="00B15AA2">
        <w:rPr>
          <w:lang w:val="fr-FR"/>
        </w:rPr>
        <w:t>)</w:t>
      </w:r>
      <w:r w:rsidRPr="00B15AA2">
        <w:rPr>
          <w:lang w:val="fr-FR"/>
        </w:rPr>
        <w:tab/>
        <w:t>Dangers d’explosion des poussières</w:t>
      </w:r>
    </w:p>
    <w:p w:rsidR="006C055C" w:rsidRPr="006C055C" w:rsidRDefault="006C055C" w:rsidP="006C055C">
      <w:pPr>
        <w:pStyle w:val="SingleTxtG"/>
      </w:pPr>
      <w:r w:rsidRPr="006C055C">
        <w:t xml:space="preserve">Aucun document n’avait été soumis sous ce point </w:t>
      </w:r>
      <w:r w:rsidR="00AF67CC">
        <w:t xml:space="preserve">subsidiaire </w:t>
      </w:r>
      <w:r w:rsidRPr="006C055C">
        <w:t>de l’ordre du jour au moment de la rédaction du présent document.</w:t>
      </w:r>
    </w:p>
    <w:p w:rsidR="00A24DEA" w:rsidRPr="00A24DEA" w:rsidRDefault="006C055C" w:rsidP="006C055C">
      <w:pPr>
        <w:pStyle w:val="SingleTxtG"/>
        <w:rPr>
          <w:lang w:val="fr-FR"/>
        </w:rPr>
      </w:pPr>
      <w:r w:rsidRPr="006C055C">
        <w:t>L’expert des É</w:t>
      </w:r>
      <w:r w:rsidR="00DD634C">
        <w:t xml:space="preserve">tats-Unis d’Amérique souhaitera éventuellement </w:t>
      </w:r>
      <w:r w:rsidRPr="006C055C">
        <w:t>informer le Sous-Comité</w:t>
      </w:r>
      <w:r w:rsidRPr="0091435A">
        <w:rPr>
          <w:spacing w:val="2"/>
        </w:rPr>
        <w:t xml:space="preserve"> de l’état d’avancement des travaux du groupe de travail informel par correspondance chargé des dangers d’explosion de</w:t>
      </w:r>
      <w:r w:rsidR="00AF67CC">
        <w:rPr>
          <w:spacing w:val="2"/>
        </w:rPr>
        <w:t>s</w:t>
      </w:r>
      <w:r w:rsidRPr="0091435A">
        <w:rPr>
          <w:spacing w:val="2"/>
        </w:rPr>
        <w:t xml:space="preserve"> poussières depuis la dernière session</w:t>
      </w:r>
      <w:r w:rsidRPr="0091435A">
        <w:rPr>
          <w:rFonts w:eastAsia="MS Mincho"/>
          <w:spacing w:val="2"/>
          <w:lang w:eastAsia="ja-JP"/>
        </w:rPr>
        <w:t xml:space="preserve">. </w:t>
      </w:r>
      <w:r w:rsidRPr="0091435A">
        <w:rPr>
          <w:spacing w:val="2"/>
        </w:rPr>
        <w:t xml:space="preserve">Pour référence, se reporter au rapport du Sous-Comité sur sa </w:t>
      </w:r>
      <w:r w:rsidR="00893A05">
        <w:t xml:space="preserve">trente-et-unième </w:t>
      </w:r>
      <w:r w:rsidRPr="0091435A">
        <w:rPr>
          <w:spacing w:val="2"/>
        </w:rPr>
        <w:t xml:space="preserve">session </w:t>
      </w:r>
      <w:r w:rsidRPr="0091435A">
        <w:rPr>
          <w:rFonts w:eastAsia="MS Mincho"/>
          <w:spacing w:val="2"/>
          <w:lang w:eastAsia="ja-JP"/>
        </w:rPr>
        <w:t>(</w:t>
      </w:r>
      <w:r w:rsidRPr="0091435A">
        <w:rPr>
          <w:spacing w:val="2"/>
        </w:rPr>
        <w:t>ST/SG/AC.10/C.4/</w:t>
      </w:r>
      <w:r>
        <w:rPr>
          <w:spacing w:val="2"/>
        </w:rPr>
        <w:t>62</w:t>
      </w:r>
      <w:r w:rsidRPr="0091435A">
        <w:rPr>
          <w:spacing w:val="2"/>
        </w:rPr>
        <w:t>, par</w:t>
      </w:r>
      <w:r>
        <w:rPr>
          <w:spacing w:val="2"/>
        </w:rPr>
        <w:t>agraphe</w:t>
      </w:r>
      <w:r w:rsidRPr="0091435A">
        <w:rPr>
          <w:spacing w:val="2"/>
        </w:rPr>
        <w:t> </w:t>
      </w:r>
      <w:r>
        <w:rPr>
          <w:spacing w:val="2"/>
        </w:rPr>
        <w:t>15</w:t>
      </w:r>
      <w:r w:rsidRPr="0091435A">
        <w:rPr>
          <w:spacing w:val="2"/>
        </w:rPr>
        <w:t xml:space="preserve">). </w:t>
      </w:r>
    </w:p>
    <w:p w:rsidR="00CF55FF" w:rsidRDefault="00CF55FF" w:rsidP="00CE3740">
      <w:pPr>
        <w:pStyle w:val="H23G"/>
        <w:rPr>
          <w:lang w:val="fr-FR"/>
        </w:rPr>
      </w:pPr>
      <w:r>
        <w:rPr>
          <w:lang w:val="fr-FR"/>
        </w:rPr>
        <w:tab/>
        <w:t>d</w:t>
      </w:r>
      <w:r w:rsidRPr="00B15AA2">
        <w:rPr>
          <w:lang w:val="fr-FR"/>
        </w:rPr>
        <w:t>)</w:t>
      </w:r>
      <w:r w:rsidRPr="00B15AA2">
        <w:rPr>
          <w:lang w:val="fr-FR"/>
        </w:rPr>
        <w:tab/>
        <w:t>Questions pratiques de classification</w:t>
      </w:r>
    </w:p>
    <w:p w:rsidR="006C055C" w:rsidRPr="0091435A" w:rsidRDefault="006C055C" w:rsidP="006C055C">
      <w:pPr>
        <w:pStyle w:val="SingleTxtG"/>
      </w:pPr>
      <w:r w:rsidRPr="0091435A">
        <w:t xml:space="preserve">Aucun document n’avait été soumis sous ce point </w:t>
      </w:r>
      <w:r w:rsidR="00AF67CC">
        <w:t>subsidiaire</w:t>
      </w:r>
      <w:r w:rsidR="00AF67CC" w:rsidRPr="0091435A">
        <w:t xml:space="preserve"> </w:t>
      </w:r>
      <w:r w:rsidRPr="0091435A">
        <w:t>de l’ordre du jour au moment de la rédaction du présent document.</w:t>
      </w:r>
    </w:p>
    <w:p w:rsidR="006C055C" w:rsidRPr="006C055C" w:rsidRDefault="006C055C" w:rsidP="00273B3D">
      <w:pPr>
        <w:pStyle w:val="SingleTxtG"/>
        <w:keepNext/>
        <w:keepLines/>
        <w:rPr>
          <w:lang w:val="fr-FR"/>
        </w:rPr>
      </w:pPr>
      <w:r w:rsidRPr="00FA2A45">
        <w:rPr>
          <w:rFonts w:eastAsia="MS Mincho"/>
          <w:lang w:val="fr-FR"/>
        </w:rPr>
        <w:t xml:space="preserve">L’expert des États-Unis d’Amérique souhaitera </w:t>
      </w:r>
      <w:r w:rsidR="00DD634C">
        <w:t>éventuellement</w:t>
      </w:r>
      <w:r w:rsidR="00DD634C" w:rsidRPr="00FA2A45">
        <w:rPr>
          <w:rFonts w:eastAsia="MS Mincho"/>
          <w:lang w:val="fr-FR"/>
        </w:rPr>
        <w:t xml:space="preserve"> </w:t>
      </w:r>
      <w:r w:rsidRPr="00FA2A45">
        <w:rPr>
          <w:rFonts w:eastAsia="MS Mincho"/>
          <w:lang w:val="fr-FR"/>
        </w:rPr>
        <w:t xml:space="preserve">informer le Sous-Comité de l’état d’avancement des travaux du groupe de travail informel par correspondance </w:t>
      </w:r>
      <w:r>
        <w:rPr>
          <w:rFonts w:eastAsia="MS Mincho"/>
          <w:lang w:val="fr-FR"/>
        </w:rPr>
        <w:t>chargé</w:t>
      </w:r>
      <w:r w:rsidRPr="00FA2A45">
        <w:rPr>
          <w:rFonts w:eastAsia="MS Mincho"/>
          <w:lang w:val="fr-FR"/>
        </w:rPr>
        <w:t xml:space="preserve"> des questions pratiques de classification depuis la dernière session. Pour référence, se reporter au rapport du Sous-Comité sur sa </w:t>
      </w:r>
      <w:r w:rsidR="00893A05">
        <w:t xml:space="preserve">trente-et-unième </w:t>
      </w:r>
      <w:r w:rsidRPr="00E0681E">
        <w:rPr>
          <w:rFonts w:eastAsia="MS Mincho"/>
          <w:lang w:val="fr-FR"/>
        </w:rPr>
        <w:t>session (</w:t>
      </w:r>
      <w:r w:rsidRPr="00F31EFC">
        <w:rPr>
          <w:rFonts w:eastAsia="MS Mincho"/>
          <w:lang w:val="fr-FR"/>
        </w:rPr>
        <w:t>ST/SG/AC.10/C.4/</w:t>
      </w:r>
      <w:r w:rsidR="00273B3D">
        <w:rPr>
          <w:rFonts w:eastAsia="MS Mincho"/>
          <w:lang w:val="fr-FR"/>
        </w:rPr>
        <w:t>62</w:t>
      </w:r>
      <w:r>
        <w:rPr>
          <w:rFonts w:eastAsia="MS Mincho"/>
          <w:lang w:val="fr-FR"/>
        </w:rPr>
        <w:t xml:space="preserve">, </w:t>
      </w:r>
      <w:r w:rsidR="00273B3D" w:rsidRPr="0091435A">
        <w:rPr>
          <w:spacing w:val="2"/>
        </w:rPr>
        <w:t>par</w:t>
      </w:r>
      <w:r w:rsidR="00273B3D">
        <w:rPr>
          <w:spacing w:val="2"/>
        </w:rPr>
        <w:t>agraphes</w:t>
      </w:r>
      <w:r>
        <w:rPr>
          <w:rFonts w:eastAsia="MS Mincho"/>
          <w:lang w:val="fr-FR"/>
        </w:rPr>
        <w:t> </w:t>
      </w:r>
      <w:r w:rsidR="004E5FA5">
        <w:t>16</w:t>
      </w:r>
      <w:r w:rsidR="00EF7EA4">
        <w:t>-</w:t>
      </w:r>
      <w:r w:rsidR="004E5FA5">
        <w:t>19</w:t>
      </w:r>
      <w:r w:rsidRPr="00E0681E">
        <w:rPr>
          <w:rFonts w:eastAsia="MS Mincho"/>
          <w:lang w:val="fr-FR"/>
        </w:rPr>
        <w:t>).</w:t>
      </w:r>
    </w:p>
    <w:p w:rsidR="00CF55FF" w:rsidRDefault="00CF55FF" w:rsidP="00CE3740">
      <w:pPr>
        <w:pStyle w:val="H23G"/>
        <w:rPr>
          <w:lang w:val="fr-FR"/>
        </w:rPr>
      </w:pPr>
      <w:r w:rsidRPr="007A3FFC">
        <w:rPr>
          <w:lang w:val="fr-FR"/>
        </w:rPr>
        <w:tab/>
      </w:r>
      <w:r>
        <w:rPr>
          <w:lang w:val="fr-FR"/>
        </w:rPr>
        <w:t>e</w:t>
      </w:r>
      <w:r w:rsidRPr="007A3FFC">
        <w:rPr>
          <w:lang w:val="fr-FR"/>
        </w:rPr>
        <w:t>)</w:t>
      </w:r>
      <w:r w:rsidRPr="007A3FFC">
        <w:rPr>
          <w:lang w:val="fr-FR"/>
        </w:rPr>
        <w:tab/>
        <w:t>Dangers par aspiration: critère de viscosité pour la classification des mélanges</w:t>
      </w:r>
    </w:p>
    <w:p w:rsidR="00273B3D" w:rsidRPr="0091435A" w:rsidRDefault="00273B3D" w:rsidP="00273B3D">
      <w:pPr>
        <w:pStyle w:val="SingleTxtG"/>
      </w:pPr>
      <w:r w:rsidRPr="0091435A">
        <w:t xml:space="preserve">Aucun document n’avait été soumis sous ce point </w:t>
      </w:r>
      <w:r w:rsidR="00AF67CC">
        <w:t>subsidiaire</w:t>
      </w:r>
      <w:r w:rsidR="00AF67CC" w:rsidRPr="0091435A">
        <w:t xml:space="preserve"> </w:t>
      </w:r>
      <w:r w:rsidRPr="0091435A">
        <w:t>de l’ordre du jour au moment de la rédaction du présent document.</w:t>
      </w:r>
    </w:p>
    <w:p w:rsidR="00273B3D" w:rsidRPr="00273B3D" w:rsidRDefault="00273B3D" w:rsidP="00106EF6">
      <w:pPr>
        <w:pStyle w:val="SingleTxtG"/>
        <w:keepNext/>
        <w:keepLines/>
        <w:rPr>
          <w:lang w:val="fr-FR"/>
        </w:rPr>
      </w:pPr>
      <w:r>
        <w:rPr>
          <w:rFonts w:eastAsia="MS Mincho"/>
          <w:lang w:val="fr-FR"/>
        </w:rPr>
        <w:t xml:space="preserve">Les représentants </w:t>
      </w:r>
      <w:r w:rsidR="004E5FA5">
        <w:rPr>
          <w:rFonts w:eastAsia="MS Mincho"/>
          <w:lang w:val="fr-FR"/>
        </w:rPr>
        <w:t>d’IPPIC</w:t>
      </w:r>
      <w:r>
        <w:rPr>
          <w:rFonts w:eastAsia="MS Mincho"/>
          <w:lang w:val="fr-FR"/>
        </w:rPr>
        <w:t xml:space="preserve"> et de l’OMI </w:t>
      </w:r>
      <w:r w:rsidRPr="00FA2A45">
        <w:rPr>
          <w:rFonts w:eastAsia="MS Mincho"/>
          <w:lang w:val="fr-FR"/>
        </w:rPr>
        <w:t>souhaiter</w:t>
      </w:r>
      <w:r>
        <w:rPr>
          <w:rFonts w:eastAsia="MS Mincho"/>
          <w:lang w:val="fr-FR"/>
        </w:rPr>
        <w:t>ont</w:t>
      </w:r>
      <w:r w:rsidRPr="00FA2A45">
        <w:rPr>
          <w:rFonts w:eastAsia="MS Mincho"/>
          <w:lang w:val="fr-FR"/>
        </w:rPr>
        <w:t xml:space="preserve"> </w:t>
      </w:r>
      <w:r w:rsidR="00DD634C">
        <w:t>éventuellement</w:t>
      </w:r>
      <w:r w:rsidRPr="00FA2A45">
        <w:rPr>
          <w:rFonts w:eastAsia="MS Mincho"/>
          <w:lang w:val="fr-FR"/>
        </w:rPr>
        <w:t xml:space="preserve"> informer le Sous-Comité de l’état d’avancement des travaux </w:t>
      </w:r>
      <w:r>
        <w:rPr>
          <w:rFonts w:eastAsia="MS Mincho"/>
          <w:lang w:val="fr-FR"/>
        </w:rPr>
        <w:t>sur ce sujet</w:t>
      </w:r>
      <w:r w:rsidRPr="00273B3D">
        <w:rPr>
          <w:rFonts w:eastAsia="MS Mincho"/>
          <w:lang w:val="fr-FR"/>
        </w:rPr>
        <w:t xml:space="preserve"> </w:t>
      </w:r>
      <w:r w:rsidRPr="00FA2A45">
        <w:rPr>
          <w:rFonts w:eastAsia="MS Mincho"/>
          <w:lang w:val="fr-FR"/>
        </w:rPr>
        <w:t xml:space="preserve">depuis la dernière session. Pour référence, se reporter au rapport du Sous-Comité sur sa </w:t>
      </w:r>
      <w:r w:rsidR="00893A05">
        <w:t xml:space="preserve">trente-et-unième </w:t>
      </w:r>
      <w:r w:rsidRPr="00E0681E">
        <w:rPr>
          <w:rFonts w:eastAsia="MS Mincho"/>
          <w:lang w:val="fr-FR"/>
        </w:rPr>
        <w:t>session (</w:t>
      </w:r>
      <w:r w:rsidRPr="00F31EFC">
        <w:rPr>
          <w:rFonts w:eastAsia="MS Mincho"/>
          <w:lang w:val="fr-FR"/>
        </w:rPr>
        <w:t>ST/SG/AC.10/C.4/</w:t>
      </w:r>
      <w:r>
        <w:rPr>
          <w:rFonts w:eastAsia="MS Mincho"/>
          <w:lang w:val="fr-FR"/>
        </w:rPr>
        <w:t xml:space="preserve">62, </w:t>
      </w:r>
      <w:r w:rsidRPr="0091435A">
        <w:rPr>
          <w:spacing w:val="2"/>
        </w:rPr>
        <w:t>par</w:t>
      </w:r>
      <w:r>
        <w:rPr>
          <w:spacing w:val="2"/>
        </w:rPr>
        <w:t>agraphe</w:t>
      </w:r>
      <w:r w:rsidR="004E5FA5">
        <w:rPr>
          <w:spacing w:val="2"/>
        </w:rPr>
        <w:t>s</w:t>
      </w:r>
      <w:r>
        <w:rPr>
          <w:rFonts w:eastAsia="MS Mincho"/>
          <w:lang w:val="fr-FR"/>
        </w:rPr>
        <w:t> </w:t>
      </w:r>
      <w:r w:rsidR="004E5FA5">
        <w:rPr>
          <w:rFonts w:eastAsia="MS Mincho"/>
          <w:lang w:val="fr-FR"/>
        </w:rPr>
        <w:t>20 and 21</w:t>
      </w:r>
      <w:r w:rsidRPr="00E0681E">
        <w:rPr>
          <w:rFonts w:eastAsia="MS Mincho"/>
          <w:lang w:val="fr-FR"/>
        </w:rPr>
        <w:t>).</w:t>
      </w:r>
    </w:p>
    <w:p w:rsidR="00CF55FF" w:rsidRDefault="00CF55FF" w:rsidP="00CE3740">
      <w:pPr>
        <w:pStyle w:val="H23G"/>
        <w:rPr>
          <w:lang w:val="fr-FR"/>
        </w:rPr>
      </w:pPr>
      <w:r w:rsidRPr="007A3FFC">
        <w:rPr>
          <w:lang w:val="fr-FR"/>
        </w:rPr>
        <w:tab/>
      </w:r>
      <w:r>
        <w:rPr>
          <w:lang w:val="fr-FR"/>
        </w:rPr>
        <w:t>f</w:t>
      </w:r>
      <w:r w:rsidRPr="007A3FFC">
        <w:rPr>
          <w:lang w:val="fr-FR"/>
        </w:rPr>
        <w:t>)</w:t>
      </w:r>
      <w:r w:rsidRPr="007A3FFC">
        <w:rPr>
          <w:lang w:val="fr-FR"/>
        </w:rPr>
        <w:tab/>
        <w:t>Nanomatériaux</w:t>
      </w:r>
    </w:p>
    <w:p w:rsidR="00106EF6" w:rsidRPr="0091435A" w:rsidRDefault="00106EF6" w:rsidP="00106EF6">
      <w:pPr>
        <w:pStyle w:val="SingleTxtG"/>
      </w:pPr>
      <w:r w:rsidRPr="0091435A">
        <w:t xml:space="preserve">Aucun document n’avait été soumis sous ce point </w:t>
      </w:r>
      <w:r w:rsidR="00AF67CC">
        <w:t>subsidiaire</w:t>
      </w:r>
      <w:r w:rsidR="00AF67CC" w:rsidRPr="0091435A">
        <w:t xml:space="preserve"> </w:t>
      </w:r>
      <w:r w:rsidRPr="0091435A">
        <w:t>de l’ordre du jour au moment de la rédaction du présent document.</w:t>
      </w:r>
    </w:p>
    <w:p w:rsidR="00106EF6" w:rsidRPr="0091435A" w:rsidRDefault="00106EF6" w:rsidP="00106EF6">
      <w:pPr>
        <w:pStyle w:val="SingleTxtG"/>
      </w:pPr>
      <w:r w:rsidRPr="0091435A">
        <w:t xml:space="preserve">L’expert de la France </w:t>
      </w:r>
      <w:r w:rsidRPr="00FA2A45">
        <w:rPr>
          <w:rFonts w:eastAsia="MS Mincho"/>
          <w:lang w:val="fr-FR"/>
        </w:rPr>
        <w:t xml:space="preserve">souhaitera </w:t>
      </w:r>
      <w:r w:rsidR="00DD634C">
        <w:t>éventuellement</w:t>
      </w:r>
      <w:r w:rsidR="00DD634C" w:rsidRPr="00FA2A45">
        <w:rPr>
          <w:rFonts w:eastAsia="MS Mincho"/>
          <w:lang w:val="fr-FR"/>
        </w:rPr>
        <w:t xml:space="preserve"> </w:t>
      </w:r>
      <w:r w:rsidRPr="00FA2A45">
        <w:rPr>
          <w:rFonts w:eastAsia="MS Mincho"/>
          <w:lang w:val="fr-FR"/>
        </w:rPr>
        <w:t xml:space="preserve">informer </w:t>
      </w:r>
      <w:r w:rsidRPr="0091435A">
        <w:t xml:space="preserve">le Sous-Comité de l’état d’avancement des travaux du groupe de travail informel par correspondance chargé des nanomatériaux. Pour référence, se reporter au rapport du Sous-Comité sur sa trentième session </w:t>
      </w:r>
      <w:r w:rsidRPr="00106EF6">
        <w:t>(</w:t>
      </w:r>
      <w:r w:rsidRPr="0091435A">
        <w:t xml:space="preserve">ST/SG/AC.10/C.4/60, </w:t>
      </w:r>
      <w:r>
        <w:t>paragraphes 24</w:t>
      </w:r>
      <w:r w:rsidR="00EF7EA4">
        <w:t>-</w:t>
      </w:r>
      <w:r>
        <w:t>26</w:t>
      </w:r>
      <w:r w:rsidRPr="0091435A">
        <w:t xml:space="preserve">). </w:t>
      </w:r>
    </w:p>
    <w:p w:rsidR="00CF55FF" w:rsidRDefault="00CF55FF" w:rsidP="00CE3740">
      <w:pPr>
        <w:pStyle w:val="H23G"/>
        <w:rPr>
          <w:lang w:val="fr-FR"/>
        </w:rPr>
      </w:pPr>
      <w:r w:rsidRPr="007C40D2">
        <w:rPr>
          <w:lang w:val="fr-FR"/>
        </w:rPr>
        <w:tab/>
      </w:r>
      <w:r>
        <w:rPr>
          <w:lang w:val="fr-FR"/>
        </w:rPr>
        <w:t>g</w:t>
      </w:r>
      <w:r w:rsidRPr="007C40D2">
        <w:rPr>
          <w:lang w:val="fr-FR"/>
        </w:rPr>
        <w:t>)</w:t>
      </w:r>
      <w:r w:rsidRPr="007C40D2">
        <w:rPr>
          <w:lang w:val="fr-FR"/>
        </w:rPr>
        <w:tab/>
        <w:t>Divers</w:t>
      </w:r>
    </w:p>
    <w:p w:rsidR="00BF674A" w:rsidRPr="0091435A" w:rsidRDefault="00BF674A" w:rsidP="00BF674A">
      <w:pPr>
        <w:pStyle w:val="SingleTxtG"/>
      </w:pPr>
      <w:r w:rsidRPr="0091435A">
        <w:t xml:space="preserve">Aucun document n’avait été soumis sous ce point </w:t>
      </w:r>
      <w:r w:rsidR="00AF67CC">
        <w:t>subsidiaire</w:t>
      </w:r>
      <w:r w:rsidR="00AF67CC" w:rsidRPr="0091435A">
        <w:t xml:space="preserve"> </w:t>
      </w:r>
      <w:r w:rsidRPr="0091435A">
        <w:t>de l’ordre du jour au moment de la rédaction du présent document.</w:t>
      </w:r>
    </w:p>
    <w:p w:rsidR="00CF55FF" w:rsidRPr="00BF674A" w:rsidRDefault="00BF674A" w:rsidP="00BF674A">
      <w:pPr>
        <w:pStyle w:val="H1G"/>
        <w:kinsoku w:val="0"/>
        <w:overflowPunct w:val="0"/>
        <w:autoSpaceDE w:val="0"/>
        <w:autoSpaceDN w:val="0"/>
        <w:adjustRightInd w:val="0"/>
        <w:snapToGrid w:val="0"/>
      </w:pPr>
      <w:r>
        <w:tab/>
      </w:r>
      <w:r w:rsidR="00CF55FF" w:rsidRPr="00BF674A">
        <w:t>3.</w:t>
      </w:r>
      <w:r w:rsidR="00CF55FF" w:rsidRPr="00BF674A">
        <w:tab/>
        <w:t>Questions relatives à la communication des dangers</w:t>
      </w:r>
    </w:p>
    <w:p w:rsidR="00CF55FF" w:rsidRDefault="003019E0" w:rsidP="00BF674A">
      <w:pPr>
        <w:pStyle w:val="H23G"/>
        <w:rPr>
          <w:lang w:val="fr-FR"/>
        </w:rPr>
      </w:pPr>
      <w:r>
        <w:rPr>
          <w:lang w:val="fr-FR"/>
        </w:rPr>
        <w:tab/>
        <w:t>a)</w:t>
      </w:r>
      <w:r w:rsidR="00CF55FF" w:rsidRPr="00A051DD">
        <w:rPr>
          <w:lang w:val="fr-FR"/>
        </w:rPr>
        <w:tab/>
        <w:t>Étiquetage des petits emballages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4E5FA5" w:rsidRPr="007F2AEF" w:rsidTr="00E534F9">
        <w:tc>
          <w:tcPr>
            <w:tcW w:w="3402" w:type="dxa"/>
            <w:shd w:val="clear" w:color="auto" w:fill="auto"/>
          </w:tcPr>
          <w:p w:rsidR="004E5FA5" w:rsidRPr="00210F77" w:rsidRDefault="004E5FA5" w:rsidP="00E534F9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19</w:t>
            </w:r>
            <w:r w:rsidRPr="00210F77">
              <w:t xml:space="preserve"> (</w:t>
            </w:r>
            <w:r>
              <w:t>CEFIC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4E5FA5" w:rsidRPr="00210F77" w:rsidRDefault="004E5FA5" w:rsidP="00E534F9">
            <w:pPr>
              <w:spacing w:after="120"/>
            </w:pPr>
            <w:r w:rsidRPr="00A051DD">
              <w:rPr>
                <w:lang w:val="fr-FR"/>
              </w:rPr>
              <w:t>Étiquetage des petits emballages</w:t>
            </w:r>
          </w:p>
        </w:tc>
      </w:tr>
    </w:tbl>
    <w:p w:rsidR="00E20738" w:rsidRDefault="00E20738" w:rsidP="00BF674A">
      <w:pPr>
        <w:pStyle w:val="H23G"/>
        <w:rPr>
          <w:lang w:val="fr-FR"/>
        </w:rPr>
      </w:pPr>
    </w:p>
    <w:p w:rsidR="00E20738" w:rsidRDefault="00E20738">
      <w:pPr>
        <w:suppressAutoHyphens w:val="0"/>
        <w:spacing w:line="240" w:lineRule="auto"/>
        <w:rPr>
          <w:b/>
          <w:lang w:val="fr-FR"/>
        </w:rPr>
      </w:pPr>
      <w:r>
        <w:rPr>
          <w:lang w:val="fr-FR"/>
        </w:rPr>
        <w:br w:type="page"/>
      </w:r>
    </w:p>
    <w:p w:rsidR="00CF55FF" w:rsidRDefault="00CF55FF" w:rsidP="00BF674A">
      <w:pPr>
        <w:pStyle w:val="H23G"/>
        <w:rPr>
          <w:lang w:val="fr-FR"/>
        </w:rPr>
      </w:pPr>
      <w:bookmarkStart w:id="0" w:name="_GoBack"/>
      <w:bookmarkEnd w:id="0"/>
      <w:r w:rsidRPr="00A051DD">
        <w:rPr>
          <w:lang w:val="fr-FR"/>
        </w:rPr>
        <w:lastRenderedPageBreak/>
        <w:tab/>
      </w:r>
      <w:r>
        <w:rPr>
          <w:lang w:val="fr-FR"/>
        </w:rPr>
        <w:t>b</w:t>
      </w:r>
      <w:r w:rsidRPr="00A051DD">
        <w:rPr>
          <w:lang w:val="fr-FR"/>
        </w:rPr>
        <w:t>)</w:t>
      </w:r>
      <w:r w:rsidRPr="00A051DD">
        <w:rPr>
          <w:lang w:val="fr-FR"/>
        </w:rPr>
        <w:tab/>
        <w:t>Amélioration des annexes 1 à 3 et poursuite de la rationalisation des conseils de prudence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4E5FA5" w:rsidRPr="007F2AEF" w:rsidTr="00E534F9">
        <w:tc>
          <w:tcPr>
            <w:tcW w:w="3402" w:type="dxa"/>
            <w:shd w:val="clear" w:color="auto" w:fill="auto"/>
          </w:tcPr>
          <w:p w:rsidR="004E5FA5" w:rsidRPr="00210F77" w:rsidRDefault="004E5FA5" w:rsidP="004E5FA5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17</w:t>
            </w:r>
            <w:r w:rsidRPr="00210F77">
              <w:t xml:space="preserve"> (</w:t>
            </w:r>
            <w:r>
              <w:t>Royaume</w:t>
            </w:r>
            <w:r w:rsidR="00AF67CC">
              <w:t>-</w:t>
            </w:r>
            <w:r>
              <w:t xml:space="preserve"> Uni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4E5FA5" w:rsidRPr="00210F77" w:rsidRDefault="004E5FA5" w:rsidP="004E5FA5">
            <w:pPr>
              <w:spacing w:after="120"/>
            </w:pPr>
            <w:r>
              <w:t>Proposition d’amendements aux sections 2 et 3 de l’annexe 3 du SGH</w:t>
            </w:r>
          </w:p>
        </w:tc>
      </w:tr>
      <w:tr w:rsidR="004E5FA5" w:rsidRPr="007F2AEF" w:rsidTr="00E534F9">
        <w:tc>
          <w:tcPr>
            <w:tcW w:w="3402" w:type="dxa"/>
            <w:shd w:val="clear" w:color="auto" w:fill="auto"/>
          </w:tcPr>
          <w:p w:rsidR="004E5FA5" w:rsidRPr="00210F77" w:rsidRDefault="004E5FA5" w:rsidP="00AF67CC">
            <w:pPr>
              <w:pStyle w:val="SingleTxtG"/>
              <w:spacing w:after="80" w:line="240" w:lineRule="auto"/>
              <w:ind w:left="0" w:right="0"/>
              <w:jc w:val="left"/>
            </w:pPr>
            <w:r>
              <w:t xml:space="preserve">+ document </w:t>
            </w:r>
            <w:r w:rsidR="00AF67CC">
              <w:t xml:space="preserve">informel </w:t>
            </w:r>
            <w:r>
              <w:t xml:space="preserve">INF.3 et </w:t>
            </w:r>
            <w:proofErr w:type="spellStart"/>
            <w:r>
              <w:t>Adds</w:t>
            </w:r>
            <w:proofErr w:type="spellEnd"/>
            <w:r>
              <w:t>. 1 et</w:t>
            </w:r>
            <w:r w:rsidR="00AF67CC">
              <w:t> </w:t>
            </w:r>
            <w:r>
              <w:t>2</w:t>
            </w:r>
          </w:p>
        </w:tc>
        <w:tc>
          <w:tcPr>
            <w:tcW w:w="3969" w:type="dxa"/>
            <w:shd w:val="clear" w:color="auto" w:fill="auto"/>
          </w:tcPr>
          <w:p w:rsidR="004E5FA5" w:rsidRPr="003E7485" w:rsidRDefault="004E5FA5" w:rsidP="004E5FA5">
            <w:pPr>
              <w:spacing w:after="120"/>
            </w:pPr>
            <w:r>
              <w:t>Proposition d’amendements aux sections 2 et 3 de l’annexe 3 du SGH</w:t>
            </w:r>
            <w:r w:rsidR="007C26D0">
              <w:t xml:space="preserve"> au</w:t>
            </w:r>
            <w:r>
              <w:t xml:space="preserve"> document </w:t>
            </w:r>
            <w:r w:rsidRPr="00EA6752">
              <w:t>ST/SG/AC.10/C.4/2016/17</w:t>
            </w:r>
          </w:p>
        </w:tc>
      </w:tr>
      <w:tr w:rsidR="004E5FA5" w:rsidRPr="007F2AEF" w:rsidTr="00E534F9">
        <w:tc>
          <w:tcPr>
            <w:tcW w:w="3402" w:type="dxa"/>
            <w:shd w:val="clear" w:color="auto" w:fill="auto"/>
          </w:tcPr>
          <w:p w:rsidR="004E5FA5" w:rsidRPr="00210F77" w:rsidRDefault="004E5FA5" w:rsidP="004E5FA5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20</w:t>
            </w:r>
            <w:r w:rsidRPr="00210F77">
              <w:t xml:space="preserve"> (</w:t>
            </w:r>
            <w:r>
              <w:t>Union Européenne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4E5FA5" w:rsidRPr="003E7485" w:rsidRDefault="007C26D0" w:rsidP="00A507A3">
            <w:pPr>
              <w:spacing w:after="120"/>
            </w:pPr>
            <w:r>
              <w:t>Conseils de prudence concernant la demande d’un avis médical</w:t>
            </w:r>
            <w:r w:rsidR="00A507A3">
              <w:t>/</w:t>
            </w:r>
            <w:r>
              <w:t xml:space="preserve">consultation d’un médecin : correction des écarts linguistiques </w:t>
            </w:r>
          </w:p>
        </w:tc>
      </w:tr>
    </w:tbl>
    <w:p w:rsidR="00A507A3" w:rsidRPr="00EF7EA4" w:rsidRDefault="00A507A3" w:rsidP="00EF7EA4">
      <w:pPr>
        <w:pStyle w:val="SingleTxtG"/>
      </w:pPr>
      <w:r w:rsidRPr="00EF7EA4">
        <w:t xml:space="preserve">L’expert du Royaume-Uni </w:t>
      </w:r>
      <w:r w:rsidRPr="00EF7EA4">
        <w:rPr>
          <w:rFonts w:eastAsia="MS Mincho"/>
        </w:rPr>
        <w:t xml:space="preserve">souhaitera </w:t>
      </w:r>
      <w:r w:rsidR="00DD634C">
        <w:t>éventuellement</w:t>
      </w:r>
      <w:r w:rsidR="00DD634C" w:rsidRPr="00EF7EA4">
        <w:t xml:space="preserve"> </w:t>
      </w:r>
      <w:r w:rsidRPr="00EF7EA4">
        <w:t>informer le Sous-Comité de l’état d’avancement des travaux du groupe de travail informel par correspondance chargé de l’amélioration des annexes 1 à 3 depuis la dernière session.</w:t>
      </w:r>
      <w:r w:rsidRPr="00EF7EA4">
        <w:rPr>
          <w:rFonts w:eastAsia="MS Mincho"/>
        </w:rPr>
        <w:t xml:space="preserve"> </w:t>
      </w:r>
      <w:r w:rsidRPr="00EF7EA4">
        <w:t xml:space="preserve">Pour référence, se reporter au rapport du Sous-Comité sur sa </w:t>
      </w:r>
      <w:r w:rsidR="00893A05" w:rsidRPr="00EF7EA4">
        <w:t xml:space="preserve">trente-et-unième </w:t>
      </w:r>
      <w:r w:rsidRPr="00EF7EA4">
        <w:t xml:space="preserve">session </w:t>
      </w:r>
      <w:r w:rsidRPr="00EF7EA4">
        <w:rPr>
          <w:rFonts w:eastAsia="MS Mincho"/>
        </w:rPr>
        <w:t>(</w:t>
      </w:r>
      <w:r w:rsidRPr="00EF7EA4">
        <w:t>ST/SG/AC.10/C.4/62, paragraphe 33).</w:t>
      </w:r>
    </w:p>
    <w:p w:rsidR="00CF55FF" w:rsidRDefault="00CF55FF" w:rsidP="00BF674A">
      <w:pPr>
        <w:pStyle w:val="H23G"/>
        <w:rPr>
          <w:lang w:val="fr-FR"/>
        </w:rPr>
      </w:pPr>
      <w:r w:rsidRPr="00A051DD">
        <w:rPr>
          <w:lang w:val="fr-FR"/>
        </w:rPr>
        <w:tab/>
      </w:r>
      <w:r>
        <w:rPr>
          <w:lang w:val="fr-FR"/>
        </w:rPr>
        <w:t>c</w:t>
      </w:r>
      <w:r w:rsidRPr="00A051DD">
        <w:rPr>
          <w:lang w:val="fr-FR"/>
        </w:rPr>
        <w:t>)</w:t>
      </w:r>
      <w:r w:rsidRPr="00A051DD">
        <w:rPr>
          <w:lang w:val="fr-FR"/>
        </w:rPr>
        <w:tab/>
        <w:t>Divers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893A05" w:rsidRPr="007F2AEF" w:rsidTr="00E534F9">
        <w:tc>
          <w:tcPr>
            <w:tcW w:w="3402" w:type="dxa"/>
            <w:shd w:val="clear" w:color="auto" w:fill="auto"/>
          </w:tcPr>
          <w:p w:rsidR="00893A05" w:rsidRPr="00210F77" w:rsidRDefault="00893A05" w:rsidP="00E932C4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 w:rsidR="00E932C4">
              <w:t>21</w:t>
            </w:r>
            <w:r w:rsidRPr="00210F77">
              <w:t xml:space="preserve"> (</w:t>
            </w:r>
            <w:r w:rsidR="00E932C4">
              <w:t>ICMM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893A05" w:rsidRPr="00210F77" w:rsidRDefault="00E932C4" w:rsidP="00E932C4">
            <w:pPr>
              <w:spacing w:after="120"/>
            </w:pPr>
            <w:r>
              <w:rPr>
                <w:lang w:val="fr-FR"/>
              </w:rPr>
              <w:t>Amendements à l’annexe 4 (sous-section A4.3.17.7) du SGH concernant les indications pour la préparation des fiches de données de sécurité</w:t>
            </w:r>
          </w:p>
        </w:tc>
      </w:tr>
    </w:tbl>
    <w:p w:rsidR="00CF55FF" w:rsidRPr="00BF674A" w:rsidRDefault="00BF674A" w:rsidP="00BF674A">
      <w:pPr>
        <w:pStyle w:val="H1G"/>
        <w:kinsoku w:val="0"/>
        <w:overflowPunct w:val="0"/>
        <w:autoSpaceDE w:val="0"/>
        <w:autoSpaceDN w:val="0"/>
        <w:adjustRightInd w:val="0"/>
        <w:snapToGrid w:val="0"/>
      </w:pPr>
      <w:r>
        <w:tab/>
      </w:r>
      <w:r w:rsidR="00CF55FF" w:rsidRPr="00BF674A">
        <w:t>4.</w:t>
      </w:r>
      <w:r w:rsidR="00CF55FF" w:rsidRPr="00BF674A">
        <w:tab/>
        <w:t>Mise en œuvre du SGH </w:t>
      </w:r>
    </w:p>
    <w:p w:rsidR="00CF55FF" w:rsidRDefault="00CF55FF" w:rsidP="00BF674A">
      <w:pPr>
        <w:pStyle w:val="H23G"/>
        <w:rPr>
          <w:lang w:val="fr-FR"/>
        </w:rPr>
      </w:pPr>
      <w:r w:rsidRPr="00A051DD">
        <w:rPr>
          <w:lang w:val="fr-FR"/>
        </w:rPr>
        <w:tab/>
        <w:t>a)</w:t>
      </w:r>
      <w:r w:rsidRPr="00A051DD">
        <w:rPr>
          <w:lang w:val="fr-FR"/>
        </w:rPr>
        <w:tab/>
        <w:t>Élaboration d’une liste des produits chimiques classés conformément au SGH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E932C4" w:rsidRPr="007F2AEF" w:rsidTr="00E534F9">
        <w:tc>
          <w:tcPr>
            <w:tcW w:w="3402" w:type="dxa"/>
            <w:shd w:val="clear" w:color="auto" w:fill="auto"/>
          </w:tcPr>
          <w:p w:rsidR="00E932C4" w:rsidRPr="00210F77" w:rsidRDefault="00E932C4" w:rsidP="00E932C4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18</w:t>
            </w:r>
            <w:r w:rsidRPr="00210F77">
              <w:t xml:space="preserve"> (</w:t>
            </w:r>
            <w:r>
              <w:t>OCDE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E932C4" w:rsidRPr="00210F77" w:rsidRDefault="00607261" w:rsidP="00AF67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rPr>
                <w:rFonts w:ascii="inherit" w:hAnsi="inherit" w:cs="Courier New"/>
                <w:color w:val="212121"/>
                <w:lang w:val="fr-FR" w:eastAsia="zh-CN"/>
              </w:rPr>
              <w:t>Éléments clés</w:t>
            </w:r>
            <w:r w:rsidR="00E932C4" w:rsidRPr="00E932C4">
              <w:rPr>
                <w:rFonts w:ascii="inherit" w:hAnsi="inherit" w:cs="Courier New"/>
                <w:color w:val="212121"/>
                <w:lang w:val="fr-FR" w:eastAsia="zh-CN"/>
              </w:rPr>
              <w:t xml:space="preserve"> du rapport sur le projet pilote</w:t>
            </w:r>
            <w:r>
              <w:rPr>
                <w:rFonts w:ascii="inherit" w:hAnsi="inherit" w:cs="Courier New"/>
                <w:color w:val="212121"/>
                <w:lang w:val="fr-FR" w:eastAsia="zh-CN"/>
              </w:rPr>
              <w:t xml:space="preserve"> </w:t>
            </w:r>
            <w:r w:rsidR="00D24E6A">
              <w:rPr>
                <w:rFonts w:ascii="inherit" w:hAnsi="inherit" w:cs="Courier New"/>
                <w:color w:val="212121"/>
                <w:lang w:val="fr-FR" w:eastAsia="zh-CN"/>
              </w:rPr>
              <w:t xml:space="preserve">d’évaluation </w:t>
            </w:r>
            <w:r w:rsidR="00AF67CC">
              <w:rPr>
                <w:rFonts w:ascii="inherit" w:hAnsi="inherit" w:cs="Courier New"/>
                <w:color w:val="212121"/>
                <w:lang w:val="fr-FR" w:eastAsia="zh-CN"/>
              </w:rPr>
              <w:t>de</w:t>
            </w:r>
            <w:r w:rsidR="00D24E6A">
              <w:rPr>
                <w:rFonts w:ascii="inherit" w:hAnsi="inherit" w:cs="Courier New"/>
                <w:color w:val="212121"/>
                <w:lang w:val="fr-FR" w:eastAsia="zh-CN"/>
              </w:rPr>
              <w:t xml:space="preserve"> </w:t>
            </w:r>
            <w:r w:rsidR="00F83DFC">
              <w:rPr>
                <w:rFonts w:ascii="inherit" w:hAnsi="inherit" w:cs="Courier New"/>
                <w:color w:val="212121"/>
                <w:lang w:val="fr-FR" w:eastAsia="zh-CN"/>
              </w:rPr>
              <w:t>la possibilité de développement</w:t>
            </w:r>
            <w:r w:rsidR="00D24E6A">
              <w:rPr>
                <w:rFonts w:ascii="inherit" w:hAnsi="inherit" w:cs="Courier New"/>
                <w:color w:val="212121"/>
                <w:lang w:val="fr-FR" w:eastAsia="zh-CN"/>
              </w:rPr>
              <w:t xml:space="preserve"> </w:t>
            </w:r>
            <w:r w:rsidR="00E932C4" w:rsidRPr="00E932C4">
              <w:rPr>
                <w:rFonts w:ascii="inherit" w:hAnsi="inherit" w:cs="Courier New"/>
                <w:color w:val="212121"/>
                <w:lang w:val="fr-FR" w:eastAsia="zh-CN"/>
              </w:rPr>
              <w:t xml:space="preserve">d'une liste </w:t>
            </w:r>
            <w:r>
              <w:rPr>
                <w:rFonts w:ascii="inherit" w:hAnsi="inherit" w:cs="Courier New"/>
                <w:color w:val="212121"/>
                <w:lang w:val="fr-FR" w:eastAsia="zh-CN"/>
              </w:rPr>
              <w:t xml:space="preserve">globale </w:t>
            </w:r>
            <w:r w:rsidR="00601D4A">
              <w:t>de produits chimiques classés conformément au SGH</w:t>
            </w:r>
          </w:p>
        </w:tc>
      </w:tr>
    </w:tbl>
    <w:p w:rsidR="00E932C4" w:rsidRDefault="00F83DFC" w:rsidP="00AF67CC">
      <w:pPr>
        <w:pStyle w:val="SingleTxtG"/>
        <w:spacing w:before="120"/>
      </w:pPr>
      <w:r>
        <w:t xml:space="preserve">L’expert des États-Unis d’Amérique </w:t>
      </w:r>
      <w:r w:rsidRPr="00FA2A45">
        <w:rPr>
          <w:rFonts w:eastAsia="MS Mincho"/>
          <w:lang w:val="fr-FR"/>
        </w:rPr>
        <w:t xml:space="preserve">souhaitera </w:t>
      </w:r>
      <w:r w:rsidR="00DD634C">
        <w:t xml:space="preserve">éventuellement </w:t>
      </w:r>
      <w:r>
        <w:t xml:space="preserve">informer le Sous-Comité de l’état d’avancement des travaux du groupe de travail informel par correspondance depuis la dernière session. Pour référence, se reporter au rapport du Sous-Comité sur sa </w:t>
      </w:r>
      <w:r w:rsidR="00CC3DCD">
        <w:t xml:space="preserve">trente-et-unième </w:t>
      </w:r>
      <w:r>
        <w:t>session (ST/SG/AC.10/C.4/</w:t>
      </w:r>
      <w:r w:rsidR="00CC3DCD">
        <w:t>62</w:t>
      </w:r>
      <w:r>
        <w:t>, par</w:t>
      </w:r>
      <w:r w:rsidR="00CC3DCD">
        <w:t>agraphes</w:t>
      </w:r>
      <w:r>
        <w:t xml:space="preserve"> </w:t>
      </w:r>
      <w:r w:rsidR="00CC3DCD">
        <w:t>36 et 37</w:t>
      </w:r>
      <w:r>
        <w:t>).</w:t>
      </w:r>
    </w:p>
    <w:p w:rsidR="00CF55FF" w:rsidRDefault="00CF55FF" w:rsidP="00BF674A">
      <w:pPr>
        <w:pStyle w:val="H23G"/>
        <w:rPr>
          <w:lang w:val="fr-FR"/>
        </w:rPr>
      </w:pPr>
      <w:r w:rsidRPr="00A051DD">
        <w:rPr>
          <w:lang w:val="fr-FR"/>
        </w:rPr>
        <w:tab/>
        <w:t>b)</w:t>
      </w:r>
      <w:r w:rsidRPr="00A051DD">
        <w:rPr>
          <w:lang w:val="fr-FR"/>
        </w:rPr>
        <w:tab/>
        <w:t>Rapports relatifs à l’état de la mise en œuvre</w:t>
      </w:r>
    </w:p>
    <w:p w:rsidR="00CC3DCD" w:rsidRDefault="00CC3DCD" w:rsidP="00EF7EA4">
      <w:pPr>
        <w:pStyle w:val="SingleTxtG"/>
      </w:pPr>
      <w:r>
        <w:t xml:space="preserve">Les experts, observateurs et organisations internationales souhaiteront </w:t>
      </w:r>
      <w:r w:rsidR="00DD634C">
        <w:t xml:space="preserve">éventuellement </w:t>
      </w:r>
      <w:r>
        <w:t>informer le Sous-Comité de l’état d’avancement de la mise en œuvre du SGH dans leurs pays ou domaines d’activités respectifs.</w:t>
      </w:r>
    </w:p>
    <w:p w:rsidR="00CF55FF" w:rsidRDefault="00CF55FF" w:rsidP="00BF674A">
      <w:pPr>
        <w:pStyle w:val="H23G"/>
        <w:rPr>
          <w:lang w:val="fr-FR"/>
        </w:rPr>
      </w:pPr>
      <w:r w:rsidRPr="00A051DD">
        <w:rPr>
          <w:lang w:val="fr-FR"/>
        </w:rPr>
        <w:tab/>
        <w:t>c)</w:t>
      </w:r>
      <w:r w:rsidRPr="00A051DD">
        <w:rPr>
          <w:lang w:val="fr-FR"/>
        </w:rPr>
        <w:tab/>
        <w:t>Coopération avec d’autres organes ou organisations internationales</w:t>
      </w:r>
    </w:p>
    <w:p w:rsidR="00CC3DCD" w:rsidRPr="00CC3DCD" w:rsidRDefault="00CC3DCD" w:rsidP="00EF7EA4">
      <w:pPr>
        <w:pStyle w:val="SingleTxtG"/>
        <w:rPr>
          <w:lang w:val="fr-FR"/>
        </w:rPr>
      </w:pPr>
      <w:r>
        <w:t xml:space="preserve">Aucun document n’avait été soumis sous ce point </w:t>
      </w:r>
      <w:r w:rsidR="00AF67CC">
        <w:t xml:space="preserve">subsidiaire </w:t>
      </w:r>
      <w:r>
        <w:t>de l’ordre du jour au moment de la rédaction du présent document.</w:t>
      </w:r>
    </w:p>
    <w:p w:rsidR="00CF55FF" w:rsidRDefault="00CF55FF" w:rsidP="00BF674A">
      <w:pPr>
        <w:pStyle w:val="H23G"/>
        <w:rPr>
          <w:lang w:val="fr-FR"/>
        </w:rPr>
      </w:pPr>
      <w:r w:rsidRPr="00A051DD">
        <w:rPr>
          <w:lang w:val="fr-FR"/>
        </w:rPr>
        <w:tab/>
        <w:t>d)</w:t>
      </w:r>
      <w:r w:rsidRPr="00A051DD">
        <w:rPr>
          <w:lang w:val="fr-FR"/>
        </w:rPr>
        <w:tab/>
        <w:t>Divers</w:t>
      </w:r>
    </w:p>
    <w:p w:rsidR="00CC3DCD" w:rsidRPr="00CC3DCD" w:rsidRDefault="00CC3DCD" w:rsidP="00EF7EA4">
      <w:pPr>
        <w:pStyle w:val="SingleTxtG"/>
        <w:rPr>
          <w:lang w:val="fr-FR"/>
        </w:rPr>
      </w:pPr>
      <w:r>
        <w:t xml:space="preserve">Aucun document n’avait été soumis sous ce point </w:t>
      </w:r>
      <w:r w:rsidR="00AF67CC">
        <w:t xml:space="preserve">subsidiaire </w:t>
      </w:r>
      <w:r>
        <w:t>de l’ordre du jour au moment de la rédaction du présent document.</w:t>
      </w:r>
    </w:p>
    <w:p w:rsidR="00CF55FF" w:rsidRDefault="00BF674A" w:rsidP="00BF674A">
      <w:pPr>
        <w:pStyle w:val="H1G"/>
        <w:kinsoku w:val="0"/>
        <w:overflowPunct w:val="0"/>
        <w:autoSpaceDE w:val="0"/>
        <w:autoSpaceDN w:val="0"/>
        <w:adjustRightInd w:val="0"/>
        <w:snapToGrid w:val="0"/>
      </w:pPr>
      <w:r>
        <w:lastRenderedPageBreak/>
        <w:tab/>
      </w:r>
      <w:r w:rsidR="00CF55FF" w:rsidRPr="00BF674A">
        <w:t>5.</w:t>
      </w:r>
      <w:r w:rsidR="00CF55FF" w:rsidRPr="00BF674A">
        <w:tab/>
        <w:t>Mise au point de directives pour l’application des critères du SGH</w:t>
      </w:r>
    </w:p>
    <w:p w:rsidR="00CC3DCD" w:rsidRPr="00CC3DCD" w:rsidRDefault="00CC3DCD" w:rsidP="00EF7EA4">
      <w:pPr>
        <w:pStyle w:val="SingleTxtG"/>
      </w:pPr>
      <w:r>
        <w:t>Aucun document n’avait été soumis sous ce point de l’ordre du jour au moment de la rédaction du présent document.</w:t>
      </w:r>
    </w:p>
    <w:p w:rsidR="00CF55FF" w:rsidRDefault="00BF674A" w:rsidP="00BF674A">
      <w:pPr>
        <w:pStyle w:val="H1G"/>
        <w:kinsoku w:val="0"/>
        <w:overflowPunct w:val="0"/>
        <w:autoSpaceDE w:val="0"/>
        <w:autoSpaceDN w:val="0"/>
        <w:adjustRightInd w:val="0"/>
        <w:snapToGrid w:val="0"/>
      </w:pPr>
      <w:r>
        <w:tab/>
      </w:r>
      <w:r w:rsidR="00CF55FF" w:rsidRPr="00BF674A">
        <w:t>6.</w:t>
      </w:r>
      <w:r w:rsidR="00CF55FF" w:rsidRPr="00BF674A">
        <w:tab/>
        <w:t>Renforcement des capacités</w:t>
      </w:r>
    </w:p>
    <w:p w:rsidR="00CC3DCD" w:rsidRPr="00CC3DCD" w:rsidRDefault="00CC3DCD" w:rsidP="00EF7EA4">
      <w:pPr>
        <w:pStyle w:val="SingleTxtG"/>
      </w:pPr>
      <w:r>
        <w:t xml:space="preserve">Les experts, observateurs et organisations internationales souhaiteront </w:t>
      </w:r>
      <w:r w:rsidR="00DD634C">
        <w:t xml:space="preserve">éventuellement </w:t>
      </w:r>
      <w:r>
        <w:t>informer le Sous-Comité de leurs activités ou projets de renforcement des capacités entrepris en relation avec le SGH.</w:t>
      </w:r>
    </w:p>
    <w:p w:rsidR="00CC3DCD" w:rsidRDefault="00BF674A" w:rsidP="00BF674A">
      <w:pPr>
        <w:pStyle w:val="H1G"/>
        <w:kinsoku w:val="0"/>
        <w:overflowPunct w:val="0"/>
        <w:autoSpaceDE w:val="0"/>
        <w:autoSpaceDN w:val="0"/>
        <w:adjustRightInd w:val="0"/>
        <w:snapToGrid w:val="0"/>
      </w:pPr>
      <w:r>
        <w:tab/>
      </w:r>
      <w:r w:rsidR="00CF55FF" w:rsidRPr="00BF674A">
        <w:t xml:space="preserve">7. </w:t>
      </w:r>
      <w:r w:rsidR="00CF55FF" w:rsidRPr="00BF674A">
        <w:tab/>
        <w:t>Programme de travail pour la période biennale 2017–2018</w:t>
      </w:r>
    </w:p>
    <w:p w:rsidR="00CF55FF" w:rsidRPr="00BF674A" w:rsidRDefault="00CC3DCD" w:rsidP="00CC3DCD">
      <w:pPr>
        <w:pStyle w:val="SingleTxtG"/>
      </w:pPr>
      <w:r>
        <w:t xml:space="preserve">Le Sous-Comité souhaitera </w:t>
      </w:r>
      <w:r w:rsidR="00DD634C">
        <w:t xml:space="preserve">éventuellement </w:t>
      </w:r>
      <w:r>
        <w:t>examiner des propositions pour son programme de travail pour la période biennale 2017-2018.</w:t>
      </w:r>
      <w:r w:rsidR="00CF55FF" w:rsidRPr="00BF674A">
        <w:t xml:space="preserve"> </w:t>
      </w:r>
    </w:p>
    <w:p w:rsidR="00CC3DCD" w:rsidRDefault="00BF674A" w:rsidP="00BF674A">
      <w:pPr>
        <w:pStyle w:val="H1G"/>
        <w:kinsoku w:val="0"/>
        <w:overflowPunct w:val="0"/>
        <w:autoSpaceDE w:val="0"/>
        <w:autoSpaceDN w:val="0"/>
        <w:adjustRightInd w:val="0"/>
        <w:snapToGrid w:val="0"/>
      </w:pPr>
      <w:r>
        <w:tab/>
      </w:r>
      <w:r w:rsidR="00CF55FF" w:rsidRPr="00BF674A">
        <w:t xml:space="preserve">8. </w:t>
      </w:r>
      <w:r w:rsidR="00CF55FF" w:rsidRPr="00BF674A">
        <w:tab/>
        <w:t>Projet de résolution 2017/… du Conseil économique et social</w:t>
      </w:r>
    </w:p>
    <w:p w:rsidR="00CF55FF" w:rsidRPr="00BF674A" w:rsidRDefault="00CC3DCD" w:rsidP="00CC3DCD">
      <w:pPr>
        <w:pStyle w:val="SingleTxtG"/>
      </w:pPr>
      <w:r>
        <w:t xml:space="preserve">Le Sous-Comité souhaitera </w:t>
      </w:r>
      <w:r w:rsidR="00DD634C">
        <w:t xml:space="preserve">éventuellement </w:t>
      </w:r>
      <w:r>
        <w:t xml:space="preserve">considérer un projet de résolution qui sera soumis au Conseil économique et social pour adoption à sa session de </w:t>
      </w:r>
      <w:r w:rsidR="006130BC">
        <w:t>2017</w:t>
      </w:r>
      <w:r>
        <w:t xml:space="preserve"> sur la base d’un projet qui sera établi par le secrétariat.</w:t>
      </w:r>
      <w:r w:rsidR="00CF55FF" w:rsidRPr="00BF674A">
        <w:t xml:space="preserve"> </w:t>
      </w:r>
    </w:p>
    <w:p w:rsidR="00CF55FF" w:rsidRDefault="00BF674A" w:rsidP="00BF674A">
      <w:pPr>
        <w:pStyle w:val="H1G"/>
        <w:kinsoku w:val="0"/>
        <w:overflowPunct w:val="0"/>
        <w:autoSpaceDE w:val="0"/>
        <w:autoSpaceDN w:val="0"/>
        <w:adjustRightInd w:val="0"/>
        <w:snapToGrid w:val="0"/>
      </w:pPr>
      <w:r>
        <w:tab/>
      </w:r>
      <w:r w:rsidR="00CF55FF" w:rsidRPr="00BF674A">
        <w:t xml:space="preserve">9. </w:t>
      </w:r>
      <w:r w:rsidR="00CF55FF" w:rsidRPr="00BF674A">
        <w:tab/>
        <w:t>Élection du bureau pour la période biennale 2017–2018</w:t>
      </w:r>
    </w:p>
    <w:p w:rsidR="006130BC" w:rsidRPr="006130BC" w:rsidRDefault="006130BC" w:rsidP="00EF7EA4">
      <w:pPr>
        <w:pStyle w:val="SingleTxtG"/>
      </w:pPr>
      <w:r>
        <w:t>Conformément à l’usage, le Sous-Comité sera invité à élire les membres de son Bureau pour la période 2017-2018 parmi les représentants de ses pays membres.</w:t>
      </w:r>
    </w:p>
    <w:p w:rsidR="00CF55FF" w:rsidRDefault="00BF674A" w:rsidP="00BF674A">
      <w:pPr>
        <w:pStyle w:val="H1G"/>
        <w:kinsoku w:val="0"/>
        <w:overflowPunct w:val="0"/>
        <w:autoSpaceDE w:val="0"/>
        <w:autoSpaceDN w:val="0"/>
        <w:adjustRightInd w:val="0"/>
        <w:snapToGrid w:val="0"/>
      </w:pPr>
      <w:r>
        <w:tab/>
      </w:r>
      <w:r w:rsidR="00CF55FF" w:rsidRPr="00BF674A">
        <w:t>10.</w:t>
      </w:r>
      <w:r w:rsidR="00CF55FF" w:rsidRPr="00BF674A">
        <w:tab/>
        <w:t>Questions diverses</w:t>
      </w:r>
    </w:p>
    <w:p w:rsidR="006130BC" w:rsidRPr="006130BC" w:rsidRDefault="006130BC" w:rsidP="00EF7EA4">
      <w:pPr>
        <w:pStyle w:val="SingleTxtG"/>
      </w:pPr>
      <w:r>
        <w:t>Au moment de la rédaction du présent document, aucun document n’avait été soumis au titre de ce point de l’ordre du jour.</w:t>
      </w:r>
    </w:p>
    <w:p w:rsidR="00CF55FF" w:rsidRDefault="00BF674A" w:rsidP="00BF674A">
      <w:pPr>
        <w:pStyle w:val="H1G"/>
        <w:kinsoku w:val="0"/>
        <w:overflowPunct w:val="0"/>
        <w:autoSpaceDE w:val="0"/>
        <w:autoSpaceDN w:val="0"/>
        <w:adjustRightInd w:val="0"/>
        <w:snapToGrid w:val="0"/>
      </w:pPr>
      <w:r>
        <w:tab/>
      </w:r>
      <w:r w:rsidR="00CF55FF" w:rsidRPr="00BF674A">
        <w:t>11.</w:t>
      </w:r>
      <w:r w:rsidR="00CF55FF" w:rsidRPr="00BF674A">
        <w:tab/>
        <w:t>Adoption du rapport</w:t>
      </w:r>
    </w:p>
    <w:p w:rsidR="00BF674A" w:rsidRPr="00BF674A" w:rsidRDefault="006130BC" w:rsidP="00EF7EA4">
      <w:pPr>
        <w:pStyle w:val="SingleTxtG"/>
      </w:pPr>
      <w:r>
        <w:t xml:space="preserve">Conformément à l’usage, le Sous-Comité souhaitera </w:t>
      </w:r>
      <w:r w:rsidR="00DD634C">
        <w:t xml:space="preserve">éventuellement </w:t>
      </w:r>
      <w:r>
        <w:t>adopter le rapport de sa t</w:t>
      </w:r>
      <w:r w:rsidR="00AF67CC">
        <w:t>rente-</w:t>
      </w:r>
      <w:r>
        <w:t>deuxième session sur la base d’un projet établi par le secrétariat.</w:t>
      </w:r>
    </w:p>
    <w:p w:rsidR="00CF55FF" w:rsidRPr="003B38A8" w:rsidRDefault="00CF55FF" w:rsidP="00CF55FF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:rsidR="00CF55FF" w:rsidRPr="00A27836" w:rsidRDefault="00CF55FF" w:rsidP="00D51E92">
      <w:pPr>
        <w:rPr>
          <w:lang w:val="fr-FR"/>
        </w:rPr>
      </w:pPr>
    </w:p>
    <w:p w:rsidR="00CA0680" w:rsidRPr="00A27836" w:rsidRDefault="00CA0680" w:rsidP="0034591A">
      <w:pPr>
        <w:rPr>
          <w:b/>
          <w:lang w:val="fr-FR"/>
        </w:rPr>
      </w:pPr>
    </w:p>
    <w:sectPr w:rsidR="00CA0680" w:rsidRPr="00A27836" w:rsidSect="00A50670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70" w:rsidRDefault="00A50670"/>
  </w:endnote>
  <w:endnote w:type="continuationSeparator" w:id="0">
    <w:p w:rsidR="00A50670" w:rsidRDefault="00A50670"/>
  </w:endnote>
  <w:endnote w:type="continuationNotice" w:id="1">
    <w:p w:rsidR="00A50670" w:rsidRDefault="00A50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70" w:rsidRPr="00A50670" w:rsidRDefault="00A50670" w:rsidP="00A50670">
    <w:pPr>
      <w:pStyle w:val="Footer"/>
      <w:tabs>
        <w:tab w:val="right" w:pos="9638"/>
      </w:tabs>
      <w:rPr>
        <w:sz w:val="18"/>
      </w:rPr>
    </w:pPr>
    <w:r w:rsidRPr="00A50670">
      <w:rPr>
        <w:b/>
        <w:sz w:val="18"/>
      </w:rPr>
      <w:fldChar w:fldCharType="begin"/>
    </w:r>
    <w:r w:rsidRPr="00A50670">
      <w:rPr>
        <w:b/>
        <w:sz w:val="18"/>
      </w:rPr>
      <w:instrText xml:space="preserve"> PAGE  \* MERGEFORMAT </w:instrText>
    </w:r>
    <w:r w:rsidRPr="00A50670">
      <w:rPr>
        <w:b/>
        <w:sz w:val="18"/>
      </w:rPr>
      <w:fldChar w:fldCharType="separate"/>
    </w:r>
    <w:r w:rsidR="00E20738">
      <w:rPr>
        <w:b/>
        <w:noProof/>
        <w:sz w:val="18"/>
      </w:rPr>
      <w:t>4</w:t>
    </w:r>
    <w:r w:rsidRPr="00A5067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70" w:rsidRPr="00A50670" w:rsidRDefault="00A50670" w:rsidP="00A50670">
    <w:pPr>
      <w:pStyle w:val="Footer"/>
      <w:tabs>
        <w:tab w:val="right" w:pos="9638"/>
      </w:tabs>
      <w:rPr>
        <w:b/>
        <w:sz w:val="18"/>
      </w:rPr>
    </w:pPr>
    <w:r>
      <w:tab/>
    </w:r>
    <w:r w:rsidRPr="00A50670">
      <w:rPr>
        <w:b/>
        <w:sz w:val="18"/>
      </w:rPr>
      <w:fldChar w:fldCharType="begin"/>
    </w:r>
    <w:r w:rsidRPr="00A50670">
      <w:rPr>
        <w:b/>
        <w:sz w:val="18"/>
      </w:rPr>
      <w:instrText xml:space="preserve"> PAGE  \* MERGEFORMAT </w:instrText>
    </w:r>
    <w:r w:rsidRPr="00A50670">
      <w:rPr>
        <w:b/>
        <w:sz w:val="18"/>
      </w:rPr>
      <w:fldChar w:fldCharType="separate"/>
    </w:r>
    <w:r w:rsidR="00E20738">
      <w:rPr>
        <w:b/>
        <w:noProof/>
        <w:sz w:val="18"/>
      </w:rPr>
      <w:t>5</w:t>
    </w:r>
    <w:r w:rsidRPr="00A5067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70" w:rsidRPr="00D27D5E" w:rsidRDefault="00A5067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50670" w:rsidRPr="00D17535" w:rsidRDefault="00A50670" w:rsidP="00D17535">
      <w:pPr>
        <w:tabs>
          <w:tab w:val="right" w:pos="2155"/>
        </w:tabs>
        <w:spacing w:after="80"/>
        <w:ind w:left="680"/>
        <w:rPr>
          <w:u w:val="single"/>
        </w:rPr>
      </w:pPr>
      <w:r w:rsidRPr="00D17535">
        <w:rPr>
          <w:u w:val="single"/>
        </w:rPr>
        <w:tab/>
      </w:r>
    </w:p>
  </w:footnote>
  <w:footnote w:type="continuationNotice" w:id="1">
    <w:p w:rsidR="00A50670" w:rsidRDefault="00A50670"/>
  </w:footnote>
  <w:footnote w:id="2">
    <w:p w:rsidR="00CF55FF" w:rsidRDefault="00CF55FF" w:rsidP="00CF55FF">
      <w:pPr>
        <w:pStyle w:val="FootnoteText"/>
      </w:pPr>
      <w:r>
        <w:tab/>
      </w:r>
      <w:r w:rsidRPr="003E297A">
        <w:rPr>
          <w:rStyle w:val="FootnoteReference"/>
        </w:rPr>
        <w:footnoteRef/>
      </w:r>
      <w:r w:rsidRPr="003E297A">
        <w:t xml:space="preserve"> </w:t>
      </w:r>
      <w:r w:rsidRPr="003E297A">
        <w:tab/>
        <w:t xml:space="preserve">Les participants aux travaux du Sous-Comité SGH qui ne participent pas habituellement aux travaux du Sous-Comité TMD sont invités à participer aux travaux du Sous-Comité TMD quand celui-ci discute des dangers physiques en tant que centre de liaison SGH (voir ST/SG/AC.10/C.4/2, par. 43 b)). Lors de sa cinquantième session, le Sous-Comité TMD, abordera les questions relatives aux GHS sous le point 7 de son ordre du jour provisoire (voir ST/SG/AC.10/C.3/99 </w:t>
      </w:r>
      <w:r w:rsidR="003E297A" w:rsidRPr="003E297A">
        <w:t xml:space="preserve">et Add.1 </w:t>
      </w:r>
      <w:r w:rsidRPr="003E297A">
        <w:t>pour plus de détails). Les délégués du Sous-Comité SGH intéressés à participer aux travaux du Sous-Comité TMD sur ces questions doivent s’inscrire pour les sessions des deux sous-comités.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70" w:rsidRPr="00A50670" w:rsidRDefault="00A50670">
    <w:pPr>
      <w:pStyle w:val="Header"/>
    </w:pPr>
    <w:r>
      <w:t>ST/SG/AC.10/C.4/63/Add.1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70" w:rsidRPr="00A50670" w:rsidRDefault="00A50670" w:rsidP="00A50670">
    <w:pPr>
      <w:pStyle w:val="Header"/>
      <w:jc w:val="right"/>
    </w:pPr>
    <w:r>
      <w:t>ST/SG/AC.10/C.4/63/Add.1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70"/>
    <w:rsid w:val="00016AC5"/>
    <w:rsid w:val="0007052F"/>
    <w:rsid w:val="00073282"/>
    <w:rsid w:val="000B3711"/>
    <w:rsid w:val="000F41F2"/>
    <w:rsid w:val="00106EF6"/>
    <w:rsid w:val="00154CB9"/>
    <w:rsid w:val="00160540"/>
    <w:rsid w:val="00192EEB"/>
    <w:rsid w:val="001A20FB"/>
    <w:rsid w:val="001D44B7"/>
    <w:rsid w:val="001D7F8A"/>
    <w:rsid w:val="001E3FEB"/>
    <w:rsid w:val="001E4A02"/>
    <w:rsid w:val="002156CB"/>
    <w:rsid w:val="00225A8C"/>
    <w:rsid w:val="002659F1"/>
    <w:rsid w:val="00273B3D"/>
    <w:rsid w:val="00287E79"/>
    <w:rsid w:val="002928F9"/>
    <w:rsid w:val="002A5D07"/>
    <w:rsid w:val="002F2562"/>
    <w:rsid w:val="003016B7"/>
    <w:rsid w:val="003019E0"/>
    <w:rsid w:val="0034591A"/>
    <w:rsid w:val="003515AA"/>
    <w:rsid w:val="00374106"/>
    <w:rsid w:val="003976D5"/>
    <w:rsid w:val="003C2717"/>
    <w:rsid w:val="003D3BED"/>
    <w:rsid w:val="003D6C68"/>
    <w:rsid w:val="003E297A"/>
    <w:rsid w:val="003F5B56"/>
    <w:rsid w:val="004159D0"/>
    <w:rsid w:val="00420B63"/>
    <w:rsid w:val="00421F7A"/>
    <w:rsid w:val="0046126F"/>
    <w:rsid w:val="00482AF2"/>
    <w:rsid w:val="004A0F69"/>
    <w:rsid w:val="004D26F2"/>
    <w:rsid w:val="004E1676"/>
    <w:rsid w:val="004E5FA5"/>
    <w:rsid w:val="00524945"/>
    <w:rsid w:val="00543D5E"/>
    <w:rsid w:val="005653EE"/>
    <w:rsid w:val="00571F41"/>
    <w:rsid w:val="0058132F"/>
    <w:rsid w:val="005E5D1F"/>
    <w:rsid w:val="00601D4A"/>
    <w:rsid w:val="00607261"/>
    <w:rsid w:val="00611D43"/>
    <w:rsid w:val="00612D48"/>
    <w:rsid w:val="006130BC"/>
    <w:rsid w:val="00616B45"/>
    <w:rsid w:val="00630D9B"/>
    <w:rsid w:val="00631953"/>
    <w:rsid w:val="006439EC"/>
    <w:rsid w:val="006679FB"/>
    <w:rsid w:val="006924C3"/>
    <w:rsid w:val="006B4590"/>
    <w:rsid w:val="006C055C"/>
    <w:rsid w:val="006C340C"/>
    <w:rsid w:val="0070347C"/>
    <w:rsid w:val="00703DCC"/>
    <w:rsid w:val="007176C1"/>
    <w:rsid w:val="0079364E"/>
    <w:rsid w:val="007C2037"/>
    <w:rsid w:val="007C26D0"/>
    <w:rsid w:val="007F55CB"/>
    <w:rsid w:val="00844750"/>
    <w:rsid w:val="00851BA3"/>
    <w:rsid w:val="00854519"/>
    <w:rsid w:val="0086254F"/>
    <w:rsid w:val="00866D64"/>
    <w:rsid w:val="0087514A"/>
    <w:rsid w:val="00893A05"/>
    <w:rsid w:val="008B44C4"/>
    <w:rsid w:val="008E7FAE"/>
    <w:rsid w:val="00900401"/>
    <w:rsid w:val="00911BF7"/>
    <w:rsid w:val="00920FBF"/>
    <w:rsid w:val="00931BEB"/>
    <w:rsid w:val="0094723C"/>
    <w:rsid w:val="00977EC8"/>
    <w:rsid w:val="009C74D5"/>
    <w:rsid w:val="009D3A8C"/>
    <w:rsid w:val="009E7956"/>
    <w:rsid w:val="009E79B0"/>
    <w:rsid w:val="00A0339A"/>
    <w:rsid w:val="00A1534D"/>
    <w:rsid w:val="00A2492E"/>
    <w:rsid w:val="00A24DEA"/>
    <w:rsid w:val="00A27836"/>
    <w:rsid w:val="00A40F0E"/>
    <w:rsid w:val="00A41268"/>
    <w:rsid w:val="00A50670"/>
    <w:rsid w:val="00A507A3"/>
    <w:rsid w:val="00AC67A1"/>
    <w:rsid w:val="00AC7977"/>
    <w:rsid w:val="00AE352C"/>
    <w:rsid w:val="00AF67CC"/>
    <w:rsid w:val="00B05707"/>
    <w:rsid w:val="00B10104"/>
    <w:rsid w:val="00B15353"/>
    <w:rsid w:val="00B32E2D"/>
    <w:rsid w:val="00B50626"/>
    <w:rsid w:val="00B61990"/>
    <w:rsid w:val="00BF0556"/>
    <w:rsid w:val="00BF1492"/>
    <w:rsid w:val="00BF674A"/>
    <w:rsid w:val="00C056B2"/>
    <w:rsid w:val="00C261F8"/>
    <w:rsid w:val="00C33100"/>
    <w:rsid w:val="00CA0680"/>
    <w:rsid w:val="00CC3DCD"/>
    <w:rsid w:val="00CD1A71"/>
    <w:rsid w:val="00CD1FBB"/>
    <w:rsid w:val="00CE3740"/>
    <w:rsid w:val="00CF06CD"/>
    <w:rsid w:val="00CF55FF"/>
    <w:rsid w:val="00D016B5"/>
    <w:rsid w:val="00D034F1"/>
    <w:rsid w:val="00D17535"/>
    <w:rsid w:val="00D21117"/>
    <w:rsid w:val="00D24E6A"/>
    <w:rsid w:val="00D27D5E"/>
    <w:rsid w:val="00D51E92"/>
    <w:rsid w:val="00D74332"/>
    <w:rsid w:val="00DD634C"/>
    <w:rsid w:val="00DE1226"/>
    <w:rsid w:val="00DE6D90"/>
    <w:rsid w:val="00DF002F"/>
    <w:rsid w:val="00E0244D"/>
    <w:rsid w:val="00E06E99"/>
    <w:rsid w:val="00E20738"/>
    <w:rsid w:val="00E81E94"/>
    <w:rsid w:val="00E82607"/>
    <w:rsid w:val="00E932C4"/>
    <w:rsid w:val="00EC5AFA"/>
    <w:rsid w:val="00EF7EA4"/>
    <w:rsid w:val="00F34A9F"/>
    <w:rsid w:val="00F83DFC"/>
    <w:rsid w:val="00FA5A79"/>
    <w:rsid w:val="00FB0BFE"/>
    <w:rsid w:val="00FB4C51"/>
    <w:rsid w:val="00FD4586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14A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87514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87514A"/>
    <w:pPr>
      <w:outlineLvl w:val="1"/>
    </w:pPr>
  </w:style>
  <w:style w:type="paragraph" w:styleId="Heading3">
    <w:name w:val="heading 3"/>
    <w:basedOn w:val="Normal"/>
    <w:next w:val="Normal"/>
    <w:qFormat/>
    <w:rsid w:val="0087514A"/>
    <w:pPr>
      <w:outlineLvl w:val="2"/>
    </w:pPr>
  </w:style>
  <w:style w:type="paragraph" w:styleId="Heading4">
    <w:name w:val="heading 4"/>
    <w:basedOn w:val="Normal"/>
    <w:next w:val="Normal"/>
    <w:qFormat/>
    <w:rsid w:val="0087514A"/>
    <w:pPr>
      <w:outlineLvl w:val="3"/>
    </w:pPr>
  </w:style>
  <w:style w:type="paragraph" w:styleId="Heading5">
    <w:name w:val="heading 5"/>
    <w:basedOn w:val="Normal"/>
    <w:next w:val="Normal"/>
    <w:qFormat/>
    <w:rsid w:val="0087514A"/>
    <w:pPr>
      <w:outlineLvl w:val="4"/>
    </w:pPr>
  </w:style>
  <w:style w:type="paragraph" w:styleId="Heading6">
    <w:name w:val="heading 6"/>
    <w:basedOn w:val="Normal"/>
    <w:next w:val="Normal"/>
    <w:qFormat/>
    <w:rsid w:val="0087514A"/>
    <w:pPr>
      <w:outlineLvl w:val="5"/>
    </w:pPr>
  </w:style>
  <w:style w:type="paragraph" w:styleId="Heading7">
    <w:name w:val="heading 7"/>
    <w:basedOn w:val="Normal"/>
    <w:next w:val="Normal"/>
    <w:qFormat/>
    <w:rsid w:val="0087514A"/>
    <w:pPr>
      <w:outlineLvl w:val="6"/>
    </w:pPr>
  </w:style>
  <w:style w:type="paragraph" w:styleId="Heading8">
    <w:name w:val="heading 8"/>
    <w:basedOn w:val="Normal"/>
    <w:next w:val="Normal"/>
    <w:qFormat/>
    <w:rsid w:val="0087514A"/>
    <w:pPr>
      <w:outlineLvl w:val="7"/>
    </w:pPr>
  </w:style>
  <w:style w:type="paragraph" w:styleId="Heading9">
    <w:name w:val="heading 9"/>
    <w:basedOn w:val="Normal"/>
    <w:next w:val="Normal"/>
    <w:qFormat/>
    <w:rsid w:val="0087514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87514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87514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7514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7514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7514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7514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7514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7514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7514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7514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514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87514A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87514A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rsid w:val="0087514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87514A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87514A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87514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87514A"/>
  </w:style>
  <w:style w:type="character" w:styleId="PageNumber">
    <w:name w:val="page number"/>
    <w:aliases w:val="7_G"/>
    <w:basedOn w:val="DefaultParagraphFont"/>
    <w:rsid w:val="0087514A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87514A"/>
    <w:pPr>
      <w:spacing w:line="240" w:lineRule="auto"/>
    </w:pPr>
    <w:rPr>
      <w:sz w:val="16"/>
    </w:rPr>
  </w:style>
  <w:style w:type="character" w:styleId="Hyperlink">
    <w:name w:val="Hyperlink"/>
    <w:basedOn w:val="DefaultParagraphFont"/>
    <w:semiHidden/>
    <w:rsid w:val="0087514A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87514A"/>
    <w:rPr>
      <w:color w:val="auto"/>
      <w:u w:val="none"/>
    </w:rPr>
  </w:style>
  <w:style w:type="table" w:styleId="TableGrid1">
    <w:name w:val="Table Grid 1"/>
    <w:basedOn w:val="TableNormal"/>
    <w:semiHidden/>
    <w:rsid w:val="0087514A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7514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93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en-GB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32C4"/>
    <w:rPr>
      <w:rFonts w:ascii="Courier New" w:hAnsi="Courier New" w:cs="Courier New"/>
      <w:lang w:eastAsia="zh-CN"/>
    </w:rPr>
  </w:style>
  <w:style w:type="paragraph" w:styleId="BalloonText">
    <w:name w:val="Balloon Text"/>
    <w:basedOn w:val="Normal"/>
    <w:link w:val="BalloonTextChar"/>
    <w:rsid w:val="003019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19E0"/>
    <w:rPr>
      <w:rFonts w:ascii="Tahoma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14A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87514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87514A"/>
    <w:pPr>
      <w:outlineLvl w:val="1"/>
    </w:pPr>
  </w:style>
  <w:style w:type="paragraph" w:styleId="Heading3">
    <w:name w:val="heading 3"/>
    <w:basedOn w:val="Normal"/>
    <w:next w:val="Normal"/>
    <w:qFormat/>
    <w:rsid w:val="0087514A"/>
    <w:pPr>
      <w:outlineLvl w:val="2"/>
    </w:pPr>
  </w:style>
  <w:style w:type="paragraph" w:styleId="Heading4">
    <w:name w:val="heading 4"/>
    <w:basedOn w:val="Normal"/>
    <w:next w:val="Normal"/>
    <w:qFormat/>
    <w:rsid w:val="0087514A"/>
    <w:pPr>
      <w:outlineLvl w:val="3"/>
    </w:pPr>
  </w:style>
  <w:style w:type="paragraph" w:styleId="Heading5">
    <w:name w:val="heading 5"/>
    <w:basedOn w:val="Normal"/>
    <w:next w:val="Normal"/>
    <w:qFormat/>
    <w:rsid w:val="0087514A"/>
    <w:pPr>
      <w:outlineLvl w:val="4"/>
    </w:pPr>
  </w:style>
  <w:style w:type="paragraph" w:styleId="Heading6">
    <w:name w:val="heading 6"/>
    <w:basedOn w:val="Normal"/>
    <w:next w:val="Normal"/>
    <w:qFormat/>
    <w:rsid w:val="0087514A"/>
    <w:pPr>
      <w:outlineLvl w:val="5"/>
    </w:pPr>
  </w:style>
  <w:style w:type="paragraph" w:styleId="Heading7">
    <w:name w:val="heading 7"/>
    <w:basedOn w:val="Normal"/>
    <w:next w:val="Normal"/>
    <w:qFormat/>
    <w:rsid w:val="0087514A"/>
    <w:pPr>
      <w:outlineLvl w:val="6"/>
    </w:pPr>
  </w:style>
  <w:style w:type="paragraph" w:styleId="Heading8">
    <w:name w:val="heading 8"/>
    <w:basedOn w:val="Normal"/>
    <w:next w:val="Normal"/>
    <w:qFormat/>
    <w:rsid w:val="0087514A"/>
    <w:pPr>
      <w:outlineLvl w:val="7"/>
    </w:pPr>
  </w:style>
  <w:style w:type="paragraph" w:styleId="Heading9">
    <w:name w:val="heading 9"/>
    <w:basedOn w:val="Normal"/>
    <w:next w:val="Normal"/>
    <w:qFormat/>
    <w:rsid w:val="0087514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87514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87514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7514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7514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7514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7514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7514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7514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7514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7514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514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87514A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87514A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rsid w:val="0087514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87514A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87514A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87514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87514A"/>
  </w:style>
  <w:style w:type="character" w:styleId="PageNumber">
    <w:name w:val="page number"/>
    <w:aliases w:val="7_G"/>
    <w:basedOn w:val="DefaultParagraphFont"/>
    <w:rsid w:val="0087514A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87514A"/>
    <w:pPr>
      <w:spacing w:line="240" w:lineRule="auto"/>
    </w:pPr>
    <w:rPr>
      <w:sz w:val="16"/>
    </w:rPr>
  </w:style>
  <w:style w:type="character" w:styleId="Hyperlink">
    <w:name w:val="Hyperlink"/>
    <w:basedOn w:val="DefaultParagraphFont"/>
    <w:semiHidden/>
    <w:rsid w:val="0087514A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87514A"/>
    <w:rPr>
      <w:color w:val="auto"/>
      <w:u w:val="none"/>
    </w:rPr>
  </w:style>
  <w:style w:type="table" w:styleId="TableGrid1">
    <w:name w:val="Table Grid 1"/>
    <w:basedOn w:val="TableNormal"/>
    <w:semiHidden/>
    <w:rsid w:val="0087514A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7514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93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en-GB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32C4"/>
    <w:rPr>
      <w:rFonts w:ascii="Courier New" w:hAnsi="Courier New" w:cs="Courier New"/>
      <w:lang w:eastAsia="zh-CN"/>
    </w:rPr>
  </w:style>
  <w:style w:type="paragraph" w:styleId="BalloonText">
    <w:name w:val="Balloon Text"/>
    <w:basedOn w:val="Normal"/>
    <w:link w:val="BalloonTextChar"/>
    <w:rsid w:val="003019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19E0"/>
    <w:rPr>
      <w:rFonts w:ascii="Tahoma" w:hAnsi="Tahoma" w:cs="Tahoma"/>
      <w:sz w:val="16"/>
      <w:szCs w:val="16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AC10_C4_F.dotm</Template>
  <TotalTime>174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ST/SG/AC.10/C.4/</vt:lpstr>
      <vt:lpstr>ST/SG/AC.10/C.4/</vt:lpstr>
    </vt:vector>
  </TitlesOfParts>
  <Company>Corinne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</dc:title>
  <dc:creator>Rosa Garcia-Couto</dc:creator>
  <cp:lastModifiedBy>Laurence Berthet</cp:lastModifiedBy>
  <cp:revision>6</cp:revision>
  <cp:lastPrinted>2016-09-30T08:46:00Z</cp:lastPrinted>
  <dcterms:created xsi:type="dcterms:W3CDTF">2016-09-29T13:35:00Z</dcterms:created>
  <dcterms:modified xsi:type="dcterms:W3CDTF">2016-09-30T08:46:00Z</dcterms:modified>
</cp:coreProperties>
</file>