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42DDB" w:rsidTr="000305D3">
        <w:trPr>
          <w:trHeight w:hRule="exact" w:val="851"/>
        </w:trPr>
        <w:tc>
          <w:tcPr>
            <w:tcW w:w="1276" w:type="dxa"/>
            <w:tcBorders>
              <w:bottom w:val="single" w:sz="4" w:space="0" w:color="auto"/>
            </w:tcBorders>
          </w:tcPr>
          <w:p w:rsidR="00132EA9" w:rsidRPr="00D42DDB" w:rsidRDefault="00132EA9" w:rsidP="0053665A">
            <w:bookmarkStart w:id="0" w:name="_GoBack"/>
            <w:bookmarkEnd w:id="0"/>
          </w:p>
        </w:tc>
        <w:tc>
          <w:tcPr>
            <w:tcW w:w="2268" w:type="dxa"/>
            <w:tcBorders>
              <w:bottom w:val="single" w:sz="4" w:space="0" w:color="auto"/>
            </w:tcBorders>
            <w:vAlign w:val="bottom"/>
          </w:tcPr>
          <w:p w:rsidR="00132EA9" w:rsidRPr="00D42DDB" w:rsidRDefault="00132EA9" w:rsidP="0051047A">
            <w:pPr>
              <w:spacing w:after="80" w:line="300" w:lineRule="exact"/>
              <w:rPr>
                <w:sz w:val="28"/>
              </w:rPr>
            </w:pPr>
            <w:r w:rsidRPr="00D42DDB">
              <w:rPr>
                <w:sz w:val="28"/>
              </w:rPr>
              <w:t>Nations Unies</w:t>
            </w:r>
          </w:p>
        </w:tc>
        <w:tc>
          <w:tcPr>
            <w:tcW w:w="6095" w:type="dxa"/>
            <w:gridSpan w:val="2"/>
            <w:tcBorders>
              <w:bottom w:val="single" w:sz="4" w:space="0" w:color="auto"/>
            </w:tcBorders>
            <w:vAlign w:val="bottom"/>
          </w:tcPr>
          <w:p w:rsidR="00132EA9" w:rsidRPr="00D42DDB" w:rsidRDefault="0053665A" w:rsidP="0053665A">
            <w:pPr>
              <w:jc w:val="right"/>
            </w:pPr>
            <w:r w:rsidRPr="00D42DDB">
              <w:rPr>
                <w:sz w:val="40"/>
              </w:rPr>
              <w:t>ST</w:t>
            </w:r>
            <w:r w:rsidRPr="00D42DDB">
              <w:t>/SG/AC.10/C.4/2016/17</w:t>
            </w:r>
          </w:p>
        </w:tc>
      </w:tr>
      <w:tr w:rsidR="00132EA9" w:rsidRPr="00D42DDB" w:rsidTr="0051047A">
        <w:trPr>
          <w:trHeight w:hRule="exact" w:val="2835"/>
        </w:trPr>
        <w:tc>
          <w:tcPr>
            <w:tcW w:w="1276" w:type="dxa"/>
            <w:tcBorders>
              <w:top w:val="single" w:sz="4" w:space="0" w:color="auto"/>
              <w:bottom w:val="single" w:sz="12" w:space="0" w:color="auto"/>
            </w:tcBorders>
          </w:tcPr>
          <w:p w:rsidR="00132EA9" w:rsidRPr="00D42DDB" w:rsidRDefault="00132EA9" w:rsidP="0051047A">
            <w:pPr>
              <w:spacing w:before="120"/>
              <w:jc w:val="center"/>
            </w:pPr>
            <w:r w:rsidRPr="00D42DDB">
              <w:rPr>
                <w:noProof/>
                <w:lang w:val="en-GB" w:eastAsia="en-GB"/>
              </w:rPr>
              <w:drawing>
                <wp:inline distT="0" distB="0" distL="0" distR="0" wp14:anchorId="2ACA8F24" wp14:editId="37E21BF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D42DDB" w:rsidRDefault="00132EA9" w:rsidP="0051047A">
            <w:pPr>
              <w:spacing w:before="120" w:line="420" w:lineRule="exact"/>
              <w:rPr>
                <w:b/>
                <w:sz w:val="40"/>
                <w:szCs w:val="40"/>
              </w:rPr>
            </w:pPr>
            <w:r w:rsidRPr="00D42DDB">
              <w:rPr>
                <w:b/>
                <w:sz w:val="40"/>
                <w:szCs w:val="40"/>
              </w:rPr>
              <w:t>Secrétariat</w:t>
            </w:r>
          </w:p>
        </w:tc>
        <w:tc>
          <w:tcPr>
            <w:tcW w:w="2835" w:type="dxa"/>
            <w:tcBorders>
              <w:top w:val="single" w:sz="4" w:space="0" w:color="auto"/>
              <w:bottom w:val="single" w:sz="12" w:space="0" w:color="auto"/>
            </w:tcBorders>
          </w:tcPr>
          <w:p w:rsidR="00132EA9" w:rsidRPr="00D42DDB" w:rsidRDefault="0053665A" w:rsidP="0051047A">
            <w:pPr>
              <w:spacing w:before="240"/>
            </w:pPr>
            <w:r w:rsidRPr="00D42DDB">
              <w:t>Distr. générale</w:t>
            </w:r>
          </w:p>
          <w:p w:rsidR="0053665A" w:rsidRPr="00D42DDB" w:rsidRDefault="0053665A" w:rsidP="0053665A">
            <w:pPr>
              <w:spacing w:line="240" w:lineRule="exact"/>
            </w:pPr>
            <w:r w:rsidRPr="00D42DDB">
              <w:t>16 septembre 2016</w:t>
            </w:r>
          </w:p>
          <w:p w:rsidR="0053665A" w:rsidRPr="00D42DDB" w:rsidRDefault="0053665A" w:rsidP="0053665A">
            <w:pPr>
              <w:spacing w:line="240" w:lineRule="exact"/>
            </w:pPr>
            <w:r w:rsidRPr="00D42DDB">
              <w:t>Français</w:t>
            </w:r>
          </w:p>
          <w:p w:rsidR="0053665A" w:rsidRPr="00D42DDB" w:rsidRDefault="0053665A" w:rsidP="0053665A">
            <w:pPr>
              <w:spacing w:line="240" w:lineRule="exact"/>
            </w:pPr>
            <w:r w:rsidRPr="00D42DDB">
              <w:t>Original</w:t>
            </w:r>
            <w:r w:rsidR="0051047A" w:rsidRPr="00D42DDB">
              <w:t> :</w:t>
            </w:r>
            <w:r w:rsidRPr="00D42DDB">
              <w:t xml:space="preserve"> anglais</w:t>
            </w:r>
          </w:p>
        </w:tc>
      </w:tr>
    </w:tbl>
    <w:p w:rsidR="0053665A" w:rsidRPr="00D42DDB" w:rsidRDefault="0053665A" w:rsidP="0076369A">
      <w:pPr>
        <w:spacing w:before="120" w:after="120"/>
      </w:pPr>
      <w:r w:rsidRPr="00D42DDB">
        <w:rPr>
          <w:b/>
          <w:bCs/>
          <w:sz w:val="24"/>
          <w:szCs w:val="24"/>
        </w:rPr>
        <w:t xml:space="preserve">Comité d’experts du transport des marchandises dangereuses </w:t>
      </w:r>
      <w:r w:rsidR="0076369A" w:rsidRPr="00D42DDB">
        <w:rPr>
          <w:b/>
          <w:bCs/>
          <w:sz w:val="24"/>
          <w:szCs w:val="24"/>
        </w:rPr>
        <w:br/>
      </w:r>
      <w:r w:rsidRPr="00D42DDB">
        <w:rPr>
          <w:b/>
          <w:bCs/>
          <w:sz w:val="24"/>
          <w:szCs w:val="24"/>
        </w:rPr>
        <w:t xml:space="preserve">et du Système général harmonisé de classification </w:t>
      </w:r>
      <w:r w:rsidR="0076369A" w:rsidRPr="00D42DDB">
        <w:rPr>
          <w:b/>
          <w:bCs/>
          <w:sz w:val="24"/>
          <w:szCs w:val="24"/>
        </w:rPr>
        <w:br/>
      </w:r>
      <w:r w:rsidRPr="00D42DDB">
        <w:rPr>
          <w:b/>
          <w:bCs/>
          <w:sz w:val="24"/>
          <w:szCs w:val="24"/>
        </w:rPr>
        <w:t>et d’étiquetage des produits chimiques</w:t>
      </w:r>
    </w:p>
    <w:p w:rsidR="0053665A" w:rsidRPr="00D42DDB" w:rsidRDefault="0053665A" w:rsidP="0076369A">
      <w:pPr>
        <w:spacing w:before="120" w:after="120"/>
      </w:pPr>
      <w:r w:rsidRPr="00D42DDB">
        <w:rPr>
          <w:b/>
          <w:bCs/>
        </w:rPr>
        <w:t xml:space="preserve">Sous-Comité d’experts du Système général harmonisé </w:t>
      </w:r>
      <w:r w:rsidR="0076369A" w:rsidRPr="00D42DDB">
        <w:rPr>
          <w:b/>
          <w:bCs/>
        </w:rPr>
        <w:br/>
      </w:r>
      <w:r w:rsidRPr="00D42DDB">
        <w:rPr>
          <w:b/>
          <w:bCs/>
        </w:rPr>
        <w:t>de classification et d’étiquetage des produits chimiques</w:t>
      </w:r>
    </w:p>
    <w:p w:rsidR="0053665A" w:rsidRPr="00D42DDB" w:rsidRDefault="0053665A" w:rsidP="0076369A">
      <w:pPr>
        <w:rPr>
          <w:b/>
          <w:bCs/>
        </w:rPr>
      </w:pPr>
      <w:r w:rsidRPr="00D42DDB">
        <w:rPr>
          <w:b/>
          <w:bCs/>
        </w:rPr>
        <w:t>Trente-deuxième session</w:t>
      </w:r>
    </w:p>
    <w:p w:rsidR="0053665A" w:rsidRPr="00D42DDB" w:rsidRDefault="0053665A" w:rsidP="0076369A">
      <w:r w:rsidRPr="00D42DDB">
        <w:t>Genève, 7-9 décembre 2016</w:t>
      </w:r>
    </w:p>
    <w:p w:rsidR="0053665A" w:rsidRPr="00D42DDB" w:rsidRDefault="0053665A" w:rsidP="0076369A">
      <w:r w:rsidRPr="00D42DDB">
        <w:t>Point 3 b) de l’ordre du jour provisoire</w:t>
      </w:r>
    </w:p>
    <w:p w:rsidR="0053665A" w:rsidRPr="00D42DDB" w:rsidRDefault="0053665A" w:rsidP="0076369A">
      <w:pPr>
        <w:rPr>
          <w:b/>
          <w:bCs/>
        </w:rPr>
      </w:pPr>
      <w:r w:rsidRPr="00D42DDB">
        <w:rPr>
          <w:b/>
          <w:bCs/>
        </w:rPr>
        <w:t>Questions relatives à la communication des dangers</w:t>
      </w:r>
      <w:r w:rsidR="0051047A" w:rsidRPr="00D42DDB">
        <w:rPr>
          <w:b/>
          <w:bCs/>
        </w:rPr>
        <w:t> :</w:t>
      </w:r>
      <w:r w:rsidRPr="00D42DDB">
        <w:rPr>
          <w:b/>
          <w:bCs/>
        </w:rPr>
        <w:t xml:space="preserve"> </w:t>
      </w:r>
      <w:r w:rsidRPr="00D42DDB">
        <w:rPr>
          <w:b/>
          <w:bCs/>
        </w:rPr>
        <w:br/>
        <w:t xml:space="preserve">amélioration des annexes 1 à 3 et poursuite </w:t>
      </w:r>
      <w:r w:rsidR="0076369A" w:rsidRPr="00D42DDB">
        <w:rPr>
          <w:b/>
          <w:bCs/>
        </w:rPr>
        <w:br/>
      </w:r>
      <w:r w:rsidRPr="00D42DDB">
        <w:rPr>
          <w:b/>
          <w:bCs/>
        </w:rPr>
        <w:t>de la rationalisation des conseils de prudence</w:t>
      </w:r>
    </w:p>
    <w:p w:rsidR="0053665A" w:rsidRPr="00D42DDB" w:rsidRDefault="0053665A" w:rsidP="0076369A">
      <w:pPr>
        <w:pStyle w:val="HChG"/>
        <w:rPr>
          <w:rFonts w:eastAsia="MS Mincho"/>
        </w:rPr>
      </w:pPr>
      <w:r w:rsidRPr="00D42DDB">
        <w:tab/>
      </w:r>
      <w:r w:rsidRPr="00D42DDB">
        <w:tab/>
        <w:t>Proposition d’amendements aux sections 2 et 3 de l’</w:t>
      </w:r>
      <w:r w:rsidR="0076369A" w:rsidRPr="00D42DDB">
        <w:t>annexe </w:t>
      </w:r>
      <w:r w:rsidRPr="00D42DDB">
        <w:t>3 du SGH</w:t>
      </w:r>
    </w:p>
    <w:p w:rsidR="0053665A" w:rsidRPr="00D42DDB" w:rsidRDefault="0053665A" w:rsidP="0076369A">
      <w:pPr>
        <w:pStyle w:val="H1G"/>
      </w:pPr>
      <w:r w:rsidRPr="00D42DDB">
        <w:tab/>
      </w:r>
      <w:r w:rsidRPr="00D42DDB">
        <w:tab/>
        <w:t xml:space="preserve">Communication de l’expert du </w:t>
      </w:r>
      <w:r w:rsidRPr="00D42DDB">
        <w:rPr>
          <w:rFonts w:eastAsia="MS Mincho"/>
        </w:rPr>
        <w:t>Royaume-Uni</w:t>
      </w:r>
      <w:r w:rsidRPr="00D42DDB">
        <w:t xml:space="preserve"> au nom du groupe de travail par correspondance chargé de l’amélioration des annexes 1, 2 </w:t>
      </w:r>
      <w:r w:rsidR="0076369A" w:rsidRPr="00D42DDB">
        <w:br/>
      </w:r>
      <w:r w:rsidRPr="00D42DDB">
        <w:t>et 3 du SGH</w:t>
      </w:r>
      <w:r w:rsidRPr="00D42DDB">
        <w:rPr>
          <w:rStyle w:val="FootnoteReference"/>
          <w:b w:val="0"/>
          <w:bCs/>
        </w:rPr>
        <w:footnoteReference w:id="2"/>
      </w:r>
    </w:p>
    <w:p w:rsidR="0053665A" w:rsidRPr="00D42DDB" w:rsidRDefault="0053665A" w:rsidP="0076369A">
      <w:pPr>
        <w:pStyle w:val="HChG"/>
        <w:rPr>
          <w:rFonts w:eastAsia="MS Mincho"/>
        </w:rPr>
      </w:pPr>
      <w:r w:rsidRPr="00D42DDB">
        <w:tab/>
      </w:r>
      <w:r w:rsidRPr="00D42DDB">
        <w:tab/>
        <w:t>Contexte</w:t>
      </w:r>
    </w:p>
    <w:p w:rsidR="0053665A" w:rsidRPr="00D42DDB" w:rsidRDefault="0053665A" w:rsidP="00FA7EC3">
      <w:pPr>
        <w:pStyle w:val="ParNoG"/>
      </w:pPr>
      <w:r w:rsidRPr="00D42DDB">
        <w:t>Conformément à son mandat pour l’exercice biennal 2015-2016</w:t>
      </w:r>
      <w:r w:rsidRPr="00D42DDB">
        <w:rPr>
          <w:rStyle w:val="FootnoteReference"/>
        </w:rPr>
        <w:footnoteReference w:id="3"/>
      </w:r>
      <w:r w:rsidRPr="00D42DDB">
        <w:t xml:space="preserve">, le groupe de travail par correspondance a poursuivi ses travaux au titre de la filière </w:t>
      </w:r>
      <w:r w:rsidR="0076369A" w:rsidRPr="00D42DDB">
        <w:rPr>
          <w:rFonts w:eastAsia="MS Mincho"/>
        </w:rPr>
        <w:t>n</w:t>
      </w:r>
      <w:r w:rsidR="0076369A" w:rsidRPr="00D42DDB">
        <w:rPr>
          <w:rFonts w:eastAsia="MS Mincho"/>
          <w:vertAlign w:val="superscript"/>
        </w:rPr>
        <w:t>o</w:t>
      </w:r>
      <w:r w:rsidR="0076369A" w:rsidRPr="00D42DDB">
        <w:t> </w:t>
      </w:r>
      <w:r w:rsidRPr="00D42DDB">
        <w:t>2, qui consistent à «</w:t>
      </w:r>
      <w:r w:rsidR="00FA7EC3" w:rsidRPr="00D42DDB">
        <w:t> </w:t>
      </w:r>
      <w:r w:rsidRPr="00D42DDB">
        <w:t>envisager de laisser davantage de liberté aux professionnels de l’étiquetage et/ou aux autorités de contrôle pour l’affectation des conseils de prudence et leur formulation, y compris à envisager de traiter ou non les variantes linguistiques mineures dans la formulation des dangers et des conseils de prudence qui n’ont pas d’incidences sur l’évidence de ces derniers et, s’il y a lieu, à élaborer des propositions</w:t>
      </w:r>
      <w:r w:rsidR="00FA7EC3" w:rsidRPr="00D42DDB">
        <w:t> </w:t>
      </w:r>
      <w:r w:rsidRPr="00D42DDB">
        <w:t>».</w:t>
      </w:r>
    </w:p>
    <w:p w:rsidR="0053665A" w:rsidRPr="00D42DDB" w:rsidRDefault="0053665A" w:rsidP="0076369A">
      <w:pPr>
        <w:pStyle w:val="ParNoG"/>
      </w:pPr>
      <w:r w:rsidRPr="00D42DDB">
        <w:lastRenderedPageBreak/>
        <w:t>Le présent document, fondé sur le document informel INF.17 (trentième session), expose les résultats des travaux du groupe de travail par correspondance sous la forme d’un projet de proposition d’</w:t>
      </w:r>
      <w:r w:rsidR="00FA7EC3" w:rsidRPr="00D42DDB">
        <w:t>amendements aux sections </w:t>
      </w:r>
      <w:r w:rsidRPr="00D42DDB">
        <w:t>2 et 3 de l’</w:t>
      </w:r>
      <w:r w:rsidR="00FA7EC3" w:rsidRPr="00D42DDB">
        <w:t>annexe </w:t>
      </w:r>
      <w:r w:rsidRPr="00D42DDB">
        <w:t>3 du SGH.</w:t>
      </w:r>
    </w:p>
    <w:p w:rsidR="0053665A" w:rsidRPr="00D42DDB" w:rsidRDefault="0053665A" w:rsidP="0076369A">
      <w:pPr>
        <w:pStyle w:val="HChG"/>
        <w:rPr>
          <w:rFonts w:eastAsia="MS Mincho"/>
        </w:rPr>
      </w:pPr>
      <w:r w:rsidRPr="00D42DDB">
        <w:tab/>
      </w:r>
      <w:r w:rsidRPr="00D42DDB">
        <w:tab/>
        <w:t>Objet de la proposition</w:t>
      </w:r>
    </w:p>
    <w:p w:rsidR="0053665A" w:rsidRPr="00D42DDB" w:rsidRDefault="0053665A" w:rsidP="00FA7EC3">
      <w:pPr>
        <w:pStyle w:val="ParNoG"/>
        <w:keepNext/>
      </w:pPr>
      <w:r w:rsidRPr="00D42DDB">
        <w:t>La proposition a pour objet</w:t>
      </w:r>
      <w:r w:rsidR="0051047A" w:rsidRPr="00D42DDB">
        <w:t> :</w:t>
      </w:r>
    </w:p>
    <w:p w:rsidR="0053665A" w:rsidRPr="00D42DDB" w:rsidRDefault="0053665A" w:rsidP="0076369A">
      <w:pPr>
        <w:pStyle w:val="SingleTxtG"/>
        <w:ind w:left="2268" w:hanging="567"/>
      </w:pPr>
      <w:r w:rsidRPr="00D42DDB">
        <w:t>a)</w:t>
      </w:r>
      <w:r w:rsidRPr="00D42DDB">
        <w:tab/>
        <w:t>D’apporter des modifications dans les tableaux de la</w:t>
      </w:r>
      <w:r w:rsidR="00FA7EC3" w:rsidRPr="00D42DDB">
        <w:t xml:space="preserve"> section </w:t>
      </w:r>
      <w:r w:rsidRPr="00D42DDB">
        <w:t>2 de l’</w:t>
      </w:r>
      <w:r w:rsidR="00FA7EC3" w:rsidRPr="00D42DDB">
        <w:t>annexe </w:t>
      </w:r>
      <w:r w:rsidRPr="00D42DDB">
        <w:t>3 du SGH pour certains conseils de prudence</w:t>
      </w:r>
      <w:r w:rsidR="0051047A" w:rsidRPr="00D42DDB">
        <w:t> ;</w:t>
      </w:r>
      <w:r w:rsidRPr="00D42DDB">
        <w:t xml:space="preserve"> </w:t>
      </w:r>
    </w:p>
    <w:p w:rsidR="0053665A" w:rsidRPr="00D42DDB" w:rsidRDefault="0053665A" w:rsidP="0076369A">
      <w:pPr>
        <w:pStyle w:val="SingleTxtG"/>
        <w:ind w:left="2268" w:hanging="567"/>
        <w:rPr>
          <w:szCs w:val="24"/>
        </w:rPr>
      </w:pPr>
      <w:r w:rsidRPr="00D42DDB">
        <w:rPr>
          <w:szCs w:val="24"/>
        </w:rPr>
        <w:t>b)</w:t>
      </w:r>
      <w:r w:rsidRPr="00D42DDB">
        <w:rPr>
          <w:szCs w:val="24"/>
        </w:rPr>
        <w:tab/>
        <w:t xml:space="preserve">D’ajouter du </w:t>
      </w:r>
      <w:r w:rsidRPr="00D42DDB">
        <w:t>texte</w:t>
      </w:r>
      <w:r w:rsidR="00FA7EC3" w:rsidRPr="00D42DDB">
        <w:rPr>
          <w:szCs w:val="24"/>
        </w:rPr>
        <w:t xml:space="preserve"> dans la section </w:t>
      </w:r>
      <w:r w:rsidRPr="00D42DDB">
        <w:rPr>
          <w:szCs w:val="24"/>
        </w:rPr>
        <w:t>3 de l’</w:t>
      </w:r>
      <w:r w:rsidR="00FA7EC3" w:rsidRPr="00D42DDB">
        <w:rPr>
          <w:szCs w:val="24"/>
        </w:rPr>
        <w:t>annexe </w:t>
      </w:r>
      <w:r w:rsidRPr="00D42DDB">
        <w:rPr>
          <w:szCs w:val="24"/>
        </w:rPr>
        <w:t>3, «</w:t>
      </w:r>
      <w:r w:rsidR="00FA7EC3" w:rsidRPr="00D42DDB">
        <w:rPr>
          <w:szCs w:val="24"/>
        </w:rPr>
        <w:t> </w:t>
      </w:r>
      <w:r w:rsidRPr="00D42DDB">
        <w:rPr>
          <w:szCs w:val="24"/>
        </w:rPr>
        <w:t>Utilisation des conseils de prudence</w:t>
      </w:r>
      <w:r w:rsidR="00FA7EC3" w:rsidRPr="00D42DDB">
        <w:rPr>
          <w:szCs w:val="24"/>
        </w:rPr>
        <w:t> </w:t>
      </w:r>
      <w:r w:rsidRPr="00D42DDB">
        <w:rPr>
          <w:szCs w:val="24"/>
        </w:rPr>
        <w:t>», aux fins suivantes</w:t>
      </w:r>
      <w:r w:rsidR="0051047A" w:rsidRPr="00D42DDB">
        <w:rPr>
          <w:szCs w:val="24"/>
        </w:rPr>
        <w:t> :</w:t>
      </w:r>
    </w:p>
    <w:p w:rsidR="0053665A" w:rsidRPr="00D42DDB" w:rsidRDefault="0053665A" w:rsidP="0076369A">
      <w:pPr>
        <w:pStyle w:val="SingleTxtG"/>
        <w:ind w:left="2835" w:hanging="567"/>
      </w:pPr>
      <w:r w:rsidRPr="00D42DDB">
        <w:t>i)</w:t>
      </w:r>
      <w:r w:rsidRPr="00D42DDB">
        <w:tab/>
        <w:t>Restructurer le texte actuel (A3.3.1 à A3.3.5) pour le clarifier sans pour autant perdre les principales informations. À la rubrique «</w:t>
      </w:r>
      <w:r w:rsidR="00FA7EC3" w:rsidRPr="00D42DDB">
        <w:t> </w:t>
      </w:r>
      <w:r w:rsidRPr="00D42DDB">
        <w:t>Conseils de prudence généraux</w:t>
      </w:r>
      <w:r w:rsidR="00FA7EC3" w:rsidRPr="00D42DDB">
        <w:t> </w:t>
      </w:r>
      <w:r w:rsidRPr="00D42DDB">
        <w:t>», il est désormais fait référence aux conseils de prudence généraux énoncés dans le tableau A3.2.1, à savoir les conseils P101, P102 et P103, et à leur utilisation sur les étiquettes des produits de consommation, comme il convient. Il est également fait référence aux différentes sources d’information à la disposition des consommateurs et des employeurs et travailleurs</w:t>
      </w:r>
      <w:r w:rsidR="0051047A" w:rsidRPr="00D42DDB">
        <w:t> ;</w:t>
      </w:r>
    </w:p>
    <w:p w:rsidR="0053665A" w:rsidRPr="00D42DDB" w:rsidRDefault="0053665A" w:rsidP="0076369A">
      <w:pPr>
        <w:pStyle w:val="SingleTxtG"/>
        <w:ind w:left="2835" w:hanging="567"/>
        <w:rPr>
          <w:szCs w:val="24"/>
        </w:rPr>
      </w:pPr>
      <w:r w:rsidRPr="00D42DDB">
        <w:rPr>
          <w:szCs w:val="24"/>
        </w:rPr>
        <w:t>ii)</w:t>
      </w:r>
      <w:r w:rsidRPr="00D42DDB">
        <w:rPr>
          <w:szCs w:val="24"/>
        </w:rPr>
        <w:tab/>
        <w:t xml:space="preserve">À la </w:t>
      </w:r>
      <w:r w:rsidRPr="00D42DDB">
        <w:t>rubrique</w:t>
      </w:r>
      <w:r w:rsidRPr="00D42DDB">
        <w:rPr>
          <w:szCs w:val="24"/>
        </w:rPr>
        <w:t xml:space="preserve"> «</w:t>
      </w:r>
      <w:r w:rsidR="00FA7EC3" w:rsidRPr="00D42DDB">
        <w:rPr>
          <w:szCs w:val="24"/>
        </w:rPr>
        <w:t> </w:t>
      </w:r>
      <w:r w:rsidRPr="00D42DDB">
        <w:rPr>
          <w:szCs w:val="24"/>
        </w:rPr>
        <w:t>Utilisation souple des conseils de prudence</w:t>
      </w:r>
      <w:r w:rsidR="00FA7EC3" w:rsidRPr="00D42DDB">
        <w:rPr>
          <w:szCs w:val="24"/>
        </w:rPr>
        <w:t> </w:t>
      </w:r>
      <w:r w:rsidRPr="00D42DDB">
        <w:rPr>
          <w:szCs w:val="24"/>
        </w:rPr>
        <w:t>», il s’agit de favoriser une application plus concise et pertinente des conseils de prudence sur les étiquettes. Il est notamment question d’omettre les informations superflues, de combiner des conseils, d’autoriser les variantes linguistiques mineures et de mettre en avant les interventions médicales</w:t>
      </w:r>
      <w:r w:rsidR="0051047A" w:rsidRPr="00D42DDB">
        <w:rPr>
          <w:szCs w:val="24"/>
        </w:rPr>
        <w:t> ;</w:t>
      </w:r>
    </w:p>
    <w:p w:rsidR="0053665A" w:rsidRPr="00D42DDB" w:rsidRDefault="0053665A" w:rsidP="0076369A">
      <w:pPr>
        <w:pStyle w:val="SingleTxtG"/>
        <w:ind w:left="2268" w:hanging="567"/>
        <w:rPr>
          <w:szCs w:val="24"/>
        </w:rPr>
      </w:pPr>
      <w:r w:rsidRPr="00D42DDB">
        <w:rPr>
          <w:szCs w:val="24"/>
        </w:rPr>
        <w:t>c)</w:t>
      </w:r>
      <w:r w:rsidRPr="00D42DDB">
        <w:rPr>
          <w:szCs w:val="24"/>
        </w:rPr>
        <w:tab/>
        <w:t xml:space="preserve">De </w:t>
      </w:r>
      <w:r w:rsidRPr="00D42DDB">
        <w:t>restructurer</w:t>
      </w:r>
      <w:r w:rsidRPr="00D42DDB">
        <w:rPr>
          <w:szCs w:val="24"/>
        </w:rPr>
        <w:t xml:space="preserve"> les tableaux des conseils de prudence par classe/catégorie de danger </w:t>
      </w:r>
      <w:r w:rsidR="00FA7EC3" w:rsidRPr="00D42DDB">
        <w:rPr>
          <w:szCs w:val="24"/>
        </w:rPr>
        <w:t>(rubrique A3.3.5), à la section </w:t>
      </w:r>
      <w:r w:rsidRPr="00D42DDB">
        <w:rPr>
          <w:szCs w:val="24"/>
        </w:rPr>
        <w:t>3 de l’</w:t>
      </w:r>
      <w:r w:rsidR="00FA7EC3" w:rsidRPr="00D42DDB">
        <w:rPr>
          <w:szCs w:val="24"/>
        </w:rPr>
        <w:t>annexe </w:t>
      </w:r>
      <w:r w:rsidRPr="00D42DDB">
        <w:rPr>
          <w:szCs w:val="24"/>
        </w:rPr>
        <w:t>3, afin de regrouper les catégories de danger pour lesquelles les conseils de prudence sont les mêmes, mais d’autres informations sur les dangers varient. Dans la nouvelle structure, on trouve pour chaque catégorie de danger une présentation uniforme de tous les éléments figurant sur l’étiquette, à savoir, sur une même ligne, le symbole (symbole et description de celui-ci), la mention d’avertissement et les mentions de danger (code et texte), suivis des conseils de prudence (code et texte). On comprend ainsi plus aisément la façon dont tous les éléments présents sur l’étiquette rendent compte des différents degrés de danger.</w:t>
      </w:r>
    </w:p>
    <w:p w:rsidR="0053665A" w:rsidRPr="00D42DDB" w:rsidRDefault="0053665A" w:rsidP="0076369A">
      <w:pPr>
        <w:pStyle w:val="HChG"/>
        <w:rPr>
          <w:rFonts w:eastAsia="MS Mincho"/>
        </w:rPr>
      </w:pPr>
      <w:r w:rsidRPr="00D42DDB">
        <w:tab/>
      </w:r>
      <w:r w:rsidRPr="00D42DDB">
        <w:tab/>
        <w:t>Mesures demandées</w:t>
      </w:r>
    </w:p>
    <w:p w:rsidR="0053665A" w:rsidRPr="00D42DDB" w:rsidRDefault="0053665A" w:rsidP="0076369A">
      <w:pPr>
        <w:pStyle w:val="ParNoG"/>
        <w:rPr>
          <w:spacing w:val="-2"/>
        </w:rPr>
      </w:pPr>
      <w:r w:rsidRPr="00D42DDB">
        <w:rPr>
          <w:spacing w:val="-2"/>
        </w:rPr>
        <w:t>Le Sous-Comité est invité à approuver les modifica</w:t>
      </w:r>
      <w:r w:rsidR="00FA7EC3" w:rsidRPr="00D42DDB">
        <w:rPr>
          <w:spacing w:val="-2"/>
        </w:rPr>
        <w:t>tions proposées aux paragraphes </w:t>
      </w:r>
      <w:r w:rsidRPr="00D42DDB">
        <w:rPr>
          <w:spacing w:val="-2"/>
        </w:rPr>
        <w:t>7 à 9 ci-après en ce qui concerne l’</w:t>
      </w:r>
      <w:r w:rsidR="00FA7EC3" w:rsidRPr="00D42DDB">
        <w:rPr>
          <w:spacing w:val="-2"/>
        </w:rPr>
        <w:t>annexe </w:t>
      </w:r>
      <w:r w:rsidRPr="00D42DDB">
        <w:rPr>
          <w:spacing w:val="-2"/>
        </w:rPr>
        <w:t>3, notamment</w:t>
      </w:r>
      <w:r w:rsidR="0051047A" w:rsidRPr="00D42DDB">
        <w:rPr>
          <w:spacing w:val="-2"/>
        </w:rPr>
        <w:t> :</w:t>
      </w:r>
    </w:p>
    <w:p w:rsidR="0053665A" w:rsidRPr="00D42DDB" w:rsidRDefault="0053665A" w:rsidP="0076369A">
      <w:pPr>
        <w:pStyle w:val="SingleTxtG"/>
        <w:ind w:left="2268" w:hanging="567"/>
        <w:rPr>
          <w:szCs w:val="24"/>
        </w:rPr>
      </w:pPr>
      <w:proofErr w:type="gramStart"/>
      <w:r w:rsidRPr="00D42DDB">
        <w:rPr>
          <w:szCs w:val="24"/>
        </w:rPr>
        <w:t>a</w:t>
      </w:r>
      <w:proofErr w:type="gramEnd"/>
      <w:r w:rsidRPr="00D42DDB">
        <w:rPr>
          <w:szCs w:val="24"/>
        </w:rPr>
        <w:t>)</w:t>
      </w:r>
      <w:r w:rsidRPr="00D42DDB">
        <w:rPr>
          <w:szCs w:val="24"/>
        </w:rPr>
        <w:tab/>
        <w:t xml:space="preserve">Les </w:t>
      </w:r>
      <w:r w:rsidRPr="00D42DDB">
        <w:t>propositions</w:t>
      </w:r>
      <w:r w:rsidRPr="00D42DDB">
        <w:rPr>
          <w:szCs w:val="24"/>
        </w:rPr>
        <w:t xml:space="preserve"> d’amendements aux tableaux des con</w:t>
      </w:r>
      <w:r w:rsidR="00FA7EC3" w:rsidRPr="00D42DDB">
        <w:rPr>
          <w:szCs w:val="24"/>
        </w:rPr>
        <w:t>seils de prudence de la section 2 (voir le paragraphe </w:t>
      </w:r>
      <w:r w:rsidRPr="00D42DDB">
        <w:rPr>
          <w:szCs w:val="24"/>
        </w:rPr>
        <w:t>7)</w:t>
      </w:r>
      <w:r w:rsidR="0051047A" w:rsidRPr="00D42DDB">
        <w:rPr>
          <w:szCs w:val="24"/>
        </w:rPr>
        <w:t> ;</w:t>
      </w:r>
    </w:p>
    <w:p w:rsidR="0053665A" w:rsidRPr="00D42DDB" w:rsidRDefault="0053665A" w:rsidP="0076369A">
      <w:pPr>
        <w:pStyle w:val="SingleTxtG"/>
        <w:ind w:left="2268" w:hanging="567"/>
        <w:rPr>
          <w:szCs w:val="24"/>
        </w:rPr>
      </w:pPr>
      <w:r w:rsidRPr="00D42DDB">
        <w:rPr>
          <w:szCs w:val="24"/>
        </w:rPr>
        <w:t>b)</w:t>
      </w:r>
      <w:r w:rsidRPr="00D42DDB">
        <w:rPr>
          <w:szCs w:val="24"/>
        </w:rPr>
        <w:tab/>
        <w:t xml:space="preserve">Le nouveau </w:t>
      </w:r>
      <w:r w:rsidRPr="00D42DDB">
        <w:t>texte</w:t>
      </w:r>
      <w:r w:rsidRPr="00D42DDB">
        <w:rPr>
          <w:szCs w:val="24"/>
        </w:rPr>
        <w:t xml:space="preserve"> relatif à l’utilisation des conseils de prudence, dans l</w:t>
      </w:r>
      <w:r w:rsidR="00FA7EC3" w:rsidRPr="00D42DDB">
        <w:rPr>
          <w:szCs w:val="24"/>
        </w:rPr>
        <w:t>a section 3 (voir le paragraphe </w:t>
      </w:r>
      <w:r w:rsidRPr="00D42DDB">
        <w:rPr>
          <w:szCs w:val="24"/>
        </w:rPr>
        <w:t>8)</w:t>
      </w:r>
      <w:r w:rsidR="0051047A" w:rsidRPr="00D42DDB">
        <w:rPr>
          <w:szCs w:val="24"/>
        </w:rPr>
        <w:t> ;</w:t>
      </w:r>
    </w:p>
    <w:p w:rsidR="0053665A" w:rsidRPr="00D42DDB" w:rsidRDefault="0053665A" w:rsidP="0076369A">
      <w:pPr>
        <w:pStyle w:val="SingleTxtG"/>
        <w:ind w:left="2268" w:hanging="567"/>
        <w:rPr>
          <w:szCs w:val="24"/>
        </w:rPr>
      </w:pPr>
      <w:r w:rsidRPr="00D42DDB">
        <w:rPr>
          <w:szCs w:val="24"/>
        </w:rPr>
        <w:t>c)</w:t>
      </w:r>
      <w:r w:rsidRPr="00D42DDB">
        <w:rPr>
          <w:szCs w:val="24"/>
        </w:rPr>
        <w:tab/>
        <w:t xml:space="preserve">La nouvelle </w:t>
      </w:r>
      <w:r w:rsidRPr="00D42DDB">
        <w:t>structure</w:t>
      </w:r>
      <w:r w:rsidRPr="00D42DDB">
        <w:rPr>
          <w:szCs w:val="24"/>
        </w:rPr>
        <w:t xml:space="preserve"> des tableaux des conseils de pru</w:t>
      </w:r>
      <w:r w:rsidR="00FA7EC3" w:rsidRPr="00D42DDB">
        <w:rPr>
          <w:szCs w:val="24"/>
        </w:rPr>
        <w:t>dence dans la section 3 (voir le paragraphe </w:t>
      </w:r>
      <w:r w:rsidRPr="00D42DDB">
        <w:rPr>
          <w:szCs w:val="24"/>
        </w:rPr>
        <w:t>9).</w:t>
      </w:r>
    </w:p>
    <w:p w:rsidR="0053665A" w:rsidRPr="00D42DDB" w:rsidRDefault="0053665A" w:rsidP="0076369A">
      <w:pPr>
        <w:pStyle w:val="HChG"/>
        <w:rPr>
          <w:rFonts w:eastAsia="MS Mincho"/>
        </w:rPr>
      </w:pPr>
      <w:r w:rsidRPr="00D42DDB">
        <w:lastRenderedPageBreak/>
        <w:tab/>
      </w:r>
      <w:r w:rsidRPr="00D42DDB">
        <w:tab/>
        <w:t>Proposition</w:t>
      </w:r>
    </w:p>
    <w:p w:rsidR="0053665A" w:rsidRPr="00D42DDB" w:rsidRDefault="0053665A" w:rsidP="0076369A">
      <w:pPr>
        <w:pStyle w:val="ParNoG"/>
      </w:pPr>
      <w:r w:rsidRPr="00D42DDB">
        <w:t>Les propositions d’amendements à l’</w:t>
      </w:r>
      <w:r w:rsidR="00FA7EC3" w:rsidRPr="00D42DDB">
        <w:t>annexe </w:t>
      </w:r>
      <w:r w:rsidRPr="00D42DDB">
        <w:t xml:space="preserve">3 du SGH sont </w:t>
      </w:r>
      <w:r w:rsidR="00FA7EC3" w:rsidRPr="00D42DDB">
        <w:t>présentées dans les paragraphes </w:t>
      </w:r>
      <w:r w:rsidRPr="00D42DDB">
        <w:t>7 à 9 ci-après.</w:t>
      </w:r>
    </w:p>
    <w:p w:rsidR="0053665A" w:rsidRPr="00D42DDB" w:rsidRDefault="0053665A" w:rsidP="00FA7EC3">
      <w:pPr>
        <w:pStyle w:val="ParNoG"/>
        <w:keepNext/>
      </w:pPr>
      <w:r w:rsidRPr="00D42DDB">
        <w:t>Pour des raisons pratiques, les détails des modifications qu’il est proposé d’apporter au texte actuel de l’annexe 3 du SGH figurent dans les documents informels suivants</w:t>
      </w:r>
      <w:r w:rsidR="0051047A" w:rsidRPr="00D42DDB">
        <w:t> :</w:t>
      </w:r>
    </w:p>
    <w:p w:rsidR="0053665A" w:rsidRPr="00D42DDB" w:rsidRDefault="0053665A" w:rsidP="0076369A">
      <w:pPr>
        <w:pStyle w:val="SingleTxtG"/>
        <w:ind w:left="2268" w:hanging="567"/>
        <w:rPr>
          <w:szCs w:val="24"/>
        </w:rPr>
      </w:pPr>
      <w:r w:rsidRPr="00D42DDB">
        <w:rPr>
          <w:szCs w:val="24"/>
        </w:rPr>
        <w:t>a)</w:t>
      </w:r>
      <w:r w:rsidRPr="00D42DDB">
        <w:rPr>
          <w:szCs w:val="24"/>
        </w:rPr>
        <w:tab/>
        <w:t>INF.3</w:t>
      </w:r>
      <w:r w:rsidR="0051047A" w:rsidRPr="00D42DDB">
        <w:rPr>
          <w:szCs w:val="24"/>
        </w:rPr>
        <w:t> :</w:t>
      </w:r>
      <w:r w:rsidRPr="00D42DDB">
        <w:rPr>
          <w:szCs w:val="24"/>
        </w:rPr>
        <w:t xml:space="preserve"> </w:t>
      </w:r>
      <w:r w:rsidRPr="00D42DDB">
        <w:t>Modifications</w:t>
      </w:r>
      <w:r w:rsidR="00FA7EC3" w:rsidRPr="00D42DDB">
        <w:rPr>
          <w:szCs w:val="24"/>
        </w:rPr>
        <w:t xml:space="preserve"> relatives à la section </w:t>
      </w:r>
      <w:r w:rsidRPr="00D42DDB">
        <w:rPr>
          <w:szCs w:val="24"/>
        </w:rPr>
        <w:t>2 de l’</w:t>
      </w:r>
      <w:r w:rsidR="00FA7EC3" w:rsidRPr="00D42DDB">
        <w:rPr>
          <w:szCs w:val="24"/>
        </w:rPr>
        <w:t>annexe </w:t>
      </w:r>
      <w:r w:rsidRPr="00D42DDB">
        <w:rPr>
          <w:szCs w:val="24"/>
        </w:rPr>
        <w:t>3</w:t>
      </w:r>
      <w:r w:rsidR="0051047A" w:rsidRPr="00D42DDB">
        <w:rPr>
          <w:szCs w:val="24"/>
        </w:rPr>
        <w:t> ;</w:t>
      </w:r>
    </w:p>
    <w:p w:rsidR="0053665A" w:rsidRPr="00D42DDB" w:rsidRDefault="0053665A" w:rsidP="0076369A">
      <w:pPr>
        <w:pStyle w:val="SingleTxtG"/>
        <w:ind w:left="2268" w:hanging="567"/>
        <w:rPr>
          <w:szCs w:val="24"/>
        </w:rPr>
      </w:pPr>
      <w:r w:rsidRPr="00D42DDB">
        <w:rPr>
          <w:szCs w:val="24"/>
        </w:rPr>
        <w:t>b)</w:t>
      </w:r>
      <w:r w:rsidRPr="00D42DDB">
        <w:rPr>
          <w:szCs w:val="24"/>
        </w:rPr>
        <w:tab/>
        <w:t>INF.3/Add.1</w:t>
      </w:r>
      <w:r w:rsidR="0051047A" w:rsidRPr="00D42DDB">
        <w:rPr>
          <w:szCs w:val="24"/>
        </w:rPr>
        <w:t> :</w:t>
      </w:r>
      <w:r w:rsidRPr="00D42DDB">
        <w:rPr>
          <w:szCs w:val="24"/>
        </w:rPr>
        <w:t xml:space="preserve"> </w:t>
      </w:r>
      <w:r w:rsidRPr="00D42DDB">
        <w:t>Modifications</w:t>
      </w:r>
      <w:r w:rsidR="00FA7EC3" w:rsidRPr="00D42DDB">
        <w:rPr>
          <w:szCs w:val="24"/>
        </w:rPr>
        <w:t xml:space="preserve"> relatives à la section </w:t>
      </w:r>
      <w:r w:rsidRPr="00D42DDB">
        <w:rPr>
          <w:szCs w:val="24"/>
        </w:rPr>
        <w:t>3 de l’</w:t>
      </w:r>
      <w:r w:rsidR="00FA7EC3" w:rsidRPr="00D42DDB">
        <w:rPr>
          <w:szCs w:val="24"/>
        </w:rPr>
        <w:t>annexe </w:t>
      </w:r>
      <w:r w:rsidRPr="00D42DDB">
        <w:rPr>
          <w:szCs w:val="24"/>
        </w:rPr>
        <w:t>3 (texte de l’introduction)</w:t>
      </w:r>
      <w:r w:rsidR="0051047A" w:rsidRPr="00D42DDB">
        <w:rPr>
          <w:szCs w:val="24"/>
        </w:rPr>
        <w:t> ;</w:t>
      </w:r>
    </w:p>
    <w:p w:rsidR="0053665A" w:rsidRPr="00D42DDB" w:rsidRDefault="0053665A" w:rsidP="0076369A">
      <w:pPr>
        <w:pStyle w:val="SingleTxtG"/>
        <w:ind w:left="2268" w:hanging="567"/>
        <w:rPr>
          <w:szCs w:val="24"/>
        </w:rPr>
      </w:pPr>
      <w:r w:rsidRPr="00D42DDB">
        <w:rPr>
          <w:szCs w:val="24"/>
        </w:rPr>
        <w:t>c)</w:t>
      </w:r>
      <w:r w:rsidRPr="00D42DDB">
        <w:rPr>
          <w:szCs w:val="24"/>
        </w:rPr>
        <w:tab/>
        <w:t>INF.3/Add.2</w:t>
      </w:r>
      <w:r w:rsidR="0051047A" w:rsidRPr="00D42DDB">
        <w:rPr>
          <w:szCs w:val="24"/>
        </w:rPr>
        <w:t> :</w:t>
      </w:r>
      <w:r w:rsidRPr="00D42DDB">
        <w:rPr>
          <w:szCs w:val="24"/>
        </w:rPr>
        <w:t xml:space="preserve"> </w:t>
      </w:r>
      <w:r w:rsidRPr="00D42DDB">
        <w:t>Modifications</w:t>
      </w:r>
      <w:r w:rsidR="0076369A" w:rsidRPr="00D42DDB">
        <w:rPr>
          <w:szCs w:val="24"/>
        </w:rPr>
        <w:t xml:space="preserve"> relatives à la section </w:t>
      </w:r>
      <w:r w:rsidRPr="00D42DDB">
        <w:rPr>
          <w:szCs w:val="24"/>
        </w:rPr>
        <w:t>3 de l’</w:t>
      </w:r>
      <w:r w:rsidR="0076369A" w:rsidRPr="00D42DDB">
        <w:rPr>
          <w:szCs w:val="24"/>
        </w:rPr>
        <w:t>annexe </w:t>
      </w:r>
      <w:r w:rsidRPr="00D42DDB">
        <w:rPr>
          <w:szCs w:val="24"/>
        </w:rPr>
        <w:t>3, s’agissant des tableaux des conseils de prudence (rubrique A3.3.5) et des amendements corollaires pour la cohérence av</w:t>
      </w:r>
      <w:r w:rsidR="0076369A" w:rsidRPr="00D42DDB">
        <w:rPr>
          <w:szCs w:val="24"/>
        </w:rPr>
        <w:t>ec les amendements à la section </w:t>
      </w:r>
      <w:r w:rsidRPr="00D42DDB">
        <w:rPr>
          <w:szCs w:val="24"/>
        </w:rPr>
        <w:t>2 de l’annexe</w:t>
      </w:r>
      <w:r w:rsidR="0076369A" w:rsidRPr="00D42DDB">
        <w:rPr>
          <w:szCs w:val="24"/>
        </w:rPr>
        <w:t> </w:t>
      </w:r>
      <w:r w:rsidRPr="00D42DDB">
        <w:rPr>
          <w:szCs w:val="24"/>
        </w:rPr>
        <w:t>3.</w:t>
      </w:r>
    </w:p>
    <w:p w:rsidR="0053665A" w:rsidRPr="00D42DDB" w:rsidRDefault="0053665A" w:rsidP="0076369A">
      <w:pPr>
        <w:pStyle w:val="H1G"/>
        <w:rPr>
          <w:rFonts w:eastAsia="MS Mincho"/>
        </w:rPr>
      </w:pPr>
      <w:r w:rsidRPr="00D42DDB">
        <w:tab/>
      </w:r>
      <w:r w:rsidRPr="00D42DDB">
        <w:tab/>
        <w:t>Annexe 3, section 2</w:t>
      </w:r>
    </w:p>
    <w:p w:rsidR="0053665A" w:rsidRPr="00D42DDB" w:rsidRDefault="0053665A" w:rsidP="0076369A">
      <w:pPr>
        <w:pStyle w:val="ParNoG"/>
        <w:rPr>
          <w:rFonts w:eastAsia="MS Mincho"/>
        </w:rPr>
      </w:pPr>
      <w:r w:rsidRPr="00D42DDB">
        <w:t>Modifier les tableaux A3.2.1, A3.2.</w:t>
      </w:r>
      <w:r w:rsidR="00FA7EC3" w:rsidRPr="00D42DDB">
        <w:t>2, A3.2.3 et A3.2.5 comme suit :</w:t>
      </w:r>
    </w:p>
    <w:p w:rsidR="0053665A" w:rsidRPr="00D42DDB" w:rsidRDefault="0053665A" w:rsidP="0076369A">
      <w:pPr>
        <w:pStyle w:val="H23G"/>
      </w:pPr>
      <w:r w:rsidRPr="00D42DDB">
        <w:tab/>
      </w:r>
      <w:r w:rsidRPr="00D42DDB">
        <w:tab/>
      </w:r>
      <w:r w:rsidRPr="00D42DDB">
        <w:tab/>
        <w:t>Tableau A3.2.1</w:t>
      </w:r>
      <w:r w:rsidR="0051047A" w:rsidRPr="00D42DDB">
        <w:t> :</w:t>
      </w:r>
    </w:p>
    <w:p w:rsidR="0053665A" w:rsidRPr="00D42DDB" w:rsidRDefault="0053665A" w:rsidP="0076369A">
      <w:pPr>
        <w:pStyle w:val="Bullet2G"/>
        <w:rPr>
          <w:rFonts w:eastAsia="MS Mincho"/>
          <w:b/>
          <w:bCs/>
        </w:rPr>
      </w:pPr>
      <w:r w:rsidRPr="00D42DDB">
        <w:rPr>
          <w:b/>
          <w:bCs/>
        </w:rPr>
        <w:t>P103</w:t>
      </w:r>
    </w:p>
    <w:p w:rsidR="0053665A" w:rsidRPr="00D42DDB" w:rsidRDefault="0053665A" w:rsidP="00FA7EC3">
      <w:pPr>
        <w:pStyle w:val="SingleTxtG"/>
        <w:ind w:left="2268"/>
      </w:pPr>
      <w:r w:rsidRPr="00D42DDB">
        <w:rPr>
          <w:rFonts w:eastAsia="MS Mincho"/>
        </w:rPr>
        <w:t>Modifier comme suit le texte dans la colonne (2)</w:t>
      </w:r>
      <w:r w:rsidR="0051047A" w:rsidRPr="00D42DDB">
        <w:rPr>
          <w:rFonts w:eastAsia="MS Mincho"/>
        </w:rPr>
        <w:t> :</w:t>
      </w:r>
      <w:r w:rsidRPr="00D42DDB">
        <w:rPr>
          <w:rFonts w:eastAsia="MS Mincho"/>
        </w:rPr>
        <w:t xml:space="preserve"> </w:t>
      </w:r>
      <w:r w:rsidRPr="00D42DDB">
        <w:t>«</w:t>
      </w:r>
      <w:r w:rsidR="00FA7EC3" w:rsidRPr="00D42DDB">
        <w:t> </w:t>
      </w:r>
      <w:r w:rsidRPr="00D42DDB">
        <w:t>Lire attentivement et appliquer toutes les instructions</w:t>
      </w:r>
      <w:r w:rsidR="00FA7EC3" w:rsidRPr="00D42DDB">
        <w:t> </w:t>
      </w:r>
      <w:r w:rsidRPr="00D42DDB">
        <w:t>».</w:t>
      </w:r>
    </w:p>
    <w:p w:rsidR="0053665A" w:rsidRPr="00D42DDB" w:rsidRDefault="0053665A" w:rsidP="0076369A">
      <w:pPr>
        <w:pStyle w:val="SingleTxtG"/>
        <w:ind w:left="2268"/>
        <w:rPr>
          <w:szCs w:val="24"/>
        </w:rPr>
      </w:pPr>
      <w:r w:rsidRPr="00D42DDB">
        <w:rPr>
          <w:i/>
          <w:szCs w:val="24"/>
          <w:u w:val="single"/>
        </w:rPr>
        <w:t>Justification</w:t>
      </w:r>
      <w:r w:rsidR="0051047A" w:rsidRPr="00D42DDB">
        <w:rPr>
          <w:szCs w:val="24"/>
        </w:rPr>
        <w:t> :</w:t>
      </w:r>
      <w:r w:rsidRPr="00D42DDB">
        <w:rPr>
          <w:szCs w:val="24"/>
        </w:rPr>
        <w:t xml:space="preserve"> Le texte </w:t>
      </w:r>
      <w:r w:rsidRPr="00D42DDB">
        <w:rPr>
          <w:rFonts w:eastAsia="MS Mincho"/>
        </w:rPr>
        <w:t>actuel</w:t>
      </w:r>
      <w:r w:rsidRPr="00D42DDB">
        <w:rPr>
          <w:szCs w:val="24"/>
        </w:rPr>
        <w:t xml:space="preserve"> du P103, «</w:t>
      </w:r>
      <w:r w:rsidR="00FA7EC3" w:rsidRPr="00D42DDB">
        <w:rPr>
          <w:szCs w:val="24"/>
        </w:rPr>
        <w:t> </w:t>
      </w:r>
      <w:r w:rsidRPr="00D42DDB">
        <w:rPr>
          <w:szCs w:val="24"/>
        </w:rPr>
        <w:t>Lire l’étiquette avant utilisation</w:t>
      </w:r>
      <w:r w:rsidR="00FA7EC3" w:rsidRPr="00D42DDB">
        <w:rPr>
          <w:szCs w:val="24"/>
        </w:rPr>
        <w:t> </w:t>
      </w:r>
      <w:r w:rsidRPr="00D42DDB">
        <w:rPr>
          <w:szCs w:val="24"/>
        </w:rPr>
        <w:t>», a peu d’intérêt pour l’utilisateur. Le nouveau texte indique plus clairement au consommateur la raison pour laquelle il convient de lire l’étiquette.</w:t>
      </w:r>
    </w:p>
    <w:p w:rsidR="0053665A" w:rsidRPr="00D42DDB" w:rsidRDefault="0053665A" w:rsidP="00FA7EC3">
      <w:pPr>
        <w:pStyle w:val="SingleTxtG"/>
        <w:ind w:left="2268"/>
        <w:rPr>
          <w:rFonts w:eastAsia="MS Mincho"/>
          <w:szCs w:val="24"/>
        </w:rPr>
      </w:pPr>
      <w:r w:rsidRPr="00D42DDB">
        <w:rPr>
          <w:szCs w:val="24"/>
        </w:rPr>
        <w:t xml:space="preserve">Ajouter dans la </w:t>
      </w:r>
      <w:r w:rsidRPr="00D42DDB">
        <w:rPr>
          <w:rFonts w:eastAsia="MS Mincho"/>
        </w:rPr>
        <w:t>colonne</w:t>
      </w:r>
      <w:r w:rsidRPr="00D42DDB">
        <w:rPr>
          <w:szCs w:val="24"/>
        </w:rPr>
        <w:t xml:space="preserve"> (5), sous «</w:t>
      </w:r>
      <w:r w:rsidR="00FA7EC3" w:rsidRPr="00D42DDB">
        <w:rPr>
          <w:szCs w:val="24"/>
        </w:rPr>
        <w:t> </w:t>
      </w:r>
      <w:r w:rsidRPr="00D42DDB">
        <w:rPr>
          <w:szCs w:val="24"/>
        </w:rPr>
        <w:t>Grand public</w:t>
      </w:r>
      <w:r w:rsidR="00FA7EC3" w:rsidRPr="00D42DDB">
        <w:rPr>
          <w:szCs w:val="24"/>
        </w:rPr>
        <w:t> </w:t>
      </w:r>
      <w:r w:rsidRPr="00D42DDB">
        <w:rPr>
          <w:szCs w:val="24"/>
        </w:rPr>
        <w:t>», la nouvelle condition suivante relative à l’utilisation</w:t>
      </w:r>
      <w:r w:rsidR="0051047A" w:rsidRPr="00D42DDB">
        <w:rPr>
          <w:szCs w:val="24"/>
        </w:rPr>
        <w:t> :</w:t>
      </w:r>
      <w:r w:rsidRPr="00D42DDB">
        <w:rPr>
          <w:szCs w:val="24"/>
        </w:rPr>
        <w:t xml:space="preserve"> </w:t>
      </w:r>
      <w:r w:rsidRPr="00D42DDB">
        <w:rPr>
          <w:iCs/>
          <w:szCs w:val="24"/>
        </w:rPr>
        <w:t>«</w:t>
      </w:r>
      <w:r w:rsidR="00FA7EC3" w:rsidRPr="00D42DDB">
        <w:rPr>
          <w:i/>
          <w:szCs w:val="24"/>
        </w:rPr>
        <w:t> </w:t>
      </w:r>
      <w:r w:rsidRPr="00D42DDB">
        <w:rPr>
          <w:i/>
          <w:szCs w:val="24"/>
        </w:rPr>
        <w:t>- omettre en cas d’application du P202</w:t>
      </w:r>
      <w:r w:rsidR="00FA7EC3" w:rsidRPr="00D42DDB">
        <w:rPr>
          <w:i/>
          <w:szCs w:val="24"/>
        </w:rPr>
        <w:t> </w:t>
      </w:r>
      <w:r w:rsidRPr="00D42DDB">
        <w:rPr>
          <w:iCs/>
          <w:szCs w:val="24"/>
        </w:rPr>
        <w:t>»</w:t>
      </w:r>
      <w:r w:rsidRPr="00D42DDB">
        <w:rPr>
          <w:szCs w:val="24"/>
        </w:rPr>
        <w:t>.</w:t>
      </w:r>
    </w:p>
    <w:p w:rsidR="0053665A" w:rsidRPr="00D42DDB" w:rsidRDefault="0053665A" w:rsidP="0076369A">
      <w:pPr>
        <w:pStyle w:val="SingleTxtG"/>
        <w:ind w:left="2268"/>
        <w:rPr>
          <w:szCs w:val="24"/>
        </w:rPr>
      </w:pPr>
      <w:r w:rsidRPr="00D42DDB">
        <w:rPr>
          <w:i/>
          <w:szCs w:val="24"/>
          <w:u w:val="single"/>
        </w:rPr>
        <w:t>Justification</w:t>
      </w:r>
      <w:r w:rsidR="0051047A" w:rsidRPr="00D42DDB">
        <w:rPr>
          <w:szCs w:val="24"/>
        </w:rPr>
        <w:t> :</w:t>
      </w:r>
      <w:r w:rsidRPr="00D42DDB">
        <w:rPr>
          <w:szCs w:val="24"/>
        </w:rPr>
        <w:t xml:space="preserve"> Le P202, «</w:t>
      </w:r>
      <w:r w:rsidR="00FA7EC3" w:rsidRPr="00D42DDB">
        <w:rPr>
          <w:szCs w:val="24"/>
        </w:rPr>
        <w:t> </w:t>
      </w:r>
      <w:r w:rsidRPr="00D42DDB">
        <w:rPr>
          <w:szCs w:val="24"/>
        </w:rPr>
        <w:t>Ne pas manipuler avant d’avoir lu et compris toutes les précautions de sécurité</w:t>
      </w:r>
      <w:r w:rsidR="00FA7EC3" w:rsidRPr="00D42DDB">
        <w:rPr>
          <w:szCs w:val="24"/>
        </w:rPr>
        <w:t> </w:t>
      </w:r>
      <w:r w:rsidRPr="00D42DDB">
        <w:rPr>
          <w:szCs w:val="24"/>
        </w:rPr>
        <w:t>», est un conseil plus spécifique et pertinent que le P103 pour les dangers concernés.</w:t>
      </w:r>
    </w:p>
    <w:p w:rsidR="0053665A" w:rsidRPr="00D42DDB" w:rsidRDefault="0053665A" w:rsidP="0076369A">
      <w:pPr>
        <w:pStyle w:val="H23G"/>
      </w:pPr>
      <w:r w:rsidRPr="00D42DDB">
        <w:tab/>
      </w:r>
      <w:r w:rsidRPr="00D42DDB">
        <w:tab/>
      </w:r>
      <w:r w:rsidRPr="00D42DDB">
        <w:tab/>
        <w:t>Tableau A3.2.2</w:t>
      </w:r>
      <w:r w:rsidR="0051047A" w:rsidRPr="00D42DDB">
        <w:t> :</w:t>
      </w:r>
    </w:p>
    <w:p w:rsidR="0053665A" w:rsidRPr="00D42DDB" w:rsidRDefault="0053665A" w:rsidP="0076369A">
      <w:pPr>
        <w:pStyle w:val="Bullet2G"/>
        <w:rPr>
          <w:rFonts w:eastAsia="MS Mincho"/>
          <w:b/>
          <w:szCs w:val="24"/>
        </w:rPr>
      </w:pPr>
      <w:r w:rsidRPr="00D42DDB">
        <w:rPr>
          <w:b/>
          <w:szCs w:val="24"/>
        </w:rPr>
        <w:t>P201</w:t>
      </w:r>
    </w:p>
    <w:p w:rsidR="0053665A" w:rsidRPr="00D42DDB" w:rsidRDefault="0053665A" w:rsidP="00FA7EC3">
      <w:pPr>
        <w:pStyle w:val="SingleTxtG"/>
        <w:ind w:left="2268"/>
        <w:rPr>
          <w:rFonts w:eastAsia="MS Mincho"/>
          <w:szCs w:val="24"/>
        </w:rPr>
      </w:pPr>
      <w:r w:rsidRPr="00D42DDB">
        <w:rPr>
          <w:szCs w:val="24"/>
        </w:rPr>
        <w:t xml:space="preserve">Ajouter dans la colonne </w:t>
      </w:r>
      <w:r w:rsidRPr="00D42DDB">
        <w:rPr>
          <w:rFonts w:eastAsia="MS Mincho"/>
          <w:szCs w:val="24"/>
        </w:rPr>
        <w:t>(5) pour toutes les classes de danger à l’exception des matières et objets explosibles (chapitre 2.1) la condition suivante relative à l’utilisation</w:t>
      </w:r>
      <w:r w:rsidR="0051047A" w:rsidRPr="00D42DDB">
        <w:rPr>
          <w:szCs w:val="24"/>
        </w:rPr>
        <w:t> :</w:t>
      </w:r>
      <w:r w:rsidRPr="00D42DDB">
        <w:rPr>
          <w:szCs w:val="24"/>
        </w:rPr>
        <w:t xml:space="preserve"> </w:t>
      </w:r>
      <w:r w:rsidRPr="00D42DDB">
        <w:rPr>
          <w:rFonts w:eastAsia="MS Mincho"/>
          <w:iCs/>
          <w:szCs w:val="24"/>
        </w:rPr>
        <w:t>«</w:t>
      </w:r>
      <w:r w:rsidR="00FA7EC3" w:rsidRPr="00D42DDB">
        <w:rPr>
          <w:rFonts w:eastAsia="MS Mincho"/>
          <w:i/>
          <w:szCs w:val="24"/>
        </w:rPr>
        <w:t> </w:t>
      </w:r>
      <w:r w:rsidRPr="00D42DDB">
        <w:rPr>
          <w:rFonts w:eastAsia="MS Mincho"/>
          <w:i/>
          <w:szCs w:val="24"/>
        </w:rPr>
        <w:t>- omettre pour les produits grand public lorsque le P202 est appliqué</w:t>
      </w:r>
      <w:r w:rsidR="00FA7EC3" w:rsidRPr="00D42DDB">
        <w:rPr>
          <w:rFonts w:eastAsia="MS Mincho"/>
          <w:i/>
          <w:szCs w:val="24"/>
        </w:rPr>
        <w:t> </w:t>
      </w:r>
      <w:r w:rsidRPr="00D42DDB">
        <w:rPr>
          <w:rFonts w:eastAsia="MS Mincho"/>
          <w:iCs/>
          <w:szCs w:val="24"/>
        </w:rPr>
        <w:t>».</w:t>
      </w:r>
    </w:p>
    <w:p w:rsidR="0053665A" w:rsidRPr="00D42DDB" w:rsidRDefault="0053665A" w:rsidP="0076369A">
      <w:pPr>
        <w:pStyle w:val="SingleTxtG"/>
        <w:ind w:left="2268"/>
        <w:rPr>
          <w:rFonts w:eastAsia="MS Mincho"/>
          <w:szCs w:val="24"/>
        </w:rPr>
      </w:pPr>
      <w:r w:rsidRPr="00D42DDB">
        <w:rPr>
          <w:rFonts w:eastAsia="MS Mincho"/>
          <w:i/>
          <w:szCs w:val="24"/>
          <w:u w:val="single"/>
        </w:rPr>
        <w:t>Justification</w:t>
      </w:r>
      <w:r w:rsidR="0051047A" w:rsidRPr="00D42DDB">
        <w:rPr>
          <w:rFonts w:eastAsia="MS Mincho"/>
          <w:i/>
          <w:szCs w:val="24"/>
        </w:rPr>
        <w:t> </w:t>
      </w:r>
      <w:r w:rsidR="0051047A" w:rsidRPr="00D42DDB">
        <w:rPr>
          <w:rFonts w:eastAsia="MS Mincho"/>
          <w:iCs/>
          <w:szCs w:val="24"/>
        </w:rPr>
        <w:t>:</w:t>
      </w:r>
      <w:r w:rsidRPr="00D42DDB">
        <w:rPr>
          <w:rFonts w:eastAsia="MS Mincho"/>
          <w:szCs w:val="24"/>
        </w:rPr>
        <w:t xml:space="preserve"> Le </w:t>
      </w:r>
      <w:r w:rsidRPr="00D42DDB">
        <w:rPr>
          <w:rFonts w:eastAsia="MS Mincho"/>
        </w:rPr>
        <w:t>P202</w:t>
      </w:r>
      <w:r w:rsidRPr="00D42DDB">
        <w:rPr>
          <w:szCs w:val="24"/>
        </w:rPr>
        <w:t>, «</w:t>
      </w:r>
      <w:r w:rsidR="00FA7EC3" w:rsidRPr="00D42DDB">
        <w:rPr>
          <w:szCs w:val="24"/>
        </w:rPr>
        <w:t> </w:t>
      </w:r>
      <w:r w:rsidRPr="00D42DDB">
        <w:rPr>
          <w:i/>
          <w:szCs w:val="24"/>
        </w:rPr>
        <w:t>Ne pas manipuler avant d’avoir lu et compris toutes les précautions de sécurité</w:t>
      </w:r>
      <w:r w:rsidR="00FA7EC3" w:rsidRPr="00D42DDB">
        <w:rPr>
          <w:i/>
          <w:szCs w:val="24"/>
        </w:rPr>
        <w:t> </w:t>
      </w:r>
      <w:r w:rsidRPr="00D42DDB">
        <w:rPr>
          <w:szCs w:val="24"/>
        </w:rPr>
        <w:t>», est plus utile que le P201, «</w:t>
      </w:r>
      <w:r w:rsidR="00FA7EC3" w:rsidRPr="00D42DDB">
        <w:rPr>
          <w:szCs w:val="24"/>
        </w:rPr>
        <w:t> </w:t>
      </w:r>
      <w:r w:rsidRPr="00D42DDB">
        <w:rPr>
          <w:i/>
          <w:szCs w:val="24"/>
        </w:rPr>
        <w:t>Se procurer les instructions avant utilisation</w:t>
      </w:r>
      <w:r w:rsidR="00FA7EC3" w:rsidRPr="00D42DDB">
        <w:rPr>
          <w:i/>
          <w:szCs w:val="24"/>
        </w:rPr>
        <w:t> </w:t>
      </w:r>
      <w:r w:rsidRPr="00D42DDB">
        <w:rPr>
          <w:szCs w:val="24"/>
        </w:rPr>
        <w:t>», pour les produits grand public et devrait être privilégié lorsque les deux conseils sont applicables.</w:t>
      </w:r>
    </w:p>
    <w:p w:rsidR="0053665A" w:rsidRPr="00D42DDB" w:rsidRDefault="0053665A" w:rsidP="0076369A">
      <w:pPr>
        <w:pStyle w:val="Bullet2G"/>
        <w:rPr>
          <w:rFonts w:eastAsia="MS Mincho"/>
          <w:b/>
          <w:szCs w:val="24"/>
        </w:rPr>
      </w:pPr>
      <w:r w:rsidRPr="00D42DDB">
        <w:rPr>
          <w:b/>
          <w:szCs w:val="24"/>
        </w:rPr>
        <w:t>P202</w:t>
      </w:r>
    </w:p>
    <w:p w:rsidR="0053665A" w:rsidRPr="00D42DDB" w:rsidRDefault="0053665A" w:rsidP="0076369A">
      <w:pPr>
        <w:pStyle w:val="SingleTxtG"/>
        <w:ind w:left="2268"/>
        <w:rPr>
          <w:rFonts w:eastAsia="MS Mincho"/>
          <w:szCs w:val="24"/>
        </w:rPr>
      </w:pPr>
      <w:r w:rsidRPr="00D42DDB">
        <w:rPr>
          <w:rFonts w:eastAsia="MS Mincho"/>
          <w:szCs w:val="24"/>
        </w:rPr>
        <w:t xml:space="preserve">Ajouter une </w:t>
      </w:r>
      <w:r w:rsidRPr="00D42DDB">
        <w:rPr>
          <w:rFonts w:eastAsia="MS Mincho"/>
        </w:rPr>
        <w:t>nouvelle</w:t>
      </w:r>
      <w:r w:rsidRPr="00D42DDB">
        <w:rPr>
          <w:rFonts w:eastAsia="MS Mincho"/>
          <w:szCs w:val="24"/>
        </w:rPr>
        <w:t xml:space="preserve"> ligne pour la classe de danger</w:t>
      </w:r>
      <w:r w:rsidR="0051047A" w:rsidRPr="00D42DDB">
        <w:rPr>
          <w:rFonts w:eastAsia="MS Mincho"/>
          <w:szCs w:val="24"/>
        </w:rPr>
        <w:t> :</w:t>
      </w:r>
      <w:r w:rsidRPr="00D42DDB">
        <w:rPr>
          <w:rFonts w:eastAsia="MS Mincho"/>
          <w:szCs w:val="24"/>
        </w:rPr>
        <w:t xml:space="preserve"> «</w:t>
      </w:r>
      <w:r w:rsidR="00FA7EC3" w:rsidRPr="00D42DDB">
        <w:rPr>
          <w:rFonts w:eastAsia="MS Mincho"/>
          <w:szCs w:val="24"/>
        </w:rPr>
        <w:t> </w:t>
      </w:r>
      <w:r w:rsidRPr="00D42DDB">
        <w:rPr>
          <w:rFonts w:eastAsia="MS Mincho"/>
          <w:szCs w:val="24"/>
        </w:rPr>
        <w:t>Toxicité pour la reproduction, effets sur ou via l’</w:t>
      </w:r>
      <w:r w:rsidR="00FA7EC3" w:rsidRPr="00D42DDB">
        <w:rPr>
          <w:rFonts w:eastAsia="MS Mincho"/>
          <w:szCs w:val="24"/>
        </w:rPr>
        <w:t>allaitement (chapitre </w:t>
      </w:r>
      <w:r w:rsidRPr="00D42DDB">
        <w:rPr>
          <w:rFonts w:eastAsia="MS Mincho"/>
          <w:szCs w:val="24"/>
        </w:rPr>
        <w:t>3.7)</w:t>
      </w:r>
      <w:r w:rsidR="00FA7EC3" w:rsidRPr="00D42DDB">
        <w:rPr>
          <w:rFonts w:eastAsia="MS Mincho"/>
          <w:szCs w:val="24"/>
        </w:rPr>
        <w:t> </w:t>
      </w:r>
      <w:r w:rsidRPr="00D42DDB">
        <w:rPr>
          <w:rFonts w:eastAsia="MS Mincho"/>
          <w:szCs w:val="24"/>
        </w:rPr>
        <w:t>», catégorie de danger «</w:t>
      </w:r>
      <w:r w:rsidR="00FA7EC3" w:rsidRPr="00D42DDB">
        <w:rPr>
          <w:rFonts w:eastAsia="MS Mincho"/>
          <w:szCs w:val="24"/>
        </w:rPr>
        <w:t> </w:t>
      </w:r>
      <w:r w:rsidRPr="00D42DDB">
        <w:rPr>
          <w:rFonts w:eastAsia="MS Mincho"/>
          <w:szCs w:val="24"/>
        </w:rPr>
        <w:t>Catégorie supplémentaire</w:t>
      </w:r>
      <w:r w:rsidR="00FA7EC3" w:rsidRPr="00D42DDB">
        <w:rPr>
          <w:rFonts w:eastAsia="MS Mincho"/>
          <w:szCs w:val="24"/>
        </w:rPr>
        <w:t> </w:t>
      </w:r>
      <w:r w:rsidRPr="00D42DDB">
        <w:rPr>
          <w:rFonts w:eastAsia="MS Mincho"/>
          <w:szCs w:val="24"/>
        </w:rPr>
        <w:t>».</w:t>
      </w:r>
    </w:p>
    <w:p w:rsidR="0053665A" w:rsidRPr="00D42DDB" w:rsidRDefault="0053665A" w:rsidP="0076369A">
      <w:pPr>
        <w:pStyle w:val="SingleTxtG"/>
        <w:ind w:left="2268"/>
        <w:rPr>
          <w:szCs w:val="24"/>
        </w:rPr>
      </w:pPr>
      <w:r w:rsidRPr="00D42DDB">
        <w:rPr>
          <w:i/>
          <w:szCs w:val="24"/>
          <w:u w:val="single"/>
        </w:rPr>
        <w:lastRenderedPageBreak/>
        <w:t>Justification</w:t>
      </w:r>
      <w:r w:rsidR="0051047A" w:rsidRPr="00D42DDB">
        <w:rPr>
          <w:iCs/>
          <w:szCs w:val="24"/>
        </w:rPr>
        <w:t> :</w:t>
      </w:r>
      <w:r w:rsidRPr="00D42DDB">
        <w:rPr>
          <w:iCs/>
          <w:szCs w:val="24"/>
        </w:rPr>
        <w:t xml:space="preserve"> </w:t>
      </w:r>
      <w:r w:rsidRPr="00D42DDB">
        <w:rPr>
          <w:rFonts w:eastAsia="MS Mincho"/>
        </w:rPr>
        <w:t>Alignement</w:t>
      </w:r>
      <w:r w:rsidRPr="00D42DDB">
        <w:rPr>
          <w:szCs w:val="24"/>
        </w:rPr>
        <w:t xml:space="preserve"> sur le P201.</w:t>
      </w:r>
    </w:p>
    <w:p w:rsidR="0053665A" w:rsidRPr="00D42DDB" w:rsidRDefault="0053665A" w:rsidP="0076369A">
      <w:pPr>
        <w:pStyle w:val="Bullet2G"/>
        <w:rPr>
          <w:rFonts w:eastAsia="MS Mincho"/>
          <w:b/>
          <w:szCs w:val="24"/>
        </w:rPr>
      </w:pPr>
      <w:r w:rsidRPr="00D42DDB">
        <w:rPr>
          <w:b/>
          <w:szCs w:val="24"/>
        </w:rPr>
        <w:t>P231+P232</w:t>
      </w:r>
    </w:p>
    <w:p w:rsidR="0053665A" w:rsidRPr="00D42DDB" w:rsidRDefault="0053665A" w:rsidP="0076369A">
      <w:pPr>
        <w:pStyle w:val="SingleTxtG"/>
        <w:ind w:left="2268"/>
        <w:rPr>
          <w:szCs w:val="24"/>
        </w:rPr>
      </w:pPr>
      <w:r w:rsidRPr="00D42DDB">
        <w:rPr>
          <w:szCs w:val="24"/>
        </w:rPr>
        <w:t xml:space="preserve">Supprimer les </w:t>
      </w:r>
      <w:r w:rsidRPr="00D42DDB">
        <w:rPr>
          <w:rFonts w:eastAsia="MS Mincho"/>
        </w:rPr>
        <w:t>mentions</w:t>
      </w:r>
      <w:r w:rsidRPr="00D42DDB">
        <w:rPr>
          <w:szCs w:val="24"/>
        </w:rPr>
        <w:t xml:space="preserve"> des l</w:t>
      </w:r>
      <w:r w:rsidR="00FA7EC3" w:rsidRPr="00D42DDB">
        <w:rPr>
          <w:szCs w:val="24"/>
        </w:rPr>
        <w:t>iquides pyrophoriques (chapitre </w:t>
      </w:r>
      <w:r w:rsidRPr="00D42DDB">
        <w:rPr>
          <w:szCs w:val="24"/>
        </w:rPr>
        <w:t xml:space="preserve">2.9) et des matières </w:t>
      </w:r>
      <w:r w:rsidR="00FA7EC3" w:rsidRPr="00D42DDB">
        <w:rPr>
          <w:szCs w:val="24"/>
        </w:rPr>
        <w:t>solides pyrophoriques (chapitre </w:t>
      </w:r>
      <w:r w:rsidRPr="00D42DDB">
        <w:rPr>
          <w:szCs w:val="24"/>
        </w:rPr>
        <w:t>2.10).</w:t>
      </w:r>
    </w:p>
    <w:p w:rsidR="0053665A" w:rsidRPr="00D42DDB" w:rsidRDefault="0053665A" w:rsidP="0076369A">
      <w:pPr>
        <w:pStyle w:val="SingleTxtG"/>
        <w:ind w:left="2268"/>
        <w:rPr>
          <w:szCs w:val="24"/>
        </w:rPr>
      </w:pPr>
      <w:r w:rsidRPr="00D42DDB">
        <w:rPr>
          <w:i/>
          <w:szCs w:val="24"/>
          <w:u w:val="single"/>
        </w:rPr>
        <w:t>Justification</w:t>
      </w:r>
      <w:r w:rsidR="0051047A" w:rsidRPr="00D42DDB">
        <w:rPr>
          <w:iCs/>
          <w:szCs w:val="24"/>
        </w:rPr>
        <w:t> :</w:t>
      </w:r>
      <w:r w:rsidRPr="00D42DDB">
        <w:rPr>
          <w:i/>
          <w:szCs w:val="24"/>
        </w:rPr>
        <w:t xml:space="preserve"> </w:t>
      </w:r>
      <w:r w:rsidRPr="00D42DDB">
        <w:rPr>
          <w:szCs w:val="24"/>
        </w:rPr>
        <w:t xml:space="preserve">Le </w:t>
      </w:r>
      <w:r w:rsidRPr="00D42DDB">
        <w:rPr>
          <w:rFonts w:eastAsia="MS Mincho"/>
        </w:rPr>
        <w:t>P232</w:t>
      </w:r>
      <w:r w:rsidRPr="00D42DDB">
        <w:rPr>
          <w:szCs w:val="24"/>
        </w:rPr>
        <w:t xml:space="preserve"> n’est pas applicable aux liquides et aux solides pyrophoriques. Par conséquent, la combinaison P231+P232 ne devrait pas être appliquée à ces classes de danger.</w:t>
      </w:r>
    </w:p>
    <w:p w:rsidR="0053665A" w:rsidRPr="00D42DDB" w:rsidRDefault="0053665A" w:rsidP="0076369A">
      <w:pPr>
        <w:pStyle w:val="H23G"/>
      </w:pPr>
      <w:r w:rsidRPr="00D42DDB">
        <w:tab/>
      </w:r>
      <w:r w:rsidRPr="00D42DDB">
        <w:tab/>
      </w:r>
      <w:r w:rsidRPr="00D42DDB">
        <w:tab/>
        <w:t>Tableau A3.2.3</w:t>
      </w:r>
      <w:r w:rsidR="0051047A" w:rsidRPr="00D42DDB">
        <w:t> :</w:t>
      </w:r>
    </w:p>
    <w:p w:rsidR="0053665A" w:rsidRPr="00D42DDB" w:rsidRDefault="0053665A" w:rsidP="0076369A">
      <w:pPr>
        <w:pStyle w:val="Bullet2G"/>
        <w:rPr>
          <w:rFonts w:eastAsia="MS Mincho"/>
          <w:b/>
          <w:szCs w:val="24"/>
        </w:rPr>
      </w:pPr>
      <w:r w:rsidRPr="00D42DDB">
        <w:rPr>
          <w:b/>
          <w:bCs/>
        </w:rPr>
        <w:t>P301</w:t>
      </w:r>
    </w:p>
    <w:p w:rsidR="0053665A" w:rsidRPr="00D42DDB" w:rsidRDefault="0053665A" w:rsidP="00FA7EC3">
      <w:pPr>
        <w:pStyle w:val="SingleTxtG"/>
        <w:ind w:left="2268"/>
        <w:rPr>
          <w:szCs w:val="24"/>
        </w:rPr>
      </w:pPr>
      <w:r w:rsidRPr="00D42DDB">
        <w:rPr>
          <w:rFonts w:eastAsia="MS Mincho"/>
          <w:szCs w:val="24"/>
        </w:rPr>
        <w:t xml:space="preserve">Pour la classe de </w:t>
      </w:r>
      <w:r w:rsidRPr="00D42DDB">
        <w:rPr>
          <w:rFonts w:eastAsia="MS Mincho"/>
        </w:rPr>
        <w:t>danger</w:t>
      </w:r>
      <w:r w:rsidRPr="00D42DDB">
        <w:rPr>
          <w:rFonts w:eastAsia="MS Mincho"/>
          <w:szCs w:val="24"/>
        </w:rPr>
        <w:t xml:space="preserve"> «</w:t>
      </w:r>
      <w:r w:rsidR="00FA7EC3" w:rsidRPr="00D42DDB">
        <w:rPr>
          <w:rFonts w:eastAsia="MS Mincho"/>
          <w:szCs w:val="24"/>
        </w:rPr>
        <w:t> </w:t>
      </w:r>
      <w:r w:rsidRPr="00D42DDB">
        <w:rPr>
          <w:rFonts w:eastAsia="MS Mincho"/>
          <w:szCs w:val="24"/>
        </w:rPr>
        <w:t>Toxicité aiguë, orale (chapitre 3.1)</w:t>
      </w:r>
      <w:r w:rsidR="00FA7EC3" w:rsidRPr="00D42DDB">
        <w:rPr>
          <w:rFonts w:eastAsia="MS Mincho"/>
          <w:szCs w:val="24"/>
        </w:rPr>
        <w:t> </w:t>
      </w:r>
      <w:r w:rsidRPr="00D42DDB">
        <w:rPr>
          <w:rFonts w:eastAsia="MS Mincho"/>
          <w:szCs w:val="24"/>
        </w:rPr>
        <w:t xml:space="preserve">», ajouter </w:t>
      </w:r>
      <w:proofErr w:type="gramStart"/>
      <w:r w:rsidRPr="00D42DDB">
        <w:rPr>
          <w:rFonts w:eastAsia="MS Mincho"/>
          <w:szCs w:val="24"/>
        </w:rPr>
        <w:t>«</w:t>
      </w:r>
      <w:r w:rsidR="00FA7EC3" w:rsidRPr="00D42DDB">
        <w:rPr>
          <w:rFonts w:eastAsia="MS Mincho"/>
          <w:szCs w:val="24"/>
        </w:rPr>
        <w:t> </w:t>
      </w:r>
      <w:r w:rsidRPr="00D42DDB">
        <w:rPr>
          <w:rFonts w:eastAsia="MS Mincho"/>
          <w:szCs w:val="24"/>
        </w:rPr>
        <w:t>,</w:t>
      </w:r>
      <w:proofErr w:type="gramEnd"/>
      <w:r w:rsidR="00FA7EC3" w:rsidRPr="00D42DDB">
        <w:rPr>
          <w:rFonts w:eastAsia="MS Mincho"/>
          <w:szCs w:val="24"/>
        </w:rPr>
        <w:t> </w:t>
      </w:r>
      <w:r w:rsidRPr="00D42DDB">
        <w:rPr>
          <w:rFonts w:eastAsia="MS Mincho"/>
          <w:szCs w:val="24"/>
        </w:rPr>
        <w:t>5</w:t>
      </w:r>
      <w:r w:rsidR="00FA7EC3" w:rsidRPr="00D42DDB">
        <w:rPr>
          <w:rFonts w:eastAsia="MS Mincho"/>
          <w:szCs w:val="24"/>
        </w:rPr>
        <w:t> </w:t>
      </w:r>
      <w:r w:rsidRPr="00D42DDB">
        <w:rPr>
          <w:rFonts w:eastAsia="MS Mincho"/>
          <w:szCs w:val="24"/>
        </w:rPr>
        <w:t>» dans la colonne (4).</w:t>
      </w:r>
    </w:p>
    <w:p w:rsidR="0053665A" w:rsidRPr="00D42DDB" w:rsidRDefault="0053665A" w:rsidP="0076369A">
      <w:pPr>
        <w:pStyle w:val="SingleTxtG"/>
        <w:ind w:left="2268"/>
        <w:rPr>
          <w:szCs w:val="24"/>
        </w:rPr>
      </w:pPr>
      <w:r w:rsidRPr="00D42DDB">
        <w:rPr>
          <w:i/>
          <w:szCs w:val="24"/>
          <w:u w:val="single"/>
        </w:rPr>
        <w:t>Justification</w:t>
      </w:r>
      <w:r w:rsidR="0051047A" w:rsidRPr="00D42DDB">
        <w:rPr>
          <w:szCs w:val="24"/>
        </w:rPr>
        <w:t> :</w:t>
      </w:r>
      <w:r w:rsidRPr="00D42DDB">
        <w:rPr>
          <w:szCs w:val="24"/>
        </w:rPr>
        <w:t xml:space="preserve"> </w:t>
      </w:r>
      <w:r w:rsidRPr="00D42DDB">
        <w:rPr>
          <w:rFonts w:eastAsia="MS Mincho"/>
        </w:rPr>
        <w:t>Cohérence</w:t>
      </w:r>
      <w:r w:rsidRPr="00D42DDB">
        <w:rPr>
          <w:szCs w:val="24"/>
        </w:rPr>
        <w:t xml:space="preserve"> avec les informations sur la voie d’exposition pour la toxicité</w:t>
      </w:r>
      <w:r w:rsidR="00FA7EC3" w:rsidRPr="00D42DDB">
        <w:rPr>
          <w:szCs w:val="24"/>
        </w:rPr>
        <w:t xml:space="preserve"> aiguë par inhalation (chapitre </w:t>
      </w:r>
      <w:r w:rsidRPr="00D42DDB">
        <w:rPr>
          <w:szCs w:val="24"/>
        </w:rPr>
        <w:t>3.1) et application du principe selon lequel les conseils d’intervention médicale devraient être associés à une voie d’exposition ou à un symptôme.</w:t>
      </w:r>
    </w:p>
    <w:p w:rsidR="0053665A" w:rsidRPr="00D42DDB" w:rsidRDefault="0053665A" w:rsidP="0076369A">
      <w:pPr>
        <w:pStyle w:val="Bullet2G"/>
        <w:rPr>
          <w:rFonts w:eastAsia="MS Mincho"/>
          <w:b/>
          <w:szCs w:val="24"/>
        </w:rPr>
      </w:pPr>
      <w:r w:rsidRPr="00D42DDB">
        <w:rPr>
          <w:b/>
          <w:bCs/>
        </w:rPr>
        <w:t>P302</w:t>
      </w:r>
    </w:p>
    <w:p w:rsidR="0053665A" w:rsidRPr="00D42DDB" w:rsidRDefault="0053665A" w:rsidP="00FA7EC3">
      <w:pPr>
        <w:pStyle w:val="SingleTxtG"/>
        <w:ind w:left="2268"/>
        <w:rPr>
          <w:rFonts w:eastAsia="MS Mincho"/>
          <w:szCs w:val="24"/>
        </w:rPr>
      </w:pPr>
      <w:r w:rsidRPr="00D42DDB">
        <w:rPr>
          <w:szCs w:val="24"/>
        </w:rPr>
        <w:t xml:space="preserve">Pour la classe de </w:t>
      </w:r>
      <w:r w:rsidRPr="00D42DDB">
        <w:rPr>
          <w:rFonts w:eastAsia="MS Mincho"/>
        </w:rPr>
        <w:t>danger</w:t>
      </w:r>
      <w:r w:rsidRPr="00D42DDB">
        <w:rPr>
          <w:szCs w:val="24"/>
        </w:rPr>
        <w:t xml:space="preserve"> «</w:t>
      </w:r>
      <w:r w:rsidR="00FA7EC3" w:rsidRPr="00D42DDB">
        <w:rPr>
          <w:szCs w:val="24"/>
        </w:rPr>
        <w:t> </w:t>
      </w:r>
      <w:r w:rsidRPr="00D42DDB">
        <w:rPr>
          <w:szCs w:val="24"/>
        </w:rPr>
        <w:t>Toxicité aiguë, cutanée (chapitre 3.1)</w:t>
      </w:r>
      <w:r w:rsidR="00FA7EC3" w:rsidRPr="00D42DDB">
        <w:rPr>
          <w:szCs w:val="24"/>
        </w:rPr>
        <w:t> </w:t>
      </w:r>
      <w:r w:rsidRPr="00D42DDB">
        <w:rPr>
          <w:szCs w:val="24"/>
        </w:rPr>
        <w:t xml:space="preserve">», ajouter </w:t>
      </w:r>
      <w:proofErr w:type="gramStart"/>
      <w:r w:rsidRPr="00D42DDB">
        <w:rPr>
          <w:szCs w:val="24"/>
        </w:rPr>
        <w:t>«</w:t>
      </w:r>
      <w:r w:rsidR="00FA7EC3" w:rsidRPr="00D42DDB">
        <w:rPr>
          <w:szCs w:val="24"/>
        </w:rPr>
        <w:t> </w:t>
      </w:r>
      <w:r w:rsidRPr="00D42DDB">
        <w:rPr>
          <w:szCs w:val="24"/>
        </w:rPr>
        <w:t>,</w:t>
      </w:r>
      <w:proofErr w:type="gramEnd"/>
      <w:r w:rsidR="00FA7EC3" w:rsidRPr="00D42DDB">
        <w:rPr>
          <w:szCs w:val="24"/>
        </w:rPr>
        <w:t> </w:t>
      </w:r>
      <w:r w:rsidRPr="00D42DDB">
        <w:rPr>
          <w:szCs w:val="24"/>
        </w:rPr>
        <w:t>5</w:t>
      </w:r>
      <w:r w:rsidR="00FA7EC3" w:rsidRPr="00D42DDB">
        <w:rPr>
          <w:szCs w:val="24"/>
        </w:rPr>
        <w:t> </w:t>
      </w:r>
      <w:r w:rsidRPr="00D42DDB">
        <w:rPr>
          <w:szCs w:val="24"/>
        </w:rPr>
        <w:t>» dans la colonne (4).</w:t>
      </w:r>
    </w:p>
    <w:p w:rsidR="0053665A" w:rsidRPr="00D42DDB" w:rsidRDefault="0053665A" w:rsidP="0076369A">
      <w:pPr>
        <w:pStyle w:val="SingleTxtG"/>
        <w:ind w:left="2268"/>
        <w:rPr>
          <w:szCs w:val="24"/>
          <w:u w:val="single"/>
        </w:rPr>
      </w:pPr>
      <w:r w:rsidRPr="00D42DDB">
        <w:rPr>
          <w:i/>
          <w:szCs w:val="24"/>
          <w:u w:val="single"/>
        </w:rPr>
        <w:t>Justification</w:t>
      </w:r>
      <w:r w:rsidR="0051047A" w:rsidRPr="00D42DDB">
        <w:rPr>
          <w:szCs w:val="24"/>
        </w:rPr>
        <w:t> :</w:t>
      </w:r>
      <w:r w:rsidRPr="00D42DDB">
        <w:rPr>
          <w:szCs w:val="24"/>
        </w:rPr>
        <w:t xml:space="preserve"> </w:t>
      </w:r>
      <w:r w:rsidRPr="00D42DDB">
        <w:rPr>
          <w:rFonts w:eastAsia="MS Mincho"/>
        </w:rPr>
        <w:t>Cohérence</w:t>
      </w:r>
      <w:r w:rsidRPr="00D42DDB">
        <w:rPr>
          <w:szCs w:val="24"/>
        </w:rPr>
        <w:t xml:space="preserve"> avec les informations sur la voie d’exposition pour la toxicité aiguë par inhalation (chapitre 3.1) et application du principe selon lequel les conseils d’intervention médicale devraient être associés à une voie d’exposition ou à un symptôme.</w:t>
      </w:r>
    </w:p>
    <w:p w:rsidR="0053665A" w:rsidRPr="00D42DDB" w:rsidRDefault="0053665A" w:rsidP="0076369A">
      <w:pPr>
        <w:pStyle w:val="Bullet2G"/>
        <w:rPr>
          <w:rFonts w:eastAsia="MS Mincho"/>
          <w:b/>
          <w:szCs w:val="24"/>
        </w:rPr>
      </w:pPr>
      <w:r w:rsidRPr="00D42DDB">
        <w:rPr>
          <w:b/>
          <w:bCs/>
        </w:rPr>
        <w:t>P312</w:t>
      </w:r>
    </w:p>
    <w:p w:rsidR="0053665A" w:rsidRPr="00D42DDB" w:rsidRDefault="0053665A" w:rsidP="0076369A">
      <w:pPr>
        <w:pStyle w:val="SingleTxtG"/>
        <w:ind w:left="2268"/>
        <w:rPr>
          <w:rFonts w:eastAsia="MS Mincho"/>
          <w:szCs w:val="24"/>
        </w:rPr>
      </w:pPr>
      <w:r w:rsidRPr="00D42DDB">
        <w:rPr>
          <w:szCs w:val="24"/>
        </w:rPr>
        <w:t xml:space="preserve">Fusionner les deux </w:t>
      </w:r>
      <w:r w:rsidRPr="00D42DDB">
        <w:rPr>
          <w:rFonts w:eastAsia="MS Mincho"/>
        </w:rPr>
        <w:t>lignes</w:t>
      </w:r>
      <w:r w:rsidRPr="00D42DDB">
        <w:rPr>
          <w:szCs w:val="24"/>
        </w:rPr>
        <w:t xml:space="preserve"> présentes pour la toxicité aiguë, orale (chapitre 3.1) et la toxicité aiguë, inhalation (chapitre 3.1).</w:t>
      </w:r>
    </w:p>
    <w:p w:rsidR="0053665A" w:rsidRPr="00D42DDB" w:rsidRDefault="0053665A" w:rsidP="0076369A">
      <w:pPr>
        <w:pStyle w:val="SingleTxtG"/>
        <w:ind w:left="2268"/>
        <w:rPr>
          <w:szCs w:val="24"/>
        </w:rPr>
      </w:pPr>
      <w:r w:rsidRPr="00D42DDB">
        <w:rPr>
          <w:i/>
          <w:szCs w:val="24"/>
          <w:u w:val="single"/>
        </w:rPr>
        <w:t>Justification</w:t>
      </w:r>
      <w:r w:rsidR="0051047A" w:rsidRPr="00D42DDB">
        <w:rPr>
          <w:szCs w:val="24"/>
        </w:rPr>
        <w:t> :</w:t>
      </w:r>
      <w:r w:rsidRPr="00D42DDB">
        <w:rPr>
          <w:szCs w:val="24"/>
        </w:rPr>
        <w:t xml:space="preserve"> </w:t>
      </w:r>
      <w:r w:rsidRPr="00D42DDB">
        <w:rPr>
          <w:rFonts w:eastAsia="MS Mincho"/>
        </w:rPr>
        <w:t>Uniformisation</w:t>
      </w:r>
      <w:r w:rsidRPr="00D42DDB">
        <w:rPr>
          <w:szCs w:val="24"/>
        </w:rPr>
        <w:t xml:space="preserve"> de la présentation par rapport aux autres entrées du tableau et suppression des lignes superflues.</w:t>
      </w:r>
    </w:p>
    <w:p w:rsidR="0053665A" w:rsidRPr="00D42DDB" w:rsidRDefault="0053665A" w:rsidP="0076369A">
      <w:pPr>
        <w:pStyle w:val="Bullet2G"/>
        <w:rPr>
          <w:rFonts w:eastAsia="MS Mincho"/>
          <w:b/>
          <w:szCs w:val="24"/>
        </w:rPr>
      </w:pPr>
      <w:r w:rsidRPr="00D42DDB">
        <w:rPr>
          <w:b/>
          <w:bCs/>
        </w:rPr>
        <w:t>P332</w:t>
      </w:r>
    </w:p>
    <w:p w:rsidR="0053665A" w:rsidRPr="00D42DDB" w:rsidRDefault="0053665A" w:rsidP="00292023">
      <w:pPr>
        <w:pStyle w:val="SingleTxtG"/>
        <w:ind w:left="2268"/>
        <w:rPr>
          <w:rFonts w:eastAsia="MS Mincho"/>
          <w:szCs w:val="24"/>
        </w:rPr>
      </w:pPr>
      <w:r w:rsidRPr="00D42DDB">
        <w:rPr>
          <w:szCs w:val="24"/>
        </w:rPr>
        <w:t xml:space="preserve">Ajouter dans la </w:t>
      </w:r>
      <w:r w:rsidRPr="00D42DDB">
        <w:rPr>
          <w:rFonts w:eastAsia="MS Mincho"/>
        </w:rPr>
        <w:t>colonne</w:t>
      </w:r>
      <w:r w:rsidRPr="00D42DDB">
        <w:rPr>
          <w:szCs w:val="24"/>
        </w:rPr>
        <w:t xml:space="preserve"> (5) la nouvelle condition relative à l’utilisation suivante</w:t>
      </w:r>
      <w:r w:rsidR="0051047A" w:rsidRPr="00D42DDB">
        <w:rPr>
          <w:szCs w:val="24"/>
        </w:rPr>
        <w:t> :</w:t>
      </w:r>
      <w:r w:rsidRPr="00D42DDB">
        <w:rPr>
          <w:szCs w:val="24"/>
        </w:rPr>
        <w:t xml:space="preserve"> «</w:t>
      </w:r>
      <w:r w:rsidR="00292023" w:rsidRPr="00D42DDB">
        <w:rPr>
          <w:szCs w:val="24"/>
        </w:rPr>
        <w:t> </w:t>
      </w:r>
      <w:r w:rsidR="00292023" w:rsidRPr="00D42DDB">
        <w:rPr>
          <w:i/>
          <w:iCs/>
          <w:szCs w:val="24"/>
        </w:rPr>
        <w:t>-</w:t>
      </w:r>
      <w:r w:rsidRPr="00D42DDB">
        <w:rPr>
          <w:i/>
          <w:iCs/>
          <w:szCs w:val="24"/>
        </w:rPr>
        <w:t xml:space="preserve"> peut être omis si le conseil P333 figure sur l’étiquette</w:t>
      </w:r>
      <w:r w:rsidR="00292023" w:rsidRPr="00D42DDB">
        <w:rPr>
          <w:szCs w:val="24"/>
        </w:rPr>
        <w:t> </w:t>
      </w:r>
      <w:r w:rsidRPr="00D42DDB">
        <w:rPr>
          <w:szCs w:val="24"/>
        </w:rPr>
        <w:t>».</w:t>
      </w:r>
    </w:p>
    <w:p w:rsidR="0053665A" w:rsidRPr="00D42DDB" w:rsidRDefault="0053665A" w:rsidP="0076369A">
      <w:pPr>
        <w:pStyle w:val="SingleTxtG"/>
        <w:ind w:left="2268"/>
        <w:rPr>
          <w:szCs w:val="24"/>
        </w:rPr>
      </w:pPr>
      <w:r w:rsidRPr="00D42DDB">
        <w:rPr>
          <w:i/>
          <w:szCs w:val="24"/>
          <w:u w:val="single"/>
        </w:rPr>
        <w:t>Justification</w:t>
      </w:r>
      <w:r w:rsidR="0051047A" w:rsidRPr="00D42DDB">
        <w:rPr>
          <w:szCs w:val="24"/>
        </w:rPr>
        <w:t> :</w:t>
      </w:r>
      <w:r w:rsidRPr="00D42DDB">
        <w:rPr>
          <w:szCs w:val="24"/>
        </w:rPr>
        <w:t xml:space="preserve"> </w:t>
      </w:r>
      <w:r w:rsidRPr="00D42DDB">
        <w:rPr>
          <w:rFonts w:eastAsia="MS Mincho"/>
        </w:rPr>
        <w:t>Cohérence</w:t>
      </w:r>
      <w:r w:rsidRPr="00D42DDB">
        <w:rPr>
          <w:szCs w:val="24"/>
        </w:rPr>
        <w:t xml:space="preserve"> avec la condition relative à l’utilisation pour les P332+P313.</w:t>
      </w:r>
    </w:p>
    <w:p w:rsidR="0053665A" w:rsidRPr="00D42DDB" w:rsidRDefault="0053665A" w:rsidP="0076369A">
      <w:pPr>
        <w:pStyle w:val="Bullet2G"/>
        <w:rPr>
          <w:rFonts w:eastAsia="MS Mincho"/>
          <w:b/>
          <w:szCs w:val="24"/>
        </w:rPr>
      </w:pPr>
      <w:r w:rsidRPr="00D42DDB">
        <w:rPr>
          <w:b/>
          <w:bCs/>
        </w:rPr>
        <w:t>P375</w:t>
      </w:r>
    </w:p>
    <w:p w:rsidR="0053665A" w:rsidRPr="00D42DDB" w:rsidRDefault="0053665A" w:rsidP="0076369A">
      <w:pPr>
        <w:pStyle w:val="SingleTxtG"/>
        <w:ind w:left="2268"/>
        <w:rPr>
          <w:szCs w:val="24"/>
        </w:rPr>
      </w:pPr>
      <w:r w:rsidRPr="00D42DDB">
        <w:rPr>
          <w:szCs w:val="24"/>
        </w:rPr>
        <w:t xml:space="preserve">Pour la classe de </w:t>
      </w:r>
      <w:r w:rsidRPr="00D42DDB">
        <w:rPr>
          <w:rFonts w:eastAsia="MS Mincho"/>
        </w:rPr>
        <w:t>danger</w:t>
      </w:r>
      <w:r w:rsidRPr="00D42DDB">
        <w:rPr>
          <w:szCs w:val="24"/>
        </w:rPr>
        <w:t xml:space="preserve"> «</w:t>
      </w:r>
      <w:r w:rsidR="00FA7EC3" w:rsidRPr="00D42DDB">
        <w:rPr>
          <w:szCs w:val="24"/>
        </w:rPr>
        <w:t> </w:t>
      </w:r>
      <w:r w:rsidRPr="00D42DDB">
        <w:rPr>
          <w:szCs w:val="24"/>
        </w:rPr>
        <w:t>Matières explosibles désensibilisées (chapitre 2.17)</w:t>
      </w:r>
      <w:r w:rsidR="00FA7EC3" w:rsidRPr="00D42DDB">
        <w:rPr>
          <w:szCs w:val="24"/>
        </w:rPr>
        <w:t> </w:t>
      </w:r>
      <w:r w:rsidRPr="00D42DDB">
        <w:rPr>
          <w:szCs w:val="24"/>
        </w:rPr>
        <w:t xml:space="preserve">», ajouter </w:t>
      </w:r>
      <w:proofErr w:type="gramStart"/>
      <w:r w:rsidRPr="00D42DDB">
        <w:rPr>
          <w:szCs w:val="24"/>
        </w:rPr>
        <w:t>«</w:t>
      </w:r>
      <w:r w:rsidR="00FA7EC3" w:rsidRPr="00D42DDB">
        <w:rPr>
          <w:szCs w:val="24"/>
        </w:rPr>
        <w:t> </w:t>
      </w:r>
      <w:r w:rsidRPr="00D42DDB">
        <w:rPr>
          <w:szCs w:val="24"/>
        </w:rPr>
        <w:t>,</w:t>
      </w:r>
      <w:proofErr w:type="gramEnd"/>
      <w:r w:rsidRPr="00D42DDB">
        <w:rPr>
          <w:szCs w:val="24"/>
        </w:rPr>
        <w:t> 4</w:t>
      </w:r>
      <w:r w:rsidR="00FA7EC3" w:rsidRPr="00D42DDB">
        <w:rPr>
          <w:szCs w:val="24"/>
        </w:rPr>
        <w:t> </w:t>
      </w:r>
      <w:r w:rsidRPr="00D42DDB">
        <w:rPr>
          <w:szCs w:val="24"/>
        </w:rPr>
        <w:t>» dans la colonne (4).</w:t>
      </w:r>
    </w:p>
    <w:p w:rsidR="0053665A" w:rsidRPr="00D42DDB" w:rsidRDefault="0053665A" w:rsidP="0076369A">
      <w:pPr>
        <w:pStyle w:val="SingleTxtG"/>
        <w:ind w:left="2268"/>
        <w:rPr>
          <w:szCs w:val="24"/>
        </w:rPr>
      </w:pPr>
      <w:r w:rsidRPr="00D42DDB">
        <w:rPr>
          <w:i/>
          <w:szCs w:val="24"/>
          <w:u w:val="single"/>
        </w:rPr>
        <w:t>Justification</w:t>
      </w:r>
      <w:r w:rsidR="0051047A" w:rsidRPr="00D42DDB">
        <w:rPr>
          <w:iCs/>
          <w:szCs w:val="24"/>
        </w:rPr>
        <w:t> :</w:t>
      </w:r>
      <w:r w:rsidRPr="00D42DDB">
        <w:rPr>
          <w:iCs/>
          <w:szCs w:val="24"/>
        </w:rPr>
        <w:t xml:space="preserve"> </w:t>
      </w:r>
      <w:r w:rsidRPr="00D42DDB">
        <w:rPr>
          <w:szCs w:val="24"/>
        </w:rPr>
        <w:t>Cohérence avec les P371+P380+P375, pour lesquels le P375 est appliqué à la catégorie 4.</w:t>
      </w:r>
    </w:p>
    <w:p w:rsidR="0053665A" w:rsidRPr="00D42DDB" w:rsidRDefault="0053665A" w:rsidP="0076369A">
      <w:pPr>
        <w:pStyle w:val="H23G"/>
      </w:pPr>
      <w:r w:rsidRPr="00D42DDB">
        <w:tab/>
      </w:r>
      <w:r w:rsidRPr="00D42DDB">
        <w:tab/>
      </w:r>
      <w:r w:rsidRPr="00D42DDB">
        <w:tab/>
        <w:t>Tableau A3.2.5</w:t>
      </w:r>
      <w:r w:rsidR="0051047A" w:rsidRPr="00D42DDB">
        <w:t> :</w:t>
      </w:r>
    </w:p>
    <w:p w:rsidR="0053665A" w:rsidRPr="00D42DDB" w:rsidRDefault="0053665A" w:rsidP="0076369A">
      <w:pPr>
        <w:pStyle w:val="Bullet2G"/>
        <w:rPr>
          <w:rFonts w:eastAsia="MS Mincho"/>
          <w:b/>
          <w:szCs w:val="24"/>
        </w:rPr>
      </w:pPr>
      <w:r w:rsidRPr="00D42DDB">
        <w:rPr>
          <w:b/>
          <w:bCs/>
        </w:rPr>
        <w:t>P501</w:t>
      </w:r>
    </w:p>
    <w:p w:rsidR="0053665A" w:rsidRPr="00D42DDB" w:rsidRDefault="0053665A" w:rsidP="0076369A">
      <w:pPr>
        <w:pStyle w:val="SingleTxtG"/>
        <w:ind w:left="2268"/>
        <w:rPr>
          <w:szCs w:val="24"/>
        </w:rPr>
      </w:pPr>
      <w:r w:rsidRPr="00D42DDB">
        <w:rPr>
          <w:szCs w:val="24"/>
        </w:rPr>
        <w:t xml:space="preserve">Pour la classe de </w:t>
      </w:r>
      <w:r w:rsidRPr="00D42DDB">
        <w:rPr>
          <w:rFonts w:eastAsia="MS Mincho"/>
        </w:rPr>
        <w:t>danger</w:t>
      </w:r>
      <w:r w:rsidRPr="00D42DDB">
        <w:rPr>
          <w:szCs w:val="24"/>
        </w:rPr>
        <w:t xml:space="preserve"> «</w:t>
      </w:r>
      <w:r w:rsidR="00FA7EC3" w:rsidRPr="00D42DDB">
        <w:rPr>
          <w:szCs w:val="24"/>
        </w:rPr>
        <w:t> </w:t>
      </w:r>
      <w:r w:rsidRPr="00D42DDB">
        <w:rPr>
          <w:szCs w:val="24"/>
        </w:rPr>
        <w:t>Toxicité aiguë, inhalation (chapitre 3.2)</w:t>
      </w:r>
      <w:r w:rsidR="00FA7EC3" w:rsidRPr="00D42DDB">
        <w:rPr>
          <w:szCs w:val="24"/>
        </w:rPr>
        <w:t> </w:t>
      </w:r>
      <w:r w:rsidRPr="00D42DDB">
        <w:rPr>
          <w:szCs w:val="24"/>
        </w:rPr>
        <w:t xml:space="preserve">», ajouter </w:t>
      </w:r>
      <w:proofErr w:type="gramStart"/>
      <w:r w:rsidRPr="00D42DDB">
        <w:rPr>
          <w:szCs w:val="24"/>
        </w:rPr>
        <w:t>«</w:t>
      </w:r>
      <w:r w:rsidR="00FA7EC3" w:rsidRPr="00D42DDB">
        <w:rPr>
          <w:szCs w:val="24"/>
        </w:rPr>
        <w:t> </w:t>
      </w:r>
      <w:r w:rsidRPr="00D42DDB">
        <w:rPr>
          <w:szCs w:val="24"/>
        </w:rPr>
        <w:t>,</w:t>
      </w:r>
      <w:proofErr w:type="gramEnd"/>
      <w:r w:rsidRPr="00D42DDB">
        <w:rPr>
          <w:szCs w:val="24"/>
        </w:rPr>
        <w:t> 3</w:t>
      </w:r>
      <w:r w:rsidR="00FA7EC3" w:rsidRPr="00D42DDB">
        <w:rPr>
          <w:szCs w:val="24"/>
        </w:rPr>
        <w:t> </w:t>
      </w:r>
      <w:r w:rsidRPr="00D42DDB">
        <w:rPr>
          <w:szCs w:val="24"/>
        </w:rPr>
        <w:t>» dans la colonne (4).</w:t>
      </w:r>
    </w:p>
    <w:p w:rsidR="0053665A" w:rsidRPr="00D42DDB" w:rsidRDefault="0053665A" w:rsidP="0076369A">
      <w:pPr>
        <w:pStyle w:val="SingleTxtG"/>
        <w:ind w:left="2268"/>
        <w:rPr>
          <w:szCs w:val="24"/>
        </w:rPr>
      </w:pPr>
      <w:r w:rsidRPr="00D42DDB">
        <w:rPr>
          <w:i/>
          <w:szCs w:val="24"/>
          <w:u w:val="single"/>
        </w:rPr>
        <w:lastRenderedPageBreak/>
        <w:t>Justification</w:t>
      </w:r>
      <w:r w:rsidR="0051047A" w:rsidRPr="00D42DDB">
        <w:rPr>
          <w:i/>
          <w:szCs w:val="24"/>
        </w:rPr>
        <w:t> </w:t>
      </w:r>
      <w:r w:rsidR="0051047A" w:rsidRPr="00D42DDB">
        <w:rPr>
          <w:iCs/>
          <w:szCs w:val="24"/>
        </w:rPr>
        <w:t>:</w:t>
      </w:r>
      <w:r w:rsidRPr="00D42DDB">
        <w:rPr>
          <w:i/>
          <w:szCs w:val="24"/>
        </w:rPr>
        <w:t xml:space="preserve"> </w:t>
      </w:r>
      <w:r w:rsidRPr="00D42DDB">
        <w:rPr>
          <w:rFonts w:eastAsia="MS Mincho"/>
        </w:rPr>
        <w:t>Cohérence</w:t>
      </w:r>
      <w:r w:rsidRPr="00D42DDB">
        <w:rPr>
          <w:szCs w:val="24"/>
        </w:rPr>
        <w:t xml:space="preserve"> avec les tableaux de la rubrique A3.3.5 (Conseils de prudence), dans lesquels le P</w:t>
      </w:r>
      <w:r w:rsidR="00FA7EC3" w:rsidRPr="00D42DDB">
        <w:rPr>
          <w:szCs w:val="24"/>
        </w:rPr>
        <w:t>501 est appliqué à la catégorie </w:t>
      </w:r>
      <w:r w:rsidRPr="00D42DDB">
        <w:rPr>
          <w:szCs w:val="24"/>
        </w:rPr>
        <w:t>3.</w:t>
      </w:r>
    </w:p>
    <w:p w:rsidR="0053665A" w:rsidRPr="00D42DDB" w:rsidRDefault="0053665A" w:rsidP="0076369A">
      <w:pPr>
        <w:pStyle w:val="H1G"/>
        <w:rPr>
          <w:rFonts w:eastAsia="MS Mincho"/>
        </w:rPr>
      </w:pPr>
      <w:r w:rsidRPr="00D42DDB">
        <w:rPr>
          <w:rFonts w:eastAsia="MS Mincho"/>
        </w:rPr>
        <w:tab/>
      </w:r>
      <w:r w:rsidRPr="00D42DDB">
        <w:rPr>
          <w:rFonts w:eastAsia="MS Mincho"/>
        </w:rPr>
        <w:tab/>
        <w:t>Annexe 3, section 3 (texte d’introduction)</w:t>
      </w:r>
    </w:p>
    <w:p w:rsidR="0053665A" w:rsidRPr="00D42DDB" w:rsidRDefault="0053665A" w:rsidP="0076369A">
      <w:pPr>
        <w:pStyle w:val="ParNoG"/>
        <w:rPr>
          <w:rFonts w:eastAsia="MS Mincho"/>
        </w:rPr>
      </w:pPr>
      <w:r w:rsidRPr="00D42DDB">
        <w:t>Apporter les modifications suivantes</w:t>
      </w:r>
      <w:r w:rsidR="0051047A" w:rsidRPr="00D42DDB">
        <w:t> :</w:t>
      </w:r>
    </w:p>
    <w:p w:rsidR="0053665A" w:rsidRPr="00D42DDB" w:rsidRDefault="0053665A" w:rsidP="0076369A">
      <w:pPr>
        <w:pStyle w:val="SingleTxtG"/>
        <w:ind w:left="2835" w:hanging="1134"/>
        <w:rPr>
          <w:rFonts w:eastAsia="MS Mincho"/>
        </w:rPr>
      </w:pPr>
      <w:r w:rsidRPr="00D42DDB">
        <w:t>A3.3.1.1</w:t>
      </w:r>
      <w:r w:rsidRPr="00D42DDB">
        <w:tab/>
        <w:t>Ajouter à la fin du texte le texte actuel du A3.3.1.6 tel que modifié comme suit</w:t>
      </w:r>
      <w:r w:rsidR="0051047A" w:rsidRPr="00D42DDB">
        <w:t> :</w:t>
      </w:r>
    </w:p>
    <w:p w:rsidR="0053665A" w:rsidRPr="00D42DDB" w:rsidRDefault="0053665A" w:rsidP="00FA7EC3">
      <w:pPr>
        <w:pStyle w:val="SingleTxtG"/>
        <w:ind w:left="2835"/>
        <w:rPr>
          <w:rFonts w:eastAsia="MS Mincho"/>
        </w:rPr>
      </w:pPr>
      <w:r w:rsidRPr="00D42DDB">
        <w:rPr>
          <w:rFonts w:eastAsia="MS Mincho"/>
        </w:rPr>
        <w:t>«</w:t>
      </w:r>
      <w:r w:rsidR="00FA7EC3" w:rsidRPr="00D42DDB">
        <w:rPr>
          <w:rFonts w:eastAsia="MS Mincho"/>
        </w:rPr>
        <w:t> </w:t>
      </w:r>
      <w:r w:rsidRPr="00D42DDB">
        <w:rPr>
          <w:rFonts w:eastAsia="MS Mincho"/>
        </w:rPr>
        <w:t>Elle est susceptible d’être améliorée et développée au cours du temps. L’approche générale exposée ci-après demeurera toutefois valable.</w:t>
      </w:r>
      <w:r w:rsidR="00FA7EC3" w:rsidRPr="00D42DDB">
        <w:rPr>
          <w:rFonts w:eastAsia="MS Mincho"/>
        </w:rPr>
        <w:t> </w:t>
      </w:r>
      <w:r w:rsidRPr="00D42DDB">
        <w:rPr>
          <w:rFonts w:eastAsia="MS Mincho"/>
        </w:rPr>
        <w:t>»</w:t>
      </w:r>
      <w:r w:rsidR="00FA7EC3" w:rsidRPr="00D42DDB">
        <w:rPr>
          <w:rFonts w:eastAsia="MS Mincho"/>
        </w:rPr>
        <w:t>.</w:t>
      </w:r>
    </w:p>
    <w:p w:rsidR="0053665A" w:rsidRPr="00D42DDB" w:rsidRDefault="0053665A" w:rsidP="0076369A">
      <w:pPr>
        <w:pStyle w:val="SingleTxtG"/>
        <w:ind w:left="2835" w:hanging="1134"/>
        <w:rPr>
          <w:rFonts w:eastAsia="MS Mincho"/>
          <w:szCs w:val="24"/>
        </w:rPr>
      </w:pPr>
      <w:r w:rsidRPr="00D42DDB">
        <w:rPr>
          <w:szCs w:val="24"/>
        </w:rPr>
        <w:t>A3.3.2.3</w:t>
      </w:r>
      <w:r w:rsidRPr="00D42DDB">
        <w:rPr>
          <w:szCs w:val="24"/>
        </w:rPr>
        <w:tab/>
        <w:t xml:space="preserve">Cette </w:t>
      </w:r>
      <w:r w:rsidRPr="00D42DDB">
        <w:t>rubrique</w:t>
      </w:r>
      <w:r w:rsidRPr="00D42DDB">
        <w:rPr>
          <w:szCs w:val="24"/>
        </w:rPr>
        <w:t xml:space="preserve"> devient la nouvelle rubrique A3.3.1.2. En outre, remplacer «</w:t>
      </w:r>
      <w:r w:rsidR="00FA7EC3" w:rsidRPr="00D42DDB">
        <w:rPr>
          <w:szCs w:val="24"/>
        </w:rPr>
        <w:t> </w:t>
      </w:r>
      <w:r w:rsidRPr="00D42DDB">
        <w:rPr>
          <w:szCs w:val="24"/>
        </w:rPr>
        <w:t>Les conseils de prudence devraient apparaître sur des étiquettes du SGH conjointement aux</w:t>
      </w:r>
      <w:r w:rsidR="00FA7EC3" w:rsidRPr="00D42DDB">
        <w:rPr>
          <w:szCs w:val="24"/>
        </w:rPr>
        <w:t> </w:t>
      </w:r>
      <w:r w:rsidRPr="00D42DDB">
        <w:rPr>
          <w:szCs w:val="24"/>
        </w:rPr>
        <w:t>» par «</w:t>
      </w:r>
      <w:r w:rsidR="00FA7EC3" w:rsidRPr="00D42DDB">
        <w:rPr>
          <w:szCs w:val="24"/>
        </w:rPr>
        <w:t> </w:t>
      </w:r>
      <w:r w:rsidRPr="00D42DDB">
        <w:rPr>
          <w:szCs w:val="24"/>
        </w:rPr>
        <w:t>Les conseils de prudence devraient apparaître, en tant qu’éléments importants de la communication sur les dangers, sur des étiquettes du SGH conjointement aux</w:t>
      </w:r>
      <w:r w:rsidR="00FA7EC3" w:rsidRPr="00D42DDB">
        <w:rPr>
          <w:szCs w:val="24"/>
        </w:rPr>
        <w:t> </w:t>
      </w:r>
      <w:r w:rsidRPr="00D42DDB">
        <w:rPr>
          <w:szCs w:val="24"/>
        </w:rPr>
        <w:t>».</w:t>
      </w:r>
    </w:p>
    <w:p w:rsidR="0053665A" w:rsidRPr="00D42DDB" w:rsidRDefault="0053665A" w:rsidP="0076369A">
      <w:pPr>
        <w:pStyle w:val="SingleTxtG"/>
        <w:ind w:left="2835"/>
        <w:rPr>
          <w:rFonts w:eastAsia="MS Mincho"/>
          <w:szCs w:val="24"/>
        </w:rPr>
      </w:pPr>
      <w:r w:rsidRPr="00D42DDB">
        <w:rPr>
          <w:rFonts w:eastAsia="MS Mincho"/>
          <w:szCs w:val="24"/>
        </w:rPr>
        <w:tab/>
      </w:r>
      <w:r w:rsidRPr="00D42DDB">
        <w:rPr>
          <w:rFonts w:eastAsia="MS Mincho"/>
          <w:i/>
          <w:szCs w:val="24"/>
        </w:rPr>
        <w:t>Amendement corollaire</w:t>
      </w:r>
      <w:r w:rsidR="0051047A" w:rsidRPr="00D42DDB">
        <w:rPr>
          <w:rFonts w:eastAsia="MS Mincho"/>
          <w:i/>
          <w:szCs w:val="24"/>
        </w:rPr>
        <w:t> </w:t>
      </w:r>
      <w:r w:rsidR="0051047A" w:rsidRPr="00D42DDB">
        <w:rPr>
          <w:rFonts w:eastAsia="MS Mincho"/>
          <w:iCs/>
          <w:szCs w:val="24"/>
        </w:rPr>
        <w:t>:</w:t>
      </w:r>
      <w:r w:rsidRPr="00D42DDB">
        <w:rPr>
          <w:rFonts w:eastAsia="MS Mincho"/>
          <w:iCs/>
          <w:szCs w:val="24"/>
        </w:rPr>
        <w:t xml:space="preserve"> </w:t>
      </w:r>
      <w:r w:rsidRPr="00D42DDB">
        <w:rPr>
          <w:rFonts w:eastAsia="MS Mincho"/>
          <w:szCs w:val="24"/>
        </w:rPr>
        <w:t xml:space="preserve">Les </w:t>
      </w:r>
      <w:r w:rsidRPr="00D42DDB">
        <w:rPr>
          <w:rFonts w:eastAsia="MS Mincho"/>
        </w:rPr>
        <w:t>A3</w:t>
      </w:r>
      <w:r w:rsidRPr="00D42DDB">
        <w:rPr>
          <w:rFonts w:eastAsia="MS Mincho"/>
          <w:szCs w:val="24"/>
        </w:rPr>
        <w:t>.3.1.2 à A3.3.1.5 actuels deviennent les A3.3.1.3 à A.3.3.1.6.</w:t>
      </w:r>
    </w:p>
    <w:p w:rsidR="0053665A" w:rsidRPr="00D42DDB" w:rsidRDefault="0053665A" w:rsidP="0076369A">
      <w:pPr>
        <w:pStyle w:val="SingleTxtG"/>
        <w:ind w:left="2835" w:hanging="1134"/>
        <w:rPr>
          <w:rFonts w:eastAsia="MS Mincho"/>
          <w:szCs w:val="24"/>
        </w:rPr>
      </w:pPr>
      <w:r w:rsidRPr="00D42DDB">
        <w:rPr>
          <w:szCs w:val="24"/>
        </w:rPr>
        <w:t>A3.3.1.3 (ancien A3.3.1.2)</w:t>
      </w:r>
      <w:r w:rsidRPr="00D42DDB">
        <w:rPr>
          <w:szCs w:val="24"/>
        </w:rPr>
        <w:tab/>
      </w:r>
      <w:r w:rsidRPr="00D42DDB">
        <w:t>Dans</w:t>
      </w:r>
      <w:r w:rsidRPr="00D42DDB">
        <w:rPr>
          <w:szCs w:val="24"/>
        </w:rPr>
        <w:t xml:space="preserve"> la première phrase, remplacer «</w:t>
      </w:r>
      <w:r w:rsidR="00FA7EC3" w:rsidRPr="00D42DDB">
        <w:rPr>
          <w:szCs w:val="24"/>
        </w:rPr>
        <w:t> </w:t>
      </w:r>
      <w:r w:rsidRPr="00D42DDB">
        <w:rPr>
          <w:szCs w:val="24"/>
        </w:rPr>
        <w:t>un produit chimique</w:t>
      </w:r>
      <w:r w:rsidR="00FA7EC3" w:rsidRPr="00D42DDB">
        <w:rPr>
          <w:szCs w:val="24"/>
        </w:rPr>
        <w:t> </w:t>
      </w:r>
      <w:r w:rsidRPr="00D42DDB">
        <w:rPr>
          <w:szCs w:val="24"/>
        </w:rPr>
        <w:t>» par «</w:t>
      </w:r>
      <w:r w:rsidR="00FA7EC3" w:rsidRPr="00D42DDB">
        <w:rPr>
          <w:szCs w:val="24"/>
        </w:rPr>
        <w:t> </w:t>
      </w:r>
      <w:r w:rsidRPr="00D42DDB">
        <w:rPr>
          <w:szCs w:val="24"/>
        </w:rPr>
        <w:t>une substance ou un mélange</w:t>
      </w:r>
      <w:r w:rsidR="00FA7EC3" w:rsidRPr="00D42DDB">
        <w:rPr>
          <w:szCs w:val="24"/>
        </w:rPr>
        <w:t> </w:t>
      </w:r>
      <w:r w:rsidRPr="00D42DDB">
        <w:rPr>
          <w:szCs w:val="24"/>
        </w:rPr>
        <w:t>». Dans la deuxième phrase, remplacer «</w:t>
      </w:r>
      <w:r w:rsidR="00FA7EC3" w:rsidRPr="00D42DDB">
        <w:rPr>
          <w:szCs w:val="24"/>
        </w:rPr>
        <w:t> </w:t>
      </w:r>
      <w:r w:rsidRPr="00D42DDB">
        <w:rPr>
          <w:szCs w:val="24"/>
        </w:rPr>
        <w:t>du produit chimique</w:t>
      </w:r>
      <w:r w:rsidR="00FA7EC3" w:rsidRPr="00D42DDB">
        <w:rPr>
          <w:szCs w:val="24"/>
        </w:rPr>
        <w:t> </w:t>
      </w:r>
      <w:r w:rsidRPr="00D42DDB">
        <w:rPr>
          <w:szCs w:val="24"/>
        </w:rPr>
        <w:t>» par «</w:t>
      </w:r>
      <w:r w:rsidR="00FA7EC3" w:rsidRPr="00D42DDB">
        <w:rPr>
          <w:szCs w:val="24"/>
        </w:rPr>
        <w:t> </w:t>
      </w:r>
      <w:r w:rsidRPr="00D42DDB">
        <w:rPr>
          <w:szCs w:val="24"/>
        </w:rPr>
        <w:t>des substances ou des mélanges</w:t>
      </w:r>
      <w:r w:rsidR="00FA7EC3" w:rsidRPr="00D42DDB">
        <w:rPr>
          <w:szCs w:val="24"/>
        </w:rPr>
        <w:t> </w:t>
      </w:r>
      <w:r w:rsidRPr="00D42DDB">
        <w:rPr>
          <w:szCs w:val="24"/>
        </w:rPr>
        <w:t>».</w:t>
      </w:r>
    </w:p>
    <w:p w:rsidR="0053665A" w:rsidRPr="00D42DDB" w:rsidRDefault="0053665A" w:rsidP="00FA7EC3">
      <w:pPr>
        <w:pStyle w:val="SingleTxtG"/>
        <w:ind w:left="2835" w:hanging="1134"/>
        <w:rPr>
          <w:rFonts w:eastAsia="MS Mincho"/>
          <w:szCs w:val="24"/>
        </w:rPr>
      </w:pPr>
      <w:r w:rsidRPr="00D42DDB">
        <w:rPr>
          <w:rFonts w:eastAsia="MS Mincho"/>
          <w:szCs w:val="24"/>
        </w:rPr>
        <w:t>A3.3.1.6 (ancien A3.3.1.5)</w:t>
      </w:r>
      <w:r w:rsidR="00FA7EC3" w:rsidRPr="00D42DDB">
        <w:rPr>
          <w:rFonts w:eastAsia="MS Mincho"/>
          <w:szCs w:val="24"/>
        </w:rPr>
        <w:tab/>
      </w:r>
      <w:r w:rsidRPr="00D42DDB">
        <w:t>Ajouter</w:t>
      </w:r>
      <w:r w:rsidRPr="00D42DDB">
        <w:rPr>
          <w:rFonts w:eastAsia="MS Mincho"/>
          <w:szCs w:val="24"/>
        </w:rPr>
        <w:t xml:space="preserve"> au début du paragraphe le texte du paragraphe A3.3.3.2 actuel et modifier comme suit</w:t>
      </w:r>
      <w:r w:rsidR="0051047A" w:rsidRPr="00D42DDB">
        <w:rPr>
          <w:rFonts w:eastAsia="MS Mincho"/>
          <w:szCs w:val="24"/>
        </w:rPr>
        <w:t> :</w:t>
      </w:r>
    </w:p>
    <w:p w:rsidR="0053665A" w:rsidRPr="00D42DDB" w:rsidRDefault="0053665A" w:rsidP="0076369A">
      <w:pPr>
        <w:pStyle w:val="SingleTxtG"/>
        <w:ind w:left="2835"/>
        <w:rPr>
          <w:szCs w:val="24"/>
        </w:rPr>
      </w:pPr>
      <w:r w:rsidRPr="00D42DDB">
        <w:rPr>
          <w:szCs w:val="24"/>
        </w:rPr>
        <w:t>«</w:t>
      </w:r>
      <w:r w:rsidR="00FA7EC3" w:rsidRPr="00D42DDB">
        <w:rPr>
          <w:szCs w:val="24"/>
        </w:rPr>
        <w:t> </w:t>
      </w:r>
      <w:r w:rsidRPr="00D42DDB">
        <w:rPr>
          <w:szCs w:val="24"/>
        </w:rPr>
        <w:t>A3.3.1.6</w:t>
      </w:r>
      <w:r w:rsidRPr="00D42DDB">
        <w:rPr>
          <w:szCs w:val="24"/>
        </w:rPr>
        <w:tab/>
        <w:t xml:space="preserve">La </w:t>
      </w:r>
      <w:r w:rsidRPr="00D42DDB">
        <w:rPr>
          <w:rFonts w:eastAsia="MS Mincho"/>
        </w:rPr>
        <w:t>compréhension</w:t>
      </w:r>
      <w:r w:rsidRPr="00D42DDB">
        <w:rPr>
          <w:szCs w:val="24"/>
        </w:rPr>
        <w:t xml:space="preserve"> et l’application de l’information de mise en garde figurant sur l’étiquette, des règles de sécurité particulières et de la fiche de données de sécurité pour chaque produit avant utilisation s’inscrit dans le cadre des procédures d’hygiène et de sécurité du travail. L’utilisation cohérente des conseils de prudence permettra de renforcer la sécurité des procédures de manipulation et de faire ressortir les concepts et approches principaux lors des activités de formation et d’éducation.</w:t>
      </w:r>
      <w:r w:rsidR="00FA7EC3" w:rsidRPr="00D42DDB">
        <w:rPr>
          <w:szCs w:val="24"/>
        </w:rPr>
        <w:t> </w:t>
      </w:r>
      <w:r w:rsidRPr="00D42DDB">
        <w:rPr>
          <w:szCs w:val="24"/>
        </w:rPr>
        <w:t>».</w:t>
      </w:r>
    </w:p>
    <w:p w:rsidR="0053665A" w:rsidRPr="00D42DDB" w:rsidRDefault="0053665A" w:rsidP="00292023">
      <w:pPr>
        <w:pStyle w:val="SingleTxtG"/>
        <w:ind w:left="1701"/>
        <w:rPr>
          <w:rFonts w:eastAsia="MS Mincho"/>
          <w:szCs w:val="24"/>
        </w:rPr>
      </w:pPr>
      <w:r w:rsidRPr="00D42DDB">
        <w:rPr>
          <w:rFonts w:eastAsia="MS Mincho"/>
          <w:szCs w:val="24"/>
        </w:rPr>
        <w:t xml:space="preserve">Les A3.3.3.3 et A3.3.4.7 </w:t>
      </w:r>
      <w:r w:rsidRPr="00D42DDB">
        <w:rPr>
          <w:rFonts w:eastAsia="MS Mincho"/>
        </w:rPr>
        <w:t>deviennent</w:t>
      </w:r>
      <w:r w:rsidRPr="00D42DDB">
        <w:rPr>
          <w:rFonts w:eastAsia="MS Mincho"/>
          <w:szCs w:val="24"/>
        </w:rPr>
        <w:t xml:space="preserve"> les paragraphes A3.3.1.7 et A3.3.1.8.</w:t>
      </w:r>
    </w:p>
    <w:p w:rsidR="0053665A" w:rsidRPr="00D42DDB" w:rsidRDefault="0053665A" w:rsidP="0076369A">
      <w:pPr>
        <w:pStyle w:val="SingleTxtG"/>
        <w:ind w:left="2835" w:hanging="1134"/>
        <w:rPr>
          <w:rFonts w:eastAsia="MS Mincho"/>
          <w:szCs w:val="24"/>
        </w:rPr>
      </w:pPr>
      <w:r w:rsidRPr="00D42DDB">
        <w:rPr>
          <w:szCs w:val="24"/>
        </w:rPr>
        <w:t>A3.3.2</w:t>
      </w:r>
      <w:r w:rsidRPr="00D42DDB">
        <w:rPr>
          <w:szCs w:val="24"/>
        </w:rPr>
        <w:tab/>
      </w:r>
      <w:r w:rsidRPr="00D42DDB">
        <w:t>Modifier</w:t>
      </w:r>
      <w:r w:rsidRPr="00D42DDB">
        <w:rPr>
          <w:szCs w:val="24"/>
        </w:rPr>
        <w:t xml:space="preserve"> comme suit</w:t>
      </w:r>
      <w:r w:rsidR="0051047A" w:rsidRPr="00D42DDB">
        <w:rPr>
          <w:szCs w:val="24"/>
        </w:rPr>
        <w:t> :</w:t>
      </w:r>
      <w:r w:rsidRPr="00D42DDB">
        <w:rPr>
          <w:szCs w:val="24"/>
        </w:rPr>
        <w:t xml:space="preserve"> </w:t>
      </w:r>
    </w:p>
    <w:p w:rsidR="0053665A" w:rsidRPr="00D42DDB" w:rsidRDefault="0053665A" w:rsidP="0076369A">
      <w:pPr>
        <w:pStyle w:val="SingleTxtG"/>
        <w:ind w:left="2835"/>
        <w:rPr>
          <w:szCs w:val="24"/>
        </w:rPr>
      </w:pPr>
      <w:r w:rsidRPr="00D42DDB">
        <w:rPr>
          <w:szCs w:val="24"/>
        </w:rPr>
        <w:t>«</w:t>
      </w:r>
      <w:r w:rsidR="00FA7EC3" w:rsidRPr="00D42DDB">
        <w:rPr>
          <w:szCs w:val="24"/>
        </w:rPr>
        <w:t> </w:t>
      </w:r>
      <w:r w:rsidRPr="00D42DDB">
        <w:rPr>
          <w:b/>
          <w:szCs w:val="24"/>
        </w:rPr>
        <w:t>A3.3.2</w:t>
      </w:r>
      <w:r w:rsidRPr="00D42DDB">
        <w:rPr>
          <w:b/>
          <w:szCs w:val="24"/>
        </w:rPr>
        <w:tab/>
        <w:t>Souplesse dans l’utilisation des conseils de prudence</w:t>
      </w:r>
      <w:r w:rsidRPr="00D42DDB">
        <w:rPr>
          <w:szCs w:val="24"/>
        </w:rPr>
        <w:t xml:space="preserve"> </w:t>
      </w:r>
    </w:p>
    <w:p w:rsidR="0053665A" w:rsidRPr="00D42DDB" w:rsidRDefault="0053665A" w:rsidP="0076369A">
      <w:pPr>
        <w:pStyle w:val="SingleTxtG"/>
        <w:ind w:left="2835"/>
        <w:rPr>
          <w:b/>
          <w:i/>
          <w:szCs w:val="24"/>
        </w:rPr>
      </w:pPr>
      <w:r w:rsidRPr="00D42DDB">
        <w:rPr>
          <w:b/>
          <w:szCs w:val="24"/>
        </w:rPr>
        <w:t>A3.3.2.1</w:t>
      </w:r>
      <w:r w:rsidRPr="00D42DDB">
        <w:rPr>
          <w:b/>
          <w:szCs w:val="24"/>
        </w:rPr>
        <w:tab/>
        <w:t>Omission de conseils de prudence lorsque ceux-ci ne sont pas pertinents</w:t>
      </w:r>
    </w:p>
    <w:p w:rsidR="0053665A" w:rsidRPr="00D42DDB" w:rsidRDefault="0053665A" w:rsidP="0076369A">
      <w:pPr>
        <w:pStyle w:val="SingleTxtG"/>
        <w:ind w:left="2835"/>
        <w:rPr>
          <w:szCs w:val="24"/>
        </w:rPr>
      </w:pPr>
      <w:r w:rsidRPr="00D42DDB">
        <w:rPr>
          <w:szCs w:val="24"/>
        </w:rPr>
        <w:tab/>
        <w:t xml:space="preserve">Sous réserve des exigences des autorités compétentes, les responsables de l’étiquetage peuvent choisir d’omettre d’autres conseils de prudence pour une classe de danger et une catégorie de danger lorsque l’information n’est manifestement pas appropriée, ou lorsqu’elle est prise en compte de façon appropriée par une autre information sur l’étiquette, en fonction du type d’utilisateur (consommateur, </w:t>
      </w:r>
      <w:r w:rsidRPr="00D42DDB">
        <w:rPr>
          <w:rFonts w:eastAsia="MS Mincho"/>
          <w:szCs w:val="24"/>
        </w:rPr>
        <w:t>employeur</w:t>
      </w:r>
      <w:r w:rsidRPr="00D42DDB">
        <w:rPr>
          <w:szCs w:val="24"/>
        </w:rPr>
        <w:t xml:space="preserve">, travailleur), de la quantité fournie et des circonstances d’utilisation visées et prévisibles. Lorsqu’il décide </w:t>
      </w:r>
      <w:r w:rsidRPr="00D42DDB">
        <w:rPr>
          <w:szCs w:val="24"/>
        </w:rPr>
        <w:lastRenderedPageBreak/>
        <w:t>d’omettre un conseil de prudence, le fournisseur de la substance ou du mélange devrait être en mesure de démontrer que ledit conseil n’est pas approprié pour l’usage visé et prévisible, y compris dans d’éventuelles situations d’urgence.</w:t>
      </w:r>
    </w:p>
    <w:p w:rsidR="0053665A" w:rsidRPr="00D42DDB" w:rsidRDefault="0053665A" w:rsidP="0076369A">
      <w:pPr>
        <w:pStyle w:val="SingleTxtG"/>
        <w:ind w:left="2835"/>
        <w:rPr>
          <w:b/>
          <w:i/>
          <w:szCs w:val="24"/>
        </w:rPr>
      </w:pPr>
      <w:r w:rsidRPr="00D42DDB">
        <w:rPr>
          <w:b/>
          <w:szCs w:val="24"/>
        </w:rPr>
        <w:t>A3.3.2.2</w:t>
      </w:r>
      <w:r w:rsidRPr="00D42DDB">
        <w:rPr>
          <w:b/>
          <w:szCs w:val="24"/>
        </w:rPr>
        <w:tab/>
        <w:t>Combinaison ou regroupement de conseils de prudence</w:t>
      </w:r>
    </w:p>
    <w:p w:rsidR="0053665A" w:rsidRPr="00D42DDB" w:rsidRDefault="0053665A" w:rsidP="0076369A">
      <w:pPr>
        <w:pStyle w:val="SingleTxtG"/>
        <w:ind w:left="2835"/>
        <w:rPr>
          <w:szCs w:val="24"/>
        </w:rPr>
      </w:pPr>
      <w:r w:rsidRPr="00D42DDB">
        <w:rPr>
          <w:szCs w:val="24"/>
        </w:rPr>
        <w:t>A3.3.2.2.1</w:t>
      </w:r>
      <w:r w:rsidRPr="00D42DDB">
        <w:rPr>
          <w:szCs w:val="24"/>
        </w:rPr>
        <w:tab/>
      </w:r>
      <w:r w:rsidRPr="00D42DDB">
        <w:rPr>
          <w:rFonts w:eastAsia="MS Mincho"/>
          <w:szCs w:val="24"/>
        </w:rPr>
        <w:t>Une</w:t>
      </w:r>
      <w:r w:rsidRPr="00D42DDB">
        <w:rPr>
          <w:szCs w:val="24"/>
        </w:rPr>
        <w:t xml:space="preserve"> certaine souplesse peut être introduite dans l’application des conseils de prudence. Ainsi, il est suggéré de combiner ou de regrouper des conseils de manière à gagner de la place sur l’étiquette et à améliorer la lisibilité du te</w:t>
      </w:r>
      <w:r w:rsidR="00FA7EC3" w:rsidRPr="00D42DDB">
        <w:rPr>
          <w:szCs w:val="24"/>
        </w:rPr>
        <w:t>xte. Les tableaux de la section </w:t>
      </w:r>
      <w:r w:rsidRPr="00D42DDB">
        <w:rPr>
          <w:szCs w:val="24"/>
        </w:rPr>
        <w:t>2 de l’</w:t>
      </w:r>
      <w:r w:rsidR="00FA7EC3" w:rsidRPr="00D42DDB">
        <w:rPr>
          <w:szCs w:val="24"/>
        </w:rPr>
        <w:t>annexe </w:t>
      </w:r>
      <w:r w:rsidRPr="00D42DDB">
        <w:rPr>
          <w:szCs w:val="24"/>
        </w:rPr>
        <w:t>3 contiennent un certain nombre de conseils de prudence combinés. Cependant, il ne s’agit là que d’exemples. Les responsables de l’étiquetage sont encouragés à combiner et regrouper des conseils lorsque cela contribue à rendre l’information sur l’étiquette plus claire et plus compréhensible.</w:t>
      </w:r>
    </w:p>
    <w:p w:rsidR="0053665A" w:rsidRPr="00D42DDB" w:rsidRDefault="0053665A" w:rsidP="0048777F">
      <w:pPr>
        <w:pStyle w:val="SingleTxtG"/>
        <w:ind w:left="2835"/>
        <w:rPr>
          <w:szCs w:val="24"/>
        </w:rPr>
      </w:pPr>
      <w:r w:rsidRPr="00D42DDB">
        <w:rPr>
          <w:szCs w:val="24"/>
        </w:rPr>
        <w:t>A3.3.2.2.2</w:t>
      </w:r>
      <w:r w:rsidRPr="00D42DDB">
        <w:rPr>
          <w:szCs w:val="24"/>
        </w:rPr>
        <w:tab/>
      </w:r>
      <w:r w:rsidRPr="00D42DDB">
        <w:rPr>
          <w:rFonts w:eastAsia="MS Mincho"/>
          <w:szCs w:val="24"/>
        </w:rPr>
        <w:t>Une</w:t>
      </w:r>
      <w:r w:rsidRPr="00D42DDB">
        <w:rPr>
          <w:szCs w:val="24"/>
        </w:rPr>
        <w:t xml:space="preserve"> combinaison de conseils de prudence peut également être avantageuse pour différents types de dangers lorsque les mesures de précaution à prendre sont semblables. On peut citer en exe</w:t>
      </w:r>
      <w:r w:rsidR="0048777F" w:rsidRPr="00D42DDB">
        <w:rPr>
          <w:szCs w:val="24"/>
        </w:rPr>
        <w:t>mple les conseils P370+P372+</w:t>
      </w:r>
      <w:r w:rsidRPr="00D42DDB">
        <w:rPr>
          <w:szCs w:val="24"/>
        </w:rPr>
        <w:t xml:space="preserve">P380, </w:t>
      </w:r>
      <w:r w:rsidR="0048777F" w:rsidRPr="00D42DDB">
        <w:rPr>
          <w:szCs w:val="24"/>
        </w:rPr>
        <w:t>“</w:t>
      </w:r>
      <w:r w:rsidRPr="00D42DDB">
        <w:rPr>
          <w:b/>
          <w:szCs w:val="24"/>
        </w:rPr>
        <w:t>En cas d’incendie</w:t>
      </w:r>
      <w:r w:rsidR="0051047A" w:rsidRPr="00D42DDB">
        <w:rPr>
          <w:b/>
          <w:szCs w:val="24"/>
        </w:rPr>
        <w:t> :</w:t>
      </w:r>
      <w:r w:rsidRPr="00D42DDB">
        <w:rPr>
          <w:b/>
          <w:szCs w:val="24"/>
        </w:rPr>
        <w:t xml:space="preserve"> Risque d’explosion. Évacuer la zone.</w:t>
      </w:r>
      <w:r w:rsidR="0048777F" w:rsidRPr="00D42DDB">
        <w:rPr>
          <w:szCs w:val="24"/>
        </w:rPr>
        <w:t xml:space="preserve">” </w:t>
      </w:r>
      <w:proofErr w:type="gramStart"/>
      <w:r w:rsidR="0048777F" w:rsidRPr="00D42DDB">
        <w:rPr>
          <w:szCs w:val="24"/>
        </w:rPr>
        <w:t>et</w:t>
      </w:r>
      <w:proofErr w:type="gramEnd"/>
      <w:r w:rsidR="0048777F" w:rsidRPr="00D42DDB">
        <w:rPr>
          <w:szCs w:val="24"/>
        </w:rPr>
        <w:t xml:space="preserve"> P210+</w:t>
      </w:r>
      <w:r w:rsidRPr="00D42DDB">
        <w:rPr>
          <w:szCs w:val="24"/>
        </w:rPr>
        <w:t xml:space="preserve">P403, </w:t>
      </w:r>
      <w:r w:rsidR="0048777F" w:rsidRPr="00D42DDB">
        <w:rPr>
          <w:szCs w:val="24"/>
        </w:rPr>
        <w:t>“</w:t>
      </w:r>
      <w:r w:rsidRPr="00D42DDB">
        <w:rPr>
          <w:b/>
          <w:szCs w:val="24"/>
        </w:rPr>
        <w:t>Tenir à l’écart de la chaleur, des étincelles et des flammes nues, et stocker dans un endroit frais et bien ventilé.</w:t>
      </w:r>
      <w:r w:rsidR="0048777F" w:rsidRPr="00D42DDB">
        <w:rPr>
          <w:szCs w:val="24"/>
        </w:rPr>
        <w:t>”</w:t>
      </w:r>
      <w:r w:rsidRPr="00D42DDB">
        <w:rPr>
          <w:szCs w:val="24"/>
        </w:rPr>
        <w:t xml:space="preserve">. </w:t>
      </w:r>
    </w:p>
    <w:p w:rsidR="0053665A" w:rsidRPr="00D42DDB" w:rsidRDefault="0053665A" w:rsidP="0076369A">
      <w:pPr>
        <w:pStyle w:val="SingleTxtG"/>
        <w:ind w:left="2835"/>
        <w:rPr>
          <w:b/>
          <w:szCs w:val="24"/>
        </w:rPr>
      </w:pPr>
      <w:r w:rsidRPr="00D42DDB">
        <w:rPr>
          <w:b/>
          <w:szCs w:val="24"/>
        </w:rPr>
        <w:t>A3.3.2.3</w:t>
      </w:r>
      <w:r w:rsidRPr="00D42DDB">
        <w:rPr>
          <w:b/>
          <w:szCs w:val="24"/>
        </w:rPr>
        <w:tab/>
        <w:t xml:space="preserve">Variantes textuelles sans incidences sur le message relatif à la sécurité </w:t>
      </w:r>
    </w:p>
    <w:p w:rsidR="0053665A" w:rsidRPr="00D42DDB" w:rsidRDefault="0053665A" w:rsidP="0076369A">
      <w:pPr>
        <w:pStyle w:val="SingleTxtG"/>
        <w:ind w:left="2835"/>
        <w:rPr>
          <w:szCs w:val="24"/>
        </w:rPr>
      </w:pPr>
      <w:r w:rsidRPr="00D42DDB">
        <w:rPr>
          <w:szCs w:val="24"/>
        </w:rPr>
        <w:t>A3.3.2.3.1</w:t>
      </w:r>
      <w:r w:rsidRPr="00D42DDB">
        <w:rPr>
          <w:szCs w:val="24"/>
        </w:rPr>
        <w:tab/>
        <w:t>Sous réserve des exigences des autorités compétentes, les conseils de prudence qui figurent sur les étiquettes ou dans les fiches de données de sécurité peuvent comporter de petites variantes textuelles par rapport aux conseils énoncés dans le SGH dans le cas où ces variantes facilitent la communication de l’information relative à la sécurité et où les conseils de sécurité ne sont pas affaiblis ou altérés. Il peut s’agir de variantes orthographiques, de synonymes ou de termes équivalents appropriés dans la région où le produit est fourni et utilisé.</w:t>
      </w:r>
    </w:p>
    <w:p w:rsidR="0053665A" w:rsidRPr="00D42DDB" w:rsidRDefault="0053665A" w:rsidP="0076369A">
      <w:pPr>
        <w:pStyle w:val="SingleTxtG"/>
        <w:ind w:left="2835"/>
        <w:rPr>
          <w:szCs w:val="24"/>
        </w:rPr>
      </w:pPr>
      <w:r w:rsidRPr="00D42DDB">
        <w:rPr>
          <w:szCs w:val="24"/>
        </w:rPr>
        <w:t>A3.3.2.3.2</w:t>
      </w:r>
      <w:r w:rsidRPr="00D42DDB">
        <w:rPr>
          <w:szCs w:val="24"/>
        </w:rPr>
        <w:tab/>
        <w:t xml:space="preserve">Dans tous les cas, il est essentiel d’utiliser un langage clair et simple pour transmettre les informations concernant les mesures de précaution. De plus, pour que les messages relatifs à la sécurité soient bien clairs, les variantes doivent être appliquées uniformément sur l’étiquette et dans la fiche de données de sécurité. </w:t>
      </w:r>
    </w:p>
    <w:p w:rsidR="0053665A" w:rsidRPr="00D42DDB" w:rsidRDefault="0053665A" w:rsidP="0076369A">
      <w:pPr>
        <w:pStyle w:val="SingleTxtG"/>
        <w:ind w:left="2835"/>
        <w:rPr>
          <w:b/>
          <w:szCs w:val="24"/>
        </w:rPr>
      </w:pPr>
      <w:r w:rsidRPr="00D42DDB">
        <w:rPr>
          <w:b/>
          <w:szCs w:val="24"/>
        </w:rPr>
        <w:t>A3.3.2.4</w:t>
      </w:r>
      <w:r w:rsidRPr="00D42DDB">
        <w:rPr>
          <w:b/>
          <w:szCs w:val="24"/>
        </w:rPr>
        <w:tab/>
        <w:t>Application des conseils de prudence concernant une intervention médicale</w:t>
      </w:r>
    </w:p>
    <w:p w:rsidR="0053665A" w:rsidRPr="00D42DDB" w:rsidRDefault="0053665A" w:rsidP="0048777F">
      <w:pPr>
        <w:pStyle w:val="SingleTxtG"/>
        <w:ind w:left="2835"/>
        <w:rPr>
          <w:szCs w:val="24"/>
        </w:rPr>
      </w:pPr>
      <w:r w:rsidRPr="00D42DDB">
        <w:rPr>
          <w:szCs w:val="24"/>
        </w:rPr>
        <w:t>A3.3.2.4.1</w:t>
      </w:r>
      <w:r w:rsidRPr="00D42DDB">
        <w:rPr>
          <w:szCs w:val="24"/>
        </w:rPr>
        <w:tab/>
      </w:r>
      <w:r w:rsidRPr="00D42DDB">
        <w:rPr>
          <w:rFonts w:eastAsia="MS Mincho"/>
          <w:szCs w:val="24"/>
        </w:rPr>
        <w:t>Lorsqu’une</w:t>
      </w:r>
      <w:r w:rsidRPr="00D42DDB">
        <w:rPr>
          <w:szCs w:val="24"/>
        </w:rPr>
        <w:t xml:space="preserve"> substance ou un mélange est classé en fonction d’un certain nombre de dangers pour la santé, plusieurs conseils de prudence peuvent être appliqués concernant une intervention médicale, à savoir l’appel d’un centre antipoison, d’un médecin, etc. (série P310-P312) et la demande d’un avis médical ou la consultation d’un médecin (série P313-315). En général, il suffit que l’étiquette comporte un seul conseil de prudence correspondant au plus haut niveau d’intervention et d’urgence, lequel devrait toujours être associé à une voie d’exposition ou un symptôme au moins (situation </w:t>
      </w:r>
      <w:r w:rsidR="0048777F" w:rsidRPr="00D42DDB">
        <w:rPr>
          <w:szCs w:val="24"/>
        </w:rPr>
        <w:t>“</w:t>
      </w:r>
      <w:r w:rsidRPr="00D42DDB">
        <w:rPr>
          <w:szCs w:val="24"/>
        </w:rPr>
        <w:t>EN CAS DE…</w:t>
      </w:r>
      <w:r w:rsidR="0048777F" w:rsidRPr="00D42DDB">
        <w:rPr>
          <w:szCs w:val="24"/>
        </w:rPr>
        <w:t>”</w:t>
      </w:r>
      <w:r w:rsidRPr="00D42DDB">
        <w:rPr>
          <w:szCs w:val="24"/>
        </w:rPr>
        <w:t xml:space="preserve">). </w:t>
      </w:r>
    </w:p>
    <w:p w:rsidR="0053665A" w:rsidRPr="00D42DDB" w:rsidRDefault="0053665A" w:rsidP="0048777F">
      <w:pPr>
        <w:pStyle w:val="SingleTxtG"/>
        <w:ind w:left="2835"/>
        <w:rPr>
          <w:szCs w:val="24"/>
        </w:rPr>
      </w:pPr>
      <w:r w:rsidRPr="00D42DDB">
        <w:rPr>
          <w:b/>
          <w:i/>
          <w:szCs w:val="24"/>
        </w:rPr>
        <w:lastRenderedPageBreak/>
        <w:t>NOTE</w:t>
      </w:r>
      <w:r w:rsidR="0051047A" w:rsidRPr="00D42DDB">
        <w:rPr>
          <w:b/>
          <w:i/>
          <w:szCs w:val="24"/>
        </w:rPr>
        <w:t> </w:t>
      </w:r>
      <w:r w:rsidR="0051047A" w:rsidRPr="00D42DDB">
        <w:rPr>
          <w:b/>
          <w:iCs/>
          <w:szCs w:val="24"/>
        </w:rPr>
        <w:t>:</w:t>
      </w:r>
      <w:r w:rsidRPr="00D42DDB">
        <w:rPr>
          <w:szCs w:val="24"/>
        </w:rPr>
        <w:t xml:space="preserve"> </w:t>
      </w:r>
      <w:r w:rsidRPr="00D42DDB">
        <w:rPr>
          <w:i/>
          <w:szCs w:val="24"/>
        </w:rPr>
        <w:t xml:space="preserve">Cette disposition ne s’applique pas au P314, </w:t>
      </w:r>
      <w:r w:rsidR="0048777F" w:rsidRPr="00D42DDB">
        <w:rPr>
          <w:i/>
          <w:szCs w:val="24"/>
        </w:rPr>
        <w:t>“</w:t>
      </w:r>
      <w:r w:rsidRPr="00D42DDB">
        <w:rPr>
          <w:b/>
          <w:i/>
          <w:szCs w:val="24"/>
        </w:rPr>
        <w:t>Demander un avis médical/Consulter un médecin en cas de malaise</w:t>
      </w:r>
      <w:r w:rsidR="0048777F" w:rsidRPr="00D42DDB">
        <w:rPr>
          <w:bCs/>
          <w:i/>
          <w:szCs w:val="24"/>
        </w:rPr>
        <w:t>”</w:t>
      </w:r>
      <w:r w:rsidRPr="00D42DDB">
        <w:rPr>
          <w:i/>
          <w:szCs w:val="24"/>
        </w:rPr>
        <w:t xml:space="preserve">, ni au P315, </w:t>
      </w:r>
      <w:r w:rsidR="0048777F" w:rsidRPr="00D42DDB">
        <w:rPr>
          <w:i/>
          <w:szCs w:val="24"/>
        </w:rPr>
        <w:t>“</w:t>
      </w:r>
      <w:r w:rsidRPr="00D42DDB">
        <w:rPr>
          <w:b/>
          <w:i/>
          <w:szCs w:val="24"/>
        </w:rPr>
        <w:t>Demander immédiatement un avis médical/Consulter immédiatement un médecin</w:t>
      </w:r>
      <w:r w:rsidR="0048777F" w:rsidRPr="00D42DDB">
        <w:rPr>
          <w:bCs/>
          <w:i/>
          <w:szCs w:val="24"/>
        </w:rPr>
        <w:t>”</w:t>
      </w:r>
      <w:r w:rsidRPr="00D42DDB">
        <w:rPr>
          <w:i/>
          <w:szCs w:val="24"/>
        </w:rPr>
        <w:t xml:space="preserve">, lesquels ne sont pas associés à la mention distincte </w:t>
      </w:r>
      <w:r w:rsidR="0048777F" w:rsidRPr="00D42DDB">
        <w:rPr>
          <w:i/>
          <w:szCs w:val="24"/>
        </w:rPr>
        <w:t>“EN CAS DE…”</w:t>
      </w:r>
      <w:r w:rsidRPr="00D42DDB">
        <w:rPr>
          <w:i/>
          <w:szCs w:val="24"/>
        </w:rPr>
        <w:t xml:space="preserve"> et devraient être présentés sans ordre de priorité.</w:t>
      </w:r>
    </w:p>
    <w:p w:rsidR="0053665A" w:rsidRPr="00D42DDB" w:rsidRDefault="0048777F" w:rsidP="00BA0A81">
      <w:pPr>
        <w:pStyle w:val="SingleTxtG"/>
        <w:ind w:left="2835"/>
        <w:rPr>
          <w:szCs w:val="24"/>
        </w:rPr>
      </w:pPr>
      <w:r w:rsidRPr="00D42DDB">
        <w:rPr>
          <w:szCs w:val="24"/>
        </w:rPr>
        <w:t>A3.3.2.4.2</w:t>
      </w:r>
      <w:r w:rsidR="0053665A" w:rsidRPr="00D42DDB">
        <w:rPr>
          <w:szCs w:val="24"/>
        </w:rPr>
        <w:tab/>
      </w:r>
      <w:r w:rsidR="0053665A" w:rsidRPr="00D42DDB">
        <w:rPr>
          <w:rFonts w:eastAsia="MS Mincho"/>
          <w:szCs w:val="24"/>
        </w:rPr>
        <w:t>Les</w:t>
      </w:r>
      <w:r w:rsidR="0053665A" w:rsidRPr="00D42DDB">
        <w:rPr>
          <w:szCs w:val="24"/>
        </w:rPr>
        <w:t xml:space="preserve"> principes ci-après devraient être appliqués de façon générale</w:t>
      </w:r>
      <w:r w:rsidR="0051047A" w:rsidRPr="00D42DDB">
        <w:rPr>
          <w:szCs w:val="24"/>
        </w:rPr>
        <w:t> :</w:t>
      </w:r>
    </w:p>
    <w:p w:rsidR="0053665A" w:rsidRPr="00D42DDB" w:rsidRDefault="0053665A" w:rsidP="0048777F">
      <w:pPr>
        <w:pStyle w:val="SingleTxtG"/>
        <w:ind w:left="3402" w:hanging="567"/>
      </w:pPr>
      <w:r w:rsidRPr="00D42DDB">
        <w:t>a)</w:t>
      </w:r>
      <w:r w:rsidRPr="00D42DDB">
        <w:tab/>
        <w:t xml:space="preserve">Lorsque le classement d’une substance ou d’un mélange donne lieu à plusieurs conseils de prudence différents, un ordre de priorité devrait être appliqué. Ainsi, le P310, </w:t>
      </w:r>
      <w:r w:rsidR="0048777F" w:rsidRPr="00D42DDB">
        <w:t>“</w:t>
      </w:r>
      <w:r w:rsidRPr="00D42DDB">
        <w:rPr>
          <w:b/>
        </w:rPr>
        <w:t>Appeler immédiatement un CENTRE ANTIPOISON/un médecin</w:t>
      </w:r>
      <w:r w:rsidRPr="00D42DDB">
        <w:rPr>
          <w:b/>
          <w:bCs/>
        </w:rPr>
        <w:t>/…</w:t>
      </w:r>
      <w:r w:rsidR="0048777F" w:rsidRPr="00D42DDB">
        <w:t>”</w:t>
      </w:r>
      <w:r w:rsidRPr="00D42DDB">
        <w:t>, devrait avoir la priorité sur les P311 à P313</w:t>
      </w:r>
      <w:r w:rsidR="0051047A" w:rsidRPr="00D42DDB">
        <w:t> ;</w:t>
      </w:r>
      <w:r w:rsidRPr="00D42DDB">
        <w:t xml:space="preserve"> le P311, </w:t>
      </w:r>
      <w:r w:rsidR="0048777F" w:rsidRPr="00D42DDB">
        <w:t>“</w:t>
      </w:r>
      <w:r w:rsidRPr="00D42DDB">
        <w:rPr>
          <w:b/>
        </w:rPr>
        <w:t>Appeler un CENTRE ANTIPOISON/un médecin</w:t>
      </w:r>
      <w:r w:rsidRPr="00D42DDB">
        <w:rPr>
          <w:b/>
          <w:bCs/>
        </w:rPr>
        <w:t>/…</w:t>
      </w:r>
      <w:r w:rsidR="0048777F" w:rsidRPr="00D42DDB">
        <w:t>”</w:t>
      </w:r>
      <w:r w:rsidRPr="00D42DDB">
        <w:t>, devrait quant à lui avoir la priorité sur les P312 et P313</w:t>
      </w:r>
      <w:r w:rsidR="0051047A" w:rsidRPr="00D42DDB">
        <w:t> ;</w:t>
      </w:r>
      <w:r w:rsidRPr="00D42DDB">
        <w:t xml:space="preserve"> en outre, si seulement le P312, </w:t>
      </w:r>
      <w:r w:rsidR="0048777F" w:rsidRPr="00D42DDB">
        <w:t>“</w:t>
      </w:r>
      <w:r w:rsidRPr="00D42DDB">
        <w:rPr>
          <w:b/>
        </w:rPr>
        <w:t>Appeler un CENTRE ANTIPOISON/un médecin</w:t>
      </w:r>
      <w:r w:rsidRPr="00D42DDB">
        <w:t>/…</w:t>
      </w:r>
      <w:r w:rsidR="0048777F" w:rsidRPr="00D42DDB">
        <w:t xml:space="preserve"> </w:t>
      </w:r>
      <w:r w:rsidRPr="00D42DDB">
        <w:rPr>
          <w:b/>
        </w:rPr>
        <w:t>en cas de malaise</w:t>
      </w:r>
      <w:r w:rsidR="0048777F" w:rsidRPr="00D42DDB">
        <w:t>”</w:t>
      </w:r>
      <w:r w:rsidRPr="00D42DDB">
        <w:t xml:space="preserve"> et le P313, </w:t>
      </w:r>
      <w:r w:rsidR="0048777F" w:rsidRPr="00D42DDB">
        <w:t>“</w:t>
      </w:r>
      <w:r w:rsidRPr="00D42DDB">
        <w:rPr>
          <w:b/>
        </w:rPr>
        <w:t>Demander un avis médical/Consulter un médecin</w:t>
      </w:r>
      <w:r w:rsidR="0048777F" w:rsidRPr="00D42DDB">
        <w:t>”</w:t>
      </w:r>
      <w:r w:rsidRPr="00D42DDB">
        <w:t xml:space="preserve">, sont applicables, c’est le P311, </w:t>
      </w:r>
      <w:r w:rsidR="0048777F" w:rsidRPr="00D42DDB">
        <w:t>“</w:t>
      </w:r>
      <w:r w:rsidRPr="00D42DDB">
        <w:rPr>
          <w:b/>
        </w:rPr>
        <w:t>Appeler un CENTRE ANTIPOISON/un médecin</w:t>
      </w:r>
      <w:r w:rsidRPr="00D42DDB">
        <w:rPr>
          <w:b/>
          <w:bCs/>
        </w:rPr>
        <w:t>/…</w:t>
      </w:r>
      <w:r w:rsidR="0048777F" w:rsidRPr="00D42DDB">
        <w:t>”</w:t>
      </w:r>
      <w:r w:rsidRPr="00D42DDB">
        <w:t xml:space="preserve"> qui devrait être utilisé.</w:t>
      </w:r>
    </w:p>
    <w:p w:rsidR="0053665A" w:rsidRPr="00D42DDB" w:rsidRDefault="0053665A" w:rsidP="0035778A">
      <w:pPr>
        <w:pStyle w:val="SingleTxtG"/>
        <w:ind w:left="3402" w:hanging="567"/>
        <w:rPr>
          <w:spacing w:val="-2"/>
          <w:szCs w:val="24"/>
        </w:rPr>
      </w:pPr>
      <w:r w:rsidRPr="00D42DDB">
        <w:rPr>
          <w:spacing w:val="-2"/>
          <w:szCs w:val="24"/>
        </w:rPr>
        <w:t>b)</w:t>
      </w:r>
      <w:r w:rsidRPr="00D42DDB">
        <w:rPr>
          <w:spacing w:val="-2"/>
          <w:szCs w:val="24"/>
        </w:rPr>
        <w:tab/>
        <w:t xml:space="preserve">Les voies d’exposition, y compris le code P308, </w:t>
      </w:r>
      <w:r w:rsidR="0048777F" w:rsidRPr="00D42DDB">
        <w:rPr>
          <w:spacing w:val="-2"/>
          <w:szCs w:val="24"/>
        </w:rPr>
        <w:t>“</w:t>
      </w:r>
      <w:r w:rsidRPr="00D42DDB">
        <w:rPr>
          <w:b/>
          <w:spacing w:val="-2"/>
          <w:szCs w:val="24"/>
        </w:rPr>
        <w:t>EN CAS d’exposition prouvée ou suspectée</w:t>
      </w:r>
      <w:r w:rsidR="0048777F" w:rsidRPr="00D42DDB">
        <w:rPr>
          <w:spacing w:val="-2"/>
          <w:szCs w:val="24"/>
        </w:rPr>
        <w:t>”</w:t>
      </w:r>
      <w:r w:rsidRPr="00D42DDB">
        <w:rPr>
          <w:spacing w:val="-2"/>
          <w:szCs w:val="24"/>
        </w:rPr>
        <w:t xml:space="preserve">, peuvent être combinées lorsqu’elles sont associées à une intervention médicale. Dans le cas où l’intervention est associée à trois voies d’exposition ou plus, il est possible d’utiliser le P308 en remplacement. Toutefois, les mentions </w:t>
      </w:r>
      <w:r w:rsidR="0048777F" w:rsidRPr="00D42DDB">
        <w:rPr>
          <w:spacing w:val="-2"/>
          <w:szCs w:val="24"/>
        </w:rPr>
        <w:t>“</w:t>
      </w:r>
      <w:r w:rsidRPr="00D42DDB">
        <w:rPr>
          <w:spacing w:val="-2"/>
          <w:szCs w:val="24"/>
        </w:rPr>
        <w:t>EN CAS DE</w:t>
      </w:r>
      <w:r w:rsidR="0048777F" w:rsidRPr="00D42DDB">
        <w:rPr>
          <w:spacing w:val="-2"/>
          <w:szCs w:val="24"/>
        </w:rPr>
        <w:t>”</w:t>
      </w:r>
      <w:r w:rsidRPr="00D42DDB">
        <w:rPr>
          <w:spacing w:val="-2"/>
          <w:szCs w:val="24"/>
        </w:rPr>
        <w:t xml:space="preserve"> décrivant des symptômes (P332, P333, P337 et P342, par exemple) devraient être présentées intégralement. Enfin, si une voie d’exposition est applicable plusieurs fois, il suffit de la mentionner une seule fois. </w:t>
      </w:r>
    </w:p>
    <w:p w:rsidR="0053665A" w:rsidRPr="00D42DDB" w:rsidRDefault="0053665A" w:rsidP="00BA0A81">
      <w:pPr>
        <w:pStyle w:val="SingleTxtG"/>
        <w:ind w:left="3402"/>
      </w:pPr>
      <w:r w:rsidRPr="00D42DDB">
        <w:t>Exemples</w:t>
      </w:r>
      <w:r w:rsidR="0051047A" w:rsidRPr="00D42DDB">
        <w:t> :</w:t>
      </w:r>
    </w:p>
    <w:p w:rsidR="0053665A" w:rsidRPr="00D42DDB" w:rsidRDefault="0053665A" w:rsidP="0048777F">
      <w:pPr>
        <w:pStyle w:val="SingleTxtG"/>
        <w:ind w:left="3969" w:hanging="567"/>
        <w:rPr>
          <w:szCs w:val="24"/>
        </w:rPr>
      </w:pPr>
      <w:r w:rsidRPr="00D42DDB">
        <w:rPr>
          <w:szCs w:val="24"/>
        </w:rPr>
        <w:t>i)</w:t>
      </w:r>
      <w:r w:rsidRPr="00D42DDB">
        <w:rPr>
          <w:szCs w:val="24"/>
        </w:rPr>
        <w:tab/>
        <w:t xml:space="preserve">Si les </w:t>
      </w:r>
      <w:r w:rsidRPr="00D42DDB">
        <w:t>P301</w:t>
      </w:r>
      <w:r w:rsidRPr="00D42DDB">
        <w:rPr>
          <w:szCs w:val="24"/>
        </w:rPr>
        <w:t xml:space="preserve"> et P305, </w:t>
      </w:r>
      <w:r w:rsidR="0048777F" w:rsidRPr="00D42DDB">
        <w:rPr>
          <w:szCs w:val="24"/>
        </w:rPr>
        <w:t>“</w:t>
      </w:r>
      <w:r w:rsidRPr="00D42DDB">
        <w:rPr>
          <w:b/>
          <w:szCs w:val="24"/>
        </w:rPr>
        <w:t>EN CAS D’INGESTION</w:t>
      </w:r>
      <w:r w:rsidR="0051047A" w:rsidRPr="00D42DDB">
        <w:rPr>
          <w:b/>
          <w:szCs w:val="24"/>
        </w:rPr>
        <w:t> :</w:t>
      </w:r>
      <w:r w:rsidR="0048777F" w:rsidRPr="00D42DDB">
        <w:rPr>
          <w:szCs w:val="24"/>
        </w:rPr>
        <w:t>”</w:t>
      </w:r>
      <w:r w:rsidRPr="00D42DDB">
        <w:rPr>
          <w:szCs w:val="24"/>
        </w:rPr>
        <w:t xml:space="preserve"> et </w:t>
      </w:r>
      <w:r w:rsidR="0048777F" w:rsidRPr="00D42DDB">
        <w:rPr>
          <w:szCs w:val="24"/>
        </w:rPr>
        <w:t>“</w:t>
      </w:r>
      <w:r w:rsidRPr="00D42DDB">
        <w:rPr>
          <w:b/>
          <w:szCs w:val="24"/>
        </w:rPr>
        <w:t>EN CAS DE CONTACT AVEC LES YEUX</w:t>
      </w:r>
      <w:r w:rsidR="0051047A" w:rsidRPr="00D42DDB">
        <w:rPr>
          <w:szCs w:val="24"/>
        </w:rPr>
        <w:t> </w:t>
      </w:r>
      <w:r w:rsidR="0051047A" w:rsidRPr="00D42DDB">
        <w:rPr>
          <w:b/>
          <w:bCs/>
          <w:szCs w:val="24"/>
        </w:rPr>
        <w:t>:</w:t>
      </w:r>
      <w:r w:rsidR="0048777F" w:rsidRPr="00D42DDB">
        <w:rPr>
          <w:szCs w:val="24"/>
        </w:rPr>
        <w:t>”</w:t>
      </w:r>
      <w:r w:rsidRPr="00D42DDB">
        <w:rPr>
          <w:szCs w:val="24"/>
        </w:rPr>
        <w:t xml:space="preserve">, sont applicables avec le P313, </w:t>
      </w:r>
      <w:r w:rsidR="0048777F" w:rsidRPr="00D42DDB">
        <w:rPr>
          <w:szCs w:val="24"/>
        </w:rPr>
        <w:t>“</w:t>
      </w:r>
      <w:r w:rsidRPr="00D42DDB">
        <w:rPr>
          <w:b/>
          <w:szCs w:val="24"/>
        </w:rPr>
        <w:t>Demander un avis médical/Consulter un médecin</w:t>
      </w:r>
      <w:r w:rsidR="0048777F" w:rsidRPr="00D42DDB">
        <w:rPr>
          <w:szCs w:val="24"/>
        </w:rPr>
        <w:t>”</w:t>
      </w:r>
      <w:r w:rsidRPr="00D42DDB">
        <w:rPr>
          <w:szCs w:val="24"/>
        </w:rPr>
        <w:t xml:space="preserve">, et le P312, </w:t>
      </w:r>
      <w:r w:rsidR="0048777F" w:rsidRPr="00D42DDB">
        <w:rPr>
          <w:szCs w:val="24"/>
        </w:rPr>
        <w:t>“</w:t>
      </w:r>
      <w:r w:rsidRPr="00D42DDB">
        <w:rPr>
          <w:b/>
          <w:szCs w:val="24"/>
        </w:rPr>
        <w:t>Appeler un CENTRE ANTIPOISON/un médecin/…</w:t>
      </w:r>
      <w:r w:rsidR="0048777F" w:rsidRPr="00D42DDB">
        <w:rPr>
          <w:b/>
          <w:szCs w:val="24"/>
        </w:rPr>
        <w:t xml:space="preserve"> </w:t>
      </w:r>
      <w:r w:rsidRPr="00D42DDB">
        <w:rPr>
          <w:b/>
          <w:szCs w:val="24"/>
        </w:rPr>
        <w:t>en cas de malaise</w:t>
      </w:r>
      <w:r w:rsidR="0048777F" w:rsidRPr="00D42DDB">
        <w:rPr>
          <w:szCs w:val="24"/>
        </w:rPr>
        <w:t>”, les P301+P305+</w:t>
      </w:r>
      <w:r w:rsidRPr="00D42DDB">
        <w:rPr>
          <w:szCs w:val="24"/>
        </w:rPr>
        <w:t xml:space="preserve">P311, </w:t>
      </w:r>
      <w:r w:rsidR="0048777F" w:rsidRPr="00D42DDB">
        <w:rPr>
          <w:szCs w:val="24"/>
        </w:rPr>
        <w:t>“</w:t>
      </w:r>
      <w:r w:rsidRPr="00D42DDB">
        <w:rPr>
          <w:b/>
          <w:szCs w:val="24"/>
        </w:rPr>
        <w:t>EN CAS D’INGESTION OU DE CONTACT AVEC LES YEUX</w:t>
      </w:r>
      <w:r w:rsidR="0051047A" w:rsidRPr="00D42DDB">
        <w:rPr>
          <w:b/>
          <w:szCs w:val="24"/>
        </w:rPr>
        <w:t> :</w:t>
      </w:r>
      <w:r w:rsidRPr="00D42DDB">
        <w:rPr>
          <w:szCs w:val="24"/>
        </w:rPr>
        <w:t xml:space="preserve"> </w:t>
      </w:r>
      <w:r w:rsidRPr="00D42DDB">
        <w:rPr>
          <w:b/>
          <w:szCs w:val="24"/>
        </w:rPr>
        <w:t>Appeler un CENTRE ANTIPOISON/un médecin/…</w:t>
      </w:r>
      <w:r w:rsidR="0048777F" w:rsidRPr="00D42DDB">
        <w:rPr>
          <w:szCs w:val="24"/>
        </w:rPr>
        <w:t>”</w:t>
      </w:r>
      <w:r w:rsidRPr="00D42DDB">
        <w:rPr>
          <w:szCs w:val="24"/>
        </w:rPr>
        <w:t>, devraient être mentionnés.</w:t>
      </w:r>
    </w:p>
    <w:p w:rsidR="0053665A" w:rsidRPr="00D42DDB" w:rsidRDefault="0053665A" w:rsidP="00292023">
      <w:pPr>
        <w:pStyle w:val="SingleTxtG"/>
        <w:ind w:left="3969" w:hanging="567"/>
        <w:rPr>
          <w:szCs w:val="24"/>
        </w:rPr>
      </w:pPr>
      <w:r w:rsidRPr="00D42DDB">
        <w:rPr>
          <w:szCs w:val="24"/>
        </w:rPr>
        <w:t>ii)</w:t>
      </w:r>
      <w:r w:rsidRPr="00D42DDB">
        <w:rPr>
          <w:szCs w:val="24"/>
        </w:rPr>
        <w:tab/>
        <w:t xml:space="preserve">Si les P304, P302, P301 et P333, </w:t>
      </w:r>
      <w:r w:rsidR="0048777F" w:rsidRPr="00D42DDB">
        <w:rPr>
          <w:szCs w:val="24"/>
        </w:rPr>
        <w:t>“</w:t>
      </w:r>
      <w:r w:rsidRPr="00D42DDB">
        <w:rPr>
          <w:b/>
          <w:szCs w:val="24"/>
        </w:rPr>
        <w:t>EN CAS D’INHALATION</w:t>
      </w:r>
      <w:r w:rsidR="0051047A" w:rsidRPr="00D42DDB">
        <w:rPr>
          <w:b/>
          <w:szCs w:val="24"/>
        </w:rPr>
        <w:t> :</w:t>
      </w:r>
      <w:r w:rsidR="0048777F" w:rsidRPr="00D42DDB">
        <w:rPr>
          <w:szCs w:val="24"/>
        </w:rPr>
        <w:t>”</w:t>
      </w:r>
      <w:r w:rsidRPr="00D42DDB">
        <w:rPr>
          <w:szCs w:val="24"/>
        </w:rPr>
        <w:t xml:space="preserve">, </w:t>
      </w:r>
      <w:r w:rsidR="0048777F" w:rsidRPr="00D42DDB">
        <w:rPr>
          <w:szCs w:val="24"/>
        </w:rPr>
        <w:t>“</w:t>
      </w:r>
      <w:r w:rsidRPr="00D42DDB">
        <w:rPr>
          <w:b/>
          <w:szCs w:val="24"/>
        </w:rPr>
        <w:t>EN CAS DE CONTACT AVEC LA PEAU</w:t>
      </w:r>
      <w:r w:rsidR="0051047A" w:rsidRPr="00D42DDB">
        <w:rPr>
          <w:b/>
          <w:szCs w:val="24"/>
        </w:rPr>
        <w:t> :</w:t>
      </w:r>
      <w:r w:rsidR="0048777F" w:rsidRPr="00D42DDB">
        <w:rPr>
          <w:szCs w:val="24"/>
        </w:rPr>
        <w:t>”</w:t>
      </w:r>
      <w:r w:rsidRPr="00D42DDB">
        <w:rPr>
          <w:szCs w:val="24"/>
        </w:rPr>
        <w:t xml:space="preserve">, </w:t>
      </w:r>
      <w:r w:rsidR="0048777F" w:rsidRPr="00D42DDB">
        <w:rPr>
          <w:szCs w:val="24"/>
        </w:rPr>
        <w:t>“</w:t>
      </w:r>
      <w:r w:rsidRPr="00D42DDB">
        <w:rPr>
          <w:b/>
          <w:szCs w:val="24"/>
        </w:rPr>
        <w:t>EN CAS D’INGESTION</w:t>
      </w:r>
      <w:r w:rsidR="0051047A" w:rsidRPr="00D42DDB">
        <w:rPr>
          <w:b/>
          <w:szCs w:val="24"/>
        </w:rPr>
        <w:t> :</w:t>
      </w:r>
      <w:r w:rsidR="0048777F" w:rsidRPr="00D42DDB">
        <w:rPr>
          <w:szCs w:val="24"/>
        </w:rPr>
        <w:t>”</w:t>
      </w:r>
      <w:r w:rsidRPr="00D42DDB">
        <w:rPr>
          <w:szCs w:val="24"/>
        </w:rPr>
        <w:t xml:space="preserve"> et </w:t>
      </w:r>
      <w:r w:rsidR="0048777F" w:rsidRPr="00D42DDB">
        <w:rPr>
          <w:szCs w:val="24"/>
        </w:rPr>
        <w:t>“</w:t>
      </w:r>
      <w:r w:rsidRPr="00D42DDB">
        <w:rPr>
          <w:b/>
          <w:szCs w:val="24"/>
        </w:rPr>
        <w:t>En cas d’irritation ou d’éruption cutanée</w:t>
      </w:r>
      <w:r w:rsidR="0051047A" w:rsidRPr="00D42DDB">
        <w:rPr>
          <w:b/>
          <w:szCs w:val="24"/>
        </w:rPr>
        <w:t> :</w:t>
      </w:r>
      <w:r w:rsidR="0048777F" w:rsidRPr="00D42DDB">
        <w:rPr>
          <w:szCs w:val="24"/>
        </w:rPr>
        <w:t>”</w:t>
      </w:r>
      <w:r w:rsidRPr="00D42DDB">
        <w:rPr>
          <w:szCs w:val="24"/>
        </w:rPr>
        <w:t xml:space="preserve">, sont applicables avec le P310, </w:t>
      </w:r>
      <w:r w:rsidR="0048777F" w:rsidRPr="00D42DDB">
        <w:rPr>
          <w:szCs w:val="24"/>
        </w:rPr>
        <w:t>“</w:t>
      </w:r>
      <w:r w:rsidRPr="00D42DDB">
        <w:rPr>
          <w:b/>
          <w:szCs w:val="24"/>
        </w:rPr>
        <w:t>Appeler immédiatement un CENTRE ANTIPOISON/un médecin</w:t>
      </w:r>
      <w:r w:rsidR="0048777F" w:rsidRPr="00D42DDB">
        <w:rPr>
          <w:b/>
          <w:bCs/>
          <w:szCs w:val="24"/>
        </w:rPr>
        <w:t>/…</w:t>
      </w:r>
      <w:r w:rsidR="0048777F" w:rsidRPr="00D42DDB">
        <w:rPr>
          <w:szCs w:val="24"/>
        </w:rPr>
        <w:t>”</w:t>
      </w:r>
      <w:r w:rsidRPr="00D42DDB">
        <w:rPr>
          <w:szCs w:val="24"/>
        </w:rPr>
        <w:t xml:space="preserve">, et le P311, </w:t>
      </w:r>
      <w:r w:rsidR="0048777F" w:rsidRPr="00D42DDB">
        <w:rPr>
          <w:szCs w:val="24"/>
        </w:rPr>
        <w:t>“</w:t>
      </w:r>
      <w:r w:rsidRPr="00D42DDB">
        <w:rPr>
          <w:b/>
          <w:szCs w:val="24"/>
        </w:rPr>
        <w:t>Appeler un CENTRE ANTIPOISON/un médecin/…</w:t>
      </w:r>
      <w:r w:rsidR="0048777F" w:rsidRPr="00D42DDB">
        <w:rPr>
          <w:szCs w:val="24"/>
        </w:rPr>
        <w:t>”, les P308+P33</w:t>
      </w:r>
      <w:r w:rsidR="00292023" w:rsidRPr="00D42DDB">
        <w:rPr>
          <w:szCs w:val="24"/>
        </w:rPr>
        <w:t>2</w:t>
      </w:r>
      <w:r w:rsidR="0048777F" w:rsidRPr="00D42DDB">
        <w:rPr>
          <w:szCs w:val="24"/>
        </w:rPr>
        <w:t>+</w:t>
      </w:r>
      <w:r w:rsidRPr="00D42DDB">
        <w:rPr>
          <w:szCs w:val="24"/>
        </w:rPr>
        <w:t xml:space="preserve">P310, </w:t>
      </w:r>
      <w:r w:rsidR="0048777F" w:rsidRPr="00D42DDB">
        <w:rPr>
          <w:szCs w:val="24"/>
        </w:rPr>
        <w:t>“</w:t>
      </w:r>
      <w:r w:rsidRPr="00D42DDB">
        <w:rPr>
          <w:b/>
          <w:szCs w:val="24"/>
        </w:rPr>
        <w:t>EN CAS d’exposition prouvée ou suspectée ou en cas d’irritation ou d’éruption cutanée</w:t>
      </w:r>
      <w:r w:rsidR="0051047A" w:rsidRPr="00D42DDB">
        <w:rPr>
          <w:b/>
          <w:szCs w:val="24"/>
        </w:rPr>
        <w:t> :</w:t>
      </w:r>
      <w:r w:rsidRPr="00D42DDB">
        <w:rPr>
          <w:szCs w:val="24"/>
        </w:rPr>
        <w:t xml:space="preserve"> </w:t>
      </w:r>
      <w:r w:rsidRPr="00D42DDB">
        <w:rPr>
          <w:b/>
          <w:szCs w:val="24"/>
        </w:rPr>
        <w:t xml:space="preserve">Appeler </w:t>
      </w:r>
      <w:r w:rsidRPr="00D42DDB">
        <w:rPr>
          <w:b/>
          <w:szCs w:val="24"/>
        </w:rPr>
        <w:lastRenderedPageBreak/>
        <w:t>immédiatement un CENTRE ANTIPOISON/un médecin</w:t>
      </w:r>
      <w:r w:rsidR="0048777F" w:rsidRPr="00D42DDB">
        <w:rPr>
          <w:b/>
          <w:bCs/>
          <w:szCs w:val="24"/>
        </w:rPr>
        <w:t>/…</w:t>
      </w:r>
      <w:r w:rsidR="0048777F" w:rsidRPr="00D42DDB">
        <w:rPr>
          <w:szCs w:val="24"/>
        </w:rPr>
        <w:t>”</w:t>
      </w:r>
      <w:r w:rsidRPr="00D42DDB">
        <w:rPr>
          <w:szCs w:val="24"/>
        </w:rPr>
        <w:t>, devraient être mentionnés.</w:t>
      </w:r>
    </w:p>
    <w:p w:rsidR="0053665A" w:rsidRPr="00D42DDB" w:rsidRDefault="0053665A" w:rsidP="0048777F">
      <w:pPr>
        <w:pStyle w:val="SingleTxtG"/>
        <w:ind w:left="3969" w:hanging="567"/>
        <w:rPr>
          <w:szCs w:val="24"/>
        </w:rPr>
      </w:pPr>
      <w:r w:rsidRPr="00D42DDB">
        <w:rPr>
          <w:szCs w:val="24"/>
        </w:rPr>
        <w:t>iii)</w:t>
      </w:r>
      <w:r w:rsidRPr="00D42DDB">
        <w:rPr>
          <w:szCs w:val="24"/>
        </w:rPr>
        <w:tab/>
        <w:t xml:space="preserve">Si les P305 et </w:t>
      </w:r>
      <w:r w:rsidRPr="00D42DDB">
        <w:t>P302</w:t>
      </w:r>
      <w:r w:rsidRPr="00D42DDB">
        <w:rPr>
          <w:szCs w:val="24"/>
        </w:rPr>
        <w:t xml:space="preserve">, </w:t>
      </w:r>
      <w:r w:rsidR="0048777F" w:rsidRPr="00D42DDB">
        <w:rPr>
          <w:szCs w:val="24"/>
        </w:rPr>
        <w:t>“</w:t>
      </w:r>
      <w:r w:rsidRPr="00D42DDB">
        <w:rPr>
          <w:b/>
          <w:szCs w:val="24"/>
        </w:rPr>
        <w:t>EN CAS DE CONTACT AVEC LES YEUX</w:t>
      </w:r>
      <w:r w:rsidR="0051047A" w:rsidRPr="00D42DDB">
        <w:rPr>
          <w:b/>
          <w:szCs w:val="24"/>
        </w:rPr>
        <w:t> :</w:t>
      </w:r>
      <w:r w:rsidR="0048777F" w:rsidRPr="00D42DDB">
        <w:rPr>
          <w:szCs w:val="24"/>
        </w:rPr>
        <w:t>”</w:t>
      </w:r>
      <w:r w:rsidRPr="00D42DDB">
        <w:rPr>
          <w:szCs w:val="24"/>
        </w:rPr>
        <w:t xml:space="preserve"> et </w:t>
      </w:r>
      <w:r w:rsidR="0048777F" w:rsidRPr="00D42DDB">
        <w:rPr>
          <w:szCs w:val="24"/>
        </w:rPr>
        <w:t>“</w:t>
      </w:r>
      <w:r w:rsidRPr="00D42DDB">
        <w:rPr>
          <w:b/>
          <w:szCs w:val="24"/>
        </w:rPr>
        <w:t>EN CAS DE CONTACT AVEC LA PEAU</w:t>
      </w:r>
      <w:r w:rsidR="0051047A" w:rsidRPr="00D42DDB">
        <w:rPr>
          <w:b/>
          <w:szCs w:val="24"/>
        </w:rPr>
        <w:t> :</w:t>
      </w:r>
      <w:r w:rsidR="0048777F" w:rsidRPr="00D42DDB">
        <w:rPr>
          <w:szCs w:val="24"/>
        </w:rPr>
        <w:t>”</w:t>
      </w:r>
      <w:r w:rsidRPr="00D42DDB">
        <w:rPr>
          <w:szCs w:val="24"/>
        </w:rPr>
        <w:t xml:space="preserve">, sont applicables avec le P310, </w:t>
      </w:r>
      <w:r w:rsidR="0048777F" w:rsidRPr="00D42DDB">
        <w:rPr>
          <w:szCs w:val="24"/>
        </w:rPr>
        <w:t>“</w:t>
      </w:r>
      <w:r w:rsidRPr="00D42DDB">
        <w:rPr>
          <w:b/>
          <w:szCs w:val="24"/>
        </w:rPr>
        <w:t>Appeler immédiatement un CENTRE ANTIPOISON/un médecin</w:t>
      </w:r>
      <w:r w:rsidRPr="00D42DDB">
        <w:rPr>
          <w:b/>
          <w:bCs/>
          <w:szCs w:val="24"/>
        </w:rPr>
        <w:t>/…</w:t>
      </w:r>
      <w:r w:rsidR="0048777F" w:rsidRPr="00D42DDB">
        <w:rPr>
          <w:szCs w:val="24"/>
        </w:rPr>
        <w:t>”</w:t>
      </w:r>
      <w:r w:rsidRPr="00D42DDB">
        <w:rPr>
          <w:szCs w:val="24"/>
        </w:rPr>
        <w:t xml:space="preserve">, le P313, </w:t>
      </w:r>
      <w:r w:rsidR="0048777F" w:rsidRPr="00D42DDB">
        <w:rPr>
          <w:szCs w:val="24"/>
        </w:rPr>
        <w:t>“</w:t>
      </w:r>
      <w:r w:rsidRPr="00D42DDB">
        <w:rPr>
          <w:b/>
          <w:szCs w:val="24"/>
        </w:rPr>
        <w:t>Demander un avis médical/Consulter un médecin</w:t>
      </w:r>
      <w:r w:rsidR="0048777F" w:rsidRPr="00D42DDB">
        <w:rPr>
          <w:szCs w:val="24"/>
        </w:rPr>
        <w:t>”</w:t>
      </w:r>
      <w:r w:rsidRPr="00D42DDB">
        <w:rPr>
          <w:szCs w:val="24"/>
        </w:rPr>
        <w:t xml:space="preserve">, et le P314, </w:t>
      </w:r>
      <w:r w:rsidR="0048777F" w:rsidRPr="00D42DDB">
        <w:rPr>
          <w:szCs w:val="24"/>
        </w:rPr>
        <w:t>“</w:t>
      </w:r>
      <w:r w:rsidRPr="00D42DDB">
        <w:rPr>
          <w:b/>
          <w:szCs w:val="24"/>
        </w:rPr>
        <w:t>Demander un avis médical/Consulter un médecin en cas de malaise</w:t>
      </w:r>
      <w:r w:rsidR="0048777F" w:rsidRPr="00D42DDB">
        <w:rPr>
          <w:szCs w:val="24"/>
        </w:rPr>
        <w:t>”, les P305+</w:t>
      </w:r>
      <w:r w:rsidRPr="00D42DDB">
        <w:rPr>
          <w:szCs w:val="24"/>
        </w:rPr>
        <w:t>P302</w:t>
      </w:r>
      <w:r w:rsidR="0048777F" w:rsidRPr="00D42DDB">
        <w:rPr>
          <w:szCs w:val="24"/>
        </w:rPr>
        <w:t>+</w:t>
      </w:r>
      <w:r w:rsidRPr="00D42DDB">
        <w:rPr>
          <w:szCs w:val="24"/>
        </w:rPr>
        <w:t xml:space="preserve">P310, </w:t>
      </w:r>
      <w:r w:rsidR="0048777F" w:rsidRPr="00D42DDB">
        <w:rPr>
          <w:szCs w:val="24"/>
        </w:rPr>
        <w:t>“</w:t>
      </w:r>
      <w:r w:rsidRPr="00D42DDB">
        <w:rPr>
          <w:b/>
          <w:szCs w:val="24"/>
        </w:rPr>
        <w:t>EN CAS DE CONTACT AVEC LES YEUX OU AVEC LA PEAU</w:t>
      </w:r>
      <w:r w:rsidR="0051047A" w:rsidRPr="00D42DDB">
        <w:rPr>
          <w:b/>
          <w:szCs w:val="24"/>
        </w:rPr>
        <w:t> :</w:t>
      </w:r>
      <w:r w:rsidRPr="00D42DDB">
        <w:rPr>
          <w:b/>
          <w:szCs w:val="24"/>
        </w:rPr>
        <w:t xml:space="preserve"> Appeler immédiatement un CENTRE ANTIPOISON/un médecin</w:t>
      </w:r>
      <w:r w:rsidRPr="00D42DDB">
        <w:rPr>
          <w:b/>
          <w:bCs/>
          <w:szCs w:val="24"/>
        </w:rPr>
        <w:t>/…</w:t>
      </w:r>
      <w:r w:rsidR="0048777F" w:rsidRPr="00D42DDB">
        <w:rPr>
          <w:szCs w:val="24"/>
        </w:rPr>
        <w:t>”</w:t>
      </w:r>
      <w:r w:rsidRPr="00D42DDB">
        <w:rPr>
          <w:szCs w:val="24"/>
        </w:rPr>
        <w:t xml:space="preserve">, et le P314, </w:t>
      </w:r>
      <w:r w:rsidR="0048777F" w:rsidRPr="00D42DDB">
        <w:rPr>
          <w:szCs w:val="24"/>
        </w:rPr>
        <w:t>“</w:t>
      </w:r>
      <w:r w:rsidRPr="00D42DDB">
        <w:rPr>
          <w:b/>
          <w:szCs w:val="24"/>
        </w:rPr>
        <w:t>Demander un avis médical/Consulter un médecin en cas de malaise</w:t>
      </w:r>
      <w:r w:rsidR="0048777F" w:rsidRPr="00D42DDB">
        <w:rPr>
          <w:szCs w:val="24"/>
        </w:rPr>
        <w:t>”</w:t>
      </w:r>
      <w:r w:rsidRPr="00D42DDB">
        <w:rPr>
          <w:szCs w:val="24"/>
        </w:rPr>
        <w:t xml:space="preserve"> devraient être mentionnés séparément.</w:t>
      </w:r>
      <w:r w:rsidR="0048777F" w:rsidRPr="00D42DDB">
        <w:rPr>
          <w:szCs w:val="24"/>
        </w:rPr>
        <w:t> ».</w:t>
      </w:r>
    </w:p>
    <w:p w:rsidR="0053665A" w:rsidRPr="00D42DDB" w:rsidRDefault="0053665A" w:rsidP="0076369A">
      <w:pPr>
        <w:pStyle w:val="SingleTxtG"/>
        <w:ind w:left="2835" w:hanging="1134"/>
        <w:rPr>
          <w:rFonts w:eastAsia="MS Mincho"/>
          <w:szCs w:val="24"/>
        </w:rPr>
      </w:pPr>
      <w:r w:rsidRPr="00D42DDB">
        <w:rPr>
          <w:szCs w:val="24"/>
        </w:rPr>
        <w:t>A3.3.3.1</w:t>
      </w:r>
      <w:r w:rsidRPr="00D42DDB">
        <w:rPr>
          <w:szCs w:val="24"/>
        </w:rPr>
        <w:tab/>
        <w:t>Modifier la deuxième phrase comme suit</w:t>
      </w:r>
      <w:r w:rsidR="0051047A" w:rsidRPr="00D42DDB">
        <w:rPr>
          <w:szCs w:val="24"/>
        </w:rPr>
        <w:t> :</w:t>
      </w:r>
      <w:r w:rsidRPr="00D42DDB">
        <w:rPr>
          <w:szCs w:val="24"/>
        </w:rPr>
        <w:t xml:space="preserve"> </w:t>
      </w:r>
    </w:p>
    <w:p w:rsidR="0053665A" w:rsidRPr="00D42DDB" w:rsidRDefault="0053665A" w:rsidP="0048777F">
      <w:pPr>
        <w:pStyle w:val="SingleTxtG"/>
        <w:ind w:left="2835"/>
      </w:pPr>
      <w:r w:rsidRPr="00D42DDB">
        <w:t>«</w:t>
      </w:r>
      <w:r w:rsidR="0048777F" w:rsidRPr="00D42DDB">
        <w:t> </w:t>
      </w:r>
      <w:r w:rsidRPr="00D42DDB">
        <w:t>À cette fin, les besoins et sources d’information de deux groupes d’utilisateurs devraient être pris en compte</w:t>
      </w:r>
      <w:r w:rsidR="0051047A" w:rsidRPr="00D42DDB">
        <w:t> :</w:t>
      </w:r>
      <w:r w:rsidRPr="00D42DDB">
        <w:t xml:space="preserve"> consommateurs et employeurs/travailleurs.</w:t>
      </w:r>
      <w:r w:rsidR="0048777F" w:rsidRPr="00D42DDB">
        <w:t> </w:t>
      </w:r>
      <w:r w:rsidRPr="00D42DDB">
        <w:t>».</w:t>
      </w:r>
    </w:p>
    <w:p w:rsidR="0053665A" w:rsidRPr="00D42DDB" w:rsidRDefault="0053665A" w:rsidP="0076369A">
      <w:pPr>
        <w:pStyle w:val="SingleTxtG"/>
        <w:ind w:left="2835" w:hanging="1134"/>
        <w:rPr>
          <w:rFonts w:eastAsia="MS Mincho"/>
          <w:szCs w:val="24"/>
        </w:rPr>
      </w:pPr>
      <w:r w:rsidRPr="00D42DDB">
        <w:rPr>
          <w:szCs w:val="24"/>
        </w:rPr>
        <w:t>A3.3.3.2</w:t>
      </w:r>
      <w:r w:rsidRPr="00D42DDB">
        <w:rPr>
          <w:szCs w:val="24"/>
        </w:rPr>
        <w:tab/>
        <w:t>Supprimer le tableau et modifier le paragraphe comme suit</w:t>
      </w:r>
      <w:r w:rsidR="0051047A" w:rsidRPr="00D42DDB">
        <w:rPr>
          <w:szCs w:val="24"/>
        </w:rPr>
        <w:t> :</w:t>
      </w:r>
      <w:r w:rsidRPr="00D42DDB">
        <w:rPr>
          <w:szCs w:val="24"/>
        </w:rPr>
        <w:t xml:space="preserve"> </w:t>
      </w:r>
    </w:p>
    <w:p w:rsidR="0053665A" w:rsidRPr="00D42DDB" w:rsidRDefault="0053665A" w:rsidP="00BA0A81">
      <w:pPr>
        <w:pStyle w:val="SingleTxtG"/>
        <w:ind w:left="2835"/>
        <w:rPr>
          <w:rFonts w:eastAsia="MS Mincho"/>
          <w:szCs w:val="24"/>
        </w:rPr>
      </w:pPr>
      <w:r w:rsidRPr="00D42DDB">
        <w:rPr>
          <w:rFonts w:eastAsia="MS Mincho"/>
          <w:szCs w:val="24"/>
        </w:rPr>
        <w:t>«</w:t>
      </w:r>
      <w:r w:rsidR="0048777F" w:rsidRPr="00D42DDB">
        <w:rPr>
          <w:rFonts w:eastAsia="MS Mincho"/>
          <w:szCs w:val="24"/>
        </w:rPr>
        <w:t> </w:t>
      </w:r>
      <w:r w:rsidRPr="00D42DDB">
        <w:rPr>
          <w:rFonts w:eastAsia="MS Mincho"/>
          <w:szCs w:val="24"/>
        </w:rPr>
        <w:t xml:space="preserve">Outre les </w:t>
      </w:r>
      <w:r w:rsidRPr="00D42DDB">
        <w:t>conseils</w:t>
      </w:r>
      <w:r w:rsidRPr="00D42DDB">
        <w:rPr>
          <w:rFonts w:eastAsia="MS Mincho"/>
          <w:szCs w:val="24"/>
        </w:rPr>
        <w:t xml:space="preserve"> de prudence appropriés présentés dans la série de tableaux et compte tenu des indications données dans la présente section, les conseils de prudence généraux du tableau A3.2.1 sont pertinents pour les consommateurs et devraient également figurer sur les étiquettes SGH.</w:t>
      </w:r>
      <w:r w:rsidR="0048777F" w:rsidRPr="00D42DDB">
        <w:rPr>
          <w:rFonts w:eastAsia="MS Mincho"/>
          <w:szCs w:val="24"/>
        </w:rPr>
        <w:t> </w:t>
      </w:r>
      <w:r w:rsidRPr="00D42DDB">
        <w:rPr>
          <w:rFonts w:eastAsia="MS Mincho"/>
          <w:szCs w:val="24"/>
        </w:rPr>
        <w:t>».</w:t>
      </w:r>
    </w:p>
    <w:p w:rsidR="0053665A" w:rsidRPr="00D42DDB" w:rsidRDefault="0048777F" w:rsidP="0076369A">
      <w:pPr>
        <w:pStyle w:val="SingleTxtG"/>
        <w:ind w:left="2835" w:hanging="1134"/>
        <w:rPr>
          <w:rFonts w:eastAsia="MS Mincho"/>
          <w:szCs w:val="24"/>
        </w:rPr>
      </w:pPr>
      <w:r w:rsidRPr="00D42DDB">
        <w:rPr>
          <w:szCs w:val="24"/>
        </w:rPr>
        <w:t>A3.3.4 et A3.3.4.1 (nouveau)</w:t>
      </w:r>
      <w:r w:rsidR="0053665A" w:rsidRPr="00D42DDB">
        <w:rPr>
          <w:szCs w:val="24"/>
        </w:rPr>
        <w:tab/>
        <w:t>Ajouter les paragraphes suivants</w:t>
      </w:r>
      <w:r w:rsidR="0051047A" w:rsidRPr="00D42DDB">
        <w:rPr>
          <w:szCs w:val="24"/>
        </w:rPr>
        <w:t> :</w:t>
      </w:r>
      <w:r w:rsidR="0053665A" w:rsidRPr="00D42DDB">
        <w:rPr>
          <w:szCs w:val="24"/>
        </w:rPr>
        <w:t xml:space="preserve"> </w:t>
      </w:r>
    </w:p>
    <w:p w:rsidR="0053665A" w:rsidRPr="00D42DDB" w:rsidRDefault="0053665A" w:rsidP="0048777F">
      <w:pPr>
        <w:pStyle w:val="SingleTxtG"/>
        <w:ind w:left="2835"/>
        <w:rPr>
          <w:b/>
          <w:szCs w:val="24"/>
        </w:rPr>
      </w:pPr>
      <w:r w:rsidRPr="00D42DDB">
        <w:rPr>
          <w:szCs w:val="24"/>
        </w:rPr>
        <w:t>«</w:t>
      </w:r>
      <w:r w:rsidR="0048777F" w:rsidRPr="00D42DDB">
        <w:rPr>
          <w:szCs w:val="24"/>
        </w:rPr>
        <w:t> </w:t>
      </w:r>
      <w:r w:rsidRPr="00D42DDB">
        <w:rPr>
          <w:b/>
          <w:szCs w:val="24"/>
        </w:rPr>
        <w:t>A3.3.4</w:t>
      </w:r>
      <w:r w:rsidRPr="00D42DDB">
        <w:rPr>
          <w:b/>
          <w:szCs w:val="24"/>
        </w:rPr>
        <w:tab/>
        <w:t>Tableaux des conseils de prudence par classe/</w:t>
      </w:r>
      <w:r w:rsidR="0048777F" w:rsidRPr="00D42DDB">
        <w:rPr>
          <w:b/>
          <w:szCs w:val="24"/>
        </w:rPr>
        <w:br/>
      </w:r>
      <w:r w:rsidRPr="00D42DDB">
        <w:rPr>
          <w:b/>
          <w:szCs w:val="24"/>
        </w:rPr>
        <w:t>catégorie de danger</w:t>
      </w:r>
      <w:r w:rsidRPr="00D42DDB">
        <w:rPr>
          <w:szCs w:val="24"/>
        </w:rPr>
        <w:t xml:space="preserve"> </w:t>
      </w:r>
    </w:p>
    <w:p w:rsidR="0053665A" w:rsidRPr="00D42DDB" w:rsidRDefault="0053665A" w:rsidP="00BA0A81">
      <w:pPr>
        <w:pStyle w:val="SingleTxtG"/>
        <w:ind w:left="2835"/>
        <w:rPr>
          <w:szCs w:val="24"/>
        </w:rPr>
      </w:pPr>
      <w:r w:rsidRPr="00D42DDB">
        <w:rPr>
          <w:szCs w:val="24"/>
        </w:rPr>
        <w:t>A3.3.4.1</w:t>
      </w:r>
      <w:r w:rsidRPr="00D42DDB">
        <w:rPr>
          <w:szCs w:val="24"/>
        </w:rPr>
        <w:tab/>
        <w:t xml:space="preserve">On </w:t>
      </w:r>
      <w:r w:rsidRPr="00D42DDB">
        <w:t>trouvera</w:t>
      </w:r>
      <w:r w:rsidRPr="00D42DDB">
        <w:rPr>
          <w:szCs w:val="24"/>
        </w:rPr>
        <w:t xml:space="preserve"> ci-après des tableaux présentant par type (voir A3.2.2.1) les conseils de prudence recommandés pour chaque classe de danger et catégorie de danger du SGH. Ces tableaux permettent de choisir les conseils appropriés et contiennent des éléments pour toutes les catégories de mesures de prudence. Tous les éléments se rapportant spécifiquement à une classe de danger particulière devraient être utilisés. Les conseils généraux qui ne sont pas associés à une classe ou une catégorie de danger particulière devraient aussi être utilisés s’il y a lieu (voir A3.3.3).</w:t>
      </w:r>
      <w:r w:rsidR="0048777F" w:rsidRPr="00D42DDB">
        <w:rPr>
          <w:szCs w:val="24"/>
        </w:rPr>
        <w:t> </w:t>
      </w:r>
      <w:r w:rsidRPr="00D42DDB">
        <w:rPr>
          <w:szCs w:val="24"/>
        </w:rPr>
        <w:t>».</w:t>
      </w:r>
    </w:p>
    <w:p w:rsidR="0053665A" w:rsidRPr="00D42DDB" w:rsidRDefault="0053665A" w:rsidP="00BA0A81">
      <w:pPr>
        <w:pStyle w:val="SingleTxtG"/>
        <w:ind w:left="1701"/>
        <w:rPr>
          <w:rFonts w:eastAsia="MS Mincho"/>
        </w:rPr>
      </w:pPr>
      <w:r w:rsidRPr="00D42DDB">
        <w:rPr>
          <w:rFonts w:eastAsia="MS Mincho"/>
        </w:rPr>
        <w:t>Introduire les deux premières phrases de la rubrique A3.3.4.1 actuelle dans le nouveau paragraphe A3.3.4.2.</w:t>
      </w:r>
    </w:p>
    <w:p w:rsidR="0053665A" w:rsidRPr="00D42DDB" w:rsidRDefault="0053665A" w:rsidP="00BA0A81">
      <w:pPr>
        <w:pStyle w:val="SingleTxtG"/>
        <w:ind w:left="1701"/>
        <w:rPr>
          <w:rFonts w:eastAsia="MS Mincho"/>
        </w:rPr>
      </w:pPr>
      <w:r w:rsidRPr="00D42DDB">
        <w:rPr>
          <w:rFonts w:eastAsia="MS Mincho"/>
        </w:rPr>
        <w:t>Les paragraphes A3.3.4.2, A3.3.4.3, A3.3.4.4 et A3.3.4.5 actuels deviennent les paragraphes A3.3.4.3, A3.3.4.4, A3.3.4.5 et A3.3.4.6, respectivement.</w:t>
      </w:r>
    </w:p>
    <w:p w:rsidR="0053665A" w:rsidRPr="00D42DDB" w:rsidRDefault="0053665A" w:rsidP="0076369A">
      <w:pPr>
        <w:pStyle w:val="H1G"/>
        <w:rPr>
          <w:rFonts w:eastAsia="MS Mincho"/>
        </w:rPr>
      </w:pPr>
      <w:r w:rsidRPr="00D42DDB">
        <w:lastRenderedPageBreak/>
        <w:tab/>
      </w:r>
      <w:r w:rsidRPr="00D42DDB">
        <w:tab/>
        <w:t>Annexe 3, section 3 (série de tableaux à la rubrique A3.3.5)</w:t>
      </w:r>
    </w:p>
    <w:p w:rsidR="0053665A" w:rsidRPr="00D42DDB" w:rsidRDefault="0053665A" w:rsidP="0076369A">
      <w:pPr>
        <w:pStyle w:val="ParNoG"/>
        <w:rPr>
          <w:rFonts w:eastAsia="MS Mincho"/>
        </w:rPr>
      </w:pPr>
      <w:r w:rsidRPr="00D42DDB">
        <w:t>Pour tous les tableaux de la rubrique A3.3.5, apporter les modifications suivantes à la présentation de la première moitié du tableau (</w:t>
      </w:r>
      <w:r w:rsidRPr="00D42DDB">
        <w:rPr>
          <w:i/>
        </w:rPr>
        <w:t>la présentation de la partie du tableau qui contient les conseils de prudence demeure inchangée</w:t>
      </w:r>
      <w:r w:rsidRPr="00D42DDB">
        <w:t>)</w:t>
      </w:r>
      <w:r w:rsidR="0051047A" w:rsidRPr="00D42DDB">
        <w:t> :</w:t>
      </w:r>
    </w:p>
    <w:p w:rsidR="0053665A" w:rsidRPr="00D42DDB" w:rsidRDefault="0053665A" w:rsidP="00BA0A81">
      <w:pPr>
        <w:pStyle w:val="SingleTxtG"/>
        <w:rPr>
          <w:rFonts w:eastAsia="MS Mincho"/>
        </w:rPr>
      </w:pPr>
      <w:r w:rsidRPr="00D42DDB">
        <w:t>Remplacer</w:t>
      </w:r>
      <w:r w:rsidR="0051047A" w:rsidRPr="00D42DDB">
        <w:t>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0"/>
        <w:gridCol w:w="1725"/>
        <w:gridCol w:w="1097"/>
        <w:gridCol w:w="1721"/>
        <w:gridCol w:w="2504"/>
      </w:tblGrid>
      <w:tr w:rsidR="0053665A" w:rsidRPr="00D42DDB" w:rsidTr="00330079">
        <w:tc>
          <w:tcPr>
            <w:tcW w:w="7370" w:type="dxa"/>
            <w:gridSpan w:val="5"/>
            <w:tcBorders>
              <w:top w:val="nil"/>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firstLine="34"/>
              <w:jc w:val="center"/>
              <w:outlineLvl w:val="1"/>
              <w:rPr>
                <w:b/>
                <w:sz w:val="18"/>
                <w:szCs w:val="18"/>
              </w:rPr>
            </w:pPr>
            <w:r w:rsidRPr="00D42DDB">
              <w:rPr>
                <w:b/>
                <w:sz w:val="18"/>
                <w:szCs w:val="18"/>
              </w:rPr>
              <w:t>CLASSE DE DANGER</w:t>
            </w:r>
          </w:p>
          <w:p w:rsidR="0053665A" w:rsidRPr="00D42DDB" w:rsidRDefault="0053665A" w:rsidP="00330079">
            <w:pPr>
              <w:kinsoku/>
              <w:overflowPunct/>
              <w:autoSpaceDE/>
              <w:autoSpaceDN/>
              <w:adjustRightInd/>
              <w:snapToGrid/>
              <w:spacing w:before="40" w:after="40" w:line="240" w:lineRule="auto"/>
              <w:ind w:left="113" w:right="113" w:firstLine="34"/>
              <w:jc w:val="center"/>
              <w:outlineLvl w:val="1"/>
              <w:rPr>
                <w:sz w:val="18"/>
                <w:szCs w:val="18"/>
              </w:rPr>
            </w:pPr>
            <w:r w:rsidRPr="00D42DDB">
              <w:rPr>
                <w:b/>
                <w:sz w:val="18"/>
                <w:szCs w:val="18"/>
              </w:rPr>
              <w:t>(chapitre du SGH)</w:t>
            </w:r>
          </w:p>
        </w:tc>
      </w:tr>
      <w:tr w:rsidR="0053665A" w:rsidRPr="00D42DDB" w:rsidTr="00330079">
        <w:tc>
          <w:tcPr>
            <w:tcW w:w="1981" w:type="dxa"/>
            <w:tcBorders>
              <w:top w:val="nil"/>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rPr>
                <w:sz w:val="18"/>
                <w:szCs w:val="18"/>
              </w:rPr>
            </w:pPr>
          </w:p>
        </w:tc>
        <w:tc>
          <w:tcPr>
            <w:tcW w:w="1319" w:type="dxa"/>
            <w:tcBorders>
              <w:top w:val="nil"/>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rPr>
                <w:sz w:val="18"/>
                <w:szCs w:val="18"/>
              </w:rPr>
            </w:pPr>
          </w:p>
        </w:tc>
        <w:tc>
          <w:tcPr>
            <w:tcW w:w="2155" w:type="dxa"/>
            <w:gridSpan w:val="2"/>
            <w:tcBorders>
              <w:top w:val="nil"/>
              <w:left w:val="nil"/>
              <w:bottom w:val="nil"/>
            </w:tcBorders>
          </w:tcPr>
          <w:p w:rsidR="0053665A" w:rsidRPr="00D42DDB" w:rsidRDefault="0053665A" w:rsidP="00330079">
            <w:pPr>
              <w:kinsoku/>
              <w:overflowPunct/>
              <w:autoSpaceDE/>
              <w:autoSpaceDN/>
              <w:adjustRightInd/>
              <w:snapToGrid/>
              <w:spacing w:before="40" w:after="40" w:line="240" w:lineRule="auto"/>
              <w:ind w:left="113" w:right="113"/>
              <w:rPr>
                <w:sz w:val="18"/>
                <w:szCs w:val="18"/>
              </w:rPr>
            </w:pPr>
          </w:p>
        </w:tc>
        <w:tc>
          <w:tcPr>
            <w:tcW w:w="1915" w:type="dxa"/>
            <w:tcBorders>
              <w:bottom w:val="single" w:sz="4" w:space="0" w:color="auto"/>
            </w:tcBorders>
          </w:tcPr>
          <w:p w:rsidR="0053665A" w:rsidRPr="00D42DDB" w:rsidRDefault="0053665A" w:rsidP="00330079">
            <w:pPr>
              <w:kinsoku/>
              <w:overflowPunct/>
              <w:autoSpaceDE/>
              <w:autoSpaceDN/>
              <w:adjustRightInd/>
              <w:snapToGrid/>
              <w:spacing w:before="40" w:after="40" w:line="240" w:lineRule="auto"/>
              <w:ind w:left="113" w:right="113"/>
              <w:jc w:val="center"/>
              <w:outlineLvl w:val="2"/>
              <w:rPr>
                <w:sz w:val="18"/>
                <w:szCs w:val="18"/>
              </w:rPr>
            </w:pPr>
            <w:r w:rsidRPr="00D42DDB">
              <w:rPr>
                <w:sz w:val="18"/>
                <w:szCs w:val="18"/>
              </w:rPr>
              <w:t>Symbole</w:t>
            </w:r>
          </w:p>
          <w:p w:rsidR="0053665A" w:rsidRPr="00D42DDB" w:rsidRDefault="0053665A" w:rsidP="00330079">
            <w:pPr>
              <w:suppressAutoHyphens w:val="0"/>
              <w:kinsoku/>
              <w:overflowPunct/>
              <w:autoSpaceDE/>
              <w:autoSpaceDN/>
              <w:adjustRightInd/>
              <w:snapToGrid/>
              <w:spacing w:before="40" w:after="40" w:line="240" w:lineRule="auto"/>
              <w:ind w:left="113" w:right="113"/>
              <w:jc w:val="center"/>
              <w:rPr>
                <w:sz w:val="18"/>
                <w:szCs w:val="18"/>
              </w:rPr>
            </w:pPr>
            <w:r w:rsidRPr="00D42DDB">
              <w:rPr>
                <w:sz w:val="18"/>
                <w:szCs w:val="18"/>
              </w:rPr>
              <w:t xml:space="preserve">[libellé du symbole selon </w:t>
            </w:r>
            <w:r w:rsidR="00330079" w:rsidRPr="00D42DDB">
              <w:rPr>
                <w:sz w:val="18"/>
                <w:szCs w:val="18"/>
              </w:rPr>
              <w:br/>
            </w:r>
            <w:r w:rsidRPr="00D42DDB">
              <w:rPr>
                <w:sz w:val="18"/>
                <w:szCs w:val="18"/>
              </w:rPr>
              <w:t>le 1.4.10.3]</w:t>
            </w:r>
          </w:p>
        </w:tc>
      </w:tr>
      <w:tr w:rsidR="0053665A" w:rsidRPr="00D42DDB" w:rsidTr="00330079">
        <w:tc>
          <w:tcPr>
            <w:tcW w:w="1981" w:type="dxa"/>
            <w:tcBorders>
              <w:top w:val="nil"/>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rPr>
                <w:b/>
                <w:bCs/>
                <w:sz w:val="18"/>
                <w:szCs w:val="18"/>
              </w:rPr>
            </w:pPr>
            <w:r w:rsidRPr="00D42DDB">
              <w:rPr>
                <w:b/>
                <w:sz w:val="18"/>
                <w:szCs w:val="18"/>
              </w:rPr>
              <w:t>Catégorie(s) de danger</w:t>
            </w:r>
          </w:p>
        </w:tc>
        <w:tc>
          <w:tcPr>
            <w:tcW w:w="1319" w:type="dxa"/>
            <w:tcBorders>
              <w:top w:val="nil"/>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rPr>
                <w:b/>
                <w:bCs/>
                <w:sz w:val="18"/>
                <w:szCs w:val="18"/>
              </w:rPr>
            </w:pPr>
            <w:r w:rsidRPr="00D42DDB">
              <w:rPr>
                <w:b/>
                <w:sz w:val="18"/>
                <w:szCs w:val="18"/>
              </w:rPr>
              <w:t xml:space="preserve">Mention(s) d’avertissement </w:t>
            </w:r>
          </w:p>
        </w:tc>
        <w:tc>
          <w:tcPr>
            <w:tcW w:w="2155" w:type="dxa"/>
            <w:gridSpan w:val="2"/>
            <w:tcBorders>
              <w:top w:val="nil"/>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rPr>
                <w:b/>
                <w:bCs/>
                <w:sz w:val="18"/>
                <w:szCs w:val="18"/>
              </w:rPr>
            </w:pPr>
            <w:r w:rsidRPr="00D42DDB">
              <w:rPr>
                <w:b/>
                <w:sz w:val="18"/>
                <w:szCs w:val="18"/>
              </w:rPr>
              <w:t>Mention(s) de danger</w:t>
            </w:r>
          </w:p>
        </w:tc>
        <w:tc>
          <w:tcPr>
            <w:tcW w:w="1915" w:type="dxa"/>
            <w:vMerge w:val="restart"/>
            <w:tcBorders>
              <w:top w:val="single" w:sz="4" w:space="0" w:color="auto"/>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jc w:val="center"/>
              <w:rPr>
                <w:bCs/>
                <w:sz w:val="18"/>
                <w:szCs w:val="18"/>
              </w:rPr>
            </w:pPr>
            <w:r w:rsidRPr="00D42DDB">
              <w:rPr>
                <w:bCs/>
                <w:sz w:val="18"/>
                <w:szCs w:val="18"/>
              </w:rPr>
              <w:t>[Symbole]</w:t>
            </w:r>
          </w:p>
        </w:tc>
      </w:tr>
      <w:tr w:rsidR="0053665A" w:rsidRPr="00D42DDB" w:rsidTr="00330079">
        <w:tc>
          <w:tcPr>
            <w:tcW w:w="1981" w:type="dxa"/>
            <w:tcBorders>
              <w:top w:val="nil"/>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rPr>
                <w:sz w:val="18"/>
                <w:szCs w:val="18"/>
              </w:rPr>
            </w:pPr>
            <w:r w:rsidRPr="00D42DDB">
              <w:rPr>
                <w:sz w:val="18"/>
                <w:szCs w:val="18"/>
              </w:rPr>
              <w:t>[numéro ou libellé de la catégorie de danger]</w:t>
            </w:r>
          </w:p>
        </w:tc>
        <w:tc>
          <w:tcPr>
            <w:tcW w:w="1319" w:type="dxa"/>
            <w:tcBorders>
              <w:top w:val="nil"/>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rPr>
                <w:sz w:val="18"/>
                <w:szCs w:val="18"/>
              </w:rPr>
            </w:pPr>
            <w:r w:rsidRPr="00D42DDB">
              <w:rPr>
                <w:sz w:val="18"/>
                <w:szCs w:val="18"/>
              </w:rPr>
              <w:t>[Texte de la mention d’avertissement]</w:t>
            </w:r>
          </w:p>
        </w:tc>
        <w:tc>
          <w:tcPr>
            <w:tcW w:w="839" w:type="dxa"/>
            <w:tcBorders>
              <w:top w:val="nil"/>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jc w:val="center"/>
              <w:rPr>
                <w:sz w:val="18"/>
                <w:szCs w:val="18"/>
              </w:rPr>
            </w:pPr>
            <w:r w:rsidRPr="00D42DDB">
              <w:rPr>
                <w:sz w:val="18"/>
                <w:szCs w:val="18"/>
              </w:rPr>
              <w:t>[Code H]</w:t>
            </w:r>
          </w:p>
        </w:tc>
        <w:tc>
          <w:tcPr>
            <w:tcW w:w="1316" w:type="dxa"/>
            <w:tcBorders>
              <w:top w:val="nil"/>
              <w:left w:val="nil"/>
              <w:bottom w:val="nil"/>
              <w:right w:val="nil"/>
            </w:tcBorders>
          </w:tcPr>
          <w:p w:rsidR="0053665A" w:rsidRPr="00D42DDB" w:rsidRDefault="00292023" w:rsidP="00330079">
            <w:pPr>
              <w:kinsoku/>
              <w:overflowPunct/>
              <w:autoSpaceDE/>
              <w:autoSpaceDN/>
              <w:adjustRightInd/>
              <w:snapToGrid/>
              <w:spacing w:before="40" w:after="40" w:line="240" w:lineRule="auto"/>
              <w:ind w:left="113" w:right="113"/>
              <w:rPr>
                <w:sz w:val="18"/>
                <w:szCs w:val="18"/>
              </w:rPr>
            </w:pPr>
            <w:r w:rsidRPr="00D42DDB">
              <w:rPr>
                <w:sz w:val="18"/>
                <w:szCs w:val="18"/>
              </w:rPr>
              <w:t>[</w:t>
            </w:r>
            <w:r w:rsidR="0053665A" w:rsidRPr="00D42DDB">
              <w:rPr>
                <w:sz w:val="18"/>
                <w:szCs w:val="18"/>
              </w:rPr>
              <w:t>Texte de la mention de danger</w:t>
            </w:r>
            <w:r w:rsidRPr="00D42DDB">
              <w:rPr>
                <w:sz w:val="18"/>
                <w:szCs w:val="18"/>
              </w:rPr>
              <w:t>]</w:t>
            </w:r>
          </w:p>
        </w:tc>
        <w:tc>
          <w:tcPr>
            <w:tcW w:w="1915" w:type="dxa"/>
            <w:vMerge/>
            <w:tcBorders>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rPr>
                <w:sz w:val="18"/>
                <w:szCs w:val="18"/>
              </w:rPr>
            </w:pPr>
          </w:p>
        </w:tc>
      </w:tr>
    </w:tbl>
    <w:p w:rsidR="0053665A" w:rsidRPr="00D42DDB" w:rsidRDefault="0053665A" w:rsidP="00330079">
      <w:pPr>
        <w:pStyle w:val="SingleTxtG"/>
        <w:spacing w:before="240"/>
        <w:rPr>
          <w:rFonts w:eastAsia="MS Mincho"/>
        </w:rPr>
      </w:pPr>
      <w:proofErr w:type="gramStart"/>
      <w:r w:rsidRPr="00D42DDB">
        <w:t>par</w:t>
      </w:r>
      <w:proofErr w:type="gramEnd"/>
      <w:r w:rsidR="0051047A" w:rsidRPr="00D42DDB">
        <w:t>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2"/>
        <w:gridCol w:w="1408"/>
        <w:gridCol w:w="1410"/>
        <w:gridCol w:w="1721"/>
        <w:gridCol w:w="1253"/>
        <w:gridCol w:w="1253"/>
      </w:tblGrid>
      <w:tr w:rsidR="0053665A" w:rsidRPr="00D42DDB" w:rsidTr="00330079">
        <w:trPr>
          <w:cantSplit/>
        </w:trPr>
        <w:tc>
          <w:tcPr>
            <w:tcW w:w="7370" w:type="dxa"/>
            <w:gridSpan w:val="6"/>
            <w:tcBorders>
              <w:top w:val="nil"/>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firstLine="34"/>
              <w:jc w:val="center"/>
              <w:outlineLvl w:val="1"/>
              <w:rPr>
                <w:b/>
                <w:sz w:val="18"/>
                <w:szCs w:val="18"/>
              </w:rPr>
            </w:pPr>
            <w:r w:rsidRPr="00D42DDB">
              <w:rPr>
                <w:b/>
                <w:sz w:val="18"/>
                <w:szCs w:val="18"/>
              </w:rPr>
              <w:t>CLASSE DE DANGER</w:t>
            </w:r>
          </w:p>
          <w:p w:rsidR="0053665A" w:rsidRPr="00D42DDB" w:rsidRDefault="0053665A" w:rsidP="00330079">
            <w:pPr>
              <w:kinsoku/>
              <w:overflowPunct/>
              <w:autoSpaceDE/>
              <w:autoSpaceDN/>
              <w:adjustRightInd/>
              <w:snapToGrid/>
              <w:spacing w:before="40" w:after="40" w:line="240" w:lineRule="auto"/>
              <w:ind w:left="113" w:right="113" w:firstLine="34"/>
              <w:jc w:val="center"/>
              <w:outlineLvl w:val="1"/>
              <w:rPr>
                <w:sz w:val="18"/>
                <w:szCs w:val="18"/>
              </w:rPr>
            </w:pPr>
            <w:r w:rsidRPr="00D42DDB">
              <w:rPr>
                <w:b/>
                <w:sz w:val="18"/>
                <w:szCs w:val="18"/>
              </w:rPr>
              <w:t>(chapitre du SGH)</w:t>
            </w:r>
          </w:p>
        </w:tc>
      </w:tr>
      <w:tr w:rsidR="0053665A" w:rsidRPr="00D42DDB" w:rsidTr="00330079">
        <w:trPr>
          <w:cantSplit/>
        </w:trPr>
        <w:tc>
          <w:tcPr>
            <w:tcW w:w="1983" w:type="dxa"/>
            <w:tcBorders>
              <w:top w:val="nil"/>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rPr>
                <w:b/>
                <w:bCs/>
                <w:sz w:val="18"/>
                <w:szCs w:val="18"/>
              </w:rPr>
            </w:pPr>
            <w:r w:rsidRPr="00D42DDB">
              <w:rPr>
                <w:b/>
                <w:sz w:val="18"/>
                <w:szCs w:val="18"/>
              </w:rPr>
              <w:t>Catégorie(s) de danger</w:t>
            </w:r>
          </w:p>
        </w:tc>
        <w:tc>
          <w:tcPr>
            <w:tcW w:w="2155" w:type="dxa"/>
            <w:gridSpan w:val="2"/>
            <w:tcBorders>
              <w:top w:val="nil"/>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jc w:val="center"/>
              <w:rPr>
                <w:b/>
                <w:bCs/>
                <w:sz w:val="18"/>
                <w:szCs w:val="18"/>
              </w:rPr>
            </w:pPr>
            <w:r w:rsidRPr="00D42DDB">
              <w:rPr>
                <w:b/>
                <w:sz w:val="18"/>
                <w:szCs w:val="18"/>
              </w:rPr>
              <w:t>Symbole</w:t>
            </w:r>
          </w:p>
        </w:tc>
        <w:tc>
          <w:tcPr>
            <w:tcW w:w="1316" w:type="dxa"/>
            <w:tcBorders>
              <w:top w:val="nil"/>
              <w:left w:val="nil"/>
              <w:bottom w:val="nil"/>
              <w:right w:val="nil"/>
            </w:tcBorders>
          </w:tcPr>
          <w:p w:rsidR="0053665A" w:rsidRPr="00D42DDB" w:rsidRDefault="0053665A" w:rsidP="005610F2">
            <w:pPr>
              <w:kinsoku/>
              <w:overflowPunct/>
              <w:autoSpaceDE/>
              <w:autoSpaceDN/>
              <w:adjustRightInd/>
              <w:snapToGrid/>
              <w:spacing w:before="40" w:after="40" w:line="240" w:lineRule="auto"/>
              <w:ind w:left="113" w:right="113"/>
              <w:rPr>
                <w:b/>
                <w:bCs/>
                <w:sz w:val="18"/>
                <w:szCs w:val="18"/>
              </w:rPr>
            </w:pPr>
            <w:r w:rsidRPr="00D42DDB">
              <w:rPr>
                <w:b/>
                <w:sz w:val="18"/>
                <w:szCs w:val="18"/>
              </w:rPr>
              <w:t>Mention(s) d’avertissement</w:t>
            </w:r>
          </w:p>
        </w:tc>
        <w:tc>
          <w:tcPr>
            <w:tcW w:w="1916" w:type="dxa"/>
            <w:gridSpan w:val="2"/>
            <w:tcBorders>
              <w:top w:val="nil"/>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rPr>
                <w:b/>
                <w:bCs/>
                <w:sz w:val="18"/>
                <w:szCs w:val="18"/>
              </w:rPr>
            </w:pPr>
            <w:r w:rsidRPr="00D42DDB">
              <w:rPr>
                <w:b/>
                <w:sz w:val="18"/>
                <w:szCs w:val="18"/>
              </w:rPr>
              <w:t>Mention(s) de danger</w:t>
            </w:r>
          </w:p>
        </w:tc>
      </w:tr>
      <w:tr w:rsidR="0053665A" w:rsidRPr="00D42DDB" w:rsidTr="00330079">
        <w:trPr>
          <w:cantSplit/>
        </w:trPr>
        <w:tc>
          <w:tcPr>
            <w:tcW w:w="1983" w:type="dxa"/>
            <w:tcBorders>
              <w:top w:val="nil"/>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rPr>
                <w:sz w:val="18"/>
                <w:szCs w:val="18"/>
              </w:rPr>
            </w:pPr>
            <w:r w:rsidRPr="00D42DDB">
              <w:rPr>
                <w:sz w:val="18"/>
                <w:szCs w:val="18"/>
              </w:rPr>
              <w:t>[numéro ou libellé de la catégorie de danger]</w:t>
            </w:r>
          </w:p>
        </w:tc>
        <w:tc>
          <w:tcPr>
            <w:tcW w:w="1077" w:type="dxa"/>
            <w:tcBorders>
              <w:top w:val="nil"/>
              <w:left w:val="nil"/>
              <w:bottom w:val="nil"/>
              <w:right w:val="nil"/>
            </w:tcBorders>
          </w:tcPr>
          <w:p w:rsidR="0053665A" w:rsidRPr="00D42DDB" w:rsidRDefault="00330079" w:rsidP="00330079">
            <w:pPr>
              <w:kinsoku/>
              <w:overflowPunct/>
              <w:autoSpaceDE/>
              <w:autoSpaceDN/>
              <w:adjustRightInd/>
              <w:snapToGrid/>
              <w:spacing w:before="40" w:after="40" w:line="240" w:lineRule="auto"/>
              <w:ind w:left="113" w:right="113"/>
              <w:jc w:val="center"/>
              <w:rPr>
                <w:sz w:val="18"/>
                <w:szCs w:val="18"/>
              </w:rPr>
            </w:pPr>
            <w:r w:rsidRPr="00D42DDB">
              <w:rPr>
                <w:sz w:val="18"/>
                <w:szCs w:val="18"/>
              </w:rPr>
              <w:t>[</w:t>
            </w:r>
            <w:r w:rsidR="0053665A" w:rsidRPr="00D42DDB">
              <w:rPr>
                <w:sz w:val="18"/>
                <w:szCs w:val="18"/>
              </w:rPr>
              <w:t>libellé du symbole</w:t>
            </w:r>
            <w:r w:rsidRPr="00D42DDB">
              <w:rPr>
                <w:sz w:val="18"/>
                <w:szCs w:val="18"/>
              </w:rPr>
              <w:t xml:space="preserve"> </w:t>
            </w:r>
            <w:r w:rsidR="0053665A" w:rsidRPr="00D42DDB">
              <w:rPr>
                <w:sz w:val="18"/>
                <w:szCs w:val="18"/>
              </w:rPr>
              <w:t>selon le 1.4.10.3]</w:t>
            </w:r>
          </w:p>
        </w:tc>
        <w:tc>
          <w:tcPr>
            <w:tcW w:w="1078" w:type="dxa"/>
            <w:tcBorders>
              <w:top w:val="nil"/>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jc w:val="center"/>
              <w:rPr>
                <w:sz w:val="18"/>
                <w:szCs w:val="18"/>
              </w:rPr>
            </w:pPr>
            <w:r w:rsidRPr="00D42DDB">
              <w:rPr>
                <w:sz w:val="18"/>
                <w:szCs w:val="18"/>
              </w:rPr>
              <w:t>[symbole]</w:t>
            </w:r>
          </w:p>
        </w:tc>
        <w:tc>
          <w:tcPr>
            <w:tcW w:w="1316" w:type="dxa"/>
            <w:tcBorders>
              <w:top w:val="nil"/>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rPr>
                <w:sz w:val="18"/>
                <w:szCs w:val="18"/>
              </w:rPr>
            </w:pPr>
            <w:r w:rsidRPr="00D42DDB">
              <w:rPr>
                <w:sz w:val="18"/>
                <w:szCs w:val="18"/>
              </w:rPr>
              <w:t>[Texte de la mention d’avertissement]</w:t>
            </w:r>
          </w:p>
        </w:tc>
        <w:tc>
          <w:tcPr>
            <w:tcW w:w="958" w:type="dxa"/>
            <w:tcBorders>
              <w:top w:val="nil"/>
              <w:left w:val="nil"/>
              <w:bottom w:val="nil"/>
              <w:right w:val="nil"/>
            </w:tcBorders>
          </w:tcPr>
          <w:p w:rsidR="0053665A" w:rsidRPr="00D42DDB" w:rsidRDefault="0053665A" w:rsidP="00330079">
            <w:pPr>
              <w:kinsoku/>
              <w:overflowPunct/>
              <w:autoSpaceDE/>
              <w:autoSpaceDN/>
              <w:adjustRightInd/>
              <w:snapToGrid/>
              <w:spacing w:before="40" w:after="40" w:line="240" w:lineRule="auto"/>
              <w:ind w:left="113" w:right="113"/>
              <w:jc w:val="center"/>
              <w:rPr>
                <w:sz w:val="18"/>
                <w:szCs w:val="18"/>
              </w:rPr>
            </w:pPr>
            <w:r w:rsidRPr="00D42DDB">
              <w:rPr>
                <w:sz w:val="18"/>
                <w:szCs w:val="18"/>
              </w:rPr>
              <w:t>[Code H]</w:t>
            </w:r>
          </w:p>
        </w:tc>
        <w:tc>
          <w:tcPr>
            <w:tcW w:w="958" w:type="dxa"/>
            <w:tcBorders>
              <w:top w:val="nil"/>
              <w:left w:val="nil"/>
              <w:bottom w:val="nil"/>
              <w:right w:val="nil"/>
            </w:tcBorders>
          </w:tcPr>
          <w:p w:rsidR="0053665A" w:rsidRPr="00D42DDB" w:rsidRDefault="00292023" w:rsidP="00330079">
            <w:pPr>
              <w:kinsoku/>
              <w:overflowPunct/>
              <w:autoSpaceDE/>
              <w:autoSpaceDN/>
              <w:adjustRightInd/>
              <w:snapToGrid/>
              <w:spacing w:before="40" w:after="40" w:line="240" w:lineRule="auto"/>
              <w:ind w:left="113" w:right="113"/>
              <w:rPr>
                <w:sz w:val="18"/>
                <w:szCs w:val="18"/>
              </w:rPr>
            </w:pPr>
            <w:r w:rsidRPr="00D42DDB">
              <w:rPr>
                <w:sz w:val="18"/>
                <w:szCs w:val="18"/>
              </w:rPr>
              <w:t>[</w:t>
            </w:r>
            <w:r w:rsidR="0053665A" w:rsidRPr="00D42DDB">
              <w:rPr>
                <w:sz w:val="18"/>
                <w:szCs w:val="18"/>
              </w:rPr>
              <w:t xml:space="preserve">Texte </w:t>
            </w:r>
            <w:r w:rsidR="00330079" w:rsidRPr="00D42DDB">
              <w:rPr>
                <w:sz w:val="18"/>
                <w:szCs w:val="18"/>
              </w:rPr>
              <w:br/>
            </w:r>
            <w:r w:rsidR="0053665A" w:rsidRPr="00D42DDB">
              <w:rPr>
                <w:sz w:val="18"/>
                <w:szCs w:val="18"/>
              </w:rPr>
              <w:t>de la mention de</w:t>
            </w:r>
            <w:r w:rsidR="00330079" w:rsidRPr="00D42DDB">
              <w:rPr>
                <w:sz w:val="18"/>
                <w:szCs w:val="18"/>
              </w:rPr>
              <w:t> </w:t>
            </w:r>
            <w:r w:rsidR="0053665A" w:rsidRPr="00D42DDB">
              <w:rPr>
                <w:sz w:val="18"/>
                <w:szCs w:val="18"/>
              </w:rPr>
              <w:t>danger</w:t>
            </w:r>
            <w:r w:rsidRPr="00D42DDB">
              <w:rPr>
                <w:sz w:val="18"/>
                <w:szCs w:val="18"/>
              </w:rPr>
              <w:t>]</w:t>
            </w:r>
          </w:p>
        </w:tc>
      </w:tr>
    </w:tbl>
    <w:p w:rsidR="0053665A" w:rsidRPr="00D42DDB" w:rsidRDefault="00BA0A81" w:rsidP="00BA0A81">
      <w:pPr>
        <w:pStyle w:val="SingleTxtG"/>
        <w:spacing w:before="240" w:after="0"/>
        <w:jc w:val="center"/>
        <w:rPr>
          <w:u w:val="single"/>
        </w:rPr>
      </w:pPr>
      <w:r w:rsidRPr="00D42DDB">
        <w:rPr>
          <w:u w:val="single"/>
        </w:rPr>
        <w:tab/>
      </w:r>
      <w:r w:rsidRPr="00D42DDB">
        <w:rPr>
          <w:u w:val="single"/>
        </w:rPr>
        <w:tab/>
      </w:r>
      <w:r w:rsidRPr="00D42DDB">
        <w:rPr>
          <w:u w:val="single"/>
        </w:rPr>
        <w:tab/>
      </w:r>
    </w:p>
    <w:sectPr w:rsidR="0053665A" w:rsidRPr="00D42DDB" w:rsidSect="0053665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47A" w:rsidRDefault="0051047A" w:rsidP="00F95C08">
      <w:pPr>
        <w:spacing w:line="240" w:lineRule="auto"/>
      </w:pPr>
    </w:p>
  </w:endnote>
  <w:endnote w:type="continuationSeparator" w:id="0">
    <w:p w:rsidR="0051047A" w:rsidRPr="00AC3823" w:rsidRDefault="0051047A" w:rsidP="00AC3823">
      <w:pPr>
        <w:pStyle w:val="Footer"/>
      </w:pPr>
    </w:p>
  </w:endnote>
  <w:endnote w:type="continuationNotice" w:id="1">
    <w:p w:rsidR="0051047A" w:rsidRDefault="005104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7A" w:rsidRPr="0053665A" w:rsidRDefault="0051047A" w:rsidP="0053665A">
    <w:pPr>
      <w:pStyle w:val="Footer"/>
      <w:tabs>
        <w:tab w:val="right" w:pos="9638"/>
      </w:tabs>
    </w:pPr>
    <w:r w:rsidRPr="0053665A">
      <w:rPr>
        <w:b/>
        <w:sz w:val="18"/>
      </w:rPr>
      <w:fldChar w:fldCharType="begin"/>
    </w:r>
    <w:r w:rsidRPr="0053665A">
      <w:rPr>
        <w:b/>
        <w:sz w:val="18"/>
      </w:rPr>
      <w:instrText xml:space="preserve"> PAGE  \* MERGEFORMAT </w:instrText>
    </w:r>
    <w:r w:rsidRPr="0053665A">
      <w:rPr>
        <w:b/>
        <w:sz w:val="18"/>
      </w:rPr>
      <w:fldChar w:fldCharType="separate"/>
    </w:r>
    <w:r w:rsidR="00331574">
      <w:rPr>
        <w:b/>
        <w:noProof/>
        <w:sz w:val="18"/>
      </w:rPr>
      <w:t>8</w:t>
    </w:r>
    <w:r w:rsidRPr="0053665A">
      <w:rPr>
        <w:b/>
        <w:sz w:val="18"/>
      </w:rPr>
      <w:fldChar w:fldCharType="end"/>
    </w:r>
    <w:r>
      <w:rPr>
        <w:b/>
        <w:sz w:val="18"/>
      </w:rPr>
      <w:tab/>
    </w:r>
    <w:r>
      <w:t>GE.16-16037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7A" w:rsidRPr="0053665A" w:rsidRDefault="0051047A" w:rsidP="0053665A">
    <w:pPr>
      <w:pStyle w:val="Footer"/>
      <w:tabs>
        <w:tab w:val="right" w:pos="9638"/>
      </w:tabs>
      <w:rPr>
        <w:b/>
        <w:sz w:val="18"/>
      </w:rPr>
    </w:pPr>
    <w:r>
      <w:t>GE.16-16037</w:t>
    </w:r>
    <w:r>
      <w:tab/>
    </w:r>
    <w:r w:rsidRPr="0053665A">
      <w:rPr>
        <w:b/>
        <w:sz w:val="18"/>
      </w:rPr>
      <w:fldChar w:fldCharType="begin"/>
    </w:r>
    <w:r w:rsidRPr="0053665A">
      <w:rPr>
        <w:b/>
        <w:sz w:val="18"/>
      </w:rPr>
      <w:instrText xml:space="preserve"> PAGE  \* MERGEFORMAT </w:instrText>
    </w:r>
    <w:r w:rsidRPr="0053665A">
      <w:rPr>
        <w:b/>
        <w:sz w:val="18"/>
      </w:rPr>
      <w:fldChar w:fldCharType="separate"/>
    </w:r>
    <w:r w:rsidR="00331574">
      <w:rPr>
        <w:b/>
        <w:noProof/>
        <w:sz w:val="18"/>
      </w:rPr>
      <w:t>9</w:t>
    </w:r>
    <w:r w:rsidRPr="005366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7A" w:rsidRPr="0053665A" w:rsidRDefault="0051047A" w:rsidP="0053665A">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0D556E92" wp14:editId="217F7CF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16-16037  (F)    201016    201016</w:t>
    </w:r>
    <w:r>
      <w:rPr>
        <w:sz w:val="20"/>
      </w:rPr>
      <w:br/>
    </w:r>
    <w:r w:rsidRPr="0053665A">
      <w:rPr>
        <w:rFonts w:ascii="C39T30Lfz" w:hAnsi="C39T30Lfz"/>
        <w:sz w:val="56"/>
      </w:rPr>
      <w:t></w:t>
    </w:r>
    <w:r w:rsidRPr="0053665A">
      <w:rPr>
        <w:rFonts w:ascii="C39T30Lfz" w:hAnsi="C39T30Lfz"/>
        <w:sz w:val="56"/>
      </w:rPr>
      <w:t></w:t>
    </w:r>
    <w:r w:rsidRPr="0053665A">
      <w:rPr>
        <w:rFonts w:ascii="C39T30Lfz" w:hAnsi="C39T30Lfz"/>
        <w:sz w:val="56"/>
      </w:rPr>
      <w:t></w:t>
    </w:r>
    <w:r w:rsidRPr="0053665A">
      <w:rPr>
        <w:rFonts w:ascii="C39T30Lfz" w:hAnsi="C39T30Lfz"/>
        <w:sz w:val="56"/>
      </w:rPr>
      <w:t></w:t>
    </w:r>
    <w:r w:rsidRPr="0053665A">
      <w:rPr>
        <w:rFonts w:ascii="C39T30Lfz" w:hAnsi="C39T30Lfz"/>
        <w:sz w:val="56"/>
      </w:rPr>
      <w:t></w:t>
    </w:r>
    <w:r w:rsidRPr="0053665A">
      <w:rPr>
        <w:rFonts w:ascii="C39T30Lfz" w:hAnsi="C39T30Lfz"/>
        <w:sz w:val="56"/>
      </w:rPr>
      <w:t></w:t>
    </w:r>
    <w:r w:rsidRPr="0053665A">
      <w:rPr>
        <w:rFonts w:ascii="C39T30Lfz" w:hAnsi="C39T30Lfz"/>
        <w:sz w:val="56"/>
      </w:rPr>
      <w:t></w:t>
    </w:r>
    <w:r w:rsidRPr="0053665A">
      <w:rPr>
        <w:rFonts w:ascii="C39T30Lfz" w:hAnsi="C39T30Lfz"/>
        <w:sz w:val="56"/>
      </w:rPr>
      <w:t></w:t>
    </w:r>
    <w:r w:rsidRPr="0053665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4/2016/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4/2016/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47A" w:rsidRPr="00AC3823" w:rsidRDefault="0051047A" w:rsidP="00AC3823">
      <w:pPr>
        <w:pStyle w:val="Footer"/>
        <w:tabs>
          <w:tab w:val="right" w:pos="2155"/>
        </w:tabs>
        <w:spacing w:after="80" w:line="240" w:lineRule="atLeast"/>
        <w:ind w:left="680"/>
        <w:rPr>
          <w:u w:val="single"/>
        </w:rPr>
      </w:pPr>
      <w:r>
        <w:rPr>
          <w:u w:val="single"/>
        </w:rPr>
        <w:tab/>
      </w:r>
    </w:p>
  </w:footnote>
  <w:footnote w:type="continuationSeparator" w:id="0">
    <w:p w:rsidR="0051047A" w:rsidRPr="00AC3823" w:rsidRDefault="0051047A" w:rsidP="00AC3823">
      <w:pPr>
        <w:pStyle w:val="Footer"/>
        <w:tabs>
          <w:tab w:val="right" w:pos="2155"/>
        </w:tabs>
        <w:spacing w:after="80" w:line="240" w:lineRule="atLeast"/>
        <w:ind w:left="680"/>
        <w:rPr>
          <w:u w:val="single"/>
        </w:rPr>
      </w:pPr>
      <w:r>
        <w:rPr>
          <w:u w:val="single"/>
        </w:rPr>
        <w:tab/>
      </w:r>
    </w:p>
  </w:footnote>
  <w:footnote w:type="continuationNotice" w:id="1">
    <w:p w:rsidR="0051047A" w:rsidRPr="00AC3823" w:rsidRDefault="0051047A">
      <w:pPr>
        <w:spacing w:line="240" w:lineRule="auto"/>
        <w:rPr>
          <w:sz w:val="2"/>
          <w:szCs w:val="2"/>
        </w:rPr>
      </w:pPr>
    </w:p>
  </w:footnote>
  <w:footnote w:id="2">
    <w:p w:rsidR="0051047A" w:rsidRPr="00D42DDB" w:rsidRDefault="0051047A" w:rsidP="00FA7EC3">
      <w:pPr>
        <w:pStyle w:val="FootnoteText"/>
      </w:pPr>
      <w:r w:rsidRPr="00D42DDB">
        <w:tab/>
      </w:r>
      <w:r w:rsidRPr="00D42DDB">
        <w:rPr>
          <w:rStyle w:val="FootnoteReference"/>
        </w:rPr>
        <w:footnoteRef/>
      </w:r>
      <w:r w:rsidRPr="00D42DDB">
        <w:t xml:space="preserve"> </w:t>
      </w:r>
      <w:r w:rsidRPr="00D42DDB">
        <w:tab/>
        <w:t>Conformément au programme de travail du Sous-Comité pour la période 2015-2016, adopté par le Comité à sa septième session (voir ST/SG/AC.10/C.3/92, par.</w:t>
      </w:r>
      <w:r w:rsidR="00FA7EC3" w:rsidRPr="00D42DDB">
        <w:t> </w:t>
      </w:r>
      <w:r w:rsidRPr="00D42DDB">
        <w:t>95, ST/</w:t>
      </w:r>
      <w:r w:rsidR="00FA7EC3" w:rsidRPr="00D42DDB">
        <w:t>SG/AC.10/C.4/60, annexe III, et </w:t>
      </w:r>
      <w:r w:rsidRPr="00D42DDB">
        <w:t>ST/SG/AC.10/42, par.</w:t>
      </w:r>
      <w:r w:rsidR="00FA7EC3" w:rsidRPr="00D42DDB">
        <w:t> </w:t>
      </w:r>
      <w:r w:rsidRPr="00D42DDB">
        <w:t>15).</w:t>
      </w:r>
    </w:p>
  </w:footnote>
  <w:footnote w:id="3">
    <w:p w:rsidR="0051047A" w:rsidRPr="00D42DDB" w:rsidRDefault="0051047A" w:rsidP="0053665A">
      <w:pPr>
        <w:pStyle w:val="FootnoteText"/>
      </w:pPr>
      <w:r w:rsidRPr="00D42DDB">
        <w:tab/>
      </w:r>
      <w:r w:rsidRPr="00D42DDB">
        <w:rPr>
          <w:rStyle w:val="FootnoteReference"/>
        </w:rPr>
        <w:footnoteRef/>
      </w:r>
      <w:r w:rsidRPr="00D42DDB">
        <w:t xml:space="preserve"> </w:t>
      </w:r>
      <w:r w:rsidRPr="00D42DDB">
        <w:tab/>
        <w:t>Programme de travail du Sous-Comité d’experts du Système général harmonisé de classification et d’étiquetage des produits chimiques pour 2015-2016 (voir ST/SG/AC.10/C.4/56, annexe</w:t>
      </w:r>
      <w:r w:rsidR="00FA7EC3" w:rsidRPr="00D42DDB">
        <w:t> </w:t>
      </w:r>
      <w:r w:rsidRPr="00D42DDB">
        <w:t>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7A" w:rsidRPr="0053665A" w:rsidRDefault="0051047A">
    <w:pPr>
      <w:pStyle w:val="Header"/>
    </w:pPr>
    <w:r>
      <w:t>ST/SG/AC.10/C.4/2016/17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7A" w:rsidRPr="0053665A" w:rsidRDefault="0051047A" w:rsidP="0053665A">
    <w:pPr>
      <w:pStyle w:val="Header"/>
      <w:jc w:val="right"/>
    </w:pPr>
    <w:r>
      <w:t>ST/SG/AC.10/C.4/2016/17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CE60FA5"/>
    <w:multiLevelType w:val="hybridMultilevel"/>
    <w:tmpl w:val="D660A89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CF4EB2"/>
    <w:multiLevelType w:val="hybridMultilevel"/>
    <w:tmpl w:val="DA08FAAC"/>
    <w:lvl w:ilvl="0" w:tplc="356CCBB4">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65FCE91A"/>
    <w:lvl w:ilvl="0" w:tplc="25A212F4">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2"/>
  </w:num>
  <w:num w:numId="17">
    <w:abstractNumId w:val="17"/>
  </w:num>
  <w:num w:numId="18">
    <w:abstractNumId w:val="10"/>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42"/>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92023"/>
    <w:rsid w:val="002D7C93"/>
    <w:rsid w:val="00330079"/>
    <w:rsid w:val="00331574"/>
    <w:rsid w:val="0035778A"/>
    <w:rsid w:val="003E5A42"/>
    <w:rsid w:val="00441C3B"/>
    <w:rsid w:val="00446FE5"/>
    <w:rsid w:val="00452396"/>
    <w:rsid w:val="0048777F"/>
    <w:rsid w:val="004E468C"/>
    <w:rsid w:val="0051047A"/>
    <w:rsid w:val="0053665A"/>
    <w:rsid w:val="005505B7"/>
    <w:rsid w:val="005610F2"/>
    <w:rsid w:val="00573BE5"/>
    <w:rsid w:val="00586ED3"/>
    <w:rsid w:val="00593BD0"/>
    <w:rsid w:val="00596AA9"/>
    <w:rsid w:val="0068456F"/>
    <w:rsid w:val="0071601D"/>
    <w:rsid w:val="0076369A"/>
    <w:rsid w:val="007A62E6"/>
    <w:rsid w:val="0080684C"/>
    <w:rsid w:val="00871C75"/>
    <w:rsid w:val="008776DC"/>
    <w:rsid w:val="009705C8"/>
    <w:rsid w:val="009C1CF4"/>
    <w:rsid w:val="00A30353"/>
    <w:rsid w:val="00AC3823"/>
    <w:rsid w:val="00AE323C"/>
    <w:rsid w:val="00B00181"/>
    <w:rsid w:val="00B00B0D"/>
    <w:rsid w:val="00B21342"/>
    <w:rsid w:val="00B765F7"/>
    <w:rsid w:val="00BA0A81"/>
    <w:rsid w:val="00BA0CA9"/>
    <w:rsid w:val="00C02897"/>
    <w:rsid w:val="00D3439C"/>
    <w:rsid w:val="00D42DDB"/>
    <w:rsid w:val="00DB1831"/>
    <w:rsid w:val="00DD3BFD"/>
    <w:rsid w:val="00DF6678"/>
    <w:rsid w:val="00EF2E22"/>
    <w:rsid w:val="00F660DF"/>
    <w:rsid w:val="00F730C8"/>
    <w:rsid w:val="00F95C08"/>
    <w:rsid w:val="00FA7EC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ListParagraph">
    <w:name w:val="List Paragraph"/>
    <w:basedOn w:val="Normal"/>
    <w:uiPriority w:val="34"/>
    <w:qFormat/>
    <w:rsid w:val="0053665A"/>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ListParagraph">
    <w:name w:val="List Paragraph"/>
    <w:basedOn w:val="Normal"/>
    <w:uiPriority w:val="34"/>
    <w:qFormat/>
    <w:rsid w:val="0053665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2911</Words>
  <Characters>16598</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ST/SG/AC.10/C.4/2016/17</vt:lpstr>
      <vt:lpstr>ST/SG/AC.10/C.4/2016/17</vt:lpstr>
    </vt:vector>
  </TitlesOfParts>
  <Company>DCM</Company>
  <LinksUpToDate>false</LinksUpToDate>
  <CharactersWithSpaces>19471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ST/SG/AC.10/C.4/2016/17</dc:title>
  <dc:creator>Morin</dc:creator>
  <cp:lastModifiedBy>Laurence Berthet</cp:lastModifiedBy>
  <cp:revision>2</cp:revision>
  <cp:lastPrinted>2016-10-21T06:06:00Z</cp:lastPrinted>
  <dcterms:created xsi:type="dcterms:W3CDTF">2016-10-21T06:06:00Z</dcterms:created>
  <dcterms:modified xsi:type="dcterms:W3CDTF">2016-10-21T06:06:00Z</dcterms:modified>
</cp:coreProperties>
</file>