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3F593D">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F593D" w:rsidRPr="00DB58B5" w:rsidRDefault="003F593D" w:rsidP="003F593D">
            <w:pPr>
              <w:jc w:val="right"/>
            </w:pPr>
            <w:r w:rsidRPr="003F593D">
              <w:rPr>
                <w:sz w:val="40"/>
              </w:rPr>
              <w:t>ST</w:t>
            </w:r>
            <w:r>
              <w:t>/SG/AC.10/C.3/2016/53−</w:t>
            </w:r>
            <w:r w:rsidRPr="003F593D">
              <w:rPr>
                <w:sz w:val="40"/>
              </w:rPr>
              <w:t>ST</w:t>
            </w:r>
            <w:r>
              <w:t>/SG/AC.10/C.4/2016/14</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3F593D" w:rsidP="009C3129">
            <w:pPr>
              <w:spacing w:before="240"/>
            </w:pPr>
            <w:r>
              <w:t>Distr. générale</w:t>
            </w:r>
          </w:p>
          <w:p w:rsidR="003F593D" w:rsidRDefault="003F593D" w:rsidP="003F593D">
            <w:pPr>
              <w:spacing w:line="240" w:lineRule="exact"/>
            </w:pPr>
            <w:r>
              <w:t>6 septembre 2016</w:t>
            </w:r>
          </w:p>
          <w:p w:rsidR="003F593D" w:rsidRDefault="003F593D" w:rsidP="003F593D">
            <w:pPr>
              <w:spacing w:line="240" w:lineRule="exact"/>
            </w:pPr>
            <w:r>
              <w:t>Français</w:t>
            </w:r>
          </w:p>
          <w:p w:rsidR="003F593D" w:rsidRPr="00DB58B5" w:rsidRDefault="003F593D" w:rsidP="003F593D">
            <w:pPr>
              <w:spacing w:line="240" w:lineRule="exact"/>
            </w:pPr>
            <w:r>
              <w:t>Original : anglais</w:t>
            </w:r>
          </w:p>
        </w:tc>
      </w:tr>
    </w:tbl>
    <w:p w:rsidR="003F593D" w:rsidRPr="00CA0680" w:rsidRDefault="003F593D" w:rsidP="000305D3">
      <w:pPr>
        <w:spacing w:before="120"/>
        <w:rPr>
          <w:b/>
          <w:sz w:val="24"/>
          <w:szCs w:val="24"/>
        </w:rPr>
      </w:pPr>
      <w:r w:rsidRPr="00CA0680">
        <w:rPr>
          <w:b/>
          <w:sz w:val="24"/>
          <w:szCs w:val="24"/>
        </w:rPr>
        <w:t>Comité d</w:t>
      </w:r>
      <w:r w:rsidR="00F3056D">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sidR="00F3056D">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F3056D">
        <w:rPr>
          <w:b/>
          <w:sz w:val="24"/>
          <w:szCs w:val="24"/>
        </w:rPr>
        <w:t xml:space="preserve"> </w:t>
      </w:r>
      <w:r>
        <w:rPr>
          <w:b/>
          <w:sz w:val="24"/>
          <w:szCs w:val="24"/>
        </w:rPr>
        <w:br/>
      </w:r>
      <w:r w:rsidRPr="00CA0680">
        <w:rPr>
          <w:b/>
          <w:sz w:val="24"/>
          <w:szCs w:val="24"/>
        </w:rPr>
        <w:t>et d</w:t>
      </w:r>
      <w:r w:rsidR="00F3056D">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3F593D" w:rsidTr="009C3129">
        <w:tc>
          <w:tcPr>
            <w:tcW w:w="4820" w:type="dxa"/>
          </w:tcPr>
          <w:p w:rsidR="003F593D" w:rsidRDefault="003F593D" w:rsidP="009C3129">
            <w:pPr>
              <w:spacing w:before="120"/>
              <w:rPr>
                <w:b/>
              </w:rPr>
            </w:pPr>
            <w:r w:rsidRPr="00CA0680">
              <w:rPr>
                <w:b/>
              </w:rPr>
              <w:t>Sous</w:t>
            </w:r>
            <w:r>
              <w:rPr>
                <w:b/>
              </w:rPr>
              <w:t>-</w:t>
            </w:r>
            <w:r w:rsidRPr="00CA0680">
              <w:rPr>
                <w:b/>
              </w:rPr>
              <w:t>Comité d</w:t>
            </w:r>
            <w:r w:rsidR="00F3056D">
              <w:rPr>
                <w:b/>
              </w:rPr>
              <w:t>’</w:t>
            </w:r>
            <w:r w:rsidRPr="00CA0680">
              <w:rPr>
                <w:b/>
              </w:rPr>
              <w:t>experts du transport</w:t>
            </w:r>
            <w:r w:rsidR="00F3056D">
              <w:rPr>
                <w:b/>
              </w:rPr>
              <w:t xml:space="preserve"> </w:t>
            </w:r>
            <w:r>
              <w:rPr>
                <w:b/>
              </w:rPr>
              <w:br/>
            </w:r>
            <w:r w:rsidRPr="00CA0680">
              <w:rPr>
                <w:b/>
              </w:rPr>
              <w:t>des marchandises dangereuses</w:t>
            </w:r>
          </w:p>
        </w:tc>
        <w:tc>
          <w:tcPr>
            <w:tcW w:w="4820" w:type="dxa"/>
          </w:tcPr>
          <w:p w:rsidR="003F593D" w:rsidRDefault="003F593D" w:rsidP="009C3129">
            <w:pPr>
              <w:spacing w:before="120"/>
              <w:rPr>
                <w:b/>
              </w:rPr>
            </w:pPr>
            <w:r>
              <w:rPr>
                <w:b/>
              </w:rPr>
              <w:t>Sous-Comité d</w:t>
            </w:r>
            <w:r w:rsidR="00F3056D">
              <w:rPr>
                <w:b/>
              </w:rPr>
              <w:t>’</w:t>
            </w:r>
            <w:r>
              <w:rPr>
                <w:b/>
              </w:rPr>
              <w:t>experts du Système général harmonisé de classification et d</w:t>
            </w:r>
            <w:r w:rsidR="00F3056D">
              <w:rPr>
                <w:b/>
              </w:rPr>
              <w:t>’</w:t>
            </w:r>
            <w:r>
              <w:rPr>
                <w:b/>
              </w:rPr>
              <w:t>étiquetage des produits chimiques</w:t>
            </w:r>
          </w:p>
        </w:tc>
      </w:tr>
      <w:tr w:rsidR="003F593D" w:rsidTr="009C3129">
        <w:tc>
          <w:tcPr>
            <w:tcW w:w="4820" w:type="dxa"/>
          </w:tcPr>
          <w:p w:rsidR="003F593D" w:rsidRPr="00CA0680" w:rsidRDefault="002D5F2F" w:rsidP="009C3129">
            <w:pPr>
              <w:spacing w:before="120"/>
              <w:rPr>
                <w:b/>
              </w:rPr>
            </w:pPr>
            <w:r w:rsidRPr="000C004E">
              <w:rPr>
                <w:b/>
                <w:lang w:val="fr-FR"/>
              </w:rPr>
              <w:t>Cinquantième</w:t>
            </w:r>
            <w:r w:rsidR="003F593D">
              <w:rPr>
                <w:b/>
              </w:rPr>
              <w:t xml:space="preserve"> </w:t>
            </w:r>
            <w:r w:rsidR="003F593D" w:rsidRPr="00CA0680">
              <w:rPr>
                <w:b/>
              </w:rPr>
              <w:t>session</w:t>
            </w:r>
          </w:p>
        </w:tc>
        <w:tc>
          <w:tcPr>
            <w:tcW w:w="4820" w:type="dxa"/>
          </w:tcPr>
          <w:p w:rsidR="003F593D" w:rsidRDefault="002D5F2F" w:rsidP="009C3129">
            <w:pPr>
              <w:spacing w:before="120"/>
              <w:rPr>
                <w:b/>
              </w:rPr>
            </w:pPr>
            <w:r w:rsidRPr="000C004E">
              <w:rPr>
                <w:b/>
                <w:lang w:val="fr-FR"/>
              </w:rPr>
              <w:t>Trente-deuxième</w:t>
            </w:r>
            <w:r w:rsidR="003F593D">
              <w:rPr>
                <w:b/>
              </w:rPr>
              <w:t xml:space="preserve"> session</w:t>
            </w:r>
          </w:p>
        </w:tc>
      </w:tr>
      <w:tr w:rsidR="003F593D" w:rsidTr="009C3129">
        <w:tc>
          <w:tcPr>
            <w:tcW w:w="4820" w:type="dxa"/>
          </w:tcPr>
          <w:p w:rsidR="003F593D" w:rsidRDefault="003F593D" w:rsidP="009C3129">
            <w:r>
              <w:t xml:space="preserve">Genève, </w:t>
            </w:r>
            <w:r w:rsidR="002D5F2F" w:rsidRPr="000C004E">
              <w:rPr>
                <w:lang w:val="fr-FR"/>
              </w:rPr>
              <w:t>28 novembre-6 décembre 2016</w:t>
            </w:r>
          </w:p>
          <w:p w:rsidR="003F593D" w:rsidRDefault="003F593D" w:rsidP="009C3129">
            <w:r>
              <w:t xml:space="preserve">Point </w:t>
            </w:r>
            <w:r w:rsidR="002D5F2F" w:rsidRPr="000C004E">
              <w:rPr>
                <w:lang w:val="fr-FR"/>
              </w:rPr>
              <w:t xml:space="preserve">2 b) </w:t>
            </w:r>
            <w:r>
              <w:t>de l</w:t>
            </w:r>
            <w:r w:rsidR="00F3056D">
              <w:t>’</w:t>
            </w:r>
            <w:r>
              <w:t>ordre du jour provisoire</w:t>
            </w:r>
          </w:p>
          <w:p w:rsidR="003F593D" w:rsidRPr="00971C0D" w:rsidRDefault="002D5F2F" w:rsidP="009C3129">
            <w:pPr>
              <w:rPr>
                <w:b/>
              </w:rPr>
            </w:pPr>
            <w:r w:rsidRPr="00971C0D">
              <w:rPr>
                <w:b/>
                <w:lang w:val="fr-FR"/>
              </w:rPr>
              <w:t xml:space="preserve">Recommandations du Sous-Comité formulées </w:t>
            </w:r>
            <w:r w:rsidR="00971C0D">
              <w:rPr>
                <w:b/>
                <w:lang w:val="fr-FR"/>
              </w:rPr>
              <w:br/>
            </w:r>
            <w:r w:rsidRPr="00971C0D">
              <w:rPr>
                <w:b/>
                <w:lang w:val="fr-FR"/>
              </w:rPr>
              <w:t xml:space="preserve">à ses quarante-septième, quarante-huitième </w:t>
            </w:r>
            <w:r w:rsidR="005C54D4">
              <w:rPr>
                <w:b/>
                <w:lang w:val="fr-FR"/>
              </w:rPr>
              <w:br/>
            </w:r>
            <w:r w:rsidRPr="00971C0D">
              <w:rPr>
                <w:b/>
                <w:lang w:val="fr-FR"/>
              </w:rPr>
              <w:t xml:space="preserve">et quarante-neuvième sessions et questions </w:t>
            </w:r>
            <w:r w:rsidR="005C54D4">
              <w:rPr>
                <w:b/>
                <w:lang w:val="fr-FR"/>
              </w:rPr>
              <w:br/>
            </w:r>
            <w:r w:rsidRPr="00971C0D">
              <w:rPr>
                <w:b/>
                <w:lang w:val="fr-FR"/>
              </w:rPr>
              <w:t>en suspens</w:t>
            </w:r>
            <w:r w:rsidR="00CC152B" w:rsidRPr="00971C0D">
              <w:rPr>
                <w:b/>
                <w:lang w:val="fr-FR"/>
              </w:rPr>
              <w:t> :</w:t>
            </w:r>
            <w:r w:rsidRPr="00971C0D">
              <w:rPr>
                <w:b/>
                <w:lang w:val="fr-FR"/>
              </w:rPr>
              <w:t xml:space="preserve"> explosifs et questions connexes</w:t>
            </w:r>
          </w:p>
        </w:tc>
        <w:tc>
          <w:tcPr>
            <w:tcW w:w="4820" w:type="dxa"/>
          </w:tcPr>
          <w:p w:rsidR="003F593D" w:rsidRDefault="003F593D" w:rsidP="009C3129">
            <w:r>
              <w:t xml:space="preserve">Genève, </w:t>
            </w:r>
            <w:r w:rsidR="002D5F2F" w:rsidRPr="000C004E">
              <w:rPr>
                <w:lang w:val="fr-FR"/>
              </w:rPr>
              <w:t>7-9 décembre 2016</w:t>
            </w:r>
          </w:p>
          <w:p w:rsidR="003F593D" w:rsidRDefault="003F593D" w:rsidP="009C3129">
            <w:r>
              <w:t xml:space="preserve">Point </w:t>
            </w:r>
            <w:r w:rsidR="002D5F2F" w:rsidRPr="000C004E">
              <w:rPr>
                <w:lang w:val="fr-FR"/>
              </w:rPr>
              <w:t xml:space="preserve">2 a) </w:t>
            </w:r>
            <w:r>
              <w:t>de l</w:t>
            </w:r>
            <w:r w:rsidR="00F3056D">
              <w:t>’</w:t>
            </w:r>
            <w:r>
              <w:t>ordre du jour provisoire</w:t>
            </w:r>
          </w:p>
          <w:p w:rsidR="003F593D" w:rsidRPr="003B79D9" w:rsidRDefault="002D5F2F" w:rsidP="009C3129">
            <w:pPr>
              <w:rPr>
                <w:b/>
              </w:rPr>
            </w:pPr>
            <w:r w:rsidRPr="000C004E">
              <w:rPr>
                <w:b/>
                <w:lang w:val="fr-FR"/>
              </w:rPr>
              <w:t xml:space="preserve">Critères de classification et communication </w:t>
            </w:r>
            <w:r w:rsidR="001C5D01">
              <w:rPr>
                <w:b/>
                <w:lang w:val="fr-FR"/>
              </w:rPr>
              <w:br/>
            </w:r>
            <w:r w:rsidRPr="000C004E">
              <w:rPr>
                <w:b/>
                <w:lang w:val="fr-FR"/>
              </w:rPr>
              <w:t>des dangers y relatifs</w:t>
            </w:r>
            <w:r w:rsidR="00CC152B">
              <w:rPr>
                <w:b/>
                <w:lang w:val="fr-FR"/>
              </w:rPr>
              <w:t> :</w:t>
            </w:r>
            <w:r w:rsidRPr="000C004E">
              <w:rPr>
                <w:b/>
                <w:lang w:val="fr-FR"/>
              </w:rPr>
              <w:t xml:space="preserve"> recommandations </w:t>
            </w:r>
            <w:r w:rsidR="001C5D01">
              <w:rPr>
                <w:b/>
                <w:lang w:val="fr-FR"/>
              </w:rPr>
              <w:br/>
            </w:r>
            <w:r w:rsidRPr="000C004E">
              <w:rPr>
                <w:b/>
                <w:lang w:val="fr-FR"/>
              </w:rPr>
              <w:t xml:space="preserve">du </w:t>
            </w:r>
            <w:r w:rsidRPr="000C004E">
              <w:rPr>
                <w:b/>
                <w:lang w:val="fr-FR"/>
              </w:rPr>
              <w:t>Sous-Comité formulées à ses vingt-neuvième, trentième et trente et unième sessions</w:t>
            </w:r>
          </w:p>
        </w:tc>
      </w:tr>
    </w:tbl>
    <w:p w:rsidR="000E6D44" w:rsidRPr="00AD18DF" w:rsidRDefault="002D5F2F" w:rsidP="0053033E">
      <w:pPr>
        <w:pStyle w:val="HChG"/>
      </w:pPr>
      <w:r w:rsidRPr="00AD18DF">
        <w:rPr>
          <w:lang w:val="fr-FR"/>
        </w:rPr>
        <w:tab/>
      </w:r>
      <w:r w:rsidRPr="00AD18DF">
        <w:rPr>
          <w:lang w:val="fr-FR"/>
        </w:rPr>
        <w:tab/>
        <w:t xml:space="preserve">Chapitre 2.1 du Règlement type </w:t>
      </w:r>
      <w:r w:rsidR="00F81CD0">
        <w:rPr>
          <w:lang w:val="fr-FR"/>
        </w:rPr>
        <w:t>−</w:t>
      </w:r>
      <w:r w:rsidR="00CC152B">
        <w:rPr>
          <w:lang w:val="fr-FR"/>
        </w:rPr>
        <w:t xml:space="preserve"> </w:t>
      </w:r>
      <w:r w:rsidRPr="00AD18DF">
        <w:rPr>
          <w:lang w:val="fr-FR"/>
        </w:rPr>
        <w:t xml:space="preserve">Classe 1, matières </w:t>
      </w:r>
      <w:r w:rsidR="00F81CD0">
        <w:rPr>
          <w:lang w:val="fr-FR"/>
        </w:rPr>
        <w:br/>
      </w:r>
      <w:r w:rsidRPr="00AD18DF">
        <w:rPr>
          <w:lang w:val="fr-FR"/>
        </w:rPr>
        <w:t>et objets explosibles</w:t>
      </w:r>
      <w:r w:rsidR="0053033E">
        <w:rPr>
          <w:lang w:val="fr-FR"/>
        </w:rPr>
        <w:t xml:space="preserve"> </w:t>
      </w:r>
      <w:r w:rsidR="0053033E">
        <w:rPr>
          <w:lang w:val="fr-FR"/>
        </w:rPr>
        <w:br/>
      </w:r>
      <w:r w:rsidRPr="00AD18DF">
        <w:rPr>
          <w:lang w:val="fr-FR"/>
        </w:rPr>
        <w:t>Chapitre 2.1 du SGH − Matières et objets explosibles</w:t>
      </w:r>
    </w:p>
    <w:p w:rsidR="000E6D44" w:rsidRPr="00AD18DF" w:rsidRDefault="002D5F2F" w:rsidP="0053033E">
      <w:pPr>
        <w:pStyle w:val="H1G"/>
      </w:pPr>
      <w:r w:rsidRPr="00AD18DF">
        <w:rPr>
          <w:lang w:val="fr-FR"/>
        </w:rPr>
        <w:tab/>
      </w:r>
      <w:r w:rsidRPr="00AD18DF">
        <w:rPr>
          <w:lang w:val="fr-FR"/>
        </w:rPr>
        <w:tab/>
        <w:t>Communication de l</w:t>
      </w:r>
      <w:r w:rsidR="00F3056D">
        <w:rPr>
          <w:lang w:val="fr-FR"/>
        </w:rPr>
        <w:t>’</w:t>
      </w:r>
      <w:r w:rsidRPr="00AD18DF">
        <w:rPr>
          <w:lang w:val="fr-FR"/>
        </w:rPr>
        <w:t>Australian Explosive</w:t>
      </w:r>
      <w:r w:rsidRPr="00AD18DF">
        <w:rPr>
          <w:lang w:val="fr-FR"/>
        </w:rPr>
        <w:t xml:space="preserve">s Industry </w:t>
      </w:r>
      <w:r w:rsidR="0053033E">
        <w:rPr>
          <w:lang w:val="fr-FR"/>
        </w:rPr>
        <w:br/>
      </w:r>
      <w:r w:rsidRPr="00AD18DF">
        <w:rPr>
          <w:lang w:val="fr-FR"/>
        </w:rPr>
        <w:t>and Safety Group (AEISG)</w:t>
      </w:r>
      <w:r w:rsidR="00A81D91" w:rsidRPr="005C54D4">
        <w:rPr>
          <w:rStyle w:val="FootnoteReference"/>
          <w:b w:val="0"/>
        </w:rPr>
        <w:footnoteReference w:id="2"/>
      </w:r>
    </w:p>
    <w:p w:rsidR="000E6D44" w:rsidRPr="00AD18DF" w:rsidRDefault="002D5F2F" w:rsidP="0053033E">
      <w:pPr>
        <w:pStyle w:val="HChG"/>
      </w:pPr>
      <w:r w:rsidRPr="00AD18DF">
        <w:rPr>
          <w:lang w:val="fr-FR"/>
        </w:rPr>
        <w:tab/>
      </w:r>
      <w:r w:rsidRPr="00AD18DF">
        <w:rPr>
          <w:lang w:val="fr-FR"/>
        </w:rPr>
        <w:tab/>
        <w:t>Introduction</w:t>
      </w:r>
    </w:p>
    <w:p w:rsidR="000E6D44" w:rsidRPr="00AD18DF" w:rsidRDefault="002D5F2F" w:rsidP="0053033E">
      <w:pPr>
        <w:pStyle w:val="ParNoG"/>
      </w:pPr>
      <w:r w:rsidRPr="00AD18DF">
        <w:rPr>
          <w:lang w:val="fr-FR"/>
        </w:rPr>
        <w:t>Le paragraphe 2.1.1.1 de la version en langue anglaise des Recommandations relatives au transport des marchandises dangereuses, Règlement type, se lit actuellement comme suit</w:t>
      </w:r>
      <w:r w:rsidR="00CC152B">
        <w:rPr>
          <w:lang w:val="fr-FR"/>
        </w:rPr>
        <w:t> :</w:t>
      </w:r>
    </w:p>
    <w:p w:rsidR="000E6D44" w:rsidRPr="00AD18DF" w:rsidRDefault="00EB18BD" w:rsidP="0053033E">
      <w:pPr>
        <w:pStyle w:val="SingleTxtG"/>
        <w:ind w:left="1701"/>
        <w:rPr>
          <w:lang w:val="en-US"/>
        </w:rPr>
      </w:pPr>
      <w:r w:rsidRPr="00EB18BD">
        <w:rPr>
          <w:lang w:val="fr-FR"/>
        </w:rPr>
        <w:t>« </w:t>
      </w:r>
      <w:r w:rsidR="002D5F2F" w:rsidRPr="00AD18DF">
        <w:rPr>
          <w:lang w:val="en-US"/>
        </w:rPr>
        <w:t>2.1.1.1</w:t>
      </w:r>
      <w:r w:rsidR="002D5F2F" w:rsidRPr="00AD18DF">
        <w:rPr>
          <w:lang w:val="en-US"/>
        </w:rPr>
        <w:tab/>
        <w:t>Class 1 comprise</w:t>
      </w:r>
      <w:r w:rsidR="002D5F2F" w:rsidRPr="00AD18DF">
        <w:rPr>
          <w:lang w:val="en-US"/>
        </w:rPr>
        <w:t>s</w:t>
      </w:r>
      <w:r w:rsidR="00CC152B">
        <w:rPr>
          <w:lang w:val="en-US"/>
        </w:rPr>
        <w:t> :</w:t>
      </w:r>
    </w:p>
    <w:p w:rsidR="000E6D44" w:rsidRPr="00AD18DF" w:rsidRDefault="002D5F2F" w:rsidP="00F3056D">
      <w:pPr>
        <w:pStyle w:val="SingleTxtG"/>
        <w:ind w:left="1701"/>
        <w:rPr>
          <w:lang w:val="en-US"/>
        </w:rPr>
      </w:pPr>
      <w:r w:rsidRPr="00AD18DF">
        <w:rPr>
          <w:lang w:val="en-US"/>
        </w:rPr>
        <w:t>(a)</w:t>
      </w:r>
      <w:r w:rsidRPr="00AD18DF">
        <w:rPr>
          <w:lang w:val="en-US"/>
        </w:rPr>
        <w:tab/>
        <w:t xml:space="preserve">Explosive substances (a substance which is not itself an explosive but which can form an explosive atmosphere of gas, vapor or dust is not included in Class 1), except those that are too dangerous to transport or those where the predominant hazard </w:t>
      </w:r>
      <w:r w:rsidRPr="00AD18DF">
        <w:rPr>
          <w:lang w:val="en-US"/>
        </w:rPr>
        <w:t xml:space="preserve">is appropriate to another </w:t>
      </w:r>
      <w:proofErr w:type="gramStart"/>
      <w:r w:rsidRPr="00AD18DF">
        <w:rPr>
          <w:lang w:val="en-US"/>
        </w:rPr>
        <w:t>class</w:t>
      </w:r>
      <w:r w:rsidR="00CC152B">
        <w:rPr>
          <w:lang w:val="en-US"/>
        </w:rPr>
        <w:t> ;</w:t>
      </w:r>
      <w:proofErr w:type="gramEnd"/>
    </w:p>
    <w:p w:rsidR="000E6D44" w:rsidRPr="00AD18DF" w:rsidRDefault="002D5F2F" w:rsidP="0053033E">
      <w:pPr>
        <w:pStyle w:val="SingleTxtG"/>
        <w:ind w:left="1701"/>
        <w:rPr>
          <w:lang w:val="en-US"/>
        </w:rPr>
      </w:pPr>
      <w:r w:rsidRPr="00AD18DF">
        <w:rPr>
          <w:lang w:val="en-US"/>
        </w:rPr>
        <w:lastRenderedPageBreak/>
        <w:t>(b)</w:t>
      </w:r>
      <w:r w:rsidRPr="00AD18DF">
        <w:rPr>
          <w:lang w:val="en-US"/>
        </w:rPr>
        <w:tab/>
        <w:t>Explosive articles, except devices containing explosive substances in such quantity or of such a character that their inadvertent or accidental ignition or initiation during transport shall not cause any effect externa</w:t>
      </w:r>
      <w:r w:rsidRPr="00AD18DF">
        <w:rPr>
          <w:lang w:val="en-US"/>
        </w:rPr>
        <w:t>l to the device either by projection, fire, smoke, heat or loud noise (see 2.1.3.6)</w:t>
      </w:r>
      <w:r w:rsidR="00CC152B">
        <w:rPr>
          <w:lang w:val="en-US"/>
        </w:rPr>
        <w:t> ;</w:t>
      </w:r>
      <w:r w:rsidRPr="00AD18DF">
        <w:rPr>
          <w:lang w:val="en-US"/>
        </w:rPr>
        <w:t xml:space="preserve"> and</w:t>
      </w:r>
    </w:p>
    <w:p w:rsidR="00F3056D" w:rsidRPr="00971C0D" w:rsidRDefault="002D5F2F" w:rsidP="0053033E">
      <w:pPr>
        <w:pStyle w:val="SingleTxtG"/>
        <w:ind w:left="1701"/>
        <w:rPr>
          <w:spacing w:val="-2"/>
          <w:lang w:val="en-US"/>
        </w:rPr>
      </w:pPr>
      <w:r w:rsidRPr="00971C0D">
        <w:rPr>
          <w:spacing w:val="-2"/>
          <w:lang w:val="en-US"/>
        </w:rPr>
        <w:t>(c)</w:t>
      </w:r>
      <w:r w:rsidRPr="00971C0D">
        <w:rPr>
          <w:spacing w:val="-2"/>
          <w:lang w:val="en-US"/>
        </w:rPr>
        <w:tab/>
        <w:t>Substances and articles not mentioned under (a) and (b) which are manufactured with a view to producing a practical, explosive or pyrotechnic effect.</w:t>
      </w:r>
      <w:r w:rsidR="00EB18BD" w:rsidRPr="00971C0D">
        <w:rPr>
          <w:spacing w:val="-2"/>
          <w:lang w:val="fr-FR"/>
        </w:rPr>
        <w:t> »</w:t>
      </w:r>
      <w:r w:rsidRPr="00971C0D">
        <w:rPr>
          <w:spacing w:val="-2"/>
          <w:lang w:val="en-US"/>
        </w:rPr>
        <w:t>.</w:t>
      </w:r>
    </w:p>
    <w:p w:rsidR="000E6D44" w:rsidRPr="00AD18DF" w:rsidRDefault="002D5F2F" w:rsidP="0053033E">
      <w:pPr>
        <w:pStyle w:val="ParNoG"/>
        <w:rPr>
          <w:lang w:val="fr-FR"/>
        </w:rPr>
      </w:pPr>
      <w:r w:rsidRPr="00AD18DF">
        <w:rPr>
          <w:lang w:val="fr-FR"/>
        </w:rPr>
        <w:t xml:space="preserve">De même, </w:t>
      </w:r>
      <w:r w:rsidRPr="00AD18DF">
        <w:rPr>
          <w:lang w:val="fr-FR"/>
        </w:rPr>
        <w:t>le paragraphe 2.1.1.2 de la version en langue anglaise du SGH se lit actuellement comme suit</w:t>
      </w:r>
      <w:r w:rsidR="00CC152B">
        <w:rPr>
          <w:lang w:val="fr-FR"/>
        </w:rPr>
        <w:t> :</w:t>
      </w:r>
    </w:p>
    <w:p w:rsidR="000E6D44" w:rsidRPr="00AD18DF" w:rsidRDefault="00EB18BD" w:rsidP="0053033E">
      <w:pPr>
        <w:pStyle w:val="SingleTxtG"/>
        <w:ind w:left="1701"/>
        <w:rPr>
          <w:lang w:val="en-US"/>
        </w:rPr>
      </w:pPr>
      <w:r w:rsidRPr="00EB18BD">
        <w:rPr>
          <w:lang w:val="fr-FR"/>
        </w:rPr>
        <w:t>« </w:t>
      </w:r>
      <w:r w:rsidR="002D5F2F" w:rsidRPr="00AD18DF">
        <w:rPr>
          <w:lang w:val="en-US"/>
        </w:rPr>
        <w:t>2.1.1.2 The class of explosives comprises</w:t>
      </w:r>
      <w:r w:rsidR="00CC152B">
        <w:rPr>
          <w:lang w:val="en-US"/>
        </w:rPr>
        <w:t> :</w:t>
      </w:r>
    </w:p>
    <w:p w:rsidR="000E6D44" w:rsidRPr="00AD18DF" w:rsidRDefault="002D5F2F" w:rsidP="0053033E">
      <w:pPr>
        <w:pStyle w:val="SingleTxtG"/>
        <w:ind w:left="1701"/>
        <w:rPr>
          <w:lang w:val="en-US"/>
        </w:rPr>
      </w:pPr>
      <w:r w:rsidRPr="00AD18DF">
        <w:rPr>
          <w:lang w:val="en-US"/>
        </w:rPr>
        <w:t>(a)</w:t>
      </w:r>
      <w:r w:rsidRPr="00AD18DF">
        <w:rPr>
          <w:lang w:val="en-US"/>
        </w:rPr>
        <w:tab/>
        <w:t xml:space="preserve">Explosive substances and </w:t>
      </w:r>
      <w:proofErr w:type="gramStart"/>
      <w:r w:rsidRPr="00AD18DF">
        <w:rPr>
          <w:lang w:val="en-US"/>
        </w:rPr>
        <w:t>mixtures</w:t>
      </w:r>
      <w:r w:rsidR="00CC152B">
        <w:rPr>
          <w:lang w:val="en-US"/>
        </w:rPr>
        <w:t> ;</w:t>
      </w:r>
      <w:proofErr w:type="gramEnd"/>
    </w:p>
    <w:p w:rsidR="000E6D44" w:rsidRPr="00AD18DF" w:rsidRDefault="002D5F2F" w:rsidP="0053033E">
      <w:pPr>
        <w:pStyle w:val="SingleTxtG"/>
        <w:ind w:left="1701"/>
        <w:rPr>
          <w:lang w:val="en-US"/>
        </w:rPr>
      </w:pPr>
      <w:r w:rsidRPr="00AD18DF">
        <w:rPr>
          <w:lang w:val="en-US"/>
        </w:rPr>
        <w:t>(b)</w:t>
      </w:r>
      <w:r w:rsidRPr="00AD18DF">
        <w:rPr>
          <w:lang w:val="en-US"/>
        </w:rPr>
        <w:tab/>
        <w:t>Explosive articles, except devices containing explosive substances or m</w:t>
      </w:r>
      <w:r w:rsidRPr="00AD18DF">
        <w:rPr>
          <w:lang w:val="en-US"/>
        </w:rPr>
        <w:t>ixtures in such quantity or of such a character that their inadvertent or accidental ignition or initiation shall not cause any effect external to the device either by projection, fire, smoke, heat or loud noise</w:t>
      </w:r>
      <w:r w:rsidR="00CC152B">
        <w:rPr>
          <w:lang w:val="en-US"/>
        </w:rPr>
        <w:t> ;</w:t>
      </w:r>
      <w:r w:rsidRPr="00AD18DF">
        <w:rPr>
          <w:lang w:val="en-US"/>
        </w:rPr>
        <w:t xml:space="preserve"> and</w:t>
      </w:r>
    </w:p>
    <w:p w:rsidR="00F3056D" w:rsidRDefault="002D5F2F" w:rsidP="0053033E">
      <w:pPr>
        <w:pStyle w:val="SingleTxtG"/>
        <w:ind w:left="1701"/>
      </w:pPr>
      <w:r w:rsidRPr="00AD18DF">
        <w:rPr>
          <w:lang w:val="en-US"/>
        </w:rPr>
        <w:t>(c)</w:t>
      </w:r>
      <w:r w:rsidRPr="00AD18DF">
        <w:rPr>
          <w:lang w:val="en-US"/>
        </w:rPr>
        <w:tab/>
        <w:t xml:space="preserve">Substances, mixtures and articles </w:t>
      </w:r>
      <w:r w:rsidRPr="00AD18DF">
        <w:rPr>
          <w:lang w:val="en-US"/>
        </w:rPr>
        <w:t>not mentioned under (a) and (b) above which are manufactured with the view to producing a practical, explosive or pyrotechnic effect.</w:t>
      </w:r>
      <w:r w:rsidR="00EB18BD" w:rsidRPr="00EB18BD">
        <w:rPr>
          <w:lang w:val="fr-FR"/>
        </w:rPr>
        <w:t> »</w:t>
      </w:r>
      <w:r w:rsidRPr="00AD18DF">
        <w:t>.</w:t>
      </w:r>
    </w:p>
    <w:p w:rsidR="000E6D44" w:rsidRPr="0053033E" w:rsidRDefault="002D5F2F" w:rsidP="0053033E">
      <w:pPr>
        <w:pStyle w:val="ParNoG"/>
      </w:pPr>
      <w:r w:rsidRPr="0053033E">
        <w:t>Au point c) du paragraphe 2.1.1.1 du Règlement type comme au point c) du paragraphe 2.1.1.2 du SGH, la présence d</w:t>
      </w:r>
      <w:r w:rsidR="00F3056D">
        <w:t>’</w:t>
      </w:r>
      <w:r w:rsidRPr="0053033E">
        <w:t>une v</w:t>
      </w:r>
      <w:r w:rsidRPr="0053033E">
        <w:t xml:space="preserve">irgule après le mot </w:t>
      </w:r>
      <w:r w:rsidR="00CC152B">
        <w:t>« </w:t>
      </w:r>
      <w:r w:rsidRPr="0053033E">
        <w:t>practical</w:t>
      </w:r>
      <w:r w:rsidR="00CC152B">
        <w:t> »</w:t>
      </w:r>
      <w:r w:rsidRPr="0053033E">
        <w:t xml:space="preserve"> altère le sens de la phrase. Cette virgule ne figurant pas dans la version française des textes susmentionnés, la discussion et la modification sur lesquelles porte la version anglaise du présent document sont ici sans obj</w:t>
      </w:r>
      <w:r w:rsidRPr="0053033E">
        <w:t>et.</w:t>
      </w:r>
    </w:p>
    <w:p w:rsidR="000E6D44" w:rsidRPr="0053033E" w:rsidRDefault="002D5F2F" w:rsidP="0053033E">
      <w:pPr>
        <w:pStyle w:val="HChG"/>
      </w:pPr>
      <w:r w:rsidRPr="0053033E">
        <w:tab/>
      </w:r>
      <w:r w:rsidRPr="0053033E">
        <w:tab/>
        <w:t>Discussion</w:t>
      </w:r>
    </w:p>
    <w:p w:rsidR="000E6D44" w:rsidRPr="0053033E" w:rsidRDefault="002D5F2F" w:rsidP="0053033E">
      <w:pPr>
        <w:pStyle w:val="SingleTxtG"/>
      </w:pPr>
      <w:r w:rsidRPr="0053033E">
        <w:t>(Sans objet en français)</w:t>
      </w:r>
    </w:p>
    <w:p w:rsidR="000E6D44" w:rsidRPr="0053033E" w:rsidRDefault="002D5F2F" w:rsidP="0053033E">
      <w:pPr>
        <w:pStyle w:val="HChG"/>
      </w:pPr>
      <w:r w:rsidRPr="0053033E">
        <w:tab/>
      </w:r>
      <w:r w:rsidRPr="0053033E">
        <w:tab/>
        <w:t>Propositions</w:t>
      </w:r>
    </w:p>
    <w:p w:rsidR="003F593D" w:rsidRPr="0053033E" w:rsidRDefault="002D5F2F" w:rsidP="0053033E">
      <w:pPr>
        <w:pStyle w:val="SingleTxtG"/>
      </w:pPr>
      <w:r w:rsidRPr="0053033E">
        <w:t>(Sans objet en français)</w:t>
      </w:r>
    </w:p>
    <w:p w:rsidR="00F3056D" w:rsidRDefault="0053033E" w:rsidP="0053033E">
      <w:pPr>
        <w:pStyle w:val="SingleTxtG"/>
        <w:spacing w:before="240" w:after="0"/>
        <w:jc w:val="center"/>
        <w:rPr>
          <w:u w:val="single"/>
        </w:rPr>
      </w:pPr>
      <w:r>
        <w:rPr>
          <w:u w:val="single"/>
        </w:rPr>
        <w:tab/>
      </w:r>
      <w:r>
        <w:rPr>
          <w:u w:val="single"/>
        </w:rPr>
        <w:tab/>
      </w:r>
      <w:r>
        <w:rPr>
          <w:u w:val="single"/>
        </w:rPr>
        <w:tab/>
      </w:r>
    </w:p>
    <w:p w:rsidR="00446FE5" w:rsidRPr="00AC3823" w:rsidRDefault="00446FE5" w:rsidP="00AC3823"/>
    <w:sectPr w:rsidR="00446FE5" w:rsidRPr="00AC3823" w:rsidSect="003F593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96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A7" w:rsidRDefault="00BD34A7" w:rsidP="00F95C08">
      <w:pPr>
        <w:spacing w:line="240" w:lineRule="auto"/>
      </w:pPr>
    </w:p>
  </w:endnote>
  <w:endnote w:type="continuationSeparator" w:id="0">
    <w:p w:rsidR="00BD34A7" w:rsidRPr="00AC3823" w:rsidRDefault="00BD34A7" w:rsidP="00AC3823">
      <w:pPr>
        <w:pStyle w:val="Footer"/>
      </w:pPr>
    </w:p>
  </w:endnote>
  <w:endnote w:type="continuationNotice" w:id="1">
    <w:p w:rsidR="00BD34A7" w:rsidRDefault="00BD34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3D" w:rsidRPr="003F593D" w:rsidRDefault="003F593D" w:rsidP="003F593D">
    <w:pPr>
      <w:pStyle w:val="Footer"/>
      <w:tabs>
        <w:tab w:val="right" w:pos="9638"/>
      </w:tabs>
    </w:pPr>
    <w:r w:rsidRPr="003F593D">
      <w:rPr>
        <w:b/>
        <w:sz w:val="18"/>
      </w:rPr>
      <w:fldChar w:fldCharType="begin"/>
    </w:r>
    <w:r w:rsidRPr="003F593D">
      <w:rPr>
        <w:b/>
        <w:sz w:val="18"/>
      </w:rPr>
      <w:instrText xml:space="preserve"> PAGE  \* MERGEFORMAT </w:instrText>
    </w:r>
    <w:r w:rsidRPr="003F593D">
      <w:rPr>
        <w:b/>
        <w:sz w:val="18"/>
      </w:rPr>
      <w:fldChar w:fldCharType="separate"/>
    </w:r>
    <w:r w:rsidR="002D5F2F">
      <w:rPr>
        <w:b/>
        <w:noProof/>
        <w:sz w:val="18"/>
      </w:rPr>
      <w:t>2</w:t>
    </w:r>
    <w:r w:rsidRPr="003F593D">
      <w:rPr>
        <w:b/>
        <w:sz w:val="18"/>
      </w:rPr>
      <w:fldChar w:fldCharType="end"/>
    </w:r>
    <w:r>
      <w:rPr>
        <w:b/>
        <w:sz w:val="18"/>
      </w:rPr>
      <w:tab/>
    </w:r>
    <w:r>
      <w:t>GE.16-15468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3D" w:rsidRPr="003F593D" w:rsidRDefault="003F593D" w:rsidP="003F593D">
    <w:pPr>
      <w:pStyle w:val="Footer"/>
      <w:tabs>
        <w:tab w:val="right" w:pos="9638"/>
      </w:tabs>
      <w:rPr>
        <w:b/>
        <w:sz w:val="18"/>
      </w:rPr>
    </w:pPr>
    <w:r>
      <w:t>GE.16-15468</w:t>
    </w:r>
    <w:r>
      <w:tab/>
    </w:r>
    <w:r w:rsidRPr="003F593D">
      <w:rPr>
        <w:b/>
        <w:sz w:val="18"/>
      </w:rPr>
      <w:fldChar w:fldCharType="begin"/>
    </w:r>
    <w:r w:rsidRPr="003F593D">
      <w:rPr>
        <w:b/>
        <w:sz w:val="18"/>
      </w:rPr>
      <w:instrText xml:space="preserve"> PAGE  \* MERGEFORMAT </w:instrText>
    </w:r>
    <w:r w:rsidRPr="003F593D">
      <w:rPr>
        <w:b/>
        <w:sz w:val="18"/>
      </w:rPr>
      <w:fldChar w:fldCharType="separate"/>
    </w:r>
    <w:r>
      <w:rPr>
        <w:b/>
        <w:noProof/>
        <w:sz w:val="18"/>
      </w:rPr>
      <w:t>3</w:t>
    </w:r>
    <w:r w:rsidRPr="003F59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3F593D" w:rsidRDefault="003F593D" w:rsidP="003F593D">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653C33F4" wp14:editId="51A1F65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16-15468  (F)</w:t>
    </w:r>
    <w:r w:rsidR="00A81D91">
      <w:rPr>
        <w:sz w:val="20"/>
      </w:rPr>
      <w:t xml:space="preserve">    111016</w:t>
    </w:r>
    <w:r w:rsidR="005C54D4">
      <w:rPr>
        <w:sz w:val="20"/>
      </w:rPr>
      <w:t xml:space="preserve">    121016</w:t>
    </w:r>
    <w:r>
      <w:rPr>
        <w:sz w:val="20"/>
      </w:rPr>
      <w:br/>
    </w:r>
    <w:r w:rsidRPr="003F593D">
      <w:rPr>
        <w:rFonts w:ascii="C39T30Lfz" w:hAnsi="C39T30Lfz"/>
        <w:sz w:val="56"/>
      </w:rPr>
      <w:t></w:t>
    </w:r>
    <w:r w:rsidRPr="003F593D">
      <w:rPr>
        <w:rFonts w:ascii="C39T30Lfz" w:hAnsi="C39T30Lfz"/>
        <w:sz w:val="56"/>
      </w:rPr>
      <w:t></w:t>
    </w:r>
    <w:r w:rsidRPr="003F593D">
      <w:rPr>
        <w:rFonts w:ascii="C39T30Lfz" w:hAnsi="C39T30Lfz"/>
        <w:sz w:val="56"/>
      </w:rPr>
      <w:t></w:t>
    </w:r>
    <w:r w:rsidRPr="003F593D">
      <w:rPr>
        <w:rFonts w:ascii="C39T30Lfz" w:hAnsi="C39T30Lfz"/>
        <w:sz w:val="56"/>
      </w:rPr>
      <w:t></w:t>
    </w:r>
    <w:r w:rsidRPr="003F593D">
      <w:rPr>
        <w:rFonts w:ascii="C39T30Lfz" w:hAnsi="C39T30Lfz"/>
        <w:sz w:val="56"/>
      </w:rPr>
      <w:t></w:t>
    </w:r>
    <w:r w:rsidRPr="003F593D">
      <w:rPr>
        <w:rFonts w:ascii="C39T30Lfz" w:hAnsi="C39T30Lfz"/>
        <w:sz w:val="56"/>
      </w:rPr>
      <w:t></w:t>
    </w:r>
    <w:r w:rsidRPr="003F593D">
      <w:rPr>
        <w:rFonts w:ascii="C39T30Lfz" w:hAnsi="C39T30Lfz"/>
        <w:sz w:val="56"/>
      </w:rPr>
      <w:t></w:t>
    </w:r>
    <w:r w:rsidRPr="003F593D">
      <w:rPr>
        <w:rFonts w:ascii="C39T30Lfz" w:hAnsi="C39T30Lfz"/>
        <w:sz w:val="56"/>
      </w:rPr>
      <w:t></w:t>
    </w:r>
    <w:r w:rsidRPr="003F593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5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5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A7" w:rsidRPr="00AC3823" w:rsidRDefault="00BD34A7" w:rsidP="00AC3823">
      <w:pPr>
        <w:pStyle w:val="Footer"/>
        <w:tabs>
          <w:tab w:val="right" w:pos="2155"/>
        </w:tabs>
        <w:spacing w:after="80" w:line="240" w:lineRule="atLeast"/>
        <w:ind w:left="680"/>
        <w:rPr>
          <w:u w:val="single"/>
        </w:rPr>
      </w:pPr>
      <w:r>
        <w:rPr>
          <w:u w:val="single"/>
        </w:rPr>
        <w:tab/>
      </w:r>
    </w:p>
  </w:footnote>
  <w:footnote w:type="continuationSeparator" w:id="0">
    <w:p w:rsidR="00BD34A7" w:rsidRPr="00AC3823" w:rsidRDefault="00BD34A7" w:rsidP="00AC3823">
      <w:pPr>
        <w:pStyle w:val="Footer"/>
        <w:tabs>
          <w:tab w:val="right" w:pos="2155"/>
        </w:tabs>
        <w:spacing w:after="80" w:line="240" w:lineRule="atLeast"/>
        <w:ind w:left="680"/>
        <w:rPr>
          <w:u w:val="single"/>
        </w:rPr>
      </w:pPr>
      <w:r>
        <w:rPr>
          <w:u w:val="single"/>
        </w:rPr>
        <w:tab/>
      </w:r>
    </w:p>
  </w:footnote>
  <w:footnote w:type="continuationNotice" w:id="1">
    <w:p w:rsidR="00BD34A7" w:rsidRPr="00AC3823" w:rsidRDefault="00BD34A7">
      <w:pPr>
        <w:spacing w:line="240" w:lineRule="auto"/>
        <w:rPr>
          <w:sz w:val="2"/>
          <w:szCs w:val="2"/>
        </w:rPr>
      </w:pPr>
    </w:p>
  </w:footnote>
  <w:footnote w:id="2">
    <w:p w:rsidR="00A81D91" w:rsidRDefault="00A81D91">
      <w:pPr>
        <w:pStyle w:val="FootnoteText"/>
      </w:pPr>
      <w:r>
        <w:tab/>
      </w:r>
      <w:r>
        <w:rPr>
          <w:rStyle w:val="FootnoteReference"/>
        </w:rPr>
        <w:footnoteRef/>
      </w:r>
      <w:r>
        <w:tab/>
      </w:r>
      <w:r w:rsidR="002D5F2F" w:rsidRPr="00A81D91">
        <w:rPr>
          <w:lang w:val="fr-FR"/>
        </w:rPr>
        <w:t>Conformément au programme de travail du Sous-Comité pour la période 2015-2016, adopté par le Comité à sa septième session (voir ST/SG/AC.10/C.3/92, par.</w:t>
      </w:r>
      <w:r w:rsidR="00CC152B">
        <w:rPr>
          <w:lang w:val="fr-FR"/>
        </w:rPr>
        <w:t> </w:t>
      </w:r>
      <w:r w:rsidR="002D5F2F" w:rsidRPr="00A81D91">
        <w:rPr>
          <w:lang w:val="fr-FR"/>
        </w:rPr>
        <w:t>95, et ST/SG/AC.10/42, par.</w:t>
      </w:r>
      <w:r w:rsidR="00CC152B">
        <w:rPr>
          <w:lang w:val="fr-FR"/>
        </w:rPr>
        <w:t> </w:t>
      </w:r>
      <w:r w:rsidR="002D5F2F" w:rsidRPr="00A81D91">
        <w:rPr>
          <w:lang w:val="fr-FR"/>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3D" w:rsidRPr="003F593D" w:rsidRDefault="003F593D">
    <w:pPr>
      <w:pStyle w:val="Header"/>
    </w:pPr>
    <w:r>
      <w:t>ST/SG/AC.10/C.3/2016/53</w:t>
    </w:r>
    <w:r>
      <w:br/>
      <w:t>ST/SG/AC.10/C.4/2016/14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3D" w:rsidRPr="003F593D" w:rsidRDefault="003F593D" w:rsidP="003F593D">
    <w:pPr>
      <w:pStyle w:val="Header"/>
      <w:jc w:val="right"/>
    </w:pPr>
    <w:r>
      <w:t>ST/SG/AC.10/C.3/2016/53</w:t>
    </w:r>
    <w:r>
      <w:br/>
      <w:t>ST/SG/AC.10/C.4/2016/14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A7"/>
    <w:rsid w:val="00017F94"/>
    <w:rsid w:val="00023842"/>
    <w:rsid w:val="000305D3"/>
    <w:rsid w:val="000334F9"/>
    <w:rsid w:val="0007796D"/>
    <w:rsid w:val="000B7790"/>
    <w:rsid w:val="000C004E"/>
    <w:rsid w:val="00111F2F"/>
    <w:rsid w:val="001272D4"/>
    <w:rsid w:val="00132EA9"/>
    <w:rsid w:val="0014365E"/>
    <w:rsid w:val="00176178"/>
    <w:rsid w:val="001C5D01"/>
    <w:rsid w:val="001F525A"/>
    <w:rsid w:val="00223272"/>
    <w:rsid w:val="0024779E"/>
    <w:rsid w:val="00283190"/>
    <w:rsid w:val="002832AC"/>
    <w:rsid w:val="002D5F2F"/>
    <w:rsid w:val="002D7C93"/>
    <w:rsid w:val="003F593D"/>
    <w:rsid w:val="00441C3B"/>
    <w:rsid w:val="00446FE5"/>
    <w:rsid w:val="00452396"/>
    <w:rsid w:val="004E468C"/>
    <w:rsid w:val="0053033E"/>
    <w:rsid w:val="005505B7"/>
    <w:rsid w:val="00573BE5"/>
    <w:rsid w:val="00586ED3"/>
    <w:rsid w:val="00596AA9"/>
    <w:rsid w:val="005C54D4"/>
    <w:rsid w:val="0068456F"/>
    <w:rsid w:val="0071601D"/>
    <w:rsid w:val="007A62E6"/>
    <w:rsid w:val="0080684C"/>
    <w:rsid w:val="00871C75"/>
    <w:rsid w:val="008776DC"/>
    <w:rsid w:val="009705C8"/>
    <w:rsid w:val="00971C0D"/>
    <w:rsid w:val="009C1CF4"/>
    <w:rsid w:val="00A30353"/>
    <w:rsid w:val="00A81D91"/>
    <w:rsid w:val="00AC3823"/>
    <w:rsid w:val="00AD18DF"/>
    <w:rsid w:val="00AE323C"/>
    <w:rsid w:val="00B00181"/>
    <w:rsid w:val="00B00B0D"/>
    <w:rsid w:val="00B765F7"/>
    <w:rsid w:val="00BA0CA9"/>
    <w:rsid w:val="00BD34A7"/>
    <w:rsid w:val="00BE4244"/>
    <w:rsid w:val="00C02897"/>
    <w:rsid w:val="00CC152B"/>
    <w:rsid w:val="00D3439C"/>
    <w:rsid w:val="00D83A3D"/>
    <w:rsid w:val="00DB1831"/>
    <w:rsid w:val="00DD3BFD"/>
    <w:rsid w:val="00DF6678"/>
    <w:rsid w:val="00EB18BD"/>
    <w:rsid w:val="00EF2E22"/>
    <w:rsid w:val="00F3056D"/>
    <w:rsid w:val="00F660DF"/>
    <w:rsid w:val="00F730C8"/>
    <w:rsid w:val="00F76723"/>
    <w:rsid w:val="00F81CD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ST/SG/AC.10/C.3/2016/53</vt:lpstr>
      <vt:lpstr>ST/SG/AC.10/C.3/2016/53</vt:lpstr>
    </vt:vector>
  </TitlesOfParts>
  <Company>DCM</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ST/SG/AC.10/C.3/2016/53</dc:title>
  <dc:creator>Granet C.</dc:creator>
  <cp:lastModifiedBy>Laurence Berthet</cp:lastModifiedBy>
  <cp:revision>2</cp:revision>
  <cp:lastPrinted>2016-10-13T06:18:00Z</cp:lastPrinted>
  <dcterms:created xsi:type="dcterms:W3CDTF">2016-10-13T06:19:00Z</dcterms:created>
  <dcterms:modified xsi:type="dcterms:W3CDTF">2016-10-13T06:19:00Z</dcterms:modified>
</cp:coreProperties>
</file>