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7B48A" w14:textId="7F13CA2C" w:rsidR="00AF5B84" w:rsidRDefault="00AF5B84" w:rsidP="0048028F">
      <w:pPr>
        <w:spacing w:line="240" w:lineRule="auto"/>
      </w:pPr>
      <w:bookmarkStart w:id="0" w:name="_GoBack"/>
      <w:bookmarkEnd w:id="0"/>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14:paraId="5D6956B5" w14:textId="77777777" w:rsidTr="00E42C3D">
        <w:trPr>
          <w:cantSplit/>
          <w:trHeight w:hRule="exact" w:val="851"/>
        </w:trPr>
        <w:tc>
          <w:tcPr>
            <w:tcW w:w="9639" w:type="dxa"/>
            <w:tcBorders>
              <w:bottom w:val="single" w:sz="4" w:space="0" w:color="auto"/>
            </w:tcBorders>
            <w:vAlign w:val="bottom"/>
          </w:tcPr>
          <w:p w14:paraId="1186048D" w14:textId="7121741B" w:rsidR="0099001C" w:rsidRPr="0099001C" w:rsidRDefault="008537AA" w:rsidP="00D13F73">
            <w:pPr>
              <w:spacing w:after="240" w:line="240" w:lineRule="auto"/>
              <w:jc w:val="right"/>
              <w:rPr>
                <w:b/>
                <w:sz w:val="40"/>
                <w:szCs w:val="40"/>
              </w:rPr>
            </w:pPr>
            <w:r w:rsidRPr="008537AA">
              <w:rPr>
                <w:b/>
                <w:sz w:val="40"/>
                <w:szCs w:val="40"/>
              </w:rPr>
              <w:t>UN/SCETDG</w:t>
            </w:r>
            <w:r w:rsidR="00D118C7">
              <w:rPr>
                <w:b/>
                <w:sz w:val="40"/>
                <w:szCs w:val="40"/>
              </w:rPr>
              <w:t>/50</w:t>
            </w:r>
            <w:r w:rsidR="00A264E1">
              <w:rPr>
                <w:b/>
                <w:sz w:val="40"/>
                <w:szCs w:val="40"/>
              </w:rPr>
              <w:t>/</w:t>
            </w:r>
            <w:r w:rsidR="00FE4C15">
              <w:rPr>
                <w:b/>
                <w:sz w:val="40"/>
                <w:szCs w:val="40"/>
              </w:rPr>
              <w:t>INF.</w:t>
            </w:r>
            <w:r w:rsidR="00D13F73">
              <w:rPr>
                <w:b/>
                <w:sz w:val="40"/>
                <w:szCs w:val="40"/>
              </w:rPr>
              <w:t>59</w:t>
            </w:r>
          </w:p>
        </w:tc>
      </w:tr>
      <w:tr w:rsidR="0099001C" w14:paraId="41AF6131" w14:textId="77777777" w:rsidTr="00E42C3D">
        <w:trPr>
          <w:cantSplit/>
          <w:trHeight w:val="2456"/>
          <w:hidden/>
        </w:trPr>
        <w:tc>
          <w:tcPr>
            <w:tcW w:w="9639" w:type="dxa"/>
            <w:tcBorders>
              <w:top w:val="single" w:sz="4" w:space="0" w:color="auto"/>
            </w:tcBorders>
          </w:tcPr>
          <w:p w14:paraId="2D305484" w14:textId="77777777" w:rsidR="007B634A" w:rsidRPr="00AA022C" w:rsidRDefault="007B634A" w:rsidP="0048028F">
            <w:pPr>
              <w:spacing w:before="240" w:line="240" w:lineRule="auto"/>
              <w:rPr>
                <w:vanish/>
              </w:rPr>
            </w:pPr>
          </w:p>
          <w:p w14:paraId="322721F9" w14:textId="77777777" w:rsidR="00A805EB" w:rsidRPr="00403098" w:rsidRDefault="00A805EB" w:rsidP="0048028F">
            <w:pPr>
              <w:spacing w:before="120" w:line="240" w:lineRule="auto"/>
              <w:rPr>
                <w:b/>
                <w:sz w:val="24"/>
                <w:szCs w:val="24"/>
                <w:lang w:val="en-US"/>
              </w:rPr>
            </w:pPr>
            <w:r w:rsidRPr="00403098">
              <w:rPr>
                <w:b/>
                <w:sz w:val="24"/>
                <w:szCs w:val="24"/>
                <w:lang w:val="en-US"/>
              </w:rPr>
              <w:t>Committee of Experts on the Transport of Dangerous Goods</w:t>
            </w:r>
            <w:r w:rsidRPr="00403098">
              <w:rPr>
                <w:b/>
                <w:sz w:val="24"/>
                <w:szCs w:val="24"/>
                <w:lang w:val="en-US"/>
              </w:rPr>
              <w:br/>
              <w:t>and on the Globally Harmonized System of Classification</w:t>
            </w:r>
            <w:r w:rsidRPr="00403098">
              <w:rPr>
                <w:b/>
                <w:sz w:val="24"/>
                <w:szCs w:val="24"/>
                <w:lang w:val="en-US"/>
              </w:rPr>
              <w:br/>
              <w:t>and Labelling of Chemicals</w:t>
            </w:r>
          </w:p>
          <w:p w14:paraId="224F1504" w14:textId="16FA0361" w:rsidR="00A805EB" w:rsidRPr="00403098" w:rsidRDefault="003B17EB" w:rsidP="0048028F">
            <w:pPr>
              <w:tabs>
                <w:tab w:val="left" w:pos="8000"/>
              </w:tabs>
              <w:spacing w:before="120" w:line="240" w:lineRule="auto"/>
              <w:rPr>
                <w:b/>
                <w:lang w:val="en-US"/>
              </w:rPr>
            </w:pPr>
            <w:r>
              <w:rPr>
                <w:b/>
                <w:lang w:val="en-US"/>
              </w:rPr>
              <w:t>Sub-Committee</w:t>
            </w:r>
            <w:r w:rsidR="00A805EB" w:rsidRPr="00403098">
              <w:rPr>
                <w:b/>
                <w:lang w:val="en-US"/>
              </w:rPr>
              <w:t xml:space="preserve"> of Experts </w:t>
            </w:r>
            <w:r w:rsidR="00DE3A0C" w:rsidRPr="00403098">
              <w:rPr>
                <w:b/>
                <w:lang w:val="en-US"/>
              </w:rPr>
              <w:t>on the Transport of Dangerous Goods</w:t>
            </w:r>
            <w:r w:rsidR="007218CD">
              <w:rPr>
                <w:b/>
                <w:lang w:val="en-US"/>
              </w:rPr>
              <w:tab/>
            </w:r>
            <w:r w:rsidR="00FE4C15">
              <w:rPr>
                <w:b/>
                <w:lang w:val="en-US"/>
              </w:rPr>
              <w:t>2 December</w:t>
            </w:r>
            <w:r w:rsidR="00990393">
              <w:rPr>
                <w:b/>
                <w:lang w:val="en-US"/>
              </w:rPr>
              <w:t xml:space="preserve"> </w:t>
            </w:r>
            <w:r w:rsidR="00A264E1">
              <w:rPr>
                <w:b/>
                <w:lang w:val="en-US"/>
              </w:rPr>
              <w:t>2016</w:t>
            </w:r>
          </w:p>
          <w:p w14:paraId="4B7D5079" w14:textId="77777777" w:rsidR="00FE4C15" w:rsidRPr="007E344F" w:rsidRDefault="00FE4C15" w:rsidP="00FE4C15">
            <w:pPr>
              <w:spacing w:before="120"/>
              <w:rPr>
                <w:b/>
              </w:rPr>
            </w:pPr>
            <w:r>
              <w:rPr>
                <w:b/>
              </w:rPr>
              <w:t>Fiftieth</w:t>
            </w:r>
            <w:r w:rsidRPr="007E344F">
              <w:rPr>
                <w:b/>
              </w:rPr>
              <w:t xml:space="preserve"> session</w:t>
            </w:r>
          </w:p>
          <w:p w14:paraId="2185165D" w14:textId="77777777" w:rsidR="00FE4C15" w:rsidRPr="007E344F" w:rsidRDefault="00FE4C15" w:rsidP="00FE4C15">
            <w:r w:rsidRPr="007E344F">
              <w:t>Geneva</w:t>
            </w:r>
            <w:r>
              <w:t>, 28 November – 6 December 2016</w:t>
            </w:r>
          </w:p>
          <w:p w14:paraId="2753EE9D" w14:textId="2E4490D7" w:rsidR="004E5951" w:rsidRPr="00BE3FCE" w:rsidRDefault="004E5951" w:rsidP="0048028F">
            <w:pPr>
              <w:spacing w:line="240" w:lineRule="auto"/>
            </w:pPr>
            <w:r w:rsidRPr="007B634A">
              <w:t xml:space="preserve">Item </w:t>
            </w:r>
            <w:r w:rsidR="00381C62" w:rsidRPr="007B634A">
              <w:t>2</w:t>
            </w:r>
            <w:r w:rsidR="00FE4C15">
              <w:t xml:space="preserve">(b), </w:t>
            </w:r>
            <w:r w:rsidR="004B354B">
              <w:t xml:space="preserve">6, </w:t>
            </w:r>
            <w:r w:rsidR="00FE4C15">
              <w:t>7(g) and 7(h)</w:t>
            </w:r>
            <w:r w:rsidR="00381C62" w:rsidRPr="007B634A">
              <w:t xml:space="preserve"> </w:t>
            </w:r>
            <w:r w:rsidRPr="007B634A">
              <w:t>of the provisional agenda</w:t>
            </w:r>
          </w:p>
          <w:p w14:paraId="59F5B1B5" w14:textId="27B67E01" w:rsidR="0099001C" w:rsidRPr="00624A20" w:rsidRDefault="00381C62" w:rsidP="0048028F">
            <w:pPr>
              <w:spacing w:after="240" w:line="240" w:lineRule="auto"/>
              <w:rPr>
                <w:b/>
              </w:rPr>
            </w:pPr>
            <w:r w:rsidRPr="00381C62">
              <w:rPr>
                <w:b/>
              </w:rPr>
              <w:t>Explosives and related matters</w:t>
            </w:r>
            <w:r w:rsidR="00990393">
              <w:rPr>
                <w:b/>
              </w:rPr>
              <w:t>,</w:t>
            </w:r>
            <w:r w:rsidR="00990393">
              <w:t xml:space="preserve"> </w:t>
            </w:r>
            <w:r w:rsidR="00990393" w:rsidRPr="00990393">
              <w:rPr>
                <w:b/>
              </w:rPr>
              <w:t>Use of the Manual of Tests and Criteria in the context of the GHS</w:t>
            </w:r>
            <w:r w:rsidR="00990393">
              <w:rPr>
                <w:b/>
              </w:rPr>
              <w:t xml:space="preserve">, and </w:t>
            </w:r>
            <w:r w:rsidR="00990393" w:rsidRPr="00990393">
              <w:rPr>
                <w:b/>
              </w:rPr>
              <w:t>Review of Chapter 2.1 of the GHS</w:t>
            </w:r>
          </w:p>
        </w:tc>
      </w:tr>
    </w:tbl>
    <w:p w14:paraId="003078FC" w14:textId="77777777" w:rsidR="00950D47" w:rsidRPr="00A50AA8" w:rsidRDefault="00624A20" w:rsidP="0048028F">
      <w:pPr>
        <w:pStyle w:val="HChG"/>
        <w:spacing w:line="240" w:lineRule="auto"/>
      </w:pPr>
      <w:r>
        <w:tab/>
      </w:r>
      <w:r>
        <w:tab/>
      </w:r>
      <w:r w:rsidR="00A50AA8" w:rsidRPr="00A50AA8">
        <w:t>Report of the Working Group on Explosives</w:t>
      </w:r>
    </w:p>
    <w:p w14:paraId="5E9E0967" w14:textId="77777777" w:rsidR="00950D47" w:rsidRPr="00A50AA8" w:rsidRDefault="00624A20" w:rsidP="0048028F">
      <w:pPr>
        <w:pStyle w:val="H1G"/>
        <w:spacing w:line="240" w:lineRule="auto"/>
      </w:pPr>
      <w:r>
        <w:tab/>
      </w:r>
      <w:r>
        <w:tab/>
      </w:r>
      <w:r w:rsidR="00A50AA8" w:rsidRPr="00A50AA8">
        <w:t>Transmitted by the chairman of the Working Group</w:t>
      </w:r>
      <w:r w:rsidR="00411E71">
        <w:t xml:space="preserve"> on Explosives</w:t>
      </w:r>
    </w:p>
    <w:p w14:paraId="6FDB948D" w14:textId="77777777" w:rsidR="00950D47" w:rsidRPr="00950D47" w:rsidRDefault="00624A20" w:rsidP="0048028F">
      <w:pPr>
        <w:pStyle w:val="HChG"/>
        <w:spacing w:line="240" w:lineRule="auto"/>
      </w:pPr>
      <w:r>
        <w:tab/>
      </w:r>
      <w:r>
        <w:tab/>
      </w:r>
      <w:r w:rsidR="00A50AA8">
        <w:t>Introduction</w:t>
      </w:r>
    </w:p>
    <w:p w14:paraId="55DECF2C" w14:textId="5AB4C06F" w:rsidR="00BD747D" w:rsidRPr="00072495" w:rsidRDefault="00A50AA8" w:rsidP="00F52631">
      <w:pPr>
        <w:pStyle w:val="SingleTxtG"/>
        <w:numPr>
          <w:ilvl w:val="0"/>
          <w:numId w:val="4"/>
        </w:numPr>
        <w:spacing w:line="240" w:lineRule="auto"/>
        <w:ind w:right="39"/>
      </w:pPr>
      <w:r w:rsidRPr="00072495">
        <w:t xml:space="preserve">The working group met from </w:t>
      </w:r>
      <w:r w:rsidR="00990393">
        <w:t>28</w:t>
      </w:r>
      <w:r w:rsidR="00DC27B5" w:rsidRPr="00072495">
        <w:t xml:space="preserve"> </w:t>
      </w:r>
      <w:r w:rsidR="00990393">
        <w:t>November</w:t>
      </w:r>
      <w:r w:rsidRPr="00072495">
        <w:t xml:space="preserve"> to </w:t>
      </w:r>
      <w:r w:rsidR="00990393">
        <w:t>2 December</w:t>
      </w:r>
      <w:r w:rsidR="00DC27B5" w:rsidRPr="00072495">
        <w:t xml:space="preserve"> 2016</w:t>
      </w:r>
      <w:r w:rsidRPr="00072495">
        <w:t xml:space="preserve"> in a parallel session to the plenary meeting of the </w:t>
      </w:r>
      <w:r w:rsidR="003B17EB" w:rsidRPr="00072495">
        <w:t>Sub-Committee</w:t>
      </w:r>
      <w:r w:rsidRPr="00072495">
        <w:t xml:space="preserve"> on the Transport of Dangerous Goods. This meeting of the working group was well attended with </w:t>
      </w:r>
      <w:r w:rsidR="00BA1B64">
        <w:t xml:space="preserve">38 </w:t>
      </w:r>
      <w:r w:rsidRPr="00072495">
        <w:t xml:space="preserve">experts in attendance from </w:t>
      </w:r>
      <w:r w:rsidR="00422461">
        <w:t xml:space="preserve">Australia, </w:t>
      </w:r>
      <w:r w:rsidR="006F2C5A" w:rsidRPr="006F2C5A">
        <w:t xml:space="preserve">Belgium, Canada, Finland, France, Germany, </w:t>
      </w:r>
      <w:r w:rsidR="00422461">
        <w:t xml:space="preserve">Italy, </w:t>
      </w:r>
      <w:r w:rsidR="006F2C5A" w:rsidRPr="006F2C5A">
        <w:t xml:space="preserve">Japan, Netherlands, Poland, Spain, Sweden, </w:t>
      </w:r>
      <w:r w:rsidR="0046712A">
        <w:t>United Kingdom</w:t>
      </w:r>
      <w:r w:rsidR="006F2C5A" w:rsidRPr="006F2C5A">
        <w:t xml:space="preserve">, </w:t>
      </w:r>
      <w:r w:rsidR="0046712A">
        <w:t>United States of America</w:t>
      </w:r>
      <w:r w:rsidR="006F2C5A" w:rsidRPr="006F2C5A">
        <w:t xml:space="preserve">, </w:t>
      </w:r>
      <w:r w:rsidR="00422461">
        <w:t xml:space="preserve">UN/ECE/GHS, </w:t>
      </w:r>
      <w:r w:rsidR="0046712A">
        <w:t>Australian Explosives Industry and Safety Group (</w:t>
      </w:r>
      <w:r w:rsidR="006F2C5A" w:rsidRPr="006F2C5A">
        <w:t>AEISG</w:t>
      </w:r>
      <w:r w:rsidR="0046712A">
        <w:t>)</w:t>
      </w:r>
      <w:r w:rsidR="006F2C5A" w:rsidRPr="006F2C5A">
        <w:t xml:space="preserve">, </w:t>
      </w:r>
      <w:r w:rsidR="00422461">
        <w:t xml:space="preserve">Association of European Manufacturers of Sporting Ammunition (AFEMS), </w:t>
      </w:r>
      <w:r w:rsidR="00F52631" w:rsidRPr="00F52631">
        <w:t>European Chemical Industry Council</w:t>
      </w:r>
      <w:r w:rsidR="00F52631">
        <w:t xml:space="preserve"> (</w:t>
      </w:r>
      <w:r w:rsidR="006F2C5A" w:rsidRPr="006F2C5A">
        <w:t>CEFIC</w:t>
      </w:r>
      <w:r w:rsidR="00F52631">
        <w:t>)</w:t>
      </w:r>
      <w:r w:rsidR="006F2C5A" w:rsidRPr="006F2C5A">
        <w:t xml:space="preserve">, </w:t>
      </w:r>
      <w:r w:rsidR="001375EF">
        <w:t xml:space="preserve">European Association of Automotive Suppliers (CLEPA), </w:t>
      </w:r>
      <w:r w:rsidR="00422461">
        <w:t xml:space="preserve">Council on Safe Transport of Hazardous Articles (COSTHA), </w:t>
      </w:r>
      <w:r w:rsidR="006F2C5A" w:rsidRPr="006F2C5A">
        <w:t xml:space="preserve">Fertilizers Europe, </w:t>
      </w:r>
      <w:r w:rsidR="00F52631">
        <w:t>Institute of Makers of Explosives (</w:t>
      </w:r>
      <w:r w:rsidR="006F2C5A" w:rsidRPr="006F2C5A">
        <w:t>IM</w:t>
      </w:r>
      <w:r w:rsidR="006F2C5A">
        <w:t>E</w:t>
      </w:r>
      <w:r w:rsidR="00F52631">
        <w:t>)</w:t>
      </w:r>
      <w:r w:rsidR="006F2C5A">
        <w:t xml:space="preserve">, </w:t>
      </w:r>
      <w:r w:rsidR="00F52631" w:rsidRPr="00F52631">
        <w:t>Sporting Arms &amp; Ammunition Manufacturers' Institute</w:t>
      </w:r>
      <w:r w:rsidR="00F52631">
        <w:t xml:space="preserve"> (</w:t>
      </w:r>
      <w:r w:rsidR="006F2C5A">
        <w:t>SAAMI</w:t>
      </w:r>
      <w:r w:rsidR="00F52631">
        <w:t>)</w:t>
      </w:r>
      <w:r w:rsidR="006F2C5A">
        <w:t>,</w:t>
      </w:r>
      <w:r w:rsidR="00C81CFA" w:rsidRPr="00072495">
        <w:t xml:space="preserve"> and the GHS Secretariat</w:t>
      </w:r>
      <w:r w:rsidRPr="00072495">
        <w:t>. A</w:t>
      </w:r>
      <w:r w:rsidR="009A604D" w:rsidRPr="00072495">
        <w:t>nnex 1 of this report provides a</w:t>
      </w:r>
      <w:r w:rsidRPr="00072495">
        <w:t xml:space="preserve"> list of participants.  </w:t>
      </w:r>
      <w:r w:rsidR="005D3180" w:rsidRPr="00072495">
        <w:t>T</w:t>
      </w:r>
      <w:r w:rsidRPr="00072495">
        <w:t xml:space="preserve">he group was tasked to discuss technical matters related to </w:t>
      </w:r>
      <w:r w:rsidR="005D3180" w:rsidRPr="00072495">
        <w:t xml:space="preserve">official papers and to discuss </w:t>
      </w:r>
      <w:r w:rsidR="00C12C7C" w:rsidRPr="00072495">
        <w:t xml:space="preserve">informal </w:t>
      </w:r>
      <w:r w:rsidR="005D3180" w:rsidRPr="00072495">
        <w:t>papers as time allowed</w:t>
      </w:r>
      <w:r w:rsidRPr="00072495">
        <w:t>.</w:t>
      </w:r>
      <w:r w:rsidR="00974A5D" w:rsidRPr="00072495">
        <w:t xml:space="preserve">  Mr. Ed de Jong (Netherlands) served as chair of the working group and Mr. </w:t>
      </w:r>
      <w:r w:rsidR="003774A3">
        <w:t>Timothy Golian</w:t>
      </w:r>
      <w:r w:rsidR="00974A5D" w:rsidRPr="00072495">
        <w:t xml:space="preserve"> (IME) as secretary.</w:t>
      </w:r>
    </w:p>
    <w:p w14:paraId="11384144" w14:textId="44B8893F" w:rsidR="00401728" w:rsidRPr="00072495" w:rsidRDefault="00401728" w:rsidP="00F67F55">
      <w:pPr>
        <w:pStyle w:val="SingleTxtG"/>
        <w:numPr>
          <w:ilvl w:val="0"/>
          <w:numId w:val="4"/>
        </w:numPr>
        <w:spacing w:line="240" w:lineRule="auto"/>
        <w:ind w:right="1"/>
      </w:pPr>
      <w:r w:rsidRPr="00072495">
        <w:t xml:space="preserve">The </w:t>
      </w:r>
      <w:r w:rsidR="00784AF8" w:rsidRPr="00072495">
        <w:t>working group</w:t>
      </w:r>
      <w:r w:rsidRPr="00072495">
        <w:t xml:space="preserve"> met for three days to consider the papers assigned to it by the TDG Sub-Committee and informally on a fourth </w:t>
      </w:r>
      <w:r w:rsidR="00A966F4" w:rsidRPr="00072495">
        <w:t xml:space="preserve">day </w:t>
      </w:r>
      <w:r w:rsidRPr="00072495">
        <w:t>while this report was being prepared.  The informal discussions conducted on that fourth day are not reported herein.</w:t>
      </w:r>
    </w:p>
    <w:p w14:paraId="5FBE9ED4" w14:textId="3BD354B4" w:rsidR="00092CF5" w:rsidRPr="00072495" w:rsidRDefault="00990393" w:rsidP="0048028F">
      <w:pPr>
        <w:pStyle w:val="SingleTxtG"/>
        <w:numPr>
          <w:ilvl w:val="0"/>
          <w:numId w:val="4"/>
        </w:numPr>
        <w:spacing w:line="240" w:lineRule="auto"/>
      </w:pPr>
      <w:r>
        <w:t>50</w:t>
      </w:r>
      <w:r w:rsidR="00F97063">
        <w:t>/INF.2 listed the following</w:t>
      </w:r>
      <w:r w:rsidR="00092CF5" w:rsidRPr="00072495">
        <w:t xml:space="preserve"> papers</w:t>
      </w:r>
      <w:r w:rsidR="00F97063">
        <w:t xml:space="preserve"> for consideration of the working group</w:t>
      </w:r>
      <w:r w:rsidR="00692C91">
        <w:t>:</w:t>
      </w:r>
    </w:p>
    <w:tbl>
      <w:tblPr>
        <w:tblW w:w="9007" w:type="dxa"/>
        <w:tblInd w:w="1108" w:type="dxa"/>
        <w:tblCellMar>
          <w:top w:w="29" w:type="dxa"/>
          <w:left w:w="115" w:type="dxa"/>
          <w:bottom w:w="29" w:type="dxa"/>
          <w:right w:w="115" w:type="dxa"/>
        </w:tblCellMar>
        <w:tblLook w:val="0000" w:firstRow="0" w:lastRow="0" w:firstColumn="0" w:lastColumn="0" w:noHBand="0" w:noVBand="0"/>
      </w:tblPr>
      <w:tblGrid>
        <w:gridCol w:w="26"/>
        <w:gridCol w:w="3481"/>
        <w:gridCol w:w="5500"/>
      </w:tblGrid>
      <w:tr w:rsidR="00F938DA" w:rsidRPr="00F938DA" w14:paraId="5BBB3B80" w14:textId="77777777" w:rsidTr="002C34C6">
        <w:trPr>
          <w:cantSplit/>
          <w:trHeight w:val="255"/>
          <w:tblHeader/>
        </w:trPr>
        <w:tc>
          <w:tcPr>
            <w:tcW w:w="3507" w:type="dxa"/>
            <w:gridSpan w:val="2"/>
            <w:tcBorders>
              <w:top w:val="nil"/>
              <w:left w:val="nil"/>
              <w:right w:val="nil"/>
            </w:tcBorders>
            <w:shd w:val="clear" w:color="auto" w:fill="auto"/>
          </w:tcPr>
          <w:p w14:paraId="2EE00EAC" w14:textId="77777777" w:rsidR="00F938DA" w:rsidRPr="00F938DA" w:rsidRDefault="00F938DA" w:rsidP="0048028F">
            <w:pPr>
              <w:suppressAutoHyphens w:val="0"/>
              <w:spacing w:line="240" w:lineRule="auto"/>
              <w:rPr>
                <w:b/>
                <w:bCs/>
                <w:lang w:val="en-US"/>
              </w:rPr>
            </w:pPr>
            <w:r w:rsidRPr="00F938DA">
              <w:rPr>
                <w:b/>
                <w:bCs/>
                <w:lang w:val="en-US"/>
              </w:rPr>
              <w:t>Document</w:t>
            </w:r>
          </w:p>
        </w:tc>
        <w:tc>
          <w:tcPr>
            <w:tcW w:w="5500" w:type="dxa"/>
            <w:tcBorders>
              <w:top w:val="nil"/>
              <w:left w:val="nil"/>
              <w:right w:val="nil"/>
            </w:tcBorders>
            <w:shd w:val="clear" w:color="auto" w:fill="auto"/>
          </w:tcPr>
          <w:p w14:paraId="649FA649" w14:textId="77777777" w:rsidR="00F938DA" w:rsidRPr="00F938DA" w:rsidRDefault="00F938DA" w:rsidP="0048028F">
            <w:pPr>
              <w:suppressAutoHyphens w:val="0"/>
              <w:spacing w:line="240" w:lineRule="auto"/>
              <w:rPr>
                <w:b/>
                <w:bCs/>
                <w:lang w:val="en-US"/>
              </w:rPr>
            </w:pPr>
            <w:r w:rsidRPr="00F938DA">
              <w:rPr>
                <w:b/>
                <w:bCs/>
                <w:lang w:val="en-US"/>
              </w:rPr>
              <w:t>Title</w:t>
            </w:r>
          </w:p>
        </w:tc>
      </w:tr>
      <w:tr w:rsidR="004B5A54" w:rsidRPr="002A3904" w14:paraId="55F7B778" w14:textId="77777777" w:rsidTr="002C34C6">
        <w:trPr>
          <w:cantSplit/>
          <w:trHeight w:val="20"/>
        </w:trPr>
        <w:tc>
          <w:tcPr>
            <w:tcW w:w="3507" w:type="dxa"/>
            <w:gridSpan w:val="2"/>
            <w:tcBorders>
              <w:top w:val="nil"/>
              <w:left w:val="nil"/>
              <w:bottom w:val="nil"/>
              <w:right w:val="nil"/>
            </w:tcBorders>
            <w:shd w:val="clear" w:color="auto" w:fill="E6E6E6"/>
          </w:tcPr>
          <w:p w14:paraId="0DD1AE18" w14:textId="0FED6323" w:rsidR="004B5A54" w:rsidRPr="00AF51E4" w:rsidRDefault="004B5A54" w:rsidP="0048028F">
            <w:pPr>
              <w:suppressAutoHyphens w:val="0"/>
              <w:spacing w:line="240" w:lineRule="auto"/>
              <w:rPr>
                <w:iCs/>
                <w:sz w:val="18"/>
                <w:szCs w:val="18"/>
                <w:u w:val="single"/>
                <w:lang w:val="en-US"/>
              </w:rPr>
            </w:pPr>
            <w:r w:rsidRPr="00AF51E4">
              <w:rPr>
                <w:iCs/>
                <w:sz w:val="18"/>
                <w:szCs w:val="18"/>
                <w:u w:val="single"/>
                <w:lang w:val="en-US"/>
              </w:rPr>
              <w:t>Agenda Item 2(</w:t>
            </w:r>
            <w:r w:rsidR="00542C13">
              <w:rPr>
                <w:iCs/>
                <w:sz w:val="18"/>
                <w:szCs w:val="18"/>
                <w:u w:val="single"/>
                <w:lang w:val="en-US"/>
              </w:rPr>
              <w:t>b</w:t>
            </w:r>
            <w:r w:rsidRPr="00AF51E4">
              <w:rPr>
                <w:iCs/>
                <w:sz w:val="18"/>
                <w:szCs w:val="18"/>
                <w:u w:val="single"/>
                <w:lang w:val="en-US"/>
              </w:rPr>
              <w:t>)</w:t>
            </w:r>
          </w:p>
        </w:tc>
        <w:tc>
          <w:tcPr>
            <w:tcW w:w="5500" w:type="dxa"/>
            <w:tcBorders>
              <w:top w:val="nil"/>
              <w:left w:val="nil"/>
              <w:bottom w:val="nil"/>
              <w:right w:val="nil"/>
            </w:tcBorders>
            <w:shd w:val="clear" w:color="auto" w:fill="E6E6E6"/>
          </w:tcPr>
          <w:p w14:paraId="40108CD6" w14:textId="7427C751" w:rsidR="004B5A54" w:rsidRPr="00AF51E4" w:rsidRDefault="00542C13" w:rsidP="0048028F">
            <w:pPr>
              <w:suppressAutoHyphens w:val="0"/>
              <w:spacing w:line="240" w:lineRule="auto"/>
              <w:rPr>
                <w:iCs/>
                <w:sz w:val="18"/>
                <w:szCs w:val="18"/>
                <w:u w:val="single"/>
                <w:lang w:val="en-US"/>
              </w:rPr>
            </w:pPr>
            <w:r>
              <w:rPr>
                <w:iCs/>
                <w:sz w:val="18"/>
                <w:szCs w:val="18"/>
                <w:u w:val="single"/>
                <w:lang w:val="en-US"/>
              </w:rPr>
              <w:t>Explosives and related matters</w:t>
            </w:r>
          </w:p>
        </w:tc>
      </w:tr>
      <w:tr w:rsidR="00542C13" w:rsidRPr="00137508" w14:paraId="1FEFBB1C" w14:textId="77777777" w:rsidTr="00560974">
        <w:trPr>
          <w:gridBefore w:val="1"/>
          <w:wBefore w:w="26" w:type="dxa"/>
          <w:cantSplit/>
          <w:trHeight w:val="20"/>
        </w:trPr>
        <w:tc>
          <w:tcPr>
            <w:tcW w:w="3481" w:type="dxa"/>
            <w:tcBorders>
              <w:top w:val="nil"/>
              <w:left w:val="nil"/>
              <w:bottom w:val="nil"/>
              <w:right w:val="nil"/>
            </w:tcBorders>
            <w:shd w:val="clear" w:color="auto" w:fill="auto"/>
          </w:tcPr>
          <w:p w14:paraId="453B7DD3" w14:textId="03F898C1" w:rsidR="00542C13" w:rsidRPr="00AF51E4" w:rsidRDefault="00542C13" w:rsidP="00647B5D">
            <w:pPr>
              <w:suppressAutoHyphens w:val="0"/>
              <w:spacing w:line="240" w:lineRule="auto"/>
              <w:rPr>
                <w:i/>
                <w:iCs/>
                <w:sz w:val="18"/>
                <w:szCs w:val="18"/>
                <w:lang w:val="en-US"/>
              </w:rPr>
            </w:pPr>
            <w:r w:rsidRPr="00542C13">
              <w:rPr>
                <w:i/>
                <w:iCs/>
                <w:sz w:val="18"/>
                <w:szCs w:val="18"/>
                <w:lang w:val="en-US"/>
              </w:rPr>
              <w:t>ST/SG/AC.10/C.3/2016/53 - (AEISG)</w:t>
            </w:r>
          </w:p>
        </w:tc>
        <w:tc>
          <w:tcPr>
            <w:tcW w:w="5500" w:type="dxa"/>
            <w:tcBorders>
              <w:top w:val="nil"/>
              <w:left w:val="nil"/>
              <w:bottom w:val="nil"/>
              <w:right w:val="nil"/>
            </w:tcBorders>
            <w:shd w:val="clear" w:color="auto" w:fill="auto"/>
          </w:tcPr>
          <w:p w14:paraId="1656EDDB" w14:textId="77777777" w:rsidR="00542C13" w:rsidRPr="00AF51E4" w:rsidRDefault="00542C13" w:rsidP="00560974">
            <w:pPr>
              <w:suppressAutoHyphens w:val="0"/>
              <w:spacing w:line="240" w:lineRule="auto"/>
              <w:rPr>
                <w:i/>
                <w:iCs/>
                <w:sz w:val="18"/>
                <w:szCs w:val="18"/>
                <w:lang w:val="en-US"/>
              </w:rPr>
            </w:pPr>
            <w:r w:rsidRPr="00542C13">
              <w:rPr>
                <w:i/>
                <w:iCs/>
                <w:sz w:val="18"/>
                <w:szCs w:val="18"/>
                <w:lang w:val="en-US"/>
              </w:rPr>
              <w:t>Chapter 2.1 of the Model Regulations - Class 1 definition^. Chapter 2.1 of the GHS - Class of explosives</w:t>
            </w:r>
          </w:p>
        </w:tc>
      </w:tr>
      <w:tr w:rsidR="00542C13" w:rsidRPr="00137508" w14:paraId="3D79DDE8" w14:textId="77777777" w:rsidTr="00560974">
        <w:trPr>
          <w:gridBefore w:val="1"/>
          <w:wBefore w:w="26" w:type="dxa"/>
          <w:cantSplit/>
          <w:trHeight w:val="20"/>
        </w:trPr>
        <w:tc>
          <w:tcPr>
            <w:tcW w:w="3481" w:type="dxa"/>
            <w:tcBorders>
              <w:top w:val="nil"/>
              <w:left w:val="nil"/>
              <w:bottom w:val="nil"/>
              <w:right w:val="nil"/>
            </w:tcBorders>
            <w:shd w:val="clear" w:color="auto" w:fill="auto"/>
          </w:tcPr>
          <w:p w14:paraId="75998758" w14:textId="69E4B13C" w:rsidR="008C323F" w:rsidRPr="00AF51E4" w:rsidRDefault="00542C13" w:rsidP="00560974">
            <w:pPr>
              <w:suppressAutoHyphens w:val="0"/>
              <w:spacing w:line="240" w:lineRule="auto"/>
              <w:rPr>
                <w:i/>
                <w:iCs/>
                <w:sz w:val="18"/>
                <w:szCs w:val="18"/>
                <w:lang w:val="en-US"/>
              </w:rPr>
            </w:pPr>
            <w:r w:rsidRPr="00542C13">
              <w:rPr>
                <w:i/>
                <w:iCs/>
                <w:sz w:val="18"/>
                <w:szCs w:val="18"/>
                <w:lang w:val="en-US"/>
              </w:rPr>
              <w:t>ST/SG/AC.10/C.3/2016/60 - (Sweden, AEISG)</w:t>
            </w:r>
          </w:p>
        </w:tc>
        <w:tc>
          <w:tcPr>
            <w:tcW w:w="5500" w:type="dxa"/>
            <w:tcBorders>
              <w:top w:val="nil"/>
              <w:left w:val="nil"/>
              <w:bottom w:val="nil"/>
              <w:right w:val="nil"/>
            </w:tcBorders>
            <w:shd w:val="clear" w:color="auto" w:fill="auto"/>
          </w:tcPr>
          <w:p w14:paraId="1DEA382D" w14:textId="16A835BA" w:rsidR="00542C13" w:rsidRPr="00AF51E4" w:rsidRDefault="00542C13" w:rsidP="00560974">
            <w:pPr>
              <w:suppressAutoHyphens w:val="0"/>
              <w:spacing w:line="240" w:lineRule="auto"/>
              <w:rPr>
                <w:i/>
                <w:iCs/>
                <w:sz w:val="18"/>
                <w:szCs w:val="18"/>
                <w:lang w:val="en-US"/>
              </w:rPr>
            </w:pPr>
            <w:r w:rsidRPr="00542C13">
              <w:rPr>
                <w:i/>
                <w:iCs/>
                <w:sz w:val="18"/>
                <w:szCs w:val="18"/>
                <w:lang w:val="en-US"/>
              </w:rPr>
              <w:t>Manual of Tests and Criteria. Proposals to amend section 10.3.3</w:t>
            </w:r>
          </w:p>
        </w:tc>
      </w:tr>
      <w:tr w:rsidR="00542C13" w:rsidRPr="00137508" w14:paraId="65074574" w14:textId="77777777" w:rsidTr="00560974">
        <w:trPr>
          <w:gridBefore w:val="1"/>
          <w:wBefore w:w="26" w:type="dxa"/>
          <w:cantSplit/>
          <w:trHeight w:val="20"/>
        </w:trPr>
        <w:tc>
          <w:tcPr>
            <w:tcW w:w="3481" w:type="dxa"/>
            <w:tcBorders>
              <w:top w:val="nil"/>
              <w:left w:val="nil"/>
              <w:bottom w:val="nil"/>
              <w:right w:val="nil"/>
            </w:tcBorders>
            <w:shd w:val="clear" w:color="auto" w:fill="auto"/>
          </w:tcPr>
          <w:p w14:paraId="05704934" w14:textId="77777777" w:rsidR="00542C13" w:rsidRDefault="00542C13" w:rsidP="00560974">
            <w:pPr>
              <w:suppressAutoHyphens w:val="0"/>
              <w:spacing w:line="240" w:lineRule="auto"/>
              <w:rPr>
                <w:i/>
                <w:iCs/>
                <w:sz w:val="18"/>
                <w:szCs w:val="18"/>
                <w:lang w:val="en-US"/>
              </w:rPr>
            </w:pPr>
            <w:r w:rsidRPr="00542C13">
              <w:rPr>
                <w:i/>
                <w:iCs/>
                <w:sz w:val="18"/>
                <w:szCs w:val="18"/>
                <w:lang w:val="en-US"/>
              </w:rPr>
              <w:t>ST/SG/AC.10/C.3/2016/61 - (CEFIC)</w:t>
            </w:r>
          </w:p>
          <w:p w14:paraId="570C4BE6" w14:textId="6563937F" w:rsidR="008C323F" w:rsidRPr="00AF51E4" w:rsidRDefault="008C323F" w:rsidP="008C323F">
            <w:pPr>
              <w:suppressAutoHyphens w:val="0"/>
              <w:spacing w:line="240" w:lineRule="auto"/>
              <w:ind w:left="216" w:hanging="216"/>
              <w:rPr>
                <w:i/>
                <w:iCs/>
                <w:sz w:val="18"/>
                <w:szCs w:val="18"/>
                <w:lang w:val="en-US"/>
              </w:rPr>
            </w:pPr>
            <w:r>
              <w:rPr>
                <w:i/>
                <w:iCs/>
                <w:sz w:val="18"/>
                <w:szCs w:val="18"/>
                <w:lang w:val="en-US"/>
              </w:rPr>
              <w:tab/>
              <w:t>UN/SCETDG/50/INF.23 - (CEFIC)</w:t>
            </w:r>
          </w:p>
        </w:tc>
        <w:tc>
          <w:tcPr>
            <w:tcW w:w="5500" w:type="dxa"/>
            <w:tcBorders>
              <w:top w:val="nil"/>
              <w:left w:val="nil"/>
              <w:bottom w:val="nil"/>
              <w:right w:val="nil"/>
            </w:tcBorders>
            <w:shd w:val="clear" w:color="auto" w:fill="auto"/>
          </w:tcPr>
          <w:p w14:paraId="0DC8A24E" w14:textId="0CFC9828" w:rsidR="00542C13" w:rsidRPr="00AF51E4" w:rsidRDefault="00542C13" w:rsidP="00560974">
            <w:pPr>
              <w:suppressAutoHyphens w:val="0"/>
              <w:spacing w:line="240" w:lineRule="auto"/>
              <w:rPr>
                <w:i/>
                <w:iCs/>
                <w:sz w:val="18"/>
                <w:szCs w:val="18"/>
                <w:lang w:val="en-US"/>
              </w:rPr>
            </w:pPr>
            <w:r w:rsidRPr="00542C13">
              <w:rPr>
                <w:i/>
                <w:iCs/>
                <w:sz w:val="18"/>
                <w:szCs w:val="18"/>
                <w:lang w:val="en-US"/>
              </w:rPr>
              <w:t>Transport of energetic samples for further testing</w:t>
            </w:r>
          </w:p>
        </w:tc>
      </w:tr>
      <w:tr w:rsidR="000E1531" w:rsidRPr="00137508" w14:paraId="4EA82DEA" w14:textId="77777777" w:rsidTr="00A50B4A">
        <w:trPr>
          <w:gridBefore w:val="1"/>
          <w:wBefore w:w="26" w:type="dxa"/>
          <w:cantSplit/>
          <w:trHeight w:val="20"/>
        </w:trPr>
        <w:tc>
          <w:tcPr>
            <w:tcW w:w="3481" w:type="dxa"/>
            <w:tcBorders>
              <w:top w:val="nil"/>
              <w:left w:val="nil"/>
              <w:bottom w:val="nil"/>
              <w:right w:val="nil"/>
            </w:tcBorders>
            <w:shd w:val="clear" w:color="auto" w:fill="auto"/>
          </w:tcPr>
          <w:p w14:paraId="34270F27" w14:textId="77777777" w:rsidR="001B2FA1" w:rsidRDefault="00542C13" w:rsidP="007B7E53">
            <w:pPr>
              <w:suppressAutoHyphens w:val="0"/>
              <w:spacing w:line="240" w:lineRule="auto"/>
              <w:rPr>
                <w:i/>
                <w:iCs/>
                <w:sz w:val="18"/>
                <w:szCs w:val="18"/>
                <w:lang w:val="en-US"/>
              </w:rPr>
            </w:pPr>
            <w:r w:rsidRPr="00542C13">
              <w:rPr>
                <w:i/>
                <w:iCs/>
                <w:sz w:val="18"/>
                <w:szCs w:val="18"/>
                <w:lang w:val="en-US"/>
              </w:rPr>
              <w:t>ST/SG/AC.10/C.3/2016/66 - (Sweden)</w:t>
            </w:r>
          </w:p>
          <w:p w14:paraId="381E50C5" w14:textId="77777777" w:rsidR="000E1531" w:rsidRDefault="001B2FA1" w:rsidP="001B2FA1">
            <w:pPr>
              <w:suppressAutoHyphens w:val="0"/>
              <w:spacing w:line="240" w:lineRule="auto"/>
              <w:ind w:left="173"/>
              <w:rPr>
                <w:i/>
                <w:iCs/>
                <w:sz w:val="18"/>
                <w:szCs w:val="18"/>
                <w:lang w:val="en-US"/>
              </w:rPr>
            </w:pPr>
            <w:r w:rsidRPr="00542C13">
              <w:rPr>
                <w:i/>
                <w:iCs/>
                <w:sz w:val="18"/>
                <w:szCs w:val="18"/>
                <w:lang w:val="en-US"/>
              </w:rPr>
              <w:t>UN/SCETDG/50/INF.9 - (AEISG)</w:t>
            </w:r>
          </w:p>
          <w:p w14:paraId="1B466C9C" w14:textId="19B73789" w:rsidR="008C323F" w:rsidRPr="00AF51E4" w:rsidRDefault="008C323F" w:rsidP="001B2FA1">
            <w:pPr>
              <w:suppressAutoHyphens w:val="0"/>
              <w:spacing w:line="240" w:lineRule="auto"/>
              <w:ind w:left="173"/>
              <w:rPr>
                <w:i/>
                <w:iCs/>
                <w:sz w:val="18"/>
                <w:szCs w:val="18"/>
                <w:lang w:val="en-US"/>
              </w:rPr>
            </w:pPr>
            <w:r>
              <w:rPr>
                <w:i/>
                <w:iCs/>
                <w:sz w:val="18"/>
                <w:szCs w:val="18"/>
                <w:lang w:val="en-US"/>
              </w:rPr>
              <w:t>UN/SCETDG/50/INF.47 - (IME)</w:t>
            </w:r>
          </w:p>
        </w:tc>
        <w:tc>
          <w:tcPr>
            <w:tcW w:w="5500" w:type="dxa"/>
            <w:tcBorders>
              <w:top w:val="nil"/>
              <w:left w:val="nil"/>
              <w:bottom w:val="nil"/>
              <w:right w:val="nil"/>
            </w:tcBorders>
            <w:shd w:val="clear" w:color="auto" w:fill="auto"/>
          </w:tcPr>
          <w:p w14:paraId="77C1535E" w14:textId="1F915DE4" w:rsidR="000E1531" w:rsidRPr="00AF51E4" w:rsidRDefault="00542C13" w:rsidP="0048028F">
            <w:pPr>
              <w:suppressAutoHyphens w:val="0"/>
              <w:spacing w:line="240" w:lineRule="auto"/>
              <w:rPr>
                <w:i/>
                <w:iCs/>
                <w:sz w:val="18"/>
                <w:szCs w:val="18"/>
                <w:lang w:val="en-US"/>
              </w:rPr>
            </w:pPr>
            <w:r w:rsidRPr="00542C13">
              <w:rPr>
                <w:i/>
                <w:iCs/>
                <w:sz w:val="18"/>
                <w:szCs w:val="18"/>
                <w:lang w:val="en-US"/>
              </w:rPr>
              <w:t>Clarification of the classification of ammonium nitrate based fertilizers - proposal for a new section 39 in the Manual of tests and Criteria</w:t>
            </w:r>
          </w:p>
        </w:tc>
      </w:tr>
      <w:tr w:rsidR="008C323F" w:rsidRPr="00137508" w14:paraId="5BB14C57" w14:textId="77777777" w:rsidTr="00A50B4A">
        <w:trPr>
          <w:gridBefore w:val="1"/>
          <w:wBefore w:w="26" w:type="dxa"/>
          <w:cantSplit/>
          <w:trHeight w:val="20"/>
        </w:trPr>
        <w:tc>
          <w:tcPr>
            <w:tcW w:w="3481" w:type="dxa"/>
            <w:tcBorders>
              <w:top w:val="nil"/>
              <w:left w:val="nil"/>
              <w:bottom w:val="nil"/>
              <w:right w:val="nil"/>
            </w:tcBorders>
            <w:shd w:val="clear" w:color="auto" w:fill="auto"/>
          </w:tcPr>
          <w:p w14:paraId="5E0F9A4F" w14:textId="7D9485B8" w:rsidR="008C323F" w:rsidRDefault="008C323F" w:rsidP="008C323F">
            <w:pPr>
              <w:suppressAutoHyphens w:val="0"/>
              <w:spacing w:line="240" w:lineRule="auto"/>
              <w:ind w:left="173"/>
              <w:rPr>
                <w:i/>
                <w:iCs/>
                <w:sz w:val="18"/>
                <w:szCs w:val="18"/>
                <w:lang w:val="en-US"/>
              </w:rPr>
            </w:pPr>
            <w:r>
              <w:rPr>
                <w:i/>
                <w:iCs/>
                <w:sz w:val="18"/>
                <w:szCs w:val="18"/>
                <w:lang w:val="en-US"/>
              </w:rPr>
              <w:t>UN/SCETDG/50/INF.33 - (Italy</w:t>
            </w:r>
            <w:r w:rsidRPr="00542C13">
              <w:rPr>
                <w:i/>
                <w:iCs/>
                <w:sz w:val="18"/>
                <w:szCs w:val="18"/>
                <w:lang w:val="en-US"/>
              </w:rPr>
              <w:t>)</w:t>
            </w:r>
          </w:p>
          <w:p w14:paraId="33DF96C0" w14:textId="7D3750FD" w:rsidR="008C323F" w:rsidRPr="00542C13" w:rsidRDefault="008C323F" w:rsidP="008C323F">
            <w:pPr>
              <w:suppressAutoHyphens w:val="0"/>
              <w:spacing w:line="240" w:lineRule="auto"/>
              <w:ind w:left="173"/>
              <w:rPr>
                <w:i/>
                <w:iCs/>
                <w:sz w:val="18"/>
                <w:szCs w:val="18"/>
                <w:lang w:val="en-US"/>
              </w:rPr>
            </w:pPr>
            <w:r>
              <w:rPr>
                <w:i/>
                <w:iCs/>
                <w:sz w:val="18"/>
                <w:szCs w:val="18"/>
                <w:lang w:val="en-US"/>
              </w:rPr>
              <w:t>UN/SCETDG/50/INF.44 - (UK)</w:t>
            </w:r>
          </w:p>
        </w:tc>
        <w:tc>
          <w:tcPr>
            <w:tcW w:w="5500" w:type="dxa"/>
            <w:tcBorders>
              <w:top w:val="nil"/>
              <w:left w:val="nil"/>
              <w:bottom w:val="nil"/>
              <w:right w:val="nil"/>
            </w:tcBorders>
            <w:shd w:val="clear" w:color="auto" w:fill="auto"/>
          </w:tcPr>
          <w:p w14:paraId="23A713DA" w14:textId="2604CE6A" w:rsidR="008C323F" w:rsidRPr="007A4A1E" w:rsidRDefault="008C323F" w:rsidP="0048028F">
            <w:pPr>
              <w:suppressAutoHyphens w:val="0"/>
              <w:spacing w:line="240" w:lineRule="auto"/>
              <w:rPr>
                <w:i/>
                <w:iCs/>
                <w:sz w:val="18"/>
                <w:szCs w:val="18"/>
                <w:lang w:val="en-US"/>
              </w:rPr>
            </w:pPr>
            <w:r w:rsidRPr="007A4A1E">
              <w:rPr>
                <w:i/>
                <w:iCs/>
                <w:sz w:val="18"/>
                <w:szCs w:val="18"/>
                <w:lang w:val="en-US"/>
              </w:rPr>
              <w:t>Application of Security Provisions to Explosives N.O.S.</w:t>
            </w:r>
          </w:p>
        </w:tc>
      </w:tr>
      <w:tr w:rsidR="008C323F" w:rsidRPr="002C34C6" w14:paraId="2A644AB9" w14:textId="77777777" w:rsidTr="002C34C6">
        <w:trPr>
          <w:cantSplit/>
          <w:trHeight w:val="20"/>
        </w:trPr>
        <w:tc>
          <w:tcPr>
            <w:tcW w:w="3507" w:type="dxa"/>
            <w:gridSpan w:val="2"/>
            <w:tcBorders>
              <w:top w:val="nil"/>
              <w:left w:val="nil"/>
              <w:bottom w:val="nil"/>
              <w:right w:val="nil"/>
            </w:tcBorders>
            <w:shd w:val="clear" w:color="auto" w:fill="E6E6E6"/>
          </w:tcPr>
          <w:p w14:paraId="46464923" w14:textId="40BACD58" w:rsidR="008C323F" w:rsidRPr="00AF51E4" w:rsidRDefault="00342F91" w:rsidP="003A51B5">
            <w:pPr>
              <w:keepNext/>
              <w:suppressAutoHyphens w:val="0"/>
              <w:spacing w:line="240" w:lineRule="auto"/>
              <w:rPr>
                <w:iCs/>
                <w:sz w:val="18"/>
                <w:szCs w:val="18"/>
                <w:u w:val="single"/>
                <w:lang w:val="en-US"/>
              </w:rPr>
            </w:pPr>
            <w:r>
              <w:rPr>
                <w:iCs/>
                <w:sz w:val="18"/>
                <w:szCs w:val="18"/>
                <w:u w:val="single"/>
                <w:lang w:val="en-US"/>
              </w:rPr>
              <w:lastRenderedPageBreak/>
              <w:t>Agenda Item 6</w:t>
            </w:r>
          </w:p>
        </w:tc>
        <w:tc>
          <w:tcPr>
            <w:tcW w:w="5500" w:type="dxa"/>
            <w:tcBorders>
              <w:top w:val="nil"/>
              <w:left w:val="nil"/>
              <w:bottom w:val="nil"/>
              <w:right w:val="nil"/>
            </w:tcBorders>
            <w:shd w:val="clear" w:color="auto" w:fill="E6E6E6"/>
          </w:tcPr>
          <w:p w14:paraId="1170AB32" w14:textId="484B0484" w:rsidR="008C323F" w:rsidRPr="003A51B5" w:rsidRDefault="00342F91" w:rsidP="003A51B5">
            <w:pPr>
              <w:keepNext/>
              <w:suppressAutoHyphens w:val="0"/>
              <w:spacing w:line="240" w:lineRule="auto"/>
              <w:rPr>
                <w:iCs/>
                <w:sz w:val="18"/>
                <w:szCs w:val="18"/>
                <w:u w:val="single"/>
                <w:lang w:val="en-US"/>
              </w:rPr>
            </w:pPr>
            <w:r w:rsidRPr="00342F91">
              <w:rPr>
                <w:iCs/>
                <w:sz w:val="18"/>
                <w:szCs w:val="18"/>
                <w:u w:val="single"/>
                <w:lang w:val="en-US"/>
              </w:rPr>
              <w:t>New proposals for amendments to the Model Regulations on the Transport of Dangerous Goods</w:t>
            </w:r>
          </w:p>
        </w:tc>
      </w:tr>
      <w:tr w:rsidR="00342F91" w:rsidRPr="00542C13" w14:paraId="7FA03915" w14:textId="77777777" w:rsidTr="000E0AAA">
        <w:trPr>
          <w:gridBefore w:val="1"/>
          <w:wBefore w:w="26" w:type="dxa"/>
          <w:cantSplit/>
          <w:trHeight w:val="20"/>
        </w:trPr>
        <w:tc>
          <w:tcPr>
            <w:tcW w:w="3481" w:type="dxa"/>
            <w:tcBorders>
              <w:top w:val="nil"/>
              <w:left w:val="nil"/>
              <w:bottom w:val="nil"/>
              <w:right w:val="nil"/>
            </w:tcBorders>
            <w:shd w:val="clear" w:color="auto" w:fill="auto"/>
          </w:tcPr>
          <w:p w14:paraId="19C95CFB" w14:textId="6FFC2790" w:rsidR="00342F91" w:rsidRPr="00542C13" w:rsidRDefault="00342F91" w:rsidP="00342F91">
            <w:pPr>
              <w:suppressAutoHyphens w:val="0"/>
              <w:spacing w:line="240" w:lineRule="auto"/>
              <w:ind w:left="173"/>
              <w:rPr>
                <w:i/>
                <w:iCs/>
                <w:sz w:val="18"/>
                <w:szCs w:val="18"/>
                <w:lang w:val="en-US"/>
              </w:rPr>
            </w:pPr>
            <w:r>
              <w:rPr>
                <w:i/>
                <w:iCs/>
                <w:sz w:val="18"/>
                <w:szCs w:val="18"/>
                <w:lang w:val="en-US"/>
              </w:rPr>
              <w:t>UN/SCETDG/50/INF.30 - (AEISG</w:t>
            </w:r>
            <w:r w:rsidRPr="00542C13">
              <w:rPr>
                <w:i/>
                <w:iCs/>
                <w:sz w:val="18"/>
                <w:szCs w:val="18"/>
                <w:lang w:val="en-US"/>
              </w:rPr>
              <w:t>)</w:t>
            </w:r>
          </w:p>
        </w:tc>
        <w:tc>
          <w:tcPr>
            <w:tcW w:w="5500" w:type="dxa"/>
            <w:tcBorders>
              <w:top w:val="nil"/>
              <w:left w:val="nil"/>
              <w:bottom w:val="nil"/>
              <w:right w:val="nil"/>
            </w:tcBorders>
            <w:shd w:val="clear" w:color="auto" w:fill="auto"/>
          </w:tcPr>
          <w:p w14:paraId="5D00B803" w14:textId="2682B2CB" w:rsidR="00342F91" w:rsidRPr="00542C13" w:rsidRDefault="00342F91" w:rsidP="000E0AAA">
            <w:pPr>
              <w:suppressAutoHyphens w:val="0"/>
              <w:spacing w:line="240" w:lineRule="auto"/>
              <w:rPr>
                <w:i/>
                <w:iCs/>
                <w:sz w:val="18"/>
                <w:szCs w:val="18"/>
                <w:lang w:val="en-US"/>
              </w:rPr>
            </w:pPr>
            <w:r w:rsidRPr="00342F91">
              <w:rPr>
                <w:i/>
                <w:iCs/>
                <w:sz w:val="18"/>
                <w:szCs w:val="18"/>
                <w:lang w:val="en-US"/>
              </w:rPr>
              <w:t>New UN entries for Electronic Detonators</w:t>
            </w:r>
          </w:p>
        </w:tc>
      </w:tr>
      <w:tr w:rsidR="00F27965" w:rsidRPr="002C34C6" w14:paraId="6BDA65AF" w14:textId="77777777" w:rsidTr="002C34C6">
        <w:trPr>
          <w:cantSplit/>
          <w:trHeight w:val="20"/>
        </w:trPr>
        <w:tc>
          <w:tcPr>
            <w:tcW w:w="3507" w:type="dxa"/>
            <w:gridSpan w:val="2"/>
            <w:tcBorders>
              <w:top w:val="nil"/>
              <w:left w:val="nil"/>
              <w:bottom w:val="nil"/>
              <w:right w:val="nil"/>
            </w:tcBorders>
            <w:shd w:val="clear" w:color="auto" w:fill="E6E6E6"/>
          </w:tcPr>
          <w:p w14:paraId="642675A7" w14:textId="1F64BE3C" w:rsidR="00F27965" w:rsidRPr="00AF51E4" w:rsidRDefault="00F27965" w:rsidP="003A51B5">
            <w:pPr>
              <w:keepNext/>
              <w:suppressAutoHyphens w:val="0"/>
              <w:spacing w:line="240" w:lineRule="auto"/>
              <w:rPr>
                <w:iCs/>
                <w:sz w:val="18"/>
                <w:szCs w:val="18"/>
                <w:u w:val="single"/>
                <w:lang w:val="en-US"/>
              </w:rPr>
            </w:pPr>
            <w:r w:rsidRPr="00AF51E4">
              <w:rPr>
                <w:iCs/>
                <w:sz w:val="18"/>
                <w:szCs w:val="18"/>
                <w:u w:val="single"/>
                <w:lang w:val="en-US"/>
              </w:rPr>
              <w:t xml:space="preserve">Agenda Item </w:t>
            </w:r>
            <w:r w:rsidR="003A51B5">
              <w:rPr>
                <w:iCs/>
                <w:sz w:val="18"/>
                <w:szCs w:val="18"/>
                <w:u w:val="single"/>
                <w:lang w:val="en-US"/>
              </w:rPr>
              <w:t>7</w:t>
            </w:r>
            <w:r w:rsidRPr="00AF51E4">
              <w:rPr>
                <w:iCs/>
                <w:sz w:val="18"/>
                <w:szCs w:val="18"/>
                <w:u w:val="single"/>
                <w:lang w:val="en-US"/>
              </w:rPr>
              <w:t>(</w:t>
            </w:r>
            <w:r w:rsidR="003A51B5">
              <w:rPr>
                <w:iCs/>
                <w:sz w:val="18"/>
                <w:szCs w:val="18"/>
                <w:u w:val="single"/>
                <w:lang w:val="en-US"/>
              </w:rPr>
              <w:t>g</w:t>
            </w:r>
            <w:r w:rsidRPr="00AF51E4">
              <w:rPr>
                <w:iCs/>
                <w:sz w:val="18"/>
                <w:szCs w:val="18"/>
                <w:u w:val="single"/>
                <w:lang w:val="en-US"/>
              </w:rPr>
              <w:t>)</w:t>
            </w:r>
          </w:p>
        </w:tc>
        <w:tc>
          <w:tcPr>
            <w:tcW w:w="5500" w:type="dxa"/>
            <w:tcBorders>
              <w:top w:val="nil"/>
              <w:left w:val="nil"/>
              <w:bottom w:val="nil"/>
              <w:right w:val="nil"/>
            </w:tcBorders>
            <w:shd w:val="clear" w:color="auto" w:fill="E6E6E6"/>
          </w:tcPr>
          <w:p w14:paraId="327C767D" w14:textId="55B36C70" w:rsidR="00F27965" w:rsidRPr="00AF51E4" w:rsidRDefault="003A51B5" w:rsidP="003A51B5">
            <w:pPr>
              <w:keepNext/>
              <w:suppressAutoHyphens w:val="0"/>
              <w:spacing w:line="240" w:lineRule="auto"/>
              <w:rPr>
                <w:iCs/>
                <w:sz w:val="18"/>
                <w:szCs w:val="18"/>
                <w:u w:val="single"/>
                <w:lang w:val="en-US"/>
              </w:rPr>
            </w:pPr>
            <w:r w:rsidRPr="003A51B5">
              <w:rPr>
                <w:iCs/>
                <w:sz w:val="18"/>
                <w:szCs w:val="18"/>
                <w:u w:val="single"/>
                <w:lang w:val="en-US"/>
              </w:rPr>
              <w:t>Use of the Manual of Tests and Criteria in the context of the GHS</w:t>
            </w:r>
          </w:p>
        </w:tc>
      </w:tr>
      <w:tr w:rsidR="003A51B5" w:rsidRPr="00137508" w14:paraId="54833996" w14:textId="77777777" w:rsidTr="00B055A3">
        <w:trPr>
          <w:gridBefore w:val="1"/>
          <w:wBefore w:w="26" w:type="dxa"/>
          <w:cantSplit/>
          <w:trHeight w:val="20"/>
        </w:trPr>
        <w:tc>
          <w:tcPr>
            <w:tcW w:w="3481" w:type="dxa"/>
            <w:tcBorders>
              <w:top w:val="nil"/>
              <w:left w:val="nil"/>
              <w:right w:val="nil"/>
            </w:tcBorders>
            <w:shd w:val="clear" w:color="auto" w:fill="auto"/>
          </w:tcPr>
          <w:p w14:paraId="1AFAC909" w14:textId="2F018303" w:rsidR="003A51B5" w:rsidRPr="00AF51E4" w:rsidRDefault="003A51B5" w:rsidP="003A51B5">
            <w:pPr>
              <w:keepNext/>
              <w:suppressAutoHyphens w:val="0"/>
              <w:spacing w:line="240" w:lineRule="auto"/>
              <w:rPr>
                <w:i/>
                <w:iCs/>
                <w:sz w:val="18"/>
                <w:szCs w:val="18"/>
                <w:lang w:val="en-US"/>
              </w:rPr>
            </w:pPr>
            <w:r w:rsidRPr="003A51B5">
              <w:rPr>
                <w:i/>
                <w:iCs/>
                <w:sz w:val="18"/>
                <w:szCs w:val="18"/>
                <w:lang w:val="en-US"/>
              </w:rPr>
              <w:t>ST/SG/AC.10/C.3/2016/83 - ST/SG/AC.10/C.4/2016/16 - (Chairman of t</w:t>
            </w:r>
            <w:r>
              <w:rPr>
                <w:i/>
                <w:iCs/>
                <w:sz w:val="18"/>
                <w:szCs w:val="18"/>
                <w:lang w:val="en-US"/>
              </w:rPr>
              <w:t>he Working Group on Explosives</w:t>
            </w:r>
            <w:r w:rsidRPr="003A51B5">
              <w:rPr>
                <w:i/>
                <w:iCs/>
                <w:sz w:val="18"/>
                <w:szCs w:val="18"/>
                <w:lang w:val="en-US"/>
              </w:rPr>
              <w:t>)</w:t>
            </w:r>
          </w:p>
        </w:tc>
        <w:tc>
          <w:tcPr>
            <w:tcW w:w="5500" w:type="dxa"/>
            <w:tcBorders>
              <w:top w:val="nil"/>
              <w:left w:val="nil"/>
              <w:right w:val="nil"/>
            </w:tcBorders>
            <w:shd w:val="clear" w:color="auto" w:fill="auto"/>
          </w:tcPr>
          <w:p w14:paraId="21FF26E1" w14:textId="2996E338" w:rsidR="003A51B5" w:rsidRPr="00AF51E4" w:rsidRDefault="003A51B5" w:rsidP="003A51B5">
            <w:pPr>
              <w:keepNext/>
              <w:suppressAutoHyphens w:val="0"/>
              <w:spacing w:line="240" w:lineRule="auto"/>
              <w:rPr>
                <w:i/>
                <w:iCs/>
                <w:sz w:val="18"/>
                <w:szCs w:val="18"/>
                <w:lang w:val="en-US"/>
              </w:rPr>
            </w:pPr>
            <w:r w:rsidRPr="003A51B5">
              <w:rPr>
                <w:i/>
                <w:iCs/>
                <w:sz w:val="18"/>
                <w:szCs w:val="18"/>
                <w:lang w:val="en-US"/>
              </w:rPr>
              <w:t>Use of the Manual of Tests and Criteria in the context of GHS</w:t>
            </w:r>
          </w:p>
        </w:tc>
      </w:tr>
      <w:tr w:rsidR="003A51B5" w:rsidRPr="00137508" w14:paraId="21AF839F" w14:textId="77777777" w:rsidTr="00B055A3">
        <w:trPr>
          <w:gridBefore w:val="1"/>
          <w:wBefore w:w="26" w:type="dxa"/>
          <w:cantSplit/>
          <w:trHeight w:val="20"/>
        </w:trPr>
        <w:tc>
          <w:tcPr>
            <w:tcW w:w="3481" w:type="dxa"/>
            <w:tcBorders>
              <w:top w:val="nil"/>
              <w:left w:val="nil"/>
              <w:right w:val="nil"/>
            </w:tcBorders>
            <w:shd w:val="clear" w:color="auto" w:fill="auto"/>
          </w:tcPr>
          <w:p w14:paraId="7C82E5AA" w14:textId="77777777" w:rsidR="003A51B5" w:rsidRDefault="003A51B5" w:rsidP="003A51B5">
            <w:pPr>
              <w:suppressAutoHyphens w:val="0"/>
              <w:spacing w:line="240" w:lineRule="auto"/>
              <w:ind w:left="173"/>
              <w:rPr>
                <w:i/>
                <w:iCs/>
                <w:sz w:val="18"/>
                <w:szCs w:val="18"/>
                <w:lang w:val="en-US"/>
              </w:rPr>
            </w:pPr>
            <w:r w:rsidRPr="003A51B5">
              <w:rPr>
                <w:i/>
                <w:iCs/>
                <w:sz w:val="18"/>
                <w:szCs w:val="18"/>
                <w:lang w:val="en-US"/>
              </w:rPr>
              <w:t>UN/SCETDG/50/INF.7 - UN/SCEGHS/32/INF.5</w:t>
            </w:r>
          </w:p>
          <w:p w14:paraId="5879455B" w14:textId="77777777" w:rsidR="003A51B5" w:rsidRDefault="003A51B5" w:rsidP="003A51B5">
            <w:pPr>
              <w:suppressAutoHyphens w:val="0"/>
              <w:spacing w:line="240" w:lineRule="auto"/>
              <w:ind w:left="346"/>
              <w:rPr>
                <w:i/>
                <w:iCs/>
                <w:sz w:val="18"/>
                <w:szCs w:val="18"/>
                <w:lang w:val="en-US"/>
              </w:rPr>
            </w:pPr>
            <w:r>
              <w:rPr>
                <w:i/>
                <w:iCs/>
                <w:sz w:val="18"/>
                <w:szCs w:val="18"/>
                <w:lang w:val="en-US"/>
              </w:rPr>
              <w:t>Add.1</w:t>
            </w:r>
          </w:p>
          <w:p w14:paraId="534533C2" w14:textId="77777777" w:rsidR="003A51B5" w:rsidRDefault="003A51B5" w:rsidP="003A51B5">
            <w:pPr>
              <w:suppressAutoHyphens w:val="0"/>
              <w:spacing w:line="240" w:lineRule="auto"/>
              <w:ind w:left="346"/>
              <w:rPr>
                <w:i/>
                <w:iCs/>
                <w:sz w:val="18"/>
                <w:szCs w:val="18"/>
                <w:lang w:val="en-US"/>
              </w:rPr>
            </w:pPr>
            <w:r>
              <w:rPr>
                <w:i/>
                <w:iCs/>
                <w:sz w:val="18"/>
                <w:szCs w:val="18"/>
                <w:lang w:val="en-US"/>
              </w:rPr>
              <w:t>Add.2</w:t>
            </w:r>
          </w:p>
          <w:p w14:paraId="453FA19C" w14:textId="77777777" w:rsidR="003A51B5" w:rsidRDefault="003A51B5" w:rsidP="003A51B5">
            <w:pPr>
              <w:suppressAutoHyphens w:val="0"/>
              <w:spacing w:line="240" w:lineRule="auto"/>
              <w:ind w:left="346"/>
              <w:rPr>
                <w:i/>
                <w:iCs/>
                <w:sz w:val="18"/>
                <w:szCs w:val="18"/>
                <w:lang w:val="en-US"/>
              </w:rPr>
            </w:pPr>
            <w:r>
              <w:rPr>
                <w:i/>
                <w:iCs/>
                <w:sz w:val="18"/>
                <w:szCs w:val="18"/>
                <w:lang w:val="en-US"/>
              </w:rPr>
              <w:t>Add.3</w:t>
            </w:r>
          </w:p>
          <w:p w14:paraId="6D67499F" w14:textId="77777777" w:rsidR="003A51B5" w:rsidRDefault="003A51B5" w:rsidP="003A51B5">
            <w:pPr>
              <w:suppressAutoHyphens w:val="0"/>
              <w:spacing w:line="240" w:lineRule="auto"/>
              <w:ind w:left="346"/>
              <w:rPr>
                <w:i/>
                <w:iCs/>
                <w:sz w:val="18"/>
                <w:szCs w:val="18"/>
                <w:lang w:val="en-US"/>
              </w:rPr>
            </w:pPr>
            <w:r>
              <w:rPr>
                <w:i/>
                <w:iCs/>
                <w:sz w:val="18"/>
                <w:szCs w:val="18"/>
                <w:lang w:val="en-US"/>
              </w:rPr>
              <w:t>Add.4</w:t>
            </w:r>
          </w:p>
          <w:p w14:paraId="264E5C37" w14:textId="1555D757" w:rsidR="003A51B5" w:rsidRPr="003A51B5" w:rsidRDefault="003A51B5" w:rsidP="003A51B5">
            <w:pPr>
              <w:suppressAutoHyphens w:val="0"/>
              <w:spacing w:line="240" w:lineRule="auto"/>
              <w:ind w:left="346"/>
              <w:rPr>
                <w:i/>
                <w:iCs/>
                <w:sz w:val="18"/>
                <w:szCs w:val="18"/>
                <w:lang w:val="en-US"/>
              </w:rPr>
            </w:pPr>
            <w:r>
              <w:rPr>
                <w:i/>
                <w:iCs/>
                <w:sz w:val="18"/>
                <w:szCs w:val="18"/>
                <w:lang w:val="en-US"/>
              </w:rPr>
              <w:t>Add.5</w:t>
            </w:r>
          </w:p>
        </w:tc>
        <w:tc>
          <w:tcPr>
            <w:tcW w:w="5500" w:type="dxa"/>
            <w:tcBorders>
              <w:top w:val="nil"/>
              <w:left w:val="nil"/>
              <w:right w:val="nil"/>
            </w:tcBorders>
            <w:shd w:val="clear" w:color="auto" w:fill="auto"/>
          </w:tcPr>
          <w:p w14:paraId="63ECB352" w14:textId="77777777" w:rsidR="003A51B5" w:rsidRDefault="003A51B5" w:rsidP="003A51B5">
            <w:pPr>
              <w:keepNext/>
              <w:suppressAutoHyphens w:val="0"/>
              <w:spacing w:line="240" w:lineRule="auto"/>
              <w:rPr>
                <w:i/>
                <w:iCs/>
                <w:sz w:val="18"/>
                <w:szCs w:val="18"/>
                <w:lang w:val="en-US"/>
              </w:rPr>
            </w:pPr>
            <w:r w:rsidRPr="003A51B5">
              <w:rPr>
                <w:i/>
                <w:iCs/>
                <w:sz w:val="18"/>
                <w:szCs w:val="18"/>
                <w:lang w:val="en-US"/>
              </w:rPr>
              <w:t>Use of the Manual of Tests and Criteria in the context of GHS</w:t>
            </w:r>
          </w:p>
          <w:p w14:paraId="2225CF8B" w14:textId="77777777" w:rsidR="003A51B5" w:rsidRDefault="00A300B8" w:rsidP="003A51B5">
            <w:pPr>
              <w:keepNext/>
              <w:suppressAutoHyphens w:val="0"/>
              <w:spacing w:line="240" w:lineRule="auto"/>
              <w:ind w:left="173"/>
              <w:rPr>
                <w:i/>
                <w:iCs/>
                <w:sz w:val="18"/>
                <w:szCs w:val="18"/>
                <w:lang w:val="en-US"/>
              </w:rPr>
            </w:pPr>
            <w:r>
              <w:rPr>
                <w:i/>
                <w:iCs/>
                <w:sz w:val="18"/>
                <w:szCs w:val="18"/>
                <w:lang w:val="en-US"/>
              </w:rPr>
              <w:t>Table of Contents and General Introduction</w:t>
            </w:r>
          </w:p>
          <w:p w14:paraId="7EB3027C" w14:textId="64972DE5" w:rsidR="00A300B8" w:rsidRDefault="00A300B8" w:rsidP="003A51B5">
            <w:pPr>
              <w:keepNext/>
              <w:suppressAutoHyphens w:val="0"/>
              <w:spacing w:line="240" w:lineRule="auto"/>
              <w:ind w:left="173"/>
              <w:rPr>
                <w:i/>
                <w:iCs/>
                <w:sz w:val="18"/>
                <w:szCs w:val="18"/>
                <w:lang w:val="en-US"/>
              </w:rPr>
            </w:pPr>
            <w:r>
              <w:rPr>
                <w:i/>
                <w:iCs/>
                <w:sz w:val="18"/>
                <w:szCs w:val="18"/>
                <w:lang w:val="en-US"/>
              </w:rPr>
              <w:t>Part I, Sections 10 – 17</w:t>
            </w:r>
          </w:p>
          <w:p w14:paraId="6A3260CA" w14:textId="51E9BFDB" w:rsidR="00A300B8" w:rsidRDefault="00A300B8" w:rsidP="003A51B5">
            <w:pPr>
              <w:keepNext/>
              <w:suppressAutoHyphens w:val="0"/>
              <w:spacing w:line="240" w:lineRule="auto"/>
              <w:ind w:left="173"/>
              <w:rPr>
                <w:i/>
                <w:iCs/>
                <w:sz w:val="18"/>
                <w:szCs w:val="18"/>
                <w:lang w:val="en-US"/>
              </w:rPr>
            </w:pPr>
            <w:r>
              <w:rPr>
                <w:i/>
                <w:iCs/>
                <w:sz w:val="18"/>
                <w:szCs w:val="18"/>
                <w:lang w:val="en-US"/>
              </w:rPr>
              <w:t>Part I, Section 18</w:t>
            </w:r>
          </w:p>
          <w:p w14:paraId="31FAD4B6" w14:textId="77777777" w:rsidR="00A300B8" w:rsidRDefault="00A300B8" w:rsidP="003A51B5">
            <w:pPr>
              <w:keepNext/>
              <w:suppressAutoHyphens w:val="0"/>
              <w:spacing w:line="240" w:lineRule="auto"/>
              <w:ind w:left="173"/>
              <w:rPr>
                <w:i/>
                <w:iCs/>
                <w:sz w:val="18"/>
                <w:szCs w:val="18"/>
                <w:lang w:val="en-US"/>
              </w:rPr>
            </w:pPr>
            <w:r>
              <w:rPr>
                <w:i/>
                <w:iCs/>
                <w:sz w:val="18"/>
                <w:szCs w:val="18"/>
                <w:lang w:val="en-US"/>
              </w:rPr>
              <w:t>Part II</w:t>
            </w:r>
          </w:p>
          <w:p w14:paraId="4D639BA6" w14:textId="77777777" w:rsidR="00A300B8" w:rsidRDefault="00A300B8" w:rsidP="003A51B5">
            <w:pPr>
              <w:keepNext/>
              <w:suppressAutoHyphens w:val="0"/>
              <w:spacing w:line="240" w:lineRule="auto"/>
              <w:ind w:left="173"/>
              <w:rPr>
                <w:i/>
                <w:iCs/>
                <w:sz w:val="18"/>
                <w:szCs w:val="18"/>
                <w:lang w:val="en-US"/>
              </w:rPr>
            </w:pPr>
            <w:r>
              <w:rPr>
                <w:i/>
                <w:iCs/>
                <w:sz w:val="18"/>
                <w:szCs w:val="18"/>
                <w:lang w:val="en-US"/>
              </w:rPr>
              <w:t>Part III</w:t>
            </w:r>
          </w:p>
          <w:p w14:paraId="27346FBE" w14:textId="72BAD130" w:rsidR="00A300B8" w:rsidRPr="003A51B5" w:rsidRDefault="00A300B8" w:rsidP="003A51B5">
            <w:pPr>
              <w:keepNext/>
              <w:suppressAutoHyphens w:val="0"/>
              <w:spacing w:line="240" w:lineRule="auto"/>
              <w:ind w:left="173"/>
              <w:rPr>
                <w:i/>
                <w:iCs/>
                <w:sz w:val="18"/>
                <w:szCs w:val="18"/>
                <w:lang w:val="en-US"/>
              </w:rPr>
            </w:pPr>
            <w:r>
              <w:rPr>
                <w:i/>
                <w:iCs/>
                <w:sz w:val="18"/>
                <w:szCs w:val="18"/>
                <w:lang w:val="en-US"/>
              </w:rPr>
              <w:t>Appendices</w:t>
            </w:r>
          </w:p>
        </w:tc>
      </w:tr>
      <w:tr w:rsidR="00AA6563" w:rsidRPr="00137508" w14:paraId="2946F58A" w14:textId="77777777" w:rsidTr="00B055A3">
        <w:trPr>
          <w:gridBefore w:val="1"/>
          <w:wBefore w:w="26" w:type="dxa"/>
          <w:cantSplit/>
          <w:trHeight w:val="20"/>
        </w:trPr>
        <w:tc>
          <w:tcPr>
            <w:tcW w:w="3481" w:type="dxa"/>
            <w:tcBorders>
              <w:top w:val="nil"/>
              <w:left w:val="nil"/>
              <w:right w:val="nil"/>
            </w:tcBorders>
            <w:shd w:val="clear" w:color="auto" w:fill="auto"/>
          </w:tcPr>
          <w:p w14:paraId="73DC02AC" w14:textId="5A5F6F87" w:rsidR="00AA6563" w:rsidRDefault="00AA6563" w:rsidP="003A51B5">
            <w:pPr>
              <w:suppressAutoHyphens w:val="0"/>
              <w:spacing w:line="240" w:lineRule="auto"/>
              <w:ind w:left="173"/>
              <w:rPr>
                <w:i/>
                <w:iCs/>
                <w:sz w:val="18"/>
                <w:szCs w:val="18"/>
                <w:lang w:val="en-US"/>
              </w:rPr>
            </w:pPr>
            <w:r>
              <w:rPr>
                <w:i/>
                <w:iCs/>
                <w:sz w:val="18"/>
                <w:szCs w:val="18"/>
                <w:lang w:val="en-US"/>
              </w:rPr>
              <w:t>UN/SCETDG/50/INF.17 -</w:t>
            </w:r>
          </w:p>
          <w:p w14:paraId="0645ECD2" w14:textId="381B6C1F" w:rsidR="00AA6563" w:rsidRPr="00240D71" w:rsidRDefault="00AA6563" w:rsidP="003A51B5">
            <w:pPr>
              <w:suppressAutoHyphens w:val="0"/>
              <w:spacing w:line="240" w:lineRule="auto"/>
              <w:ind w:left="173"/>
              <w:rPr>
                <w:i/>
                <w:iCs/>
                <w:sz w:val="18"/>
                <w:szCs w:val="18"/>
                <w:lang w:val="en-US"/>
              </w:rPr>
            </w:pPr>
            <w:r>
              <w:rPr>
                <w:i/>
                <w:iCs/>
                <w:sz w:val="18"/>
                <w:szCs w:val="18"/>
                <w:lang w:val="en-US"/>
              </w:rPr>
              <w:t>UN/SCEGHS/32/INF.14 – (USA</w:t>
            </w:r>
            <w:r w:rsidR="000D418C">
              <w:rPr>
                <w:i/>
                <w:iCs/>
                <w:sz w:val="18"/>
                <w:szCs w:val="18"/>
                <w:lang w:val="en-US"/>
              </w:rPr>
              <w:t>/Canada</w:t>
            </w:r>
            <w:r>
              <w:rPr>
                <w:i/>
                <w:iCs/>
                <w:sz w:val="18"/>
                <w:szCs w:val="18"/>
                <w:lang w:val="en-US"/>
              </w:rPr>
              <w:t>)</w:t>
            </w:r>
          </w:p>
        </w:tc>
        <w:tc>
          <w:tcPr>
            <w:tcW w:w="5500" w:type="dxa"/>
            <w:tcBorders>
              <w:top w:val="nil"/>
              <w:left w:val="nil"/>
              <w:right w:val="nil"/>
            </w:tcBorders>
            <w:shd w:val="clear" w:color="auto" w:fill="auto"/>
          </w:tcPr>
          <w:p w14:paraId="439AEB70" w14:textId="3EF48B98" w:rsidR="00AA6563" w:rsidRPr="00240D71" w:rsidRDefault="00AA6563" w:rsidP="003A51B5">
            <w:pPr>
              <w:keepNext/>
              <w:suppressAutoHyphens w:val="0"/>
              <w:spacing w:line="240" w:lineRule="auto"/>
              <w:rPr>
                <w:i/>
                <w:iCs/>
                <w:sz w:val="18"/>
                <w:szCs w:val="18"/>
                <w:lang w:val="en-US"/>
              </w:rPr>
            </w:pPr>
            <w:r w:rsidRPr="00AA6563">
              <w:rPr>
                <w:i/>
                <w:iCs/>
                <w:sz w:val="18"/>
                <w:szCs w:val="18"/>
                <w:lang w:val="en-US"/>
              </w:rPr>
              <w:t>Comments on proposed amendments to the Manual of Tests and Criteria (ST/SG/AC.10/C.3/2016/83-ST/SG/AC.10/C.4/2016/16)</w:t>
            </w:r>
          </w:p>
        </w:tc>
      </w:tr>
      <w:tr w:rsidR="00AA6563" w:rsidRPr="00137508" w14:paraId="7220D9B7" w14:textId="77777777" w:rsidTr="00B055A3">
        <w:trPr>
          <w:gridBefore w:val="1"/>
          <w:wBefore w:w="26" w:type="dxa"/>
          <w:cantSplit/>
          <w:trHeight w:val="20"/>
        </w:trPr>
        <w:tc>
          <w:tcPr>
            <w:tcW w:w="3481" w:type="dxa"/>
            <w:tcBorders>
              <w:top w:val="nil"/>
              <w:left w:val="nil"/>
              <w:right w:val="nil"/>
            </w:tcBorders>
            <w:shd w:val="clear" w:color="auto" w:fill="auto"/>
          </w:tcPr>
          <w:p w14:paraId="714D3F48" w14:textId="43FC7F4A" w:rsidR="00AA6563" w:rsidRDefault="00AA6563" w:rsidP="003A51B5">
            <w:pPr>
              <w:suppressAutoHyphens w:val="0"/>
              <w:spacing w:line="240" w:lineRule="auto"/>
              <w:ind w:left="173"/>
              <w:rPr>
                <w:i/>
                <w:iCs/>
                <w:sz w:val="18"/>
                <w:szCs w:val="18"/>
                <w:lang w:val="en-US"/>
              </w:rPr>
            </w:pPr>
            <w:r>
              <w:rPr>
                <w:i/>
                <w:iCs/>
                <w:sz w:val="18"/>
                <w:szCs w:val="18"/>
                <w:lang w:val="en-US"/>
              </w:rPr>
              <w:t>UN/SCETDG/50/INF.36 –</w:t>
            </w:r>
          </w:p>
          <w:p w14:paraId="24AC69E7" w14:textId="1CD462FD" w:rsidR="00AA6563" w:rsidRPr="00240D71" w:rsidRDefault="00AA6563" w:rsidP="003A51B5">
            <w:pPr>
              <w:suppressAutoHyphens w:val="0"/>
              <w:spacing w:line="240" w:lineRule="auto"/>
              <w:ind w:left="173"/>
              <w:rPr>
                <w:i/>
                <w:iCs/>
                <w:sz w:val="18"/>
                <w:szCs w:val="18"/>
                <w:lang w:val="en-US"/>
              </w:rPr>
            </w:pPr>
            <w:r>
              <w:rPr>
                <w:i/>
                <w:iCs/>
                <w:sz w:val="18"/>
                <w:szCs w:val="18"/>
                <w:lang w:val="en-US"/>
              </w:rPr>
              <w:t>UN/SCEGHS/32/INF.21 - (Secretariat)</w:t>
            </w:r>
          </w:p>
        </w:tc>
        <w:tc>
          <w:tcPr>
            <w:tcW w:w="5500" w:type="dxa"/>
            <w:tcBorders>
              <w:top w:val="nil"/>
              <w:left w:val="nil"/>
              <w:right w:val="nil"/>
            </w:tcBorders>
            <w:shd w:val="clear" w:color="auto" w:fill="auto"/>
          </w:tcPr>
          <w:p w14:paraId="05679737" w14:textId="4E38380A" w:rsidR="00AA6563" w:rsidRPr="00240D71" w:rsidRDefault="00AA6563" w:rsidP="003A51B5">
            <w:pPr>
              <w:keepNext/>
              <w:suppressAutoHyphens w:val="0"/>
              <w:spacing w:line="240" w:lineRule="auto"/>
              <w:rPr>
                <w:i/>
                <w:iCs/>
                <w:sz w:val="18"/>
                <w:szCs w:val="18"/>
                <w:lang w:val="en-US"/>
              </w:rPr>
            </w:pPr>
            <w:r w:rsidRPr="00AA6563">
              <w:rPr>
                <w:i/>
                <w:iCs/>
                <w:sz w:val="18"/>
                <w:szCs w:val="18"/>
                <w:lang w:val="en-US"/>
              </w:rPr>
              <w:t>Proposed corrections to the 6th revised edition of the Manual of Tests and Criteria</w:t>
            </w:r>
          </w:p>
        </w:tc>
      </w:tr>
      <w:tr w:rsidR="00240D71" w:rsidRPr="00137508" w14:paraId="1545C283" w14:textId="77777777" w:rsidTr="00B055A3">
        <w:trPr>
          <w:gridBefore w:val="1"/>
          <w:wBefore w:w="26" w:type="dxa"/>
          <w:cantSplit/>
          <w:trHeight w:val="20"/>
        </w:trPr>
        <w:tc>
          <w:tcPr>
            <w:tcW w:w="3481" w:type="dxa"/>
            <w:tcBorders>
              <w:top w:val="nil"/>
              <w:left w:val="nil"/>
              <w:right w:val="nil"/>
            </w:tcBorders>
            <w:shd w:val="clear" w:color="auto" w:fill="auto"/>
          </w:tcPr>
          <w:p w14:paraId="53CADF3A" w14:textId="25E330A8" w:rsidR="00240D71" w:rsidRPr="003A51B5" w:rsidRDefault="00240D71" w:rsidP="003A51B5">
            <w:pPr>
              <w:suppressAutoHyphens w:val="0"/>
              <w:spacing w:line="240" w:lineRule="auto"/>
              <w:ind w:left="173"/>
              <w:rPr>
                <w:i/>
                <w:iCs/>
                <w:sz w:val="18"/>
                <w:szCs w:val="18"/>
                <w:lang w:val="en-US"/>
              </w:rPr>
            </w:pPr>
            <w:r w:rsidRPr="00240D71">
              <w:rPr>
                <w:i/>
                <w:iCs/>
                <w:sz w:val="18"/>
                <w:szCs w:val="18"/>
                <w:lang w:val="en-US"/>
              </w:rPr>
              <w:t>UN/SCETDG/50/INF.14 - UN/SCEGHS/32/INF.10 - (Germany)</w:t>
            </w:r>
          </w:p>
        </w:tc>
        <w:tc>
          <w:tcPr>
            <w:tcW w:w="5500" w:type="dxa"/>
            <w:tcBorders>
              <w:top w:val="nil"/>
              <w:left w:val="nil"/>
              <w:right w:val="nil"/>
            </w:tcBorders>
            <w:shd w:val="clear" w:color="auto" w:fill="auto"/>
          </w:tcPr>
          <w:p w14:paraId="28E28645" w14:textId="60DFF63E" w:rsidR="00240D71" w:rsidRPr="003A51B5" w:rsidRDefault="00240D71" w:rsidP="003A51B5">
            <w:pPr>
              <w:keepNext/>
              <w:suppressAutoHyphens w:val="0"/>
              <w:spacing w:line="240" w:lineRule="auto"/>
              <w:rPr>
                <w:i/>
                <w:iCs/>
                <w:sz w:val="18"/>
                <w:szCs w:val="18"/>
                <w:lang w:val="en-US"/>
              </w:rPr>
            </w:pPr>
            <w:r w:rsidRPr="00240D71">
              <w:rPr>
                <w:i/>
                <w:iCs/>
                <w:sz w:val="18"/>
                <w:szCs w:val="18"/>
                <w:lang w:val="en-US"/>
              </w:rPr>
              <w:t>Comments on UN/SCETDG/50/INF.7 and UN/SCEGHS/32/INF.5: Revision of the Manual of Tests and Criteria: Section 1</w:t>
            </w:r>
          </w:p>
        </w:tc>
      </w:tr>
      <w:tr w:rsidR="003A51B5" w:rsidRPr="00CD25DB" w14:paraId="130144E9" w14:textId="77777777" w:rsidTr="002C34C6">
        <w:trPr>
          <w:cantSplit/>
          <w:trHeight w:val="20"/>
        </w:trPr>
        <w:tc>
          <w:tcPr>
            <w:tcW w:w="3507" w:type="dxa"/>
            <w:gridSpan w:val="2"/>
            <w:tcBorders>
              <w:top w:val="nil"/>
              <w:left w:val="nil"/>
              <w:bottom w:val="nil"/>
              <w:right w:val="nil"/>
            </w:tcBorders>
            <w:shd w:val="clear" w:color="auto" w:fill="E6E6E6"/>
          </w:tcPr>
          <w:p w14:paraId="58994A0D" w14:textId="3D32D9DE" w:rsidR="003A51B5" w:rsidRPr="00AF51E4" w:rsidRDefault="003A51B5" w:rsidP="003A51B5">
            <w:pPr>
              <w:suppressAutoHyphens w:val="0"/>
              <w:spacing w:line="240" w:lineRule="auto"/>
              <w:rPr>
                <w:iCs/>
                <w:sz w:val="18"/>
                <w:szCs w:val="18"/>
                <w:u w:val="single"/>
                <w:lang w:val="en-US"/>
              </w:rPr>
            </w:pPr>
            <w:r w:rsidRPr="00AF51E4">
              <w:rPr>
                <w:iCs/>
                <w:sz w:val="18"/>
                <w:szCs w:val="18"/>
                <w:u w:val="single"/>
                <w:lang w:val="en-US"/>
              </w:rPr>
              <w:t xml:space="preserve">Agenda Item </w:t>
            </w:r>
            <w:r w:rsidR="00535CFA">
              <w:rPr>
                <w:iCs/>
                <w:sz w:val="18"/>
                <w:szCs w:val="18"/>
                <w:u w:val="single"/>
                <w:lang w:val="en-US"/>
              </w:rPr>
              <w:t>7</w:t>
            </w:r>
            <w:r w:rsidRPr="00AF51E4">
              <w:rPr>
                <w:iCs/>
                <w:sz w:val="18"/>
                <w:szCs w:val="18"/>
                <w:u w:val="single"/>
                <w:lang w:val="en-US"/>
              </w:rPr>
              <w:t>(</w:t>
            </w:r>
            <w:r w:rsidR="00535CFA">
              <w:rPr>
                <w:iCs/>
                <w:sz w:val="18"/>
                <w:szCs w:val="18"/>
                <w:u w:val="single"/>
                <w:lang w:val="en-US"/>
              </w:rPr>
              <w:t>h</w:t>
            </w:r>
            <w:r w:rsidRPr="00AF51E4">
              <w:rPr>
                <w:iCs/>
                <w:sz w:val="18"/>
                <w:szCs w:val="18"/>
                <w:u w:val="single"/>
                <w:lang w:val="en-US"/>
              </w:rPr>
              <w:t>)</w:t>
            </w:r>
          </w:p>
        </w:tc>
        <w:tc>
          <w:tcPr>
            <w:tcW w:w="5500" w:type="dxa"/>
            <w:tcBorders>
              <w:top w:val="nil"/>
              <w:left w:val="nil"/>
              <w:bottom w:val="nil"/>
              <w:right w:val="nil"/>
            </w:tcBorders>
            <w:shd w:val="clear" w:color="auto" w:fill="E6E6E6"/>
          </w:tcPr>
          <w:p w14:paraId="0BBAA965" w14:textId="246D2CCB" w:rsidR="003A51B5" w:rsidRPr="00AF51E4" w:rsidRDefault="00535CFA" w:rsidP="003A51B5">
            <w:pPr>
              <w:keepNext/>
              <w:keepLines/>
              <w:suppressAutoHyphens w:val="0"/>
              <w:spacing w:line="240" w:lineRule="auto"/>
              <w:rPr>
                <w:iCs/>
                <w:sz w:val="18"/>
                <w:szCs w:val="18"/>
                <w:u w:val="single"/>
                <w:lang w:val="en-US"/>
              </w:rPr>
            </w:pPr>
            <w:r w:rsidRPr="00535CFA">
              <w:rPr>
                <w:iCs/>
                <w:sz w:val="18"/>
                <w:szCs w:val="18"/>
                <w:u w:val="single"/>
                <w:lang w:val="en-US"/>
              </w:rPr>
              <w:t>Review of Chapter 2.1 of the GHS</w:t>
            </w:r>
          </w:p>
        </w:tc>
      </w:tr>
      <w:tr w:rsidR="00B74BC4" w:rsidRPr="003A51B5" w14:paraId="1335D3BA" w14:textId="77777777" w:rsidTr="000D418C">
        <w:trPr>
          <w:gridBefore w:val="1"/>
          <w:wBefore w:w="26" w:type="dxa"/>
          <w:cantSplit/>
          <w:trHeight w:val="20"/>
        </w:trPr>
        <w:tc>
          <w:tcPr>
            <w:tcW w:w="3481" w:type="dxa"/>
            <w:tcBorders>
              <w:top w:val="nil"/>
              <w:left w:val="nil"/>
              <w:bottom w:val="nil"/>
              <w:right w:val="nil"/>
            </w:tcBorders>
            <w:shd w:val="clear" w:color="auto" w:fill="auto"/>
          </w:tcPr>
          <w:p w14:paraId="1E460772" w14:textId="138B4D07" w:rsidR="00B74BC4" w:rsidRPr="003A51B5" w:rsidRDefault="00B74BC4" w:rsidP="00B74BC4">
            <w:pPr>
              <w:suppressAutoHyphens w:val="0"/>
              <w:spacing w:line="240" w:lineRule="auto"/>
              <w:ind w:left="173"/>
              <w:rPr>
                <w:i/>
                <w:iCs/>
                <w:sz w:val="18"/>
                <w:szCs w:val="18"/>
                <w:lang w:val="en-US"/>
              </w:rPr>
            </w:pPr>
            <w:r w:rsidRPr="00240D71">
              <w:rPr>
                <w:i/>
                <w:iCs/>
                <w:sz w:val="18"/>
                <w:szCs w:val="18"/>
                <w:lang w:val="en-US"/>
              </w:rPr>
              <w:t>UN/SCETDG/50/INF.1</w:t>
            </w:r>
            <w:r>
              <w:rPr>
                <w:i/>
                <w:iCs/>
                <w:sz w:val="18"/>
                <w:szCs w:val="18"/>
                <w:lang w:val="en-US"/>
              </w:rPr>
              <w:t>1 - UN/SCEGHS/32/INF.8</w:t>
            </w:r>
            <w:r w:rsidRPr="00240D71">
              <w:rPr>
                <w:i/>
                <w:iCs/>
                <w:sz w:val="18"/>
                <w:szCs w:val="18"/>
                <w:lang w:val="en-US"/>
              </w:rPr>
              <w:t xml:space="preserve"> - (</w:t>
            </w:r>
            <w:r>
              <w:rPr>
                <w:i/>
                <w:iCs/>
                <w:sz w:val="18"/>
                <w:szCs w:val="18"/>
                <w:lang w:val="en-US"/>
              </w:rPr>
              <w:t>Sweden</w:t>
            </w:r>
            <w:r w:rsidRPr="00240D71">
              <w:rPr>
                <w:i/>
                <w:iCs/>
                <w:sz w:val="18"/>
                <w:szCs w:val="18"/>
                <w:lang w:val="en-US"/>
              </w:rPr>
              <w:t>)</w:t>
            </w:r>
          </w:p>
        </w:tc>
        <w:tc>
          <w:tcPr>
            <w:tcW w:w="5500" w:type="dxa"/>
            <w:tcBorders>
              <w:top w:val="nil"/>
              <w:left w:val="nil"/>
              <w:bottom w:val="nil"/>
              <w:right w:val="nil"/>
            </w:tcBorders>
            <w:shd w:val="clear" w:color="auto" w:fill="auto"/>
          </w:tcPr>
          <w:p w14:paraId="7F985D07" w14:textId="664F193D" w:rsidR="00B74BC4" w:rsidRPr="003A51B5" w:rsidRDefault="00B74BC4" w:rsidP="000E0AAA">
            <w:pPr>
              <w:keepNext/>
              <w:suppressAutoHyphens w:val="0"/>
              <w:spacing w:line="240" w:lineRule="auto"/>
              <w:rPr>
                <w:i/>
                <w:iCs/>
                <w:sz w:val="18"/>
                <w:szCs w:val="18"/>
                <w:lang w:val="en-US"/>
              </w:rPr>
            </w:pPr>
            <w:r w:rsidRPr="00191C1C">
              <w:rPr>
                <w:i/>
                <w:iCs/>
                <w:sz w:val="18"/>
                <w:szCs w:val="18"/>
                <w:lang w:val="en-US"/>
              </w:rPr>
              <w:t>Status report on the work of the informal correspondence group on the revision of GHS Chapter 2.1</w:t>
            </w:r>
          </w:p>
        </w:tc>
      </w:tr>
      <w:tr w:rsidR="000D418C" w:rsidRPr="003A51B5" w14:paraId="7285BF30" w14:textId="77777777" w:rsidTr="000E0AAA">
        <w:trPr>
          <w:gridBefore w:val="1"/>
          <w:wBefore w:w="26" w:type="dxa"/>
          <w:cantSplit/>
          <w:trHeight w:val="20"/>
        </w:trPr>
        <w:tc>
          <w:tcPr>
            <w:tcW w:w="3481" w:type="dxa"/>
            <w:tcBorders>
              <w:top w:val="nil"/>
              <w:left w:val="nil"/>
              <w:right w:val="nil"/>
            </w:tcBorders>
            <w:shd w:val="clear" w:color="auto" w:fill="auto"/>
          </w:tcPr>
          <w:p w14:paraId="7C8C813C" w14:textId="7C322AD0" w:rsidR="000D418C" w:rsidRPr="000D418C" w:rsidRDefault="000D418C" w:rsidP="000D418C">
            <w:pPr>
              <w:suppressAutoHyphens w:val="0"/>
              <w:spacing w:line="240" w:lineRule="auto"/>
              <w:ind w:left="173"/>
              <w:rPr>
                <w:i/>
                <w:iCs/>
                <w:sz w:val="18"/>
                <w:szCs w:val="18"/>
                <w:lang w:val="en-US"/>
              </w:rPr>
            </w:pPr>
            <w:r w:rsidRPr="000D418C">
              <w:rPr>
                <w:i/>
                <w:iCs/>
                <w:sz w:val="18"/>
                <w:szCs w:val="18"/>
                <w:lang w:val="en-US"/>
              </w:rPr>
              <w:t>UN/SCETDG/50/INF.18</w:t>
            </w:r>
            <w:r>
              <w:rPr>
                <w:i/>
                <w:iCs/>
                <w:sz w:val="18"/>
                <w:szCs w:val="18"/>
                <w:lang w:val="en-US"/>
              </w:rPr>
              <w:t xml:space="preserve"> -</w:t>
            </w:r>
          </w:p>
          <w:p w14:paraId="7D894F4C" w14:textId="4FC049C4" w:rsidR="000D418C" w:rsidRPr="00240D71" w:rsidRDefault="000D418C" w:rsidP="000D418C">
            <w:pPr>
              <w:suppressAutoHyphens w:val="0"/>
              <w:spacing w:line="240" w:lineRule="auto"/>
              <w:ind w:left="173"/>
              <w:rPr>
                <w:i/>
                <w:iCs/>
                <w:sz w:val="18"/>
                <w:szCs w:val="18"/>
                <w:lang w:val="en-US"/>
              </w:rPr>
            </w:pPr>
            <w:r w:rsidRPr="000D418C">
              <w:rPr>
                <w:i/>
                <w:iCs/>
                <w:sz w:val="18"/>
                <w:szCs w:val="18"/>
                <w:lang w:val="en-US"/>
              </w:rPr>
              <w:t>UN/SCEGHS/32/INF.15</w:t>
            </w:r>
            <w:r>
              <w:rPr>
                <w:i/>
                <w:iCs/>
                <w:sz w:val="18"/>
                <w:szCs w:val="18"/>
                <w:lang w:val="en-US"/>
              </w:rPr>
              <w:t xml:space="preserve"> - (USA)</w:t>
            </w:r>
          </w:p>
        </w:tc>
        <w:tc>
          <w:tcPr>
            <w:tcW w:w="5500" w:type="dxa"/>
            <w:tcBorders>
              <w:top w:val="nil"/>
              <w:left w:val="nil"/>
              <w:right w:val="nil"/>
            </w:tcBorders>
            <w:shd w:val="clear" w:color="auto" w:fill="auto"/>
          </w:tcPr>
          <w:p w14:paraId="17B41491" w14:textId="04A54BBF" w:rsidR="000D418C" w:rsidRPr="000D418C" w:rsidRDefault="000D418C" w:rsidP="000E0AAA">
            <w:pPr>
              <w:keepNext/>
              <w:suppressAutoHyphens w:val="0"/>
              <w:spacing w:line="240" w:lineRule="auto"/>
              <w:rPr>
                <w:i/>
                <w:iCs/>
                <w:sz w:val="18"/>
                <w:szCs w:val="18"/>
                <w:lang w:val="en-US"/>
              </w:rPr>
            </w:pPr>
            <w:r w:rsidRPr="000D418C">
              <w:rPr>
                <w:i/>
                <w:iCs/>
                <w:sz w:val="18"/>
                <w:szCs w:val="18"/>
                <w:lang w:val="en-US"/>
              </w:rPr>
              <w:t>Comments on the report on the work of the informal correspondence group on the revision of GHS Chapter 2.1 (UN/SCEGHS/32/INF.8 - UN/SCETDG/50/INF.11)</w:t>
            </w:r>
          </w:p>
        </w:tc>
      </w:tr>
    </w:tbl>
    <w:p w14:paraId="7DF4171E" w14:textId="3E0537C8" w:rsidR="00944445" w:rsidRPr="00EC512C" w:rsidRDefault="00944445" w:rsidP="0048028F">
      <w:pPr>
        <w:pStyle w:val="HChG"/>
        <w:spacing w:line="240" w:lineRule="auto"/>
        <w:ind w:left="1138" w:right="43" w:firstLine="0"/>
      </w:pPr>
      <w:r w:rsidRPr="00A75CF8">
        <w:t>Agenda Item 2(</w:t>
      </w:r>
      <w:r w:rsidR="00191C1C">
        <w:t>b</w:t>
      </w:r>
      <w:r w:rsidRPr="00A75CF8">
        <w:t xml:space="preserve">) – </w:t>
      </w:r>
      <w:r w:rsidR="00191C1C">
        <w:t>Explosives and related matters</w:t>
      </w:r>
    </w:p>
    <w:p w14:paraId="17E2DB9B" w14:textId="5C19BFE0" w:rsidR="009111BA" w:rsidRPr="00072495" w:rsidRDefault="009111BA" w:rsidP="009111BA">
      <w:pPr>
        <w:pStyle w:val="SingleTxtG"/>
        <w:keepNext/>
        <w:numPr>
          <w:ilvl w:val="0"/>
          <w:numId w:val="4"/>
        </w:numPr>
        <w:spacing w:after="240" w:line="240" w:lineRule="auto"/>
        <w:ind w:right="43"/>
      </w:pPr>
      <w:r w:rsidRPr="00072495">
        <w:rPr>
          <w:b/>
          <w:u w:val="single"/>
        </w:rPr>
        <w:t>Subject:</w:t>
      </w:r>
      <w:r w:rsidRPr="00072495">
        <w:t xml:space="preserve">  </w:t>
      </w:r>
      <w:r w:rsidRPr="009111BA">
        <w:t xml:space="preserve">Proposal for replacing </w:t>
      </w:r>
      <w:proofErr w:type="spellStart"/>
      <w:r w:rsidRPr="009111BA">
        <w:t>dibutyl</w:t>
      </w:r>
      <w:proofErr w:type="spellEnd"/>
      <w:r w:rsidRPr="009111BA">
        <w:t xml:space="preserve"> phthalate</w:t>
      </w:r>
      <w:r w:rsidR="004E22B2">
        <w:t xml:space="preserve"> </w:t>
      </w:r>
      <w:r w:rsidRPr="009111BA">
        <w:t xml:space="preserve">(DBP) in </w:t>
      </w:r>
      <w:proofErr w:type="spellStart"/>
      <w:r w:rsidRPr="009111BA">
        <w:t>Koenen</w:t>
      </w:r>
      <w:proofErr w:type="spellEnd"/>
      <w:r w:rsidRPr="009111BA">
        <w:t xml:space="preserve"> Test</w:t>
      </w:r>
    </w:p>
    <w:p w14:paraId="750F87B9" w14:textId="2718F940" w:rsidR="009111BA" w:rsidRPr="00072495" w:rsidRDefault="009111BA" w:rsidP="009111BA">
      <w:pPr>
        <w:pStyle w:val="SingleTxtG"/>
        <w:spacing w:after="240" w:line="240" w:lineRule="auto"/>
        <w:ind w:left="3700" w:right="39" w:hanging="2001"/>
        <w:rPr>
          <w:i/>
          <w:iCs/>
          <w:lang w:val="en-US"/>
        </w:rPr>
      </w:pPr>
      <w:r w:rsidRPr="00072495">
        <w:rPr>
          <w:i/>
        </w:rPr>
        <w:t>Documents:</w:t>
      </w:r>
      <w:r w:rsidRPr="00072495">
        <w:rPr>
          <w:i/>
        </w:rPr>
        <w:tab/>
      </w:r>
      <w:r w:rsidRPr="00D8066B">
        <w:rPr>
          <w:i/>
          <w:iCs/>
          <w:lang w:val="en-US"/>
        </w:rPr>
        <w:t>ST/</w:t>
      </w:r>
      <w:r>
        <w:rPr>
          <w:i/>
          <w:iCs/>
          <w:lang w:val="en-US"/>
        </w:rPr>
        <w:t>SG/AC.10/C.3/2016/13 - (France)</w:t>
      </w:r>
    </w:p>
    <w:p w14:paraId="6FD6A9CF" w14:textId="1D0329C8" w:rsidR="009111BA" w:rsidRPr="00072495" w:rsidRDefault="009111BA" w:rsidP="009111BA">
      <w:pPr>
        <w:pStyle w:val="SingleTxtG"/>
        <w:spacing w:after="240" w:line="240" w:lineRule="auto"/>
        <w:ind w:left="3700" w:right="39" w:hanging="2001"/>
        <w:jc w:val="left"/>
        <w:rPr>
          <w:i/>
          <w:iCs/>
          <w:lang w:val="en-US"/>
        </w:rPr>
      </w:pPr>
      <w:r w:rsidRPr="00072495">
        <w:rPr>
          <w:i/>
        </w:rPr>
        <w:t xml:space="preserve">Informal documents: </w:t>
      </w:r>
      <w:r w:rsidRPr="00072495">
        <w:rPr>
          <w:i/>
        </w:rPr>
        <w:tab/>
      </w:r>
      <w:r>
        <w:rPr>
          <w:i/>
        </w:rPr>
        <w:t>None</w:t>
      </w:r>
    </w:p>
    <w:p w14:paraId="193D4FBB" w14:textId="12B621FF" w:rsidR="009111BA" w:rsidRPr="00072495" w:rsidRDefault="009111BA" w:rsidP="009111BA">
      <w:pPr>
        <w:pStyle w:val="SingleTxtG"/>
        <w:spacing w:after="240" w:line="240" w:lineRule="auto"/>
        <w:ind w:left="1701" w:right="39"/>
      </w:pPr>
      <w:r w:rsidRPr="00072495">
        <w:rPr>
          <w:b/>
          <w:u w:val="single"/>
        </w:rPr>
        <w:t>Discussion:</w:t>
      </w:r>
      <w:r w:rsidRPr="00072495">
        <w:t xml:space="preserve">  </w:t>
      </w:r>
      <w:r w:rsidR="004E22B2">
        <w:t>In previous sessions the expert from F</w:t>
      </w:r>
      <w:r w:rsidR="00596388">
        <w:t xml:space="preserve">rance informally reported that </w:t>
      </w:r>
      <w:proofErr w:type="spellStart"/>
      <w:r w:rsidR="00596388">
        <w:t>d</w:t>
      </w:r>
      <w:r w:rsidR="004E22B2">
        <w:t>ibutyl</w:t>
      </w:r>
      <w:proofErr w:type="spellEnd"/>
      <w:r w:rsidR="004E22B2">
        <w:t xml:space="preserve"> phthalate (DBP)</w:t>
      </w:r>
      <w:r w:rsidR="004E22B2" w:rsidRPr="004E22B2">
        <w:t xml:space="preserve"> is forbidden for general use within the European Union because it has been identified as </w:t>
      </w:r>
      <w:r w:rsidR="00596388">
        <w:t xml:space="preserve">a </w:t>
      </w:r>
      <w:r w:rsidR="004E22B2" w:rsidRPr="004E22B2">
        <w:t xml:space="preserve">substance of very high concern within the EU’s REACH regulation. For that reason France undertook research </w:t>
      </w:r>
      <w:r w:rsidR="00596388">
        <w:t>on a</w:t>
      </w:r>
      <w:r w:rsidR="004E22B2" w:rsidRPr="004E22B2">
        <w:t xml:space="preserve"> suitable replacement for DBP</w:t>
      </w:r>
      <w:r w:rsidR="004E22B2">
        <w:t>, including coordinating a round robin test by 3 intern</w:t>
      </w:r>
      <w:r w:rsidR="00596388">
        <w:t>ationally</w:t>
      </w:r>
      <w:r w:rsidR="004E22B2">
        <w:t xml:space="preserve"> recognized labs testing potentially suitable alternates. </w:t>
      </w:r>
      <w:proofErr w:type="gramStart"/>
      <w:r w:rsidR="00AA3746">
        <w:t>Based on that testing t</w:t>
      </w:r>
      <w:r w:rsidR="004E22B2">
        <w:t>his paper identified suitable alternates.</w:t>
      </w:r>
      <w:proofErr w:type="gramEnd"/>
    </w:p>
    <w:p w14:paraId="57310084" w14:textId="73E55E2B" w:rsidR="009111BA" w:rsidRDefault="009111BA" w:rsidP="00AA3746">
      <w:pPr>
        <w:pStyle w:val="SingleTxtG"/>
        <w:keepNext/>
        <w:spacing w:after="0" w:line="240" w:lineRule="auto"/>
        <w:ind w:left="1701" w:right="43"/>
      </w:pPr>
      <w:r w:rsidRPr="00072495">
        <w:rPr>
          <w:b/>
          <w:u w:val="single"/>
        </w:rPr>
        <w:t>Conclusion:</w:t>
      </w:r>
      <w:r w:rsidRPr="00072495">
        <w:t xml:space="preserve">   </w:t>
      </w:r>
      <w:r w:rsidR="004E22B2">
        <w:t>Adopt specifications for suitable alternates for DBP.</w:t>
      </w:r>
      <w:r w:rsidR="00AA3746">
        <w:t xml:space="preserve"> See Amendment</w:t>
      </w:r>
      <w:r w:rsidR="007F1533">
        <w:t xml:space="preserve">s </w:t>
      </w:r>
      <w:r w:rsidR="00AA3746">
        <w:t>1</w:t>
      </w:r>
      <w:r w:rsidR="007F1533">
        <w:t xml:space="preserve"> – 4 in</w:t>
      </w:r>
      <w:r w:rsidR="00AA3746">
        <w:t xml:space="preserve"> Annex 3 of this report.</w:t>
      </w:r>
    </w:p>
    <w:p w14:paraId="0A8BC18B" w14:textId="77777777" w:rsidR="009111BA" w:rsidRPr="009111BA" w:rsidRDefault="009111BA" w:rsidP="009111BA">
      <w:pPr>
        <w:pStyle w:val="SingleTxtG"/>
        <w:keepNext/>
        <w:spacing w:after="0" w:line="240" w:lineRule="auto"/>
        <w:ind w:left="1138" w:right="43" w:firstLine="563"/>
      </w:pPr>
    </w:p>
    <w:p w14:paraId="0153A676" w14:textId="77777777" w:rsidR="0017740F" w:rsidRDefault="00092CF5" w:rsidP="0017740F">
      <w:pPr>
        <w:pStyle w:val="SingleTxtG"/>
        <w:keepNext/>
        <w:numPr>
          <w:ilvl w:val="0"/>
          <w:numId w:val="4"/>
        </w:numPr>
        <w:spacing w:after="0" w:line="240" w:lineRule="auto"/>
        <w:ind w:right="43"/>
      </w:pPr>
      <w:r w:rsidRPr="00072495">
        <w:rPr>
          <w:b/>
          <w:u w:val="single"/>
        </w:rPr>
        <w:t>Subject:</w:t>
      </w:r>
      <w:r w:rsidR="00E55E2B" w:rsidRPr="00072495">
        <w:t xml:space="preserve">  </w:t>
      </w:r>
      <w:r w:rsidR="0017740F">
        <w:t>Chapter 2.1 of the Model Regulations – Class 1 definition</w:t>
      </w:r>
    </w:p>
    <w:p w14:paraId="1827D442" w14:textId="2D03758A" w:rsidR="00E55E2B" w:rsidRPr="00072495" w:rsidRDefault="0017740F" w:rsidP="0017740F">
      <w:pPr>
        <w:pStyle w:val="SingleTxtG"/>
        <w:keepNext/>
        <w:spacing w:after="240" w:line="240" w:lineRule="auto"/>
        <w:ind w:left="2268" w:right="43"/>
      </w:pPr>
      <w:r w:rsidRPr="0017740F">
        <w:t xml:space="preserve">    </w:t>
      </w:r>
      <w:r>
        <w:t xml:space="preserve"> </w:t>
      </w:r>
      <w:r w:rsidRPr="0017740F">
        <w:t>Chapter 2.1</w:t>
      </w:r>
      <w:r>
        <w:t xml:space="preserve"> of the GHS – Class of explosives</w:t>
      </w:r>
    </w:p>
    <w:p w14:paraId="4B06B347" w14:textId="6ADF0CED" w:rsidR="00E55E2B" w:rsidRPr="00072495" w:rsidRDefault="00E55E2B" w:rsidP="007B7E53">
      <w:pPr>
        <w:pStyle w:val="SingleTxtG"/>
        <w:spacing w:after="240" w:line="240" w:lineRule="auto"/>
        <w:ind w:left="3700" w:right="39" w:hanging="2001"/>
        <w:jc w:val="left"/>
        <w:rPr>
          <w:i/>
          <w:iCs/>
          <w:lang w:val="en-US"/>
        </w:rPr>
      </w:pPr>
      <w:r w:rsidRPr="00072495">
        <w:rPr>
          <w:i/>
        </w:rPr>
        <w:t>Documents:</w:t>
      </w:r>
      <w:r w:rsidRPr="00072495">
        <w:rPr>
          <w:i/>
        </w:rPr>
        <w:tab/>
      </w:r>
      <w:r w:rsidR="00191C1C" w:rsidRPr="00191C1C">
        <w:rPr>
          <w:i/>
          <w:iCs/>
          <w:lang w:val="en-US"/>
        </w:rPr>
        <w:t>ST/SG/AC.10/C.3/2016/53 - ST/SG/AC.10/C.4/2016/14 - (AEISG)</w:t>
      </w:r>
    </w:p>
    <w:p w14:paraId="5B1899AF" w14:textId="7C22CB4E" w:rsidR="00E55E2B" w:rsidRPr="00072495" w:rsidRDefault="00E55E2B" w:rsidP="0048028F">
      <w:pPr>
        <w:pStyle w:val="SingleTxtG"/>
        <w:spacing w:after="240" w:line="240" w:lineRule="auto"/>
        <w:ind w:left="3700" w:right="39" w:hanging="2001"/>
        <w:jc w:val="left"/>
        <w:rPr>
          <w:i/>
          <w:iCs/>
          <w:lang w:val="en-US"/>
        </w:rPr>
      </w:pPr>
      <w:r w:rsidRPr="00072495">
        <w:rPr>
          <w:i/>
        </w:rPr>
        <w:t xml:space="preserve">Informal documents: </w:t>
      </w:r>
      <w:r w:rsidRPr="00072495">
        <w:rPr>
          <w:i/>
        </w:rPr>
        <w:tab/>
      </w:r>
      <w:r w:rsidR="00F40A38" w:rsidRPr="00072495">
        <w:rPr>
          <w:i/>
        </w:rPr>
        <w:t>None</w:t>
      </w:r>
    </w:p>
    <w:p w14:paraId="422679DD" w14:textId="0289602D" w:rsidR="00516EAC" w:rsidRPr="00072495" w:rsidRDefault="00E55E2B" w:rsidP="00191C1C">
      <w:pPr>
        <w:pStyle w:val="SingleTxtG"/>
        <w:spacing w:after="240" w:line="240" w:lineRule="auto"/>
        <w:ind w:left="1701" w:right="39"/>
      </w:pPr>
      <w:r w:rsidRPr="00072495">
        <w:rPr>
          <w:b/>
          <w:u w:val="single"/>
        </w:rPr>
        <w:lastRenderedPageBreak/>
        <w:t>Discussion:</w:t>
      </w:r>
      <w:r w:rsidR="00BA6AB8" w:rsidRPr="00072495">
        <w:t xml:space="preserve">  </w:t>
      </w:r>
      <w:r w:rsidR="00DF1353" w:rsidRPr="00DF1353">
        <w:t xml:space="preserve">The phrase “a practical explosive or pyrotechnic effect”, EXCLUDING THE COMMA, is used in </w:t>
      </w:r>
      <w:r w:rsidR="00DF1353">
        <w:t xml:space="preserve">several parts </w:t>
      </w:r>
      <w:r w:rsidR="00DF1353" w:rsidRPr="00DF1353">
        <w:t>of the existing Model Regulations (nineteenth revised edition), the Manual of Tests and Criteria (sixth revised edition) and the GHS (s</w:t>
      </w:r>
      <w:r w:rsidR="00504DF2">
        <w:t>ixth revised edition). T</w:t>
      </w:r>
      <w:r w:rsidR="00504DF2" w:rsidRPr="00504DF2">
        <w:t>he phrase “a practical, explosive or pyrotech</w:t>
      </w:r>
      <w:r w:rsidR="00504DF2">
        <w:t>n</w:t>
      </w:r>
      <w:r w:rsidR="004B7864">
        <w:t>ic effect”, WITH COMMA, appears</w:t>
      </w:r>
      <w:r w:rsidR="00504DF2" w:rsidRPr="00504DF2">
        <w:t xml:space="preserve"> in 51.2.2 (a) of the Manual of Tests and Criteria (sixth revised edition) and 2.17.2.1 (a) of the GHS</w:t>
      </w:r>
      <w:r w:rsidR="00504DF2">
        <w:t xml:space="preserve">. These sections were </w:t>
      </w:r>
      <w:r w:rsidR="00504DF2" w:rsidRPr="00504DF2">
        <w:t>amended at the forty-ninth session of the TDG Sub-Committee and at the thirty-first session of the GHS Sub-Committee to exclude the comma amongst other things (ST/SG/AC.10/C.3/98, paragraph 138 and ST/SG/AC.10/C.4/62, paragraph 23).</w:t>
      </w:r>
      <w:r w:rsidR="00504DF2">
        <w:t xml:space="preserve"> AEISG </w:t>
      </w:r>
      <w:r w:rsidR="007478B5">
        <w:t>noted</w:t>
      </w:r>
      <w:r w:rsidR="00504DF2">
        <w:t xml:space="preserve"> that </w:t>
      </w:r>
      <w:r w:rsidR="00504DF2" w:rsidRPr="00504DF2">
        <w:t>“a practical, explosive or pyrotechnic effect”, WITH COMMA,</w:t>
      </w:r>
      <w:r w:rsidR="00504DF2">
        <w:t xml:space="preserve"> still </w:t>
      </w:r>
      <w:r w:rsidR="007478B5">
        <w:t>appears in several places</w:t>
      </w:r>
      <w:r w:rsidR="00504DF2">
        <w:t>. Consensus of the EWG is that correction</w:t>
      </w:r>
      <w:r w:rsidR="007478B5">
        <w:t>s</w:t>
      </w:r>
      <w:r w:rsidR="00504DF2">
        <w:t xml:space="preserve"> should be made.</w:t>
      </w:r>
    </w:p>
    <w:p w14:paraId="12A62FB3" w14:textId="4C8C251A" w:rsidR="00D03CE2" w:rsidRDefault="00F90627" w:rsidP="0017740F">
      <w:pPr>
        <w:pStyle w:val="SingleTxtG"/>
        <w:spacing w:after="240" w:line="240" w:lineRule="auto"/>
        <w:ind w:left="1699" w:right="39"/>
      </w:pPr>
      <w:r w:rsidRPr="00072495">
        <w:rPr>
          <w:b/>
          <w:u w:val="single"/>
        </w:rPr>
        <w:t>Conclusion:</w:t>
      </w:r>
      <w:r w:rsidRPr="00072495">
        <w:t xml:space="preserve"> </w:t>
      </w:r>
      <w:r w:rsidR="00A24A2C" w:rsidRPr="00072495">
        <w:t xml:space="preserve"> </w:t>
      </w:r>
      <w:r w:rsidR="00504DF2">
        <w:t>Remove t</w:t>
      </w:r>
      <w:r w:rsidR="00504DF2" w:rsidRPr="00504DF2">
        <w:t>he comma after the word “practical” in 2.1.1.1(c) of the Model Regulations</w:t>
      </w:r>
      <w:r w:rsidR="00D65523">
        <w:t xml:space="preserve">, </w:t>
      </w:r>
      <w:r w:rsidR="00D65523" w:rsidRPr="00D65523">
        <w:t xml:space="preserve">2.1.1.2 (c) </w:t>
      </w:r>
      <w:r w:rsidR="00D65523">
        <w:t xml:space="preserve">of the GHS, </w:t>
      </w:r>
      <w:r w:rsidR="00D65523" w:rsidRPr="00D65523">
        <w:t>and Note b to Table 2.1.1 of the GHS</w:t>
      </w:r>
      <w:r w:rsidR="00D65523">
        <w:t>.</w:t>
      </w:r>
      <w:r w:rsidR="00990EAC">
        <w:t xml:space="preserve"> See Amendment 1</w:t>
      </w:r>
      <w:r w:rsidR="007F1533">
        <w:t xml:space="preserve"> </w:t>
      </w:r>
      <w:r w:rsidR="003569B5">
        <w:t>in Annex 2</w:t>
      </w:r>
      <w:r w:rsidR="00990EAC">
        <w:t xml:space="preserve"> of this r</w:t>
      </w:r>
      <w:r w:rsidR="003569B5">
        <w:t xml:space="preserve">eport, </w:t>
      </w:r>
      <w:r w:rsidR="0017740F">
        <w:t xml:space="preserve">and </w:t>
      </w:r>
      <w:r w:rsidR="003569B5">
        <w:t>Amendment</w:t>
      </w:r>
      <w:r w:rsidR="0017740F">
        <w:t>s</w:t>
      </w:r>
      <w:r w:rsidR="003569B5">
        <w:t xml:space="preserve"> 1 </w:t>
      </w:r>
      <w:r w:rsidR="00517920">
        <w:t xml:space="preserve">and 2 </w:t>
      </w:r>
      <w:r w:rsidR="003569B5">
        <w:t xml:space="preserve">in Annex </w:t>
      </w:r>
      <w:r w:rsidR="00517920">
        <w:t>4</w:t>
      </w:r>
      <w:r w:rsidR="003569B5">
        <w:t xml:space="preserve"> of this report.</w:t>
      </w:r>
    </w:p>
    <w:p w14:paraId="0717505E" w14:textId="1423E1BB" w:rsidR="002E7FEA" w:rsidRPr="00072495" w:rsidRDefault="002E7FEA" w:rsidP="002E7FEA">
      <w:pPr>
        <w:pStyle w:val="SingleTxtG"/>
        <w:keepNext/>
        <w:numPr>
          <w:ilvl w:val="0"/>
          <w:numId w:val="4"/>
        </w:numPr>
        <w:spacing w:after="240" w:line="240" w:lineRule="auto"/>
        <w:ind w:left="1710" w:right="43" w:hanging="572"/>
      </w:pPr>
      <w:r w:rsidRPr="00072495">
        <w:rPr>
          <w:b/>
          <w:u w:val="single"/>
        </w:rPr>
        <w:t>Subject:</w:t>
      </w:r>
      <w:r w:rsidRPr="00072495">
        <w:t xml:space="preserve">  </w:t>
      </w:r>
      <w:r>
        <w:rPr>
          <w:iCs/>
          <w:lang w:val="en-US"/>
        </w:rPr>
        <w:t xml:space="preserve">Section 10.3.3 of the </w:t>
      </w:r>
      <w:r w:rsidRPr="002E7FEA">
        <w:t>Manual</w:t>
      </w:r>
      <w:r>
        <w:rPr>
          <w:iCs/>
          <w:lang w:val="en-US"/>
        </w:rPr>
        <w:t xml:space="preserve"> of Tests and Criteria (MTC) – guidance about application of Test Series 3 and 4</w:t>
      </w:r>
      <w:r w:rsidR="00AA3746">
        <w:rPr>
          <w:iCs/>
          <w:lang w:val="en-US"/>
        </w:rPr>
        <w:t>.</w:t>
      </w:r>
    </w:p>
    <w:p w14:paraId="2472DCB3" w14:textId="50385248" w:rsidR="002E7FEA" w:rsidRPr="00072495" w:rsidRDefault="002E7FEA" w:rsidP="002E7FEA">
      <w:pPr>
        <w:pStyle w:val="SingleTxtG"/>
        <w:spacing w:after="240" w:line="240" w:lineRule="auto"/>
        <w:ind w:left="3700" w:right="39" w:hanging="2001"/>
        <w:jc w:val="left"/>
        <w:rPr>
          <w:i/>
          <w:iCs/>
          <w:lang w:val="en-US"/>
        </w:rPr>
      </w:pPr>
      <w:r w:rsidRPr="00072495">
        <w:rPr>
          <w:i/>
        </w:rPr>
        <w:t>Documents:</w:t>
      </w:r>
      <w:r w:rsidRPr="00072495">
        <w:rPr>
          <w:i/>
        </w:rPr>
        <w:tab/>
      </w:r>
      <w:r w:rsidRPr="002E7FEA">
        <w:rPr>
          <w:i/>
          <w:iCs/>
          <w:lang w:val="en-US"/>
        </w:rPr>
        <w:t>ST/SG/AC.10/C.3/2016/60 - (Sweden, AEISG)</w:t>
      </w:r>
    </w:p>
    <w:p w14:paraId="65897B7E" w14:textId="77777777" w:rsidR="002E7FEA" w:rsidRPr="00072495" w:rsidRDefault="002E7FEA" w:rsidP="002E7FEA">
      <w:pPr>
        <w:pStyle w:val="SingleTxtG"/>
        <w:spacing w:after="240" w:line="240" w:lineRule="auto"/>
        <w:ind w:left="3700" w:right="39" w:hanging="2001"/>
        <w:jc w:val="left"/>
        <w:rPr>
          <w:i/>
          <w:iCs/>
          <w:lang w:val="en-US"/>
        </w:rPr>
      </w:pPr>
      <w:r w:rsidRPr="00072495">
        <w:rPr>
          <w:i/>
        </w:rPr>
        <w:t xml:space="preserve">Informal documents: </w:t>
      </w:r>
      <w:r w:rsidRPr="00072495">
        <w:rPr>
          <w:i/>
        </w:rPr>
        <w:tab/>
        <w:t>None</w:t>
      </w:r>
    </w:p>
    <w:p w14:paraId="66538104" w14:textId="0BAAEEFF" w:rsidR="002E7FEA" w:rsidRPr="00072495" w:rsidRDefault="002E7FEA" w:rsidP="002E7FEA">
      <w:pPr>
        <w:pStyle w:val="SingleTxtG"/>
        <w:spacing w:after="240" w:line="240" w:lineRule="auto"/>
        <w:ind w:left="1701" w:right="39"/>
      </w:pPr>
      <w:r w:rsidRPr="00072495">
        <w:rPr>
          <w:b/>
          <w:u w:val="single"/>
        </w:rPr>
        <w:t>Discussion:</w:t>
      </w:r>
      <w:r w:rsidRPr="00072495">
        <w:t xml:space="preserve">  </w:t>
      </w:r>
      <w:r w:rsidR="00CC429C">
        <w:t xml:space="preserve">There was consensus </w:t>
      </w:r>
      <w:r w:rsidR="00F42BDC">
        <w:t>t</w:t>
      </w:r>
      <w:r w:rsidR="00D55087">
        <w:t>hat</w:t>
      </w:r>
      <w:r w:rsidR="00F42BDC">
        <w:t xml:space="preserve"> improve</w:t>
      </w:r>
      <w:r w:rsidR="00D55087">
        <w:t>d</w:t>
      </w:r>
      <w:r w:rsidR="00F42BDC">
        <w:t xml:space="preserve"> guidance </w:t>
      </w:r>
      <w:r w:rsidR="00D55087">
        <w:t>on the</w:t>
      </w:r>
      <w:r w:rsidR="00F42BDC">
        <w:t xml:space="preserve"> </w:t>
      </w:r>
      <w:r w:rsidR="00CC429C">
        <w:t>application o</w:t>
      </w:r>
      <w:r w:rsidR="00F42BDC">
        <w:t>f</w:t>
      </w:r>
      <w:r w:rsidR="00CC429C">
        <w:t xml:space="preserve"> Test Series 3 and 4</w:t>
      </w:r>
      <w:r w:rsidR="00D55087">
        <w:t xml:space="preserve"> was necessary</w:t>
      </w:r>
      <w:r w:rsidR="00EA2880">
        <w:t>, with the goal of eliminating unnecessary text, rearranging the order of the paragraphs to reflect proper application, and clearly explain the options for when a substance or article fails any of the tests.  There was discussion of whether test series 4 needs to be carried out for all articles or if it could be waived based upon knowledge of the article or from TS3.  Although not all were in agreement, it was proposed to add a note in 10.3.3.3 to assist with reciprocity between competent authorities</w:t>
      </w:r>
      <w:r w:rsidR="00F42BDC">
        <w:t xml:space="preserve">. </w:t>
      </w:r>
      <w:r w:rsidR="00EA2880">
        <w:t xml:space="preserve">The proposals to paragraphs </w:t>
      </w:r>
      <w:r w:rsidR="00CC429C">
        <w:t>10.3.3.2</w:t>
      </w:r>
      <w:r w:rsidR="00FC3865">
        <w:t>, 10.3.3.3</w:t>
      </w:r>
      <w:r w:rsidR="00CC429C">
        <w:t xml:space="preserve"> and 10.3.3.</w:t>
      </w:r>
      <w:r w:rsidR="00FC3865">
        <w:t>4</w:t>
      </w:r>
      <w:r w:rsidR="00F42BDC">
        <w:t xml:space="preserve"> were amended by the work group during this session.</w:t>
      </w:r>
      <w:r w:rsidR="00D55087">
        <w:t xml:space="preserve">  </w:t>
      </w:r>
    </w:p>
    <w:p w14:paraId="2C89540A" w14:textId="7D14A4D6" w:rsidR="002E7FEA" w:rsidRDefault="002E7FEA" w:rsidP="002E7FEA">
      <w:pPr>
        <w:pStyle w:val="SingleTxtG"/>
        <w:spacing w:after="240" w:line="240" w:lineRule="auto"/>
        <w:ind w:left="1701" w:right="39"/>
      </w:pPr>
      <w:r w:rsidRPr="00072495">
        <w:rPr>
          <w:b/>
          <w:u w:val="single"/>
        </w:rPr>
        <w:t>Conclusion:</w:t>
      </w:r>
      <w:r w:rsidRPr="00072495">
        <w:t xml:space="preserve">   </w:t>
      </w:r>
      <w:r w:rsidR="00CC429C">
        <w:t>Adopt 10.3.3.2</w:t>
      </w:r>
      <w:r w:rsidR="00FC3865">
        <w:t>, 10.3.3.3 and 10.3.3.4</w:t>
      </w:r>
      <w:r w:rsidR="00CC429C">
        <w:t xml:space="preserve"> as amended by the work group. S</w:t>
      </w:r>
      <w:r w:rsidR="00B61223">
        <w:t>ee Amendment 5</w:t>
      </w:r>
      <w:r w:rsidR="00782EB8">
        <w:t xml:space="preserve"> of Annex 3</w:t>
      </w:r>
      <w:r w:rsidR="00CC429C">
        <w:t xml:space="preserve"> of this report.</w:t>
      </w:r>
      <w:r w:rsidR="00D55087">
        <w:t xml:space="preserve">  Sweden and USA will consider developing further proposals in the next biennium.</w:t>
      </w:r>
    </w:p>
    <w:p w14:paraId="6B216CCC" w14:textId="32E06FDF" w:rsidR="002E7FEA" w:rsidRPr="00072495" w:rsidRDefault="002E7FEA" w:rsidP="002E7FEA">
      <w:pPr>
        <w:pStyle w:val="SingleTxtG"/>
        <w:keepNext/>
        <w:numPr>
          <w:ilvl w:val="0"/>
          <w:numId w:val="4"/>
        </w:numPr>
        <w:spacing w:after="240" w:line="240" w:lineRule="auto"/>
        <w:ind w:right="43"/>
      </w:pPr>
      <w:r w:rsidRPr="00072495">
        <w:rPr>
          <w:b/>
          <w:u w:val="single"/>
        </w:rPr>
        <w:t>Subject:</w:t>
      </w:r>
      <w:r w:rsidRPr="00072495">
        <w:t xml:space="preserve">  </w:t>
      </w:r>
      <w:r w:rsidR="005578BA">
        <w:rPr>
          <w:iCs/>
          <w:lang w:val="en-US"/>
        </w:rPr>
        <w:t>Transport of energetic samples</w:t>
      </w:r>
    </w:p>
    <w:p w14:paraId="7C57B92E" w14:textId="70C1A33B" w:rsidR="002E7FEA" w:rsidRPr="00072495" w:rsidRDefault="002E7FEA" w:rsidP="002E7FEA">
      <w:pPr>
        <w:pStyle w:val="SingleTxtG"/>
        <w:spacing w:after="240" w:line="240" w:lineRule="auto"/>
        <w:ind w:left="3700" w:right="39" w:hanging="2001"/>
        <w:jc w:val="left"/>
        <w:rPr>
          <w:i/>
          <w:iCs/>
          <w:lang w:val="en-US"/>
        </w:rPr>
      </w:pPr>
      <w:r w:rsidRPr="00072495">
        <w:rPr>
          <w:i/>
        </w:rPr>
        <w:t>Documents:</w:t>
      </w:r>
      <w:r w:rsidRPr="00072495">
        <w:rPr>
          <w:i/>
        </w:rPr>
        <w:tab/>
      </w:r>
      <w:r w:rsidR="005578BA" w:rsidRPr="005578BA">
        <w:rPr>
          <w:i/>
          <w:iCs/>
          <w:lang w:val="en-US"/>
        </w:rPr>
        <w:t>ST/SG/AC.10/C.3/2016/61 - (CEFIC)</w:t>
      </w:r>
    </w:p>
    <w:p w14:paraId="4C680947" w14:textId="63FAE9DB" w:rsidR="002E7FEA" w:rsidRPr="00072495" w:rsidRDefault="00ED226E" w:rsidP="002E7FEA">
      <w:pPr>
        <w:pStyle w:val="SingleTxtG"/>
        <w:spacing w:after="240" w:line="240" w:lineRule="auto"/>
        <w:ind w:left="3700" w:right="39" w:hanging="2001"/>
        <w:jc w:val="left"/>
        <w:rPr>
          <w:i/>
          <w:iCs/>
          <w:lang w:val="en-US"/>
        </w:rPr>
      </w:pPr>
      <w:r>
        <w:rPr>
          <w:i/>
        </w:rPr>
        <w:t xml:space="preserve">Informal documents: </w:t>
      </w:r>
      <w:r>
        <w:rPr>
          <w:i/>
        </w:rPr>
        <w:tab/>
        <w:t>UN/SCETDG/50/INF.23 – (CEFIC)</w:t>
      </w:r>
    </w:p>
    <w:p w14:paraId="4E38D477" w14:textId="71741075" w:rsidR="002E7FEA" w:rsidRPr="00072495" w:rsidRDefault="002E7FEA" w:rsidP="00B7702F">
      <w:pPr>
        <w:pStyle w:val="SingleTxtG"/>
        <w:spacing w:after="240" w:line="240" w:lineRule="auto"/>
        <w:ind w:left="1701" w:right="39"/>
      </w:pPr>
      <w:r w:rsidRPr="00072495">
        <w:rPr>
          <w:b/>
          <w:u w:val="single"/>
        </w:rPr>
        <w:t>Discussion:</w:t>
      </w:r>
      <w:r w:rsidRPr="00072495">
        <w:t xml:space="preserve">  </w:t>
      </w:r>
      <w:r w:rsidR="00B7702F">
        <w:t xml:space="preserve">There was consensus that specifying standard packaging could provide a safe, efficient means to transport small energetic samples for testing. The standard packaging is based on testing reported on in INF.23 that was considered to be “worst case” because the testing was done with </w:t>
      </w:r>
      <w:r w:rsidR="00C71E62">
        <w:t xml:space="preserve">commercial detonators with one gram TNT equivalent. </w:t>
      </w:r>
      <w:r w:rsidR="00EC7F9A">
        <w:t>T</w:t>
      </w:r>
      <w:r w:rsidR="00B7702F">
        <w:t xml:space="preserve">he packaging is intended for </w:t>
      </w:r>
      <w:r w:rsidR="00B17170">
        <w:t xml:space="preserve">smaller size </w:t>
      </w:r>
      <w:r w:rsidR="00B17170" w:rsidRPr="00B17170">
        <w:t xml:space="preserve">samples that do not contain any known explosives, </w:t>
      </w:r>
      <w:proofErr w:type="gramStart"/>
      <w:r w:rsidR="00EC7F9A">
        <w:t>nor</w:t>
      </w:r>
      <w:proofErr w:type="gramEnd"/>
      <w:r w:rsidR="00EC7F9A">
        <w:t xml:space="preserve"> </w:t>
      </w:r>
      <w:r w:rsidR="00B17170" w:rsidRPr="00B17170">
        <w:t xml:space="preserve">substances showing explosive effects in testing, </w:t>
      </w:r>
      <w:r w:rsidR="00EC7F9A">
        <w:t xml:space="preserve">nor </w:t>
      </w:r>
      <w:r w:rsidR="00B17170" w:rsidRPr="00B17170">
        <w:t xml:space="preserve">compounds designed with the view of producing a practical explosive or pyrotechnic effect, </w:t>
      </w:r>
      <w:r w:rsidR="00EC7F9A">
        <w:t>n</w:t>
      </w:r>
      <w:r w:rsidR="00B17170" w:rsidRPr="00B17170">
        <w:t>or components consisting of synthetic precursors of intentional explosives.</w:t>
      </w:r>
      <w:r w:rsidR="00EC7F9A">
        <w:t xml:space="preserve"> The USA recommended adding text to propose 2.0.4.3 to clarify that transport should be limited to testing purposes only, which is consistent with 2.0.4.1.</w:t>
      </w:r>
    </w:p>
    <w:p w14:paraId="753BB3BE" w14:textId="74424B22" w:rsidR="002E7FEA" w:rsidRDefault="002E7FEA" w:rsidP="002E7FEA">
      <w:pPr>
        <w:pStyle w:val="SingleTxtG"/>
        <w:spacing w:after="240" w:line="240" w:lineRule="auto"/>
        <w:ind w:left="1701" w:right="39"/>
      </w:pPr>
      <w:r w:rsidRPr="00072495">
        <w:rPr>
          <w:b/>
          <w:u w:val="single"/>
        </w:rPr>
        <w:t>Conclusion:</w:t>
      </w:r>
      <w:r w:rsidRPr="00072495">
        <w:t xml:space="preserve">   </w:t>
      </w:r>
      <w:r w:rsidR="00B17170">
        <w:t xml:space="preserve">Adopt standard packaging </w:t>
      </w:r>
      <w:r w:rsidR="00A1139D">
        <w:t>to</w:t>
      </w:r>
      <w:r w:rsidR="00393BC1">
        <w:t xml:space="preserve"> Model Regulations </w:t>
      </w:r>
      <w:r w:rsidR="00A1139D">
        <w:t xml:space="preserve">Section </w:t>
      </w:r>
      <w:r w:rsidR="00393BC1">
        <w:t>2.</w:t>
      </w:r>
      <w:r w:rsidR="00A1139D">
        <w:t>0.</w:t>
      </w:r>
      <w:r w:rsidR="00393BC1">
        <w:t xml:space="preserve">4 </w:t>
      </w:r>
      <w:r w:rsidR="00B17170">
        <w:t>as specified in INF.23 (as amended by the working group).</w:t>
      </w:r>
      <w:r w:rsidR="0016496C">
        <w:t xml:space="preserve"> See Amendment</w:t>
      </w:r>
      <w:r w:rsidR="00825788">
        <w:t>s</w:t>
      </w:r>
      <w:r w:rsidR="0016496C">
        <w:t xml:space="preserve"> </w:t>
      </w:r>
      <w:r w:rsidR="00016F07">
        <w:t>2</w:t>
      </w:r>
      <w:r w:rsidR="00825788">
        <w:t xml:space="preserve"> –</w:t>
      </w:r>
      <w:r w:rsidR="004871BD">
        <w:t xml:space="preserve"> 5</w:t>
      </w:r>
      <w:r w:rsidR="00016F07">
        <w:t xml:space="preserve"> in Annex 2 of this report.</w:t>
      </w:r>
    </w:p>
    <w:p w14:paraId="2D0CC2D5" w14:textId="77777777" w:rsidR="009111BA" w:rsidRPr="00072495" w:rsidRDefault="009111BA" w:rsidP="009111BA">
      <w:pPr>
        <w:pStyle w:val="SingleTxtG"/>
        <w:keepNext/>
        <w:numPr>
          <w:ilvl w:val="0"/>
          <w:numId w:val="4"/>
        </w:numPr>
        <w:spacing w:after="240" w:line="240" w:lineRule="auto"/>
        <w:ind w:right="43"/>
      </w:pPr>
      <w:r w:rsidRPr="00072495">
        <w:rPr>
          <w:b/>
          <w:u w:val="single"/>
        </w:rPr>
        <w:lastRenderedPageBreak/>
        <w:t>Subject:</w:t>
      </w:r>
      <w:r w:rsidRPr="00072495">
        <w:t xml:space="preserve">  </w:t>
      </w:r>
      <w:r>
        <w:rPr>
          <w:iCs/>
          <w:lang w:val="en-US"/>
        </w:rPr>
        <w:t>Classification of ammonium nitrate fertilizers</w:t>
      </w:r>
    </w:p>
    <w:p w14:paraId="5D9B29B6" w14:textId="77777777" w:rsidR="009111BA" w:rsidRPr="00072495" w:rsidRDefault="009111BA" w:rsidP="009111BA">
      <w:pPr>
        <w:pStyle w:val="SingleTxtG"/>
        <w:spacing w:after="240" w:line="240" w:lineRule="auto"/>
        <w:ind w:left="3700" w:right="39" w:hanging="2001"/>
        <w:rPr>
          <w:i/>
          <w:iCs/>
          <w:lang w:val="en-US"/>
        </w:rPr>
      </w:pPr>
      <w:r w:rsidRPr="00072495">
        <w:rPr>
          <w:i/>
        </w:rPr>
        <w:t>Documents:</w:t>
      </w:r>
      <w:r w:rsidRPr="00072495">
        <w:rPr>
          <w:i/>
        </w:rPr>
        <w:tab/>
      </w:r>
      <w:r w:rsidRPr="00D8066B">
        <w:rPr>
          <w:i/>
          <w:iCs/>
          <w:lang w:val="en-US"/>
        </w:rPr>
        <w:t>ST/</w:t>
      </w:r>
      <w:r>
        <w:rPr>
          <w:i/>
          <w:iCs/>
          <w:lang w:val="en-US"/>
        </w:rPr>
        <w:t>SG/AC.10/C.3/2016/66 - (Sweden)</w:t>
      </w:r>
    </w:p>
    <w:p w14:paraId="249C1E22" w14:textId="77777777" w:rsidR="009111BA" w:rsidRDefault="009111BA" w:rsidP="00CC2EDC">
      <w:pPr>
        <w:pStyle w:val="SingleTxtG"/>
        <w:spacing w:after="0" w:line="240" w:lineRule="auto"/>
        <w:ind w:left="3701" w:right="43" w:hanging="2002"/>
        <w:jc w:val="left"/>
        <w:rPr>
          <w:i/>
        </w:rPr>
      </w:pPr>
      <w:r w:rsidRPr="00072495">
        <w:rPr>
          <w:i/>
        </w:rPr>
        <w:t xml:space="preserve">Informal documents: </w:t>
      </w:r>
      <w:r w:rsidRPr="00072495">
        <w:rPr>
          <w:i/>
        </w:rPr>
        <w:tab/>
      </w:r>
      <w:r w:rsidRPr="00D8066B">
        <w:rPr>
          <w:i/>
        </w:rPr>
        <w:t>UN/SCETDG/50/INF.9 - (AEISG)</w:t>
      </w:r>
    </w:p>
    <w:p w14:paraId="6426398D" w14:textId="3B61025D" w:rsidR="00CC2EDC" w:rsidRPr="00072495" w:rsidRDefault="00CC2EDC" w:rsidP="009111BA">
      <w:pPr>
        <w:pStyle w:val="SingleTxtG"/>
        <w:spacing w:after="240" w:line="240" w:lineRule="auto"/>
        <w:ind w:left="3700" w:right="39" w:hanging="2001"/>
        <w:jc w:val="left"/>
        <w:rPr>
          <w:i/>
          <w:iCs/>
          <w:lang w:val="en-US"/>
        </w:rPr>
      </w:pPr>
      <w:r>
        <w:rPr>
          <w:i/>
        </w:rPr>
        <w:tab/>
        <w:t>UN/SCETDG/50/INF.47 – (IME)</w:t>
      </w:r>
    </w:p>
    <w:p w14:paraId="143CD13A" w14:textId="6855C7B2" w:rsidR="009111BA" w:rsidRDefault="009111BA" w:rsidP="009111BA">
      <w:pPr>
        <w:pStyle w:val="SingleTxtG"/>
        <w:spacing w:after="240" w:line="240" w:lineRule="auto"/>
        <w:ind w:left="1701" w:right="39"/>
      </w:pPr>
      <w:r w:rsidRPr="00072495">
        <w:rPr>
          <w:b/>
          <w:u w:val="single"/>
        </w:rPr>
        <w:t>Discussion:</w:t>
      </w:r>
      <w:r w:rsidRPr="00072495">
        <w:t xml:space="preserve">  </w:t>
      </w:r>
      <w:r w:rsidR="00E0097A">
        <w:t xml:space="preserve">There was considerable discussion and strong consensus that classification of ammonium nitrate (AN) based fertilizers is confusing, and in need of clarification. Currently the procedures can lead </w:t>
      </w:r>
      <w:r w:rsidR="00216DAE">
        <w:t xml:space="preserve">to </w:t>
      </w:r>
      <w:r w:rsidR="00E0097A" w:rsidRPr="00966494">
        <w:t xml:space="preserve">misinterpretations (unintended or deliberate). These misinterpretations can lead to potentially unsafe AN-based fertilizers being transported as non-dangerous goods. </w:t>
      </w:r>
      <w:proofErr w:type="gramStart"/>
      <w:r w:rsidR="00E0097A" w:rsidRPr="00966494">
        <w:t>As many downstream regulations use the transport classification as a basis for other safety measures, e.g. when storing AN-based fertilizers, the risks associated with these products can transfer further along the supply chain.</w:t>
      </w:r>
      <w:proofErr w:type="gramEnd"/>
      <w:r w:rsidR="00E0097A" w:rsidRPr="00966494">
        <w:t xml:space="preserve"> Apart from the risk this poses to transporters, other workers, rescue personnel and the general public, this also leads to unfair competition amongst suppliers, since the transport and handling of supposedly “non-hazardous material” is cheaper and subject to less regulatory restrictions.</w:t>
      </w:r>
    </w:p>
    <w:p w14:paraId="07B2BCC6" w14:textId="563889E5" w:rsidR="00255C05" w:rsidRDefault="00255C05" w:rsidP="009111BA">
      <w:pPr>
        <w:pStyle w:val="SingleTxtG"/>
        <w:spacing w:after="240" w:line="240" w:lineRule="auto"/>
        <w:ind w:left="1701" w:right="39"/>
      </w:pPr>
      <w:r>
        <w:t>During discussion i</w:t>
      </w:r>
      <w:r w:rsidRPr="00255C05">
        <w:t xml:space="preserve">t was noted that although it is outside the scope of this proposal, it would be desirable to have a better description or criteria for determination of stability in box D4 of the </w:t>
      </w:r>
      <w:r>
        <w:t xml:space="preserve">fertilizer classification </w:t>
      </w:r>
      <w:r w:rsidRPr="00255C05">
        <w:t>flowchart.</w:t>
      </w:r>
      <w:r w:rsidR="008A1544">
        <w:t xml:space="preserve"> However it was recognized that this situation was very difficult and the new text in 39.3.5 went some ways toward providing guidance and clarification.</w:t>
      </w:r>
    </w:p>
    <w:p w14:paraId="4B241224" w14:textId="7058F7BA" w:rsidR="00735B63" w:rsidRDefault="00735B63" w:rsidP="009111BA">
      <w:pPr>
        <w:pStyle w:val="SingleTxtG"/>
        <w:spacing w:after="240" w:line="240" w:lineRule="auto"/>
        <w:ind w:left="1701" w:right="39"/>
      </w:pPr>
      <w:r>
        <w:t>USA questioned the condition in 39.4.4 whereby composition places fertilizer</w:t>
      </w:r>
      <w:r w:rsidR="008A1544">
        <w:t>s</w:t>
      </w:r>
      <w:r>
        <w:t xml:space="preserve"> in Class 1 e</w:t>
      </w:r>
      <w:r w:rsidR="008A1544">
        <w:t>ven if test series 2 criteria are</w:t>
      </w:r>
      <w:r>
        <w:t xml:space="preserve"> met.  The </w:t>
      </w:r>
      <w:r w:rsidR="008A1544">
        <w:t>consensus</w:t>
      </w:r>
      <w:r>
        <w:t xml:space="preserve"> in the group was that this condition </w:t>
      </w:r>
      <w:r w:rsidR="008A1544">
        <w:t>is merely reflecting the</w:t>
      </w:r>
      <w:r>
        <w:t xml:space="preserve"> restri</w:t>
      </w:r>
      <w:r w:rsidR="008A1544">
        <w:t xml:space="preserve">ction in current </w:t>
      </w:r>
      <w:r w:rsidR="008A1718">
        <w:t>SP307,</w:t>
      </w:r>
      <w:r w:rsidR="008A1544">
        <w:t xml:space="preserve"> </w:t>
      </w:r>
      <w:r w:rsidR="008A1718">
        <w:t>w</w:t>
      </w:r>
      <w:r w:rsidR="008A1544">
        <w:t xml:space="preserve">here fertilizer with greater than 90% </w:t>
      </w:r>
      <w:proofErr w:type="gramStart"/>
      <w:r w:rsidR="008A1544">
        <w:t>AN and</w:t>
      </w:r>
      <w:proofErr w:type="gramEnd"/>
      <w:r w:rsidR="008A1544">
        <w:t xml:space="preserve"> greater than 0.2% total combustible material is Class 1 by definition.</w:t>
      </w:r>
    </w:p>
    <w:p w14:paraId="536F7586" w14:textId="371BD20F" w:rsidR="008A1544" w:rsidRDefault="008A1544" w:rsidP="009111BA">
      <w:pPr>
        <w:pStyle w:val="SingleTxtG"/>
        <w:spacing w:after="240" w:line="240" w:lineRule="auto"/>
        <w:ind w:left="1701" w:right="39"/>
      </w:pPr>
      <w:r>
        <w:t>The group discussed concerns which were expressed in INF</w:t>
      </w:r>
      <w:r w:rsidR="008A1718">
        <w:t>.</w:t>
      </w:r>
      <w:r>
        <w:t>9 and INF</w:t>
      </w:r>
      <w:r w:rsidR="008A1718">
        <w:t>.</w:t>
      </w:r>
      <w:r>
        <w:t>47 resulting in amendments to the original proposal.</w:t>
      </w:r>
    </w:p>
    <w:p w14:paraId="2C28F3ED" w14:textId="4156646A" w:rsidR="00353CF4" w:rsidRPr="00072495" w:rsidRDefault="00353CF4" w:rsidP="009111BA">
      <w:pPr>
        <w:pStyle w:val="SingleTxtG"/>
        <w:spacing w:after="240" w:line="240" w:lineRule="auto"/>
        <w:ind w:left="1701" w:right="39"/>
      </w:pPr>
      <w:r w:rsidRPr="00353CF4">
        <w:t>The</w:t>
      </w:r>
      <w:r w:rsidR="00AB0A61">
        <w:t xml:space="preserve">re was </w:t>
      </w:r>
      <w:r w:rsidR="00125F67">
        <w:t>c</w:t>
      </w:r>
      <w:r w:rsidR="00AB0A61">
        <w:t>onsensus on the</w:t>
      </w:r>
      <w:r w:rsidRPr="00353CF4">
        <w:t xml:space="preserve"> working group that the constraint on extra nitrate was an historical </w:t>
      </w:r>
      <w:r w:rsidR="00735B63">
        <w:t>carryover</w:t>
      </w:r>
      <w:r w:rsidRPr="00353CF4">
        <w:t xml:space="preserve"> and could not identify any safety or security reason why it needed to be retained.</w:t>
      </w:r>
    </w:p>
    <w:p w14:paraId="7C334D7F" w14:textId="4BC171D0" w:rsidR="009111BA" w:rsidRDefault="009111BA" w:rsidP="009111BA">
      <w:pPr>
        <w:pStyle w:val="SingleTxtG"/>
        <w:spacing w:after="240" w:line="240" w:lineRule="auto"/>
        <w:ind w:left="1701" w:right="39"/>
      </w:pPr>
      <w:r w:rsidRPr="00072495">
        <w:rPr>
          <w:b/>
          <w:u w:val="single"/>
        </w:rPr>
        <w:t>Conclusion:</w:t>
      </w:r>
      <w:r w:rsidRPr="00072495">
        <w:t xml:space="preserve">   </w:t>
      </w:r>
      <w:r w:rsidR="00E0097A">
        <w:t>Add a new Section 39, specifically for the classification of AN-based fertilizers.</w:t>
      </w:r>
      <w:r w:rsidR="006171B4">
        <w:t xml:space="preserve"> See Amendment</w:t>
      </w:r>
      <w:r w:rsidR="00B61223">
        <w:t>s 6</w:t>
      </w:r>
      <w:r w:rsidR="00CD17B9">
        <w:t xml:space="preserve"> in Annex 2</w:t>
      </w:r>
      <w:r w:rsidR="006171B4">
        <w:t xml:space="preserve"> </w:t>
      </w:r>
      <w:r w:rsidR="00CD17B9">
        <w:t>a</w:t>
      </w:r>
      <w:r w:rsidR="00B61223">
        <w:t>nd Amendments 6</w:t>
      </w:r>
      <w:r w:rsidR="00CD17B9">
        <w:t xml:space="preserve"> in Annex 3 </w:t>
      </w:r>
      <w:r w:rsidR="006171B4">
        <w:t>of this report.</w:t>
      </w:r>
    </w:p>
    <w:p w14:paraId="17055C6C" w14:textId="77777777" w:rsidR="0058324C" w:rsidRPr="00072495" w:rsidRDefault="0058324C" w:rsidP="0058324C">
      <w:pPr>
        <w:pStyle w:val="SingleTxtG"/>
        <w:keepNext/>
        <w:numPr>
          <w:ilvl w:val="0"/>
          <w:numId w:val="4"/>
        </w:numPr>
        <w:spacing w:after="240" w:line="240" w:lineRule="auto"/>
        <w:ind w:right="43"/>
      </w:pPr>
      <w:r w:rsidRPr="00072495">
        <w:rPr>
          <w:b/>
          <w:u w:val="single"/>
        </w:rPr>
        <w:t>Subject:</w:t>
      </w:r>
      <w:r w:rsidRPr="00072495">
        <w:t xml:space="preserve">  </w:t>
      </w:r>
      <w:r w:rsidRPr="00D90360">
        <w:rPr>
          <w:iCs/>
          <w:lang w:val="en-US"/>
        </w:rPr>
        <w:t>Application of Security Provisions to Explosives N.O.S</w:t>
      </w:r>
      <w:r>
        <w:rPr>
          <w:iCs/>
          <w:lang w:val="en-US"/>
        </w:rPr>
        <w:t>.</w:t>
      </w:r>
      <w:r w:rsidRPr="00D90360">
        <w:rPr>
          <w:iCs/>
          <w:lang w:val="en-US"/>
        </w:rPr>
        <w:t xml:space="preserve">  </w:t>
      </w:r>
    </w:p>
    <w:p w14:paraId="43B74665" w14:textId="77777777" w:rsidR="0058324C" w:rsidRPr="00072495" w:rsidRDefault="0058324C" w:rsidP="0058324C">
      <w:pPr>
        <w:pStyle w:val="SingleTxtG"/>
        <w:spacing w:after="240" w:line="240" w:lineRule="auto"/>
        <w:ind w:left="3700" w:right="39" w:hanging="2001"/>
        <w:rPr>
          <w:i/>
          <w:iCs/>
          <w:lang w:val="en-US"/>
        </w:rPr>
      </w:pPr>
      <w:r w:rsidRPr="00072495">
        <w:rPr>
          <w:i/>
        </w:rPr>
        <w:t>Documents:</w:t>
      </w:r>
      <w:r w:rsidRPr="00072495">
        <w:rPr>
          <w:i/>
        </w:rPr>
        <w:tab/>
      </w:r>
      <w:r>
        <w:rPr>
          <w:i/>
          <w:iCs/>
          <w:lang w:val="en-US"/>
        </w:rPr>
        <w:t>None</w:t>
      </w:r>
    </w:p>
    <w:p w14:paraId="69145C24" w14:textId="7D3A78E1" w:rsidR="0058324C" w:rsidRDefault="0058324C" w:rsidP="0058324C">
      <w:pPr>
        <w:pStyle w:val="SingleTxtG"/>
        <w:spacing w:after="0" w:line="240" w:lineRule="auto"/>
        <w:ind w:left="3701" w:right="43" w:hanging="2002"/>
        <w:jc w:val="left"/>
        <w:rPr>
          <w:i/>
        </w:rPr>
      </w:pPr>
      <w:r w:rsidRPr="00072495">
        <w:rPr>
          <w:i/>
        </w:rPr>
        <w:t xml:space="preserve">Informal documents: </w:t>
      </w:r>
      <w:r w:rsidRPr="00072495">
        <w:rPr>
          <w:i/>
        </w:rPr>
        <w:tab/>
      </w:r>
      <w:r>
        <w:rPr>
          <w:i/>
        </w:rPr>
        <w:t>UN/SCETDG/50/INF.33 – (Italy</w:t>
      </w:r>
      <w:r w:rsidRPr="00D8066B">
        <w:rPr>
          <w:i/>
        </w:rPr>
        <w:t>)</w:t>
      </w:r>
    </w:p>
    <w:p w14:paraId="4D1FCDE8" w14:textId="77777777" w:rsidR="0058324C" w:rsidRPr="00072495" w:rsidRDefault="0058324C" w:rsidP="0058324C">
      <w:pPr>
        <w:pStyle w:val="SingleTxtG"/>
        <w:spacing w:after="240" w:line="240" w:lineRule="auto"/>
        <w:ind w:left="3700" w:right="39" w:hanging="2001"/>
        <w:jc w:val="left"/>
        <w:rPr>
          <w:i/>
          <w:iCs/>
          <w:lang w:val="en-US"/>
        </w:rPr>
      </w:pPr>
      <w:r>
        <w:rPr>
          <w:i/>
        </w:rPr>
        <w:tab/>
        <w:t>UN/SCETDG/50/INF.44 – (UK)</w:t>
      </w:r>
    </w:p>
    <w:p w14:paraId="582B2EA6" w14:textId="4819EBDD" w:rsidR="0058324C" w:rsidRPr="00072495" w:rsidRDefault="0058324C" w:rsidP="0058324C">
      <w:pPr>
        <w:pStyle w:val="SingleTxtG"/>
        <w:spacing w:after="240" w:line="240" w:lineRule="auto"/>
        <w:ind w:left="1701" w:right="39"/>
      </w:pPr>
      <w:r w:rsidRPr="00072495">
        <w:rPr>
          <w:b/>
          <w:u w:val="single"/>
        </w:rPr>
        <w:t>Discussion:</w:t>
      </w:r>
      <w:r w:rsidRPr="00072495">
        <w:t xml:space="preserve">  </w:t>
      </w:r>
      <w:r>
        <w:t xml:space="preserve">INF.33 proposes </w:t>
      </w:r>
      <w:r w:rsidRPr="0081017D">
        <w:t>add</w:t>
      </w:r>
      <w:r>
        <w:t>ing</w:t>
      </w:r>
      <w:r w:rsidRPr="0081017D">
        <w:t xml:space="preserve"> two new</w:t>
      </w:r>
      <w:r>
        <w:t xml:space="preserve"> UN entries for situations where Explosives N.O.S. classifications require security provisions. INF.44 expanded that concept to other explosives. After considerable discussion, several in the working group stated that s</w:t>
      </w:r>
      <w:r w:rsidRPr="0054730B">
        <w:t>ecurity provisions should be criteria based not UN number based</w:t>
      </w:r>
      <w:r>
        <w:t>. Consideration of such a concept would require further study, beyond the scope of this biennium. The expert from Italy agreed that an acceptable alternate solution would be to identify required security provisions on specific competent authority approvals</w:t>
      </w:r>
      <w:r w:rsidR="00396491">
        <w:t xml:space="preserve"> for the time being</w:t>
      </w:r>
      <w:r>
        <w:t>.</w:t>
      </w:r>
      <w:r w:rsidR="006F380B">
        <w:t xml:space="preserve"> There was consensus to add Division 1.6 explosives to the high consequence dangerous goods list.</w:t>
      </w:r>
    </w:p>
    <w:p w14:paraId="0BA96954" w14:textId="06A2F4FE" w:rsidR="0058324C" w:rsidRPr="00DA1A60" w:rsidRDefault="0058324C" w:rsidP="0058324C">
      <w:pPr>
        <w:pStyle w:val="SingleTxtG"/>
        <w:spacing w:after="240" w:line="240" w:lineRule="auto"/>
        <w:ind w:left="1701" w:right="39"/>
      </w:pPr>
      <w:r w:rsidRPr="00072495">
        <w:rPr>
          <w:b/>
          <w:u w:val="single"/>
        </w:rPr>
        <w:lastRenderedPageBreak/>
        <w:t>Conclusion:</w:t>
      </w:r>
      <w:r w:rsidRPr="00072495">
        <w:t xml:space="preserve">   </w:t>
      </w:r>
      <w:r>
        <w:t>The alternate solution identified above was acceptable</w:t>
      </w:r>
      <w:r w:rsidR="006F380B">
        <w:t xml:space="preserve"> to the Italian expert</w:t>
      </w:r>
      <w:r>
        <w:t xml:space="preserve">. </w:t>
      </w:r>
      <w:r w:rsidR="006F380B">
        <w:t xml:space="preserve">The working group recommends adding Class 1, Division 1.6 to Table 1.4.1 of the Model Regulations. See </w:t>
      </w:r>
      <w:r w:rsidR="00135B22" w:rsidRPr="00135B22">
        <w:t>Amendment 7</w:t>
      </w:r>
      <w:r w:rsidR="006F380B">
        <w:t>. The group felt that further development work is required.</w:t>
      </w:r>
    </w:p>
    <w:p w14:paraId="53CDDF8C" w14:textId="3B105BDF" w:rsidR="0021531D" w:rsidRPr="00950D47" w:rsidRDefault="0021531D" w:rsidP="0021531D">
      <w:pPr>
        <w:pStyle w:val="HChG"/>
        <w:keepLines w:val="0"/>
        <w:spacing w:line="240" w:lineRule="auto"/>
        <w:ind w:left="1138" w:right="43" w:firstLine="0"/>
      </w:pPr>
      <w:r w:rsidRPr="001A6CE6">
        <w:t xml:space="preserve">Agenda Item </w:t>
      </w:r>
      <w:r>
        <w:t>6</w:t>
      </w:r>
      <w:r w:rsidRPr="001A6CE6">
        <w:t xml:space="preserve"> – </w:t>
      </w:r>
      <w:r>
        <w:t>New proposals for amendments to the Model Regulations on the Transport of Dangerous Goods</w:t>
      </w:r>
    </w:p>
    <w:p w14:paraId="1C05E723" w14:textId="2E5B637D" w:rsidR="0021531D" w:rsidRPr="00072495" w:rsidRDefault="0021531D" w:rsidP="0021531D">
      <w:pPr>
        <w:pStyle w:val="SingleTxtG"/>
        <w:keepNext/>
        <w:numPr>
          <w:ilvl w:val="0"/>
          <w:numId w:val="4"/>
        </w:numPr>
        <w:spacing w:after="240" w:line="240" w:lineRule="auto"/>
        <w:ind w:right="43"/>
      </w:pPr>
      <w:r w:rsidRPr="00072495">
        <w:rPr>
          <w:b/>
          <w:u w:val="single"/>
        </w:rPr>
        <w:t>Subject:</w:t>
      </w:r>
      <w:r w:rsidRPr="00072495">
        <w:t xml:space="preserve">  </w:t>
      </w:r>
      <w:r w:rsidRPr="0021531D">
        <w:t>New UN ent</w:t>
      </w:r>
      <w:r>
        <w:t>ries for Electronic Detonators</w:t>
      </w:r>
    </w:p>
    <w:p w14:paraId="2980E50F" w14:textId="0C2F16D8" w:rsidR="0021531D" w:rsidRPr="00072495" w:rsidRDefault="0021531D" w:rsidP="0021531D">
      <w:pPr>
        <w:pStyle w:val="SingleTxtG"/>
        <w:spacing w:after="240" w:line="240" w:lineRule="auto"/>
        <w:ind w:left="3700" w:right="39" w:hanging="2001"/>
        <w:rPr>
          <w:i/>
          <w:iCs/>
          <w:lang w:val="en-US"/>
        </w:rPr>
      </w:pPr>
      <w:r w:rsidRPr="00072495">
        <w:rPr>
          <w:i/>
        </w:rPr>
        <w:t>Documents:</w:t>
      </w:r>
      <w:r w:rsidRPr="00072495">
        <w:rPr>
          <w:i/>
        </w:rPr>
        <w:tab/>
      </w:r>
      <w:r>
        <w:rPr>
          <w:i/>
        </w:rPr>
        <w:t>None</w:t>
      </w:r>
    </w:p>
    <w:p w14:paraId="50E044E5" w14:textId="4E678D9F" w:rsidR="0021531D" w:rsidRPr="00072495" w:rsidRDefault="0021531D" w:rsidP="0021531D">
      <w:pPr>
        <w:pStyle w:val="SingleTxtG"/>
        <w:spacing w:after="240" w:line="240" w:lineRule="auto"/>
        <w:ind w:left="3700" w:right="39" w:hanging="2001"/>
        <w:jc w:val="left"/>
        <w:rPr>
          <w:i/>
          <w:iCs/>
          <w:lang w:val="en-US"/>
        </w:rPr>
      </w:pPr>
      <w:r w:rsidRPr="00072495">
        <w:rPr>
          <w:i/>
        </w:rPr>
        <w:t xml:space="preserve">Informal documents: </w:t>
      </w:r>
      <w:r w:rsidRPr="00072495">
        <w:rPr>
          <w:i/>
        </w:rPr>
        <w:tab/>
      </w:r>
      <w:r w:rsidRPr="00665DA9">
        <w:rPr>
          <w:i/>
          <w:iCs/>
          <w:lang w:val="en-US"/>
        </w:rPr>
        <w:t>UN/SCETDG/50/INF.</w:t>
      </w:r>
      <w:r>
        <w:rPr>
          <w:i/>
          <w:iCs/>
          <w:lang w:val="en-US"/>
        </w:rPr>
        <w:t>30</w:t>
      </w:r>
      <w:r w:rsidRPr="00665DA9">
        <w:rPr>
          <w:i/>
          <w:iCs/>
          <w:lang w:val="en-US"/>
        </w:rPr>
        <w:t xml:space="preserve"> - (</w:t>
      </w:r>
      <w:r>
        <w:rPr>
          <w:i/>
          <w:iCs/>
          <w:lang w:val="en-US"/>
        </w:rPr>
        <w:t>AEISG</w:t>
      </w:r>
      <w:r w:rsidRPr="00665DA9">
        <w:rPr>
          <w:i/>
          <w:iCs/>
          <w:lang w:val="en-US"/>
        </w:rPr>
        <w:t>)</w:t>
      </w:r>
    </w:p>
    <w:p w14:paraId="46BFD3DE" w14:textId="2AC3318E" w:rsidR="0021531D" w:rsidRPr="00072495" w:rsidRDefault="0021531D" w:rsidP="001F3234">
      <w:pPr>
        <w:pStyle w:val="SingleTxtG"/>
        <w:spacing w:after="240" w:line="240" w:lineRule="auto"/>
        <w:ind w:left="1701" w:right="39"/>
      </w:pPr>
      <w:r w:rsidRPr="00072495">
        <w:rPr>
          <w:b/>
          <w:u w:val="single"/>
        </w:rPr>
        <w:t>Discussion:</w:t>
      </w:r>
      <w:r w:rsidRPr="00072495">
        <w:t xml:space="preserve">  </w:t>
      </w:r>
      <w:r w:rsidR="001F3234">
        <w:t xml:space="preserve">A further range of technologically advanced </w:t>
      </w:r>
      <w:r w:rsidRPr="0021531D">
        <w:t xml:space="preserve">detonators </w:t>
      </w:r>
      <w:r w:rsidR="001F3234">
        <w:t>k</w:t>
      </w:r>
      <w:r w:rsidRPr="0021531D">
        <w:t>nown as ‘Electronic Detonators’ ha</w:t>
      </w:r>
      <w:r w:rsidR="001F3234">
        <w:t>ve</w:t>
      </w:r>
      <w:r w:rsidRPr="0021531D">
        <w:t xml:space="preserve"> been introduced. Such detonators utilise an integrated circuit and/or micro processing technology to provide communications, energy control and storage capability, timing delay information and commands in order</w:t>
      </w:r>
      <w:r>
        <w:t>.</w:t>
      </w:r>
      <w:r w:rsidRPr="0021531D">
        <w:t xml:space="preserve"> </w:t>
      </w:r>
      <w:r>
        <w:t xml:space="preserve">There was discussion on whether these detonators should have UN entries of their own to distinguish them from electric detonators. </w:t>
      </w:r>
      <w:r w:rsidR="001F3234">
        <w:t xml:space="preserve">There were also discussions on whether such UN entries might qualify for Compatibility Group D due to the protective features potentially included within electronic detonators. </w:t>
      </w:r>
      <w:r>
        <w:t xml:space="preserve">It was suggested that those interested </w:t>
      </w:r>
      <w:r w:rsidR="008E633D">
        <w:t xml:space="preserve">study </w:t>
      </w:r>
      <w:r w:rsidR="001F3234">
        <w:t xml:space="preserve">the </w:t>
      </w:r>
      <w:r w:rsidR="008E633D">
        <w:t>characteristics related to transport safety, and make proposals in the future if they believe the information gathered warrants further consideration.</w:t>
      </w:r>
      <w:r w:rsidR="001F3234">
        <w:t xml:space="preserve"> There were no objections from the working group to this suggestion.  </w:t>
      </w:r>
    </w:p>
    <w:p w14:paraId="482FBAD9" w14:textId="2D5D449C" w:rsidR="0021531D" w:rsidRDefault="0021531D" w:rsidP="0021531D">
      <w:pPr>
        <w:pStyle w:val="SingleTxtG"/>
        <w:spacing w:after="240" w:line="240" w:lineRule="auto"/>
        <w:ind w:left="1701" w:right="39"/>
      </w:pPr>
      <w:r w:rsidRPr="00072495">
        <w:rPr>
          <w:b/>
          <w:u w:val="single"/>
        </w:rPr>
        <w:t>Conclusion:</w:t>
      </w:r>
      <w:r w:rsidRPr="00072495">
        <w:t xml:space="preserve">   </w:t>
      </w:r>
      <w:r w:rsidR="008E633D">
        <w:t xml:space="preserve">Interested parties </w:t>
      </w:r>
      <w:r w:rsidR="001F3234">
        <w:t xml:space="preserve">are </w:t>
      </w:r>
      <w:r w:rsidR="008E633D">
        <w:t>requested to make formal proposals.</w:t>
      </w:r>
    </w:p>
    <w:p w14:paraId="5A5E1B86" w14:textId="1AB341B5" w:rsidR="008C7C99" w:rsidRPr="00950D47" w:rsidRDefault="008C7C99" w:rsidP="008C7C99">
      <w:pPr>
        <w:pStyle w:val="HChG"/>
        <w:keepLines w:val="0"/>
        <w:spacing w:line="240" w:lineRule="auto"/>
        <w:ind w:left="1138" w:right="43" w:firstLine="0"/>
      </w:pPr>
      <w:r w:rsidRPr="001A6CE6">
        <w:t xml:space="preserve">Agenda Item </w:t>
      </w:r>
      <w:r>
        <w:t>7</w:t>
      </w:r>
      <w:r w:rsidRPr="001A6CE6">
        <w:t>(</w:t>
      </w:r>
      <w:r>
        <w:t>g</w:t>
      </w:r>
      <w:r w:rsidRPr="001A6CE6">
        <w:t xml:space="preserve">) – </w:t>
      </w:r>
      <w:r w:rsidR="00C83FD1" w:rsidRPr="00C83FD1">
        <w:t>Use of the Manual of Tests and Criteria in the context of the GHS</w:t>
      </w:r>
      <w:r>
        <w:t xml:space="preserve"> </w:t>
      </w:r>
    </w:p>
    <w:p w14:paraId="6752DB43" w14:textId="77777777" w:rsidR="008C7C99" w:rsidRPr="00072495" w:rsidRDefault="008C7C99" w:rsidP="008C7C99">
      <w:pPr>
        <w:pStyle w:val="SingleTxtG"/>
        <w:keepNext/>
        <w:numPr>
          <w:ilvl w:val="0"/>
          <w:numId w:val="4"/>
        </w:numPr>
        <w:spacing w:after="240" w:line="240" w:lineRule="auto"/>
        <w:ind w:right="43"/>
      </w:pPr>
      <w:r w:rsidRPr="00072495">
        <w:rPr>
          <w:b/>
          <w:u w:val="single"/>
        </w:rPr>
        <w:t>Subject:</w:t>
      </w:r>
      <w:r w:rsidRPr="00072495">
        <w:t xml:space="preserve">  Revision of the Manual of </w:t>
      </w:r>
      <w:r>
        <w:t>T</w:t>
      </w:r>
      <w:r w:rsidRPr="00072495">
        <w:t>ests and Criteria</w:t>
      </w:r>
    </w:p>
    <w:p w14:paraId="70B295A5" w14:textId="5FA67330" w:rsidR="008C7C99" w:rsidRPr="00072495" w:rsidRDefault="008C7C99" w:rsidP="008C7C99">
      <w:pPr>
        <w:pStyle w:val="SingleTxtG"/>
        <w:spacing w:after="240" w:line="240" w:lineRule="auto"/>
        <w:ind w:left="3700" w:right="39" w:hanging="2001"/>
        <w:rPr>
          <w:i/>
          <w:iCs/>
          <w:lang w:val="en-US"/>
        </w:rPr>
      </w:pPr>
      <w:r w:rsidRPr="00072495">
        <w:rPr>
          <w:i/>
        </w:rPr>
        <w:t>Documents:</w:t>
      </w:r>
      <w:r w:rsidRPr="00072495">
        <w:rPr>
          <w:i/>
        </w:rPr>
        <w:tab/>
      </w:r>
      <w:r w:rsidR="007707E4" w:rsidRPr="007707E4">
        <w:rPr>
          <w:i/>
          <w:iCs/>
          <w:lang w:val="en-US"/>
        </w:rPr>
        <w:t>ST/SG/AC.10/C.3/2016/83 - ST/SG/AC.10/C.4/2016/16 - (Chairman of the Working Group on Explosives)</w:t>
      </w:r>
    </w:p>
    <w:p w14:paraId="0E23C1E5" w14:textId="472D93AB" w:rsidR="008C7C99" w:rsidRDefault="008C7C99" w:rsidP="00275E83">
      <w:pPr>
        <w:pStyle w:val="SingleTxtG"/>
        <w:spacing w:after="0" w:line="240" w:lineRule="auto"/>
        <w:ind w:left="3701" w:right="43" w:hanging="2002"/>
        <w:jc w:val="left"/>
        <w:rPr>
          <w:i/>
          <w:iCs/>
          <w:lang w:val="en-US"/>
        </w:rPr>
      </w:pPr>
      <w:r w:rsidRPr="00072495">
        <w:rPr>
          <w:i/>
        </w:rPr>
        <w:t xml:space="preserve">Informal documents: </w:t>
      </w:r>
      <w:r w:rsidRPr="00072495">
        <w:rPr>
          <w:i/>
        </w:rPr>
        <w:tab/>
        <w:t>UN/SCETDG/</w:t>
      </w:r>
      <w:r w:rsidR="007707E4">
        <w:rPr>
          <w:i/>
        </w:rPr>
        <w:t>50</w:t>
      </w:r>
      <w:r w:rsidRPr="00072495">
        <w:rPr>
          <w:i/>
        </w:rPr>
        <w:t>/INF.</w:t>
      </w:r>
      <w:r w:rsidR="007707E4">
        <w:rPr>
          <w:i/>
        </w:rPr>
        <w:t>7</w:t>
      </w:r>
      <w:r w:rsidRPr="00072495">
        <w:rPr>
          <w:i/>
        </w:rPr>
        <w:t xml:space="preserve"> (UN/SCEGHS/3</w:t>
      </w:r>
      <w:r w:rsidR="00665DA9">
        <w:rPr>
          <w:i/>
        </w:rPr>
        <w:t>2</w:t>
      </w:r>
      <w:r w:rsidRPr="00072495">
        <w:rPr>
          <w:i/>
        </w:rPr>
        <w:t>/INF.</w:t>
      </w:r>
      <w:r w:rsidR="00665DA9">
        <w:rPr>
          <w:i/>
        </w:rPr>
        <w:t>5</w:t>
      </w:r>
      <w:r w:rsidRPr="00072495">
        <w:rPr>
          <w:i/>
        </w:rPr>
        <w:t>) (Working Group Chair</w:t>
      </w:r>
      <w:proofErr w:type="gramStart"/>
      <w:r w:rsidRPr="00072495">
        <w:rPr>
          <w:i/>
        </w:rPr>
        <w:t>)</w:t>
      </w:r>
      <w:proofErr w:type="gramEnd"/>
      <w:r w:rsidRPr="00072495">
        <w:rPr>
          <w:i/>
        </w:rPr>
        <w:br/>
        <w:t>and Adds. 1 – 5</w:t>
      </w:r>
      <w:r w:rsidRPr="00072495">
        <w:rPr>
          <w:i/>
        </w:rPr>
        <w:br/>
      </w:r>
      <w:r w:rsidR="00665DA9" w:rsidRPr="00665DA9">
        <w:rPr>
          <w:i/>
          <w:iCs/>
          <w:lang w:val="en-US"/>
        </w:rPr>
        <w:t>UN/SCETDG/50/INF.14 - UN/SCEGHS/32/INF.10 - (Germany)</w:t>
      </w:r>
    </w:p>
    <w:p w14:paraId="06813D0C" w14:textId="2AC36076" w:rsidR="00D513B0" w:rsidRPr="00072495" w:rsidRDefault="00D513B0" w:rsidP="00275E83">
      <w:pPr>
        <w:pStyle w:val="SingleTxtG"/>
        <w:spacing w:after="240" w:line="240" w:lineRule="auto"/>
        <w:ind w:left="3700" w:right="39"/>
        <w:rPr>
          <w:i/>
          <w:iCs/>
          <w:lang w:val="en-US"/>
        </w:rPr>
      </w:pPr>
      <w:r w:rsidRPr="00D513B0">
        <w:rPr>
          <w:i/>
          <w:iCs/>
          <w:lang w:val="en-US"/>
        </w:rPr>
        <w:t>UN/SCETDG/50/INF.17 -</w:t>
      </w:r>
      <w:r>
        <w:rPr>
          <w:i/>
          <w:iCs/>
          <w:lang w:val="en-US"/>
        </w:rPr>
        <w:t xml:space="preserve"> </w:t>
      </w:r>
      <w:r w:rsidRPr="00D513B0">
        <w:rPr>
          <w:i/>
          <w:iCs/>
          <w:lang w:val="en-US"/>
        </w:rPr>
        <w:t>UN/SCEGHS/32/INF.14 – (USA/Canada)</w:t>
      </w:r>
    </w:p>
    <w:p w14:paraId="731CA436" w14:textId="2C3AF617" w:rsidR="00665DA9" w:rsidRPr="00072495" w:rsidRDefault="00665DA9" w:rsidP="00665DA9">
      <w:pPr>
        <w:pStyle w:val="SingleTxtG"/>
        <w:spacing w:after="240" w:line="240" w:lineRule="auto"/>
        <w:ind w:left="1701" w:right="39"/>
      </w:pPr>
      <w:r w:rsidRPr="00072495">
        <w:rPr>
          <w:b/>
          <w:u w:val="single"/>
        </w:rPr>
        <w:t>Discussion:</w:t>
      </w:r>
      <w:r w:rsidRPr="00072495">
        <w:t xml:space="preserve">  </w:t>
      </w:r>
      <w:r w:rsidR="00D513B0">
        <w:t>Efforts to edit the text in sections 1 and 10 led to a discussion on the relationship between revisions to the Manual and the scope of GHS chapter 2.1 and whether the tests needed to arrive at division level should be amended to accommodate GHS if t</w:t>
      </w:r>
      <w:r w:rsidR="00275E83">
        <w:t>esting will</w:t>
      </w:r>
      <w:r w:rsidR="00D513B0">
        <w:t xml:space="preserve"> only </w:t>
      </w:r>
      <w:r w:rsidR="00275E83">
        <w:t xml:space="preserve">be </w:t>
      </w:r>
      <w:r w:rsidR="00D513B0">
        <w:t xml:space="preserve">carried out in transport packaging.  After further discussion, it was decided to focus on the </w:t>
      </w:r>
      <w:r w:rsidR="00275E83">
        <w:t>remainder of</w:t>
      </w:r>
      <w:r w:rsidR="00D513B0">
        <w:t xml:space="preserve"> Part I, as well as the appendices.  As suggested by the USA and Canada in INF.17, it was agreed that amendments to the introductory texts and the rest of the Manual should be addressed further in the next biennium.  </w:t>
      </w:r>
      <w:r w:rsidR="003D6A11" w:rsidRPr="003D6A11">
        <w:t>This document contains the proposed list of amendments to the sixth revised edition of the Manual of Tests and Criteria to take account of its use in the context of the GHS</w:t>
      </w:r>
      <w:r w:rsidR="003D6A11">
        <w:t>.</w:t>
      </w:r>
    </w:p>
    <w:p w14:paraId="2CD4B0B1" w14:textId="597B436C" w:rsidR="00665DA9" w:rsidRDefault="00665DA9" w:rsidP="00665DA9">
      <w:pPr>
        <w:pStyle w:val="SingleTxtG"/>
        <w:spacing w:after="240" w:line="240" w:lineRule="auto"/>
        <w:ind w:left="1701" w:right="39"/>
      </w:pPr>
      <w:r w:rsidRPr="00072495">
        <w:rPr>
          <w:b/>
          <w:u w:val="single"/>
        </w:rPr>
        <w:t>Conclusion:</w:t>
      </w:r>
      <w:r w:rsidRPr="00072495">
        <w:t xml:space="preserve">   </w:t>
      </w:r>
      <w:r w:rsidR="003D6A11">
        <w:t xml:space="preserve">Adopt </w:t>
      </w:r>
      <w:r w:rsidR="00275E83">
        <w:t xml:space="preserve">agreed </w:t>
      </w:r>
      <w:r w:rsidR="003D6A11">
        <w:t xml:space="preserve">amendments. </w:t>
      </w:r>
      <w:r w:rsidR="00B61223">
        <w:t>See Amendment 7</w:t>
      </w:r>
      <w:r w:rsidR="00D106E2">
        <w:t xml:space="preserve"> in Annex 3 of this report.</w:t>
      </w:r>
    </w:p>
    <w:p w14:paraId="5003FBA7" w14:textId="456E0BF8" w:rsidR="001A6CE6" w:rsidRPr="00950D47" w:rsidRDefault="001A6CE6" w:rsidP="0048028F">
      <w:pPr>
        <w:pStyle w:val="HChG"/>
        <w:spacing w:line="240" w:lineRule="auto"/>
        <w:ind w:left="1138" w:right="39" w:firstLine="0"/>
      </w:pPr>
      <w:r w:rsidRPr="001A6CE6">
        <w:lastRenderedPageBreak/>
        <w:t xml:space="preserve">Agenda Item </w:t>
      </w:r>
      <w:r w:rsidR="008C7C99">
        <w:t>7</w:t>
      </w:r>
      <w:r w:rsidRPr="001A6CE6">
        <w:t>(h) – Review of Chapter 2.1 of the GHS</w:t>
      </w:r>
      <w:r>
        <w:t xml:space="preserve"> </w:t>
      </w:r>
    </w:p>
    <w:p w14:paraId="43DA12CE" w14:textId="77777777" w:rsidR="001A6CE6" w:rsidRPr="004F1D03" w:rsidRDefault="001A6CE6" w:rsidP="0048028F">
      <w:pPr>
        <w:pStyle w:val="SingleTxtG"/>
        <w:keepNext/>
        <w:numPr>
          <w:ilvl w:val="0"/>
          <w:numId w:val="4"/>
        </w:numPr>
        <w:spacing w:after="240" w:line="240" w:lineRule="auto"/>
        <w:ind w:right="43"/>
      </w:pPr>
      <w:r w:rsidRPr="004F1D03">
        <w:rPr>
          <w:b/>
          <w:u w:val="single"/>
        </w:rPr>
        <w:t>Subject:</w:t>
      </w:r>
      <w:r w:rsidRPr="004F1D03">
        <w:t xml:space="preserve">  </w:t>
      </w:r>
      <w:r w:rsidR="0042616B" w:rsidRPr="004F1D03">
        <w:t>Review of Chapter 2.1 of the GHS</w:t>
      </w:r>
    </w:p>
    <w:p w14:paraId="20103A36" w14:textId="7A0B494E" w:rsidR="001A6CE6" w:rsidRPr="004F1D03" w:rsidRDefault="001A6CE6" w:rsidP="0048028F">
      <w:pPr>
        <w:pStyle w:val="SingleTxtG"/>
        <w:spacing w:after="240" w:line="240" w:lineRule="auto"/>
        <w:ind w:left="3700" w:right="39" w:hanging="2001"/>
        <w:jc w:val="left"/>
        <w:rPr>
          <w:i/>
          <w:iCs/>
          <w:lang w:val="en-US"/>
        </w:rPr>
      </w:pPr>
      <w:r w:rsidRPr="004F1D03">
        <w:rPr>
          <w:i/>
        </w:rPr>
        <w:t>Documents:</w:t>
      </w:r>
      <w:r w:rsidRPr="004F1D03">
        <w:rPr>
          <w:i/>
        </w:rPr>
        <w:tab/>
      </w:r>
      <w:r w:rsidR="00C83FD1">
        <w:rPr>
          <w:i/>
          <w:lang w:val="fr-CH"/>
        </w:rPr>
        <w:t>None</w:t>
      </w:r>
    </w:p>
    <w:p w14:paraId="2995E723" w14:textId="7061FBF1" w:rsidR="001A6CE6" w:rsidRDefault="001A6CE6" w:rsidP="009029D5">
      <w:pPr>
        <w:pStyle w:val="SingleTxtG"/>
        <w:spacing w:after="0" w:line="240" w:lineRule="auto"/>
        <w:ind w:left="3701" w:right="43" w:hanging="2002"/>
        <w:jc w:val="left"/>
        <w:rPr>
          <w:i/>
          <w:iCs/>
          <w:lang w:val="en-US"/>
        </w:rPr>
      </w:pPr>
      <w:r w:rsidRPr="006F1A86">
        <w:rPr>
          <w:i/>
          <w:lang w:val="fr-CH"/>
        </w:rPr>
        <w:t xml:space="preserve">Informal documents: </w:t>
      </w:r>
      <w:r w:rsidRPr="006F1A86">
        <w:rPr>
          <w:i/>
          <w:lang w:val="fr-CH"/>
        </w:rPr>
        <w:tab/>
      </w:r>
      <w:r w:rsidR="00C83FD1" w:rsidRPr="00C83FD1">
        <w:rPr>
          <w:i/>
          <w:iCs/>
          <w:lang w:val="en-US"/>
        </w:rPr>
        <w:t>UN/SCETDG/50/INF.11 - UN/SCEGHS/32/INF.8 - (Sweden)</w:t>
      </w:r>
    </w:p>
    <w:p w14:paraId="4D56D7C1" w14:textId="20B5582D" w:rsidR="009029D5" w:rsidRPr="006F1A86" w:rsidRDefault="009029D5" w:rsidP="009029D5">
      <w:pPr>
        <w:pStyle w:val="SingleTxtG"/>
        <w:spacing w:after="240" w:line="240" w:lineRule="auto"/>
        <w:ind w:left="3700" w:right="39"/>
        <w:rPr>
          <w:i/>
          <w:iCs/>
          <w:lang w:val="fr-CH"/>
        </w:rPr>
      </w:pPr>
      <w:r w:rsidRPr="009029D5">
        <w:rPr>
          <w:i/>
          <w:iCs/>
          <w:lang w:val="fr-CH"/>
        </w:rPr>
        <w:t>UN/SCETDG/50/INF.18 -</w:t>
      </w:r>
      <w:r>
        <w:rPr>
          <w:i/>
          <w:iCs/>
          <w:lang w:val="fr-CH"/>
        </w:rPr>
        <w:t xml:space="preserve"> </w:t>
      </w:r>
      <w:r w:rsidRPr="009029D5">
        <w:rPr>
          <w:i/>
          <w:iCs/>
          <w:lang w:val="fr-CH"/>
        </w:rPr>
        <w:t>UN/SCEGHS/32/INF.15 - (USA)</w:t>
      </w:r>
    </w:p>
    <w:p w14:paraId="7BAC1D3C" w14:textId="37ADC870" w:rsidR="00C83FD1" w:rsidRPr="00072495" w:rsidRDefault="00C83FD1" w:rsidP="00C83FD1">
      <w:pPr>
        <w:pStyle w:val="SingleTxtG"/>
        <w:spacing w:after="240" w:line="240" w:lineRule="auto"/>
        <w:ind w:left="1701" w:right="39"/>
      </w:pPr>
      <w:r w:rsidRPr="00072495">
        <w:rPr>
          <w:b/>
          <w:u w:val="single"/>
        </w:rPr>
        <w:t>Discussion:</w:t>
      </w:r>
      <w:r w:rsidRPr="00072495">
        <w:t xml:space="preserve">  </w:t>
      </w:r>
      <w:r w:rsidR="00702FC5">
        <w:t xml:space="preserve">This is a continuation of the joint effort with the GHS </w:t>
      </w:r>
      <w:r w:rsidR="009029D5">
        <w:t xml:space="preserve">Sub-Committee </w:t>
      </w:r>
      <w:r w:rsidR="00702FC5">
        <w:t>to amend Chapter 2.1 of the GHS</w:t>
      </w:r>
      <w:r w:rsidR="00C11ED2">
        <w:t xml:space="preserve"> so that it better reflects issues related to the </w:t>
      </w:r>
      <w:r w:rsidR="00C11ED2" w:rsidRPr="00D34728">
        <w:t>Globally Harmonized System of Classification and Labelling of Chemicals</w:t>
      </w:r>
      <w:r w:rsidR="00C11ED2">
        <w:t xml:space="preserve"> as related to explosive products. An Interse</w:t>
      </w:r>
      <w:r w:rsidR="00F9421C">
        <w:t>ssional Correspondence Group (IC</w:t>
      </w:r>
      <w:r w:rsidR="00C11ED2">
        <w:t>G) has been active during this biennium working on resolution of issues unique to explosive products, and how they can be merged with aspects related to explosives transport in a safe manner</w:t>
      </w:r>
      <w:r w:rsidR="00F9421C">
        <w:t xml:space="preserve"> without confusion</w:t>
      </w:r>
      <w:r w:rsidR="00C11ED2">
        <w:t xml:space="preserve">. There was overall strong support for this effort. EWG members discussed a number of important matters to focus on, particularly defining the scope of the effort and the structure of proposals for the system of GHS categories and how they relate to transport divisions. There was strong awareness of the need to progress cautiously to assure that there are not unintended consequences to </w:t>
      </w:r>
      <w:r w:rsidR="00417830">
        <w:t>any sectors.</w:t>
      </w:r>
    </w:p>
    <w:p w14:paraId="14EA6E77" w14:textId="5C4E3D42" w:rsidR="00C83FD1" w:rsidRDefault="00C83FD1" w:rsidP="00C83FD1">
      <w:pPr>
        <w:pStyle w:val="SingleTxtG"/>
        <w:spacing w:after="240" w:line="240" w:lineRule="auto"/>
        <w:ind w:left="1701" w:right="39"/>
      </w:pPr>
      <w:r w:rsidRPr="00072495">
        <w:rPr>
          <w:b/>
          <w:u w:val="single"/>
        </w:rPr>
        <w:t>Conclusion:</w:t>
      </w:r>
      <w:r w:rsidRPr="00072495">
        <w:t xml:space="preserve">   </w:t>
      </w:r>
      <w:r w:rsidR="00417830">
        <w:t>This effort will continue into the next biennium.</w:t>
      </w:r>
    </w:p>
    <w:p w14:paraId="3C55750D" w14:textId="77777777" w:rsidR="002058F4" w:rsidRDefault="002058F4" w:rsidP="00E13738">
      <w:pPr>
        <w:pStyle w:val="SingleTxtG"/>
        <w:spacing w:after="0" w:line="240" w:lineRule="auto"/>
        <w:ind w:left="1138" w:right="1138"/>
        <w:jc w:val="center"/>
        <w:rPr>
          <w:u w:val="single"/>
        </w:rPr>
      </w:pPr>
    </w:p>
    <w:p w14:paraId="0AB33997" w14:textId="750783BA" w:rsidR="003160CC" w:rsidRDefault="003160CC" w:rsidP="00E13738">
      <w:pPr>
        <w:pStyle w:val="SingleTxtG"/>
        <w:spacing w:after="0" w:line="240" w:lineRule="auto"/>
        <w:ind w:left="1138" w:right="1138"/>
        <w:jc w:val="center"/>
        <w:rPr>
          <w:u w:val="single"/>
        </w:rPr>
      </w:pPr>
      <w:r>
        <w:rPr>
          <w:u w:val="single"/>
        </w:rPr>
        <w:tab/>
      </w:r>
      <w:r>
        <w:rPr>
          <w:u w:val="single"/>
        </w:rPr>
        <w:tab/>
      </w:r>
      <w:r>
        <w:rPr>
          <w:u w:val="single"/>
        </w:rPr>
        <w:tab/>
      </w:r>
    </w:p>
    <w:p w14:paraId="6A55612C" w14:textId="25F357D3" w:rsidR="0082634C" w:rsidRPr="00AF5B84" w:rsidRDefault="00E02A97" w:rsidP="0048028F">
      <w:pPr>
        <w:pStyle w:val="HChG"/>
        <w:spacing w:after="480" w:line="240" w:lineRule="auto"/>
        <w:ind w:left="0" w:right="1138" w:firstLine="0"/>
        <w:rPr>
          <w:rFonts w:eastAsia="MS Mincho"/>
          <w:sz w:val="26"/>
          <w:lang w:val="en-US" w:eastAsia="ja-JP"/>
        </w:rPr>
      </w:pPr>
      <w:r>
        <w:rPr>
          <w:u w:val="single"/>
        </w:rPr>
        <w:br w:type="page"/>
      </w:r>
      <w:bookmarkStart w:id="1" w:name="Annex1"/>
      <w:bookmarkEnd w:id="1"/>
      <w:r>
        <w:rPr>
          <w:rFonts w:eastAsia="MS Mincho"/>
          <w:lang w:val="en-US" w:eastAsia="ja-JP"/>
        </w:rPr>
        <w:lastRenderedPageBreak/>
        <w:t>Annex 1</w:t>
      </w:r>
      <w:r>
        <w:rPr>
          <w:rFonts w:eastAsia="MS Mincho"/>
          <w:lang w:val="en-US" w:eastAsia="ja-JP"/>
        </w:rPr>
        <w:br/>
      </w:r>
      <w:r w:rsidRPr="00092CF5">
        <w:rPr>
          <w:rFonts w:eastAsia="MS Mincho"/>
          <w:sz w:val="26"/>
          <w:lang w:val="en-US" w:eastAsia="ja-JP"/>
        </w:rPr>
        <w:t>Working Group on Explosives (</w:t>
      </w:r>
      <w:r w:rsidR="002058F4">
        <w:rPr>
          <w:rFonts w:eastAsia="MS Mincho"/>
          <w:sz w:val="26"/>
          <w:lang w:val="en-US" w:eastAsia="ja-JP"/>
        </w:rPr>
        <w:t>28 November</w:t>
      </w:r>
      <w:r w:rsidR="00B055A3">
        <w:rPr>
          <w:rFonts w:eastAsia="MS Mincho"/>
          <w:sz w:val="26"/>
          <w:lang w:val="en-US" w:eastAsia="ja-JP"/>
        </w:rPr>
        <w:t xml:space="preserve"> </w:t>
      </w:r>
      <w:r w:rsidR="002058F4">
        <w:rPr>
          <w:rFonts w:eastAsia="MS Mincho"/>
          <w:sz w:val="26"/>
          <w:lang w:val="en-US" w:eastAsia="ja-JP"/>
        </w:rPr>
        <w:t>–</w:t>
      </w:r>
      <w:r w:rsidR="00B055A3">
        <w:rPr>
          <w:rFonts w:eastAsia="MS Mincho"/>
          <w:sz w:val="26"/>
          <w:lang w:val="en-US" w:eastAsia="ja-JP"/>
        </w:rPr>
        <w:t xml:space="preserve"> </w:t>
      </w:r>
      <w:r w:rsidR="002058F4">
        <w:rPr>
          <w:rFonts w:eastAsia="MS Mincho"/>
          <w:sz w:val="26"/>
          <w:lang w:val="en-US" w:eastAsia="ja-JP"/>
        </w:rPr>
        <w:t>2 December</w:t>
      </w:r>
      <w:r w:rsidR="00B055A3">
        <w:rPr>
          <w:rFonts w:eastAsia="MS Mincho"/>
          <w:sz w:val="26"/>
          <w:lang w:val="en-US" w:eastAsia="ja-JP"/>
        </w:rPr>
        <w:t xml:space="preserve"> 2016</w:t>
      </w:r>
      <w:r w:rsidR="004B3DF9" w:rsidRPr="00092CF5">
        <w:rPr>
          <w:rFonts w:eastAsia="MS Mincho"/>
          <w:sz w:val="26"/>
          <w:lang w:val="en-US" w:eastAsia="ja-JP"/>
        </w:rPr>
        <w:t xml:space="preserve">) </w:t>
      </w:r>
      <w:r w:rsidRPr="00AF5B84">
        <w:rPr>
          <w:rFonts w:eastAsia="MS Mincho"/>
          <w:sz w:val="26"/>
          <w:lang w:val="en-US" w:eastAsia="ja-JP"/>
        </w:rPr>
        <w:br/>
        <w:t>L</w:t>
      </w:r>
      <w:r w:rsidR="0082634C">
        <w:rPr>
          <w:rFonts w:eastAsia="MS Mincho"/>
          <w:sz w:val="26"/>
          <w:lang w:val="en-US" w:eastAsia="ja-JP"/>
        </w:rPr>
        <w:t>ist of Participants</w:t>
      </w:r>
    </w:p>
    <w:tbl>
      <w:tblPr>
        <w:tblW w:w="8268" w:type="dxa"/>
        <w:tblInd w:w="70" w:type="dxa"/>
        <w:tblCellMar>
          <w:left w:w="70" w:type="dxa"/>
          <w:right w:w="70" w:type="dxa"/>
        </w:tblCellMar>
        <w:tblLook w:val="04A0" w:firstRow="1" w:lastRow="0" w:firstColumn="1" w:lastColumn="0" w:noHBand="0" w:noVBand="1"/>
      </w:tblPr>
      <w:tblGrid>
        <w:gridCol w:w="2516"/>
        <w:gridCol w:w="1736"/>
        <w:gridCol w:w="4016"/>
      </w:tblGrid>
      <w:tr w:rsidR="0082634C" w:rsidRPr="0082634C" w14:paraId="04EFFC2D" w14:textId="77777777" w:rsidTr="000E0AAA">
        <w:trPr>
          <w:trHeight w:val="255"/>
        </w:trPr>
        <w:tc>
          <w:tcPr>
            <w:tcW w:w="2516" w:type="dxa"/>
            <w:tcBorders>
              <w:top w:val="nil"/>
              <w:left w:val="nil"/>
              <w:bottom w:val="nil"/>
              <w:right w:val="nil"/>
            </w:tcBorders>
            <w:shd w:val="clear" w:color="auto" w:fill="auto"/>
            <w:noWrap/>
            <w:vAlign w:val="bottom"/>
            <w:hideMark/>
          </w:tcPr>
          <w:p w14:paraId="687DC5E6" w14:textId="77777777" w:rsidR="0082634C" w:rsidRPr="0082634C" w:rsidRDefault="0082634C" w:rsidP="0082634C">
            <w:pPr>
              <w:suppressAutoHyphens w:val="0"/>
              <w:spacing w:line="240" w:lineRule="auto"/>
              <w:rPr>
                <w:rFonts w:ascii="Arial" w:hAnsi="Arial" w:cs="Arial"/>
                <w:u w:val="single"/>
                <w:lang w:val="nl-NL" w:eastAsia="nl-NL"/>
              </w:rPr>
            </w:pPr>
            <w:r w:rsidRPr="0082634C">
              <w:rPr>
                <w:rFonts w:ascii="Arial" w:hAnsi="Arial" w:cs="Arial"/>
                <w:u w:val="single"/>
                <w:lang w:val="nl-NL" w:eastAsia="nl-NL"/>
              </w:rPr>
              <w:t>Name</w:t>
            </w:r>
          </w:p>
        </w:tc>
        <w:tc>
          <w:tcPr>
            <w:tcW w:w="1736" w:type="dxa"/>
            <w:tcBorders>
              <w:top w:val="nil"/>
              <w:left w:val="nil"/>
              <w:bottom w:val="nil"/>
              <w:right w:val="nil"/>
            </w:tcBorders>
            <w:shd w:val="clear" w:color="auto" w:fill="auto"/>
            <w:noWrap/>
            <w:vAlign w:val="bottom"/>
            <w:hideMark/>
          </w:tcPr>
          <w:p w14:paraId="3C1DFE7E" w14:textId="77777777" w:rsidR="0082634C" w:rsidRPr="0082634C" w:rsidRDefault="0082634C" w:rsidP="0082634C">
            <w:pPr>
              <w:suppressAutoHyphens w:val="0"/>
              <w:spacing w:line="240" w:lineRule="auto"/>
              <w:rPr>
                <w:rFonts w:ascii="Arial" w:hAnsi="Arial" w:cs="Arial"/>
                <w:u w:val="single"/>
                <w:lang w:val="nl-NL" w:eastAsia="nl-NL"/>
              </w:rPr>
            </w:pPr>
            <w:r w:rsidRPr="0082634C">
              <w:rPr>
                <w:rFonts w:ascii="Arial" w:hAnsi="Arial" w:cs="Arial"/>
                <w:u w:val="single"/>
                <w:lang w:val="nl-NL" w:eastAsia="nl-NL"/>
              </w:rPr>
              <w:t>Representing</w:t>
            </w:r>
          </w:p>
        </w:tc>
        <w:tc>
          <w:tcPr>
            <w:tcW w:w="4016" w:type="dxa"/>
            <w:tcBorders>
              <w:top w:val="nil"/>
              <w:left w:val="nil"/>
              <w:bottom w:val="nil"/>
              <w:right w:val="nil"/>
            </w:tcBorders>
            <w:shd w:val="clear" w:color="auto" w:fill="auto"/>
            <w:noWrap/>
            <w:vAlign w:val="bottom"/>
            <w:hideMark/>
          </w:tcPr>
          <w:p w14:paraId="65B8FDDD" w14:textId="77777777" w:rsidR="0082634C" w:rsidRPr="0082634C" w:rsidRDefault="0082634C" w:rsidP="0082634C">
            <w:pPr>
              <w:suppressAutoHyphens w:val="0"/>
              <w:spacing w:line="240" w:lineRule="auto"/>
              <w:rPr>
                <w:rFonts w:ascii="Arial" w:hAnsi="Arial" w:cs="Arial"/>
                <w:u w:val="single"/>
                <w:lang w:val="nl-NL" w:eastAsia="nl-NL"/>
              </w:rPr>
            </w:pPr>
            <w:r w:rsidRPr="0082634C">
              <w:rPr>
                <w:rFonts w:ascii="Arial" w:hAnsi="Arial" w:cs="Arial"/>
                <w:u w:val="single"/>
                <w:lang w:val="nl-NL" w:eastAsia="nl-NL"/>
              </w:rPr>
              <w:t>Email address</w:t>
            </w:r>
          </w:p>
        </w:tc>
      </w:tr>
      <w:tr w:rsidR="0082634C" w:rsidRPr="0082634C" w14:paraId="388EAE08" w14:textId="77777777" w:rsidTr="000E0AAA">
        <w:trPr>
          <w:trHeight w:val="255"/>
        </w:trPr>
        <w:tc>
          <w:tcPr>
            <w:tcW w:w="2516" w:type="dxa"/>
            <w:tcBorders>
              <w:top w:val="nil"/>
              <w:left w:val="nil"/>
              <w:bottom w:val="nil"/>
              <w:right w:val="nil"/>
            </w:tcBorders>
            <w:shd w:val="clear" w:color="auto" w:fill="auto"/>
            <w:noWrap/>
            <w:hideMark/>
          </w:tcPr>
          <w:p w14:paraId="05AA0B9D"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Ryan Brogden</w:t>
            </w:r>
          </w:p>
        </w:tc>
        <w:tc>
          <w:tcPr>
            <w:tcW w:w="1736" w:type="dxa"/>
            <w:tcBorders>
              <w:top w:val="nil"/>
              <w:left w:val="nil"/>
              <w:bottom w:val="nil"/>
              <w:right w:val="nil"/>
            </w:tcBorders>
            <w:shd w:val="clear" w:color="auto" w:fill="auto"/>
            <w:noWrap/>
            <w:hideMark/>
          </w:tcPr>
          <w:p w14:paraId="678C4187"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Australia</w:t>
            </w:r>
          </w:p>
        </w:tc>
        <w:tc>
          <w:tcPr>
            <w:tcW w:w="4016" w:type="dxa"/>
            <w:tcBorders>
              <w:top w:val="nil"/>
              <w:left w:val="nil"/>
              <w:bottom w:val="nil"/>
              <w:right w:val="nil"/>
            </w:tcBorders>
            <w:shd w:val="clear" w:color="auto" w:fill="auto"/>
            <w:noWrap/>
            <w:hideMark/>
          </w:tcPr>
          <w:p w14:paraId="0ABABA6D"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ryan.brogden@dnrm.qld.gov.au</w:t>
            </w:r>
          </w:p>
        </w:tc>
      </w:tr>
      <w:tr w:rsidR="0082634C" w:rsidRPr="0082634C" w14:paraId="6DFA6690" w14:textId="77777777" w:rsidTr="000E0AAA">
        <w:trPr>
          <w:trHeight w:val="255"/>
        </w:trPr>
        <w:tc>
          <w:tcPr>
            <w:tcW w:w="2516" w:type="dxa"/>
            <w:tcBorders>
              <w:top w:val="nil"/>
              <w:left w:val="nil"/>
              <w:bottom w:val="nil"/>
              <w:right w:val="nil"/>
            </w:tcBorders>
            <w:shd w:val="clear" w:color="auto" w:fill="auto"/>
            <w:noWrap/>
            <w:hideMark/>
          </w:tcPr>
          <w:p w14:paraId="54B738DB"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Arnaud Vandenbroucke</w:t>
            </w:r>
          </w:p>
        </w:tc>
        <w:tc>
          <w:tcPr>
            <w:tcW w:w="1736" w:type="dxa"/>
            <w:tcBorders>
              <w:top w:val="nil"/>
              <w:left w:val="nil"/>
              <w:bottom w:val="nil"/>
              <w:right w:val="nil"/>
            </w:tcBorders>
            <w:shd w:val="clear" w:color="auto" w:fill="auto"/>
            <w:noWrap/>
            <w:hideMark/>
          </w:tcPr>
          <w:p w14:paraId="140CFC22"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Belgium</w:t>
            </w:r>
          </w:p>
        </w:tc>
        <w:tc>
          <w:tcPr>
            <w:tcW w:w="4016" w:type="dxa"/>
            <w:tcBorders>
              <w:top w:val="nil"/>
              <w:left w:val="nil"/>
              <w:bottom w:val="nil"/>
              <w:right w:val="nil"/>
            </w:tcBorders>
            <w:shd w:val="clear" w:color="auto" w:fill="auto"/>
            <w:noWrap/>
            <w:hideMark/>
          </w:tcPr>
          <w:p w14:paraId="51315E45"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arnaud.vandenbroucke@economie.fgov.be</w:t>
            </w:r>
          </w:p>
        </w:tc>
      </w:tr>
      <w:tr w:rsidR="0082634C" w:rsidRPr="0082634C" w14:paraId="0B42D81E" w14:textId="77777777" w:rsidTr="000E0AAA">
        <w:trPr>
          <w:trHeight w:val="255"/>
        </w:trPr>
        <w:tc>
          <w:tcPr>
            <w:tcW w:w="2516" w:type="dxa"/>
            <w:tcBorders>
              <w:top w:val="nil"/>
              <w:left w:val="nil"/>
              <w:bottom w:val="nil"/>
              <w:right w:val="nil"/>
            </w:tcBorders>
            <w:shd w:val="clear" w:color="auto" w:fill="auto"/>
            <w:noWrap/>
            <w:hideMark/>
          </w:tcPr>
          <w:p w14:paraId="3A3D98ED"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Patrick Juneau</w:t>
            </w:r>
          </w:p>
        </w:tc>
        <w:tc>
          <w:tcPr>
            <w:tcW w:w="1736" w:type="dxa"/>
            <w:tcBorders>
              <w:top w:val="nil"/>
              <w:left w:val="nil"/>
              <w:bottom w:val="nil"/>
              <w:right w:val="nil"/>
            </w:tcBorders>
            <w:shd w:val="clear" w:color="auto" w:fill="auto"/>
            <w:noWrap/>
            <w:hideMark/>
          </w:tcPr>
          <w:p w14:paraId="68208440"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Canada</w:t>
            </w:r>
          </w:p>
        </w:tc>
        <w:tc>
          <w:tcPr>
            <w:tcW w:w="4016" w:type="dxa"/>
            <w:tcBorders>
              <w:top w:val="nil"/>
              <w:left w:val="nil"/>
              <w:bottom w:val="nil"/>
              <w:right w:val="nil"/>
            </w:tcBorders>
            <w:shd w:val="clear" w:color="auto" w:fill="auto"/>
            <w:noWrap/>
            <w:hideMark/>
          </w:tcPr>
          <w:p w14:paraId="427E8861"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patrick.juneau@tc.gc.ca</w:t>
            </w:r>
          </w:p>
        </w:tc>
      </w:tr>
      <w:tr w:rsidR="0082634C" w:rsidRPr="0082634C" w14:paraId="7F63883A" w14:textId="77777777" w:rsidTr="000E0AAA">
        <w:trPr>
          <w:trHeight w:val="255"/>
        </w:trPr>
        <w:tc>
          <w:tcPr>
            <w:tcW w:w="2516" w:type="dxa"/>
            <w:tcBorders>
              <w:top w:val="nil"/>
              <w:left w:val="nil"/>
              <w:bottom w:val="nil"/>
              <w:right w:val="nil"/>
            </w:tcBorders>
            <w:shd w:val="clear" w:color="auto" w:fill="auto"/>
            <w:noWrap/>
            <w:hideMark/>
          </w:tcPr>
          <w:p w14:paraId="1E69B970"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Mikko Ojala</w:t>
            </w:r>
          </w:p>
        </w:tc>
        <w:tc>
          <w:tcPr>
            <w:tcW w:w="1736" w:type="dxa"/>
            <w:tcBorders>
              <w:top w:val="nil"/>
              <w:left w:val="nil"/>
              <w:bottom w:val="nil"/>
              <w:right w:val="nil"/>
            </w:tcBorders>
            <w:shd w:val="clear" w:color="auto" w:fill="auto"/>
            <w:noWrap/>
            <w:hideMark/>
          </w:tcPr>
          <w:p w14:paraId="58FBBC8D"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Finland</w:t>
            </w:r>
          </w:p>
        </w:tc>
        <w:tc>
          <w:tcPr>
            <w:tcW w:w="4016" w:type="dxa"/>
            <w:tcBorders>
              <w:top w:val="nil"/>
              <w:left w:val="nil"/>
              <w:bottom w:val="nil"/>
              <w:right w:val="nil"/>
            </w:tcBorders>
            <w:shd w:val="clear" w:color="auto" w:fill="auto"/>
            <w:noWrap/>
            <w:hideMark/>
          </w:tcPr>
          <w:p w14:paraId="4C7D5646"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mikko.ojala@tukes.fi</w:t>
            </w:r>
          </w:p>
        </w:tc>
      </w:tr>
      <w:tr w:rsidR="0082634C" w:rsidRPr="0082634C" w14:paraId="737D8CD2" w14:textId="77777777" w:rsidTr="000E0AAA">
        <w:trPr>
          <w:trHeight w:val="255"/>
        </w:trPr>
        <w:tc>
          <w:tcPr>
            <w:tcW w:w="2516" w:type="dxa"/>
            <w:tcBorders>
              <w:top w:val="nil"/>
              <w:left w:val="nil"/>
              <w:bottom w:val="nil"/>
              <w:right w:val="nil"/>
            </w:tcBorders>
            <w:shd w:val="clear" w:color="auto" w:fill="auto"/>
            <w:noWrap/>
            <w:hideMark/>
          </w:tcPr>
          <w:p w14:paraId="286E203E"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Lionel Aufauvre</w:t>
            </w:r>
          </w:p>
        </w:tc>
        <w:tc>
          <w:tcPr>
            <w:tcW w:w="1736" w:type="dxa"/>
            <w:tcBorders>
              <w:top w:val="nil"/>
              <w:left w:val="nil"/>
              <w:bottom w:val="nil"/>
              <w:right w:val="nil"/>
            </w:tcBorders>
            <w:shd w:val="clear" w:color="auto" w:fill="auto"/>
            <w:noWrap/>
            <w:hideMark/>
          </w:tcPr>
          <w:p w14:paraId="23D7B814"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France</w:t>
            </w:r>
          </w:p>
        </w:tc>
        <w:tc>
          <w:tcPr>
            <w:tcW w:w="4016" w:type="dxa"/>
            <w:tcBorders>
              <w:top w:val="nil"/>
              <w:left w:val="nil"/>
              <w:bottom w:val="nil"/>
              <w:right w:val="nil"/>
            </w:tcBorders>
            <w:shd w:val="clear" w:color="auto" w:fill="auto"/>
            <w:noWrap/>
            <w:hideMark/>
          </w:tcPr>
          <w:p w14:paraId="25BD8AAB" w14:textId="4C289281" w:rsidR="0082634C" w:rsidRPr="0082634C" w:rsidRDefault="007A4A1E" w:rsidP="0082634C">
            <w:pPr>
              <w:suppressAutoHyphens w:val="0"/>
              <w:spacing w:line="240" w:lineRule="auto"/>
              <w:rPr>
                <w:rFonts w:ascii="Arial" w:hAnsi="Arial" w:cs="Arial"/>
                <w:sz w:val="18"/>
                <w:szCs w:val="18"/>
                <w:lang w:val="nl-NL" w:eastAsia="nl-NL"/>
              </w:rPr>
            </w:pPr>
            <w:r>
              <w:rPr>
                <w:rFonts w:ascii="Arial" w:hAnsi="Arial" w:cs="Arial"/>
                <w:sz w:val="18"/>
                <w:szCs w:val="18"/>
                <w:lang w:val="nl-NL" w:eastAsia="nl-NL"/>
              </w:rPr>
              <w:t>lionel.aufauvre@ineris.fr</w:t>
            </w:r>
          </w:p>
        </w:tc>
      </w:tr>
      <w:tr w:rsidR="0082634C" w:rsidRPr="0082634C" w14:paraId="4276ABFF" w14:textId="77777777" w:rsidTr="000E0AAA">
        <w:trPr>
          <w:trHeight w:val="255"/>
        </w:trPr>
        <w:tc>
          <w:tcPr>
            <w:tcW w:w="2516" w:type="dxa"/>
            <w:tcBorders>
              <w:top w:val="nil"/>
              <w:left w:val="nil"/>
              <w:bottom w:val="nil"/>
              <w:right w:val="nil"/>
            </w:tcBorders>
            <w:shd w:val="clear" w:color="auto" w:fill="auto"/>
            <w:noWrap/>
            <w:hideMark/>
          </w:tcPr>
          <w:p w14:paraId="3290582A"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Christian Michot</w:t>
            </w:r>
          </w:p>
        </w:tc>
        <w:tc>
          <w:tcPr>
            <w:tcW w:w="1736" w:type="dxa"/>
            <w:tcBorders>
              <w:top w:val="nil"/>
              <w:left w:val="nil"/>
              <w:bottom w:val="nil"/>
              <w:right w:val="nil"/>
            </w:tcBorders>
            <w:shd w:val="clear" w:color="auto" w:fill="auto"/>
            <w:noWrap/>
            <w:hideMark/>
          </w:tcPr>
          <w:p w14:paraId="6693111B"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France</w:t>
            </w:r>
          </w:p>
        </w:tc>
        <w:tc>
          <w:tcPr>
            <w:tcW w:w="4016" w:type="dxa"/>
            <w:tcBorders>
              <w:top w:val="nil"/>
              <w:left w:val="nil"/>
              <w:bottom w:val="nil"/>
              <w:right w:val="nil"/>
            </w:tcBorders>
            <w:shd w:val="clear" w:color="auto" w:fill="auto"/>
            <w:noWrap/>
            <w:hideMark/>
          </w:tcPr>
          <w:p w14:paraId="33042E72" w14:textId="32940217" w:rsidR="0082634C" w:rsidRPr="0082634C" w:rsidRDefault="007A4A1E" w:rsidP="0082634C">
            <w:pPr>
              <w:suppressAutoHyphens w:val="0"/>
              <w:spacing w:line="240" w:lineRule="auto"/>
              <w:rPr>
                <w:rFonts w:ascii="Arial" w:hAnsi="Arial" w:cs="Arial"/>
                <w:sz w:val="18"/>
                <w:szCs w:val="18"/>
                <w:lang w:val="nl-NL" w:eastAsia="nl-NL"/>
              </w:rPr>
            </w:pPr>
            <w:r>
              <w:rPr>
                <w:rFonts w:ascii="Arial" w:hAnsi="Arial" w:cs="Arial"/>
                <w:sz w:val="18"/>
                <w:szCs w:val="18"/>
                <w:lang w:val="nl-NL" w:eastAsia="nl-NL"/>
              </w:rPr>
              <w:t>christian.michot@ineris.fr</w:t>
            </w:r>
          </w:p>
        </w:tc>
      </w:tr>
      <w:tr w:rsidR="0082634C" w:rsidRPr="0082634C" w14:paraId="54DA16F9" w14:textId="77777777" w:rsidTr="000E0AAA">
        <w:trPr>
          <w:trHeight w:val="255"/>
        </w:trPr>
        <w:tc>
          <w:tcPr>
            <w:tcW w:w="2516" w:type="dxa"/>
            <w:tcBorders>
              <w:top w:val="nil"/>
              <w:left w:val="nil"/>
              <w:bottom w:val="nil"/>
              <w:right w:val="nil"/>
            </w:tcBorders>
            <w:shd w:val="clear" w:color="auto" w:fill="auto"/>
            <w:noWrap/>
            <w:hideMark/>
          </w:tcPr>
          <w:p w14:paraId="5DB134A5"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Katrin Knaebel</w:t>
            </w:r>
          </w:p>
        </w:tc>
        <w:tc>
          <w:tcPr>
            <w:tcW w:w="1736" w:type="dxa"/>
            <w:tcBorders>
              <w:top w:val="nil"/>
              <w:left w:val="nil"/>
              <w:bottom w:val="nil"/>
              <w:right w:val="nil"/>
            </w:tcBorders>
            <w:shd w:val="clear" w:color="auto" w:fill="auto"/>
            <w:noWrap/>
            <w:hideMark/>
          </w:tcPr>
          <w:p w14:paraId="723D8411"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Germany</w:t>
            </w:r>
          </w:p>
        </w:tc>
        <w:tc>
          <w:tcPr>
            <w:tcW w:w="4016" w:type="dxa"/>
            <w:tcBorders>
              <w:top w:val="nil"/>
              <w:left w:val="nil"/>
              <w:bottom w:val="nil"/>
              <w:right w:val="nil"/>
            </w:tcBorders>
            <w:shd w:val="clear" w:color="auto" w:fill="auto"/>
            <w:noWrap/>
            <w:hideMark/>
          </w:tcPr>
          <w:p w14:paraId="3D00701F" w14:textId="77777777" w:rsidR="0082634C" w:rsidRPr="0082634C" w:rsidRDefault="007418DA" w:rsidP="0082634C">
            <w:pPr>
              <w:suppressAutoHyphens w:val="0"/>
              <w:spacing w:line="240" w:lineRule="auto"/>
              <w:rPr>
                <w:rFonts w:ascii="Arial" w:hAnsi="Arial" w:cs="Arial"/>
                <w:sz w:val="18"/>
                <w:szCs w:val="18"/>
                <w:lang w:val="nl-NL" w:eastAsia="nl-NL"/>
              </w:rPr>
            </w:pPr>
            <w:hyperlink r:id="rId9" w:history="1">
              <w:r w:rsidR="0082634C" w:rsidRPr="0082634C">
                <w:rPr>
                  <w:rFonts w:ascii="Arial" w:hAnsi="Arial" w:cs="Arial"/>
                  <w:sz w:val="18"/>
                  <w:szCs w:val="18"/>
                  <w:lang w:val="nl-NL" w:eastAsia="nl-NL"/>
                </w:rPr>
                <w:t>katrin.kaebel@bam.de</w:t>
              </w:r>
            </w:hyperlink>
          </w:p>
        </w:tc>
      </w:tr>
      <w:tr w:rsidR="0082634C" w:rsidRPr="0082634C" w14:paraId="3959541C" w14:textId="77777777" w:rsidTr="000E0AAA">
        <w:trPr>
          <w:trHeight w:val="255"/>
        </w:trPr>
        <w:tc>
          <w:tcPr>
            <w:tcW w:w="2516" w:type="dxa"/>
            <w:tcBorders>
              <w:top w:val="nil"/>
              <w:left w:val="nil"/>
              <w:bottom w:val="nil"/>
              <w:right w:val="nil"/>
            </w:tcBorders>
            <w:shd w:val="clear" w:color="auto" w:fill="auto"/>
            <w:noWrap/>
            <w:hideMark/>
          </w:tcPr>
          <w:p w14:paraId="4DB033C2"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Alexander von Oertzen</w:t>
            </w:r>
          </w:p>
        </w:tc>
        <w:tc>
          <w:tcPr>
            <w:tcW w:w="1736" w:type="dxa"/>
            <w:tcBorders>
              <w:top w:val="nil"/>
              <w:left w:val="nil"/>
              <w:bottom w:val="nil"/>
              <w:right w:val="nil"/>
            </w:tcBorders>
            <w:shd w:val="clear" w:color="auto" w:fill="auto"/>
            <w:noWrap/>
            <w:hideMark/>
          </w:tcPr>
          <w:p w14:paraId="7BBE897E"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Germany</w:t>
            </w:r>
          </w:p>
        </w:tc>
        <w:tc>
          <w:tcPr>
            <w:tcW w:w="4016" w:type="dxa"/>
            <w:tcBorders>
              <w:top w:val="nil"/>
              <w:left w:val="nil"/>
              <w:bottom w:val="nil"/>
              <w:right w:val="nil"/>
            </w:tcBorders>
            <w:shd w:val="clear" w:color="auto" w:fill="auto"/>
            <w:noWrap/>
            <w:hideMark/>
          </w:tcPr>
          <w:p w14:paraId="57AD95D1"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alexander.von_oertzen@bam.de</w:t>
            </w:r>
          </w:p>
        </w:tc>
      </w:tr>
      <w:tr w:rsidR="0082634C" w:rsidRPr="0082634C" w14:paraId="443148E0" w14:textId="77777777" w:rsidTr="000E0AAA">
        <w:trPr>
          <w:trHeight w:val="255"/>
        </w:trPr>
        <w:tc>
          <w:tcPr>
            <w:tcW w:w="2516" w:type="dxa"/>
            <w:tcBorders>
              <w:top w:val="nil"/>
              <w:left w:val="nil"/>
              <w:bottom w:val="nil"/>
              <w:right w:val="nil"/>
            </w:tcBorders>
            <w:shd w:val="clear" w:color="auto" w:fill="auto"/>
            <w:noWrap/>
            <w:hideMark/>
          </w:tcPr>
          <w:p w14:paraId="32FC8034"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Alfonso Simoni</w:t>
            </w:r>
          </w:p>
        </w:tc>
        <w:tc>
          <w:tcPr>
            <w:tcW w:w="1736" w:type="dxa"/>
            <w:tcBorders>
              <w:top w:val="nil"/>
              <w:left w:val="nil"/>
              <w:bottom w:val="nil"/>
              <w:right w:val="nil"/>
            </w:tcBorders>
            <w:shd w:val="clear" w:color="auto" w:fill="auto"/>
            <w:noWrap/>
            <w:hideMark/>
          </w:tcPr>
          <w:p w14:paraId="1BCF100D"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Italy</w:t>
            </w:r>
          </w:p>
        </w:tc>
        <w:tc>
          <w:tcPr>
            <w:tcW w:w="4016" w:type="dxa"/>
            <w:tcBorders>
              <w:top w:val="nil"/>
              <w:left w:val="nil"/>
              <w:bottom w:val="nil"/>
              <w:right w:val="nil"/>
            </w:tcBorders>
            <w:shd w:val="clear" w:color="auto" w:fill="auto"/>
            <w:noWrap/>
            <w:hideMark/>
          </w:tcPr>
          <w:p w14:paraId="71A78F4C" w14:textId="7ECDE598" w:rsidR="0082634C" w:rsidRPr="0082634C" w:rsidRDefault="007A4A1E" w:rsidP="0082634C">
            <w:pPr>
              <w:suppressAutoHyphens w:val="0"/>
              <w:spacing w:line="240" w:lineRule="auto"/>
              <w:rPr>
                <w:rFonts w:ascii="Arial" w:hAnsi="Arial" w:cs="Arial"/>
                <w:sz w:val="18"/>
                <w:szCs w:val="18"/>
                <w:lang w:val="nl-NL" w:eastAsia="nl-NL"/>
              </w:rPr>
            </w:pPr>
            <w:r>
              <w:rPr>
                <w:rFonts w:ascii="Arial" w:hAnsi="Arial" w:cs="Arial"/>
                <w:sz w:val="18"/>
                <w:szCs w:val="18"/>
                <w:lang w:val="nl-NL" w:eastAsia="nl-NL"/>
              </w:rPr>
              <w:t>a.simoni@mit.gov.it</w:t>
            </w:r>
          </w:p>
        </w:tc>
      </w:tr>
      <w:tr w:rsidR="0082634C" w:rsidRPr="0082634C" w14:paraId="1AF9B415" w14:textId="77777777" w:rsidTr="000E0AAA">
        <w:trPr>
          <w:trHeight w:val="255"/>
        </w:trPr>
        <w:tc>
          <w:tcPr>
            <w:tcW w:w="2516" w:type="dxa"/>
            <w:tcBorders>
              <w:top w:val="nil"/>
              <w:left w:val="nil"/>
              <w:bottom w:val="nil"/>
              <w:right w:val="nil"/>
            </w:tcBorders>
            <w:shd w:val="clear" w:color="auto" w:fill="auto"/>
            <w:noWrap/>
            <w:hideMark/>
          </w:tcPr>
          <w:p w14:paraId="31C5935D"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Shu Usuba</w:t>
            </w:r>
          </w:p>
        </w:tc>
        <w:tc>
          <w:tcPr>
            <w:tcW w:w="1736" w:type="dxa"/>
            <w:tcBorders>
              <w:top w:val="nil"/>
              <w:left w:val="nil"/>
              <w:bottom w:val="nil"/>
              <w:right w:val="nil"/>
            </w:tcBorders>
            <w:shd w:val="clear" w:color="auto" w:fill="auto"/>
            <w:noWrap/>
            <w:hideMark/>
          </w:tcPr>
          <w:p w14:paraId="03B33666"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Japan</w:t>
            </w:r>
          </w:p>
        </w:tc>
        <w:tc>
          <w:tcPr>
            <w:tcW w:w="4016" w:type="dxa"/>
            <w:tcBorders>
              <w:top w:val="nil"/>
              <w:left w:val="nil"/>
              <w:bottom w:val="nil"/>
              <w:right w:val="nil"/>
            </w:tcBorders>
            <w:shd w:val="clear" w:color="auto" w:fill="auto"/>
            <w:noWrap/>
            <w:hideMark/>
          </w:tcPr>
          <w:p w14:paraId="0D3A91D8" w14:textId="6AEFF54D" w:rsidR="0082634C" w:rsidRPr="0082634C" w:rsidRDefault="007A4A1E" w:rsidP="0082634C">
            <w:pPr>
              <w:suppressAutoHyphens w:val="0"/>
              <w:spacing w:line="240" w:lineRule="auto"/>
              <w:rPr>
                <w:rFonts w:ascii="Arial" w:hAnsi="Arial" w:cs="Arial"/>
                <w:sz w:val="18"/>
                <w:szCs w:val="18"/>
                <w:lang w:val="nl-NL" w:eastAsia="nl-NL"/>
              </w:rPr>
            </w:pPr>
            <w:r>
              <w:rPr>
                <w:rFonts w:ascii="Arial" w:hAnsi="Arial" w:cs="Arial"/>
                <w:sz w:val="18"/>
                <w:szCs w:val="18"/>
                <w:lang w:val="nl-NL" w:eastAsia="nl-NL"/>
              </w:rPr>
              <w:t>s-usuba@aist.go.jp</w:t>
            </w:r>
          </w:p>
        </w:tc>
      </w:tr>
      <w:tr w:rsidR="0082634C" w:rsidRPr="0082634C" w14:paraId="683293C3" w14:textId="77777777" w:rsidTr="000E0AAA">
        <w:trPr>
          <w:trHeight w:val="255"/>
        </w:trPr>
        <w:tc>
          <w:tcPr>
            <w:tcW w:w="2516" w:type="dxa"/>
            <w:tcBorders>
              <w:top w:val="nil"/>
              <w:left w:val="nil"/>
              <w:bottom w:val="nil"/>
              <w:right w:val="nil"/>
            </w:tcBorders>
            <w:shd w:val="clear" w:color="auto" w:fill="auto"/>
            <w:noWrap/>
            <w:hideMark/>
          </w:tcPr>
          <w:p w14:paraId="787E4E56"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Ed de Jong</w:t>
            </w:r>
          </w:p>
        </w:tc>
        <w:tc>
          <w:tcPr>
            <w:tcW w:w="1736" w:type="dxa"/>
            <w:tcBorders>
              <w:top w:val="nil"/>
              <w:left w:val="nil"/>
              <w:bottom w:val="nil"/>
              <w:right w:val="nil"/>
            </w:tcBorders>
            <w:shd w:val="clear" w:color="auto" w:fill="auto"/>
            <w:noWrap/>
            <w:hideMark/>
          </w:tcPr>
          <w:p w14:paraId="209028BD"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Netherlands</w:t>
            </w:r>
          </w:p>
        </w:tc>
        <w:tc>
          <w:tcPr>
            <w:tcW w:w="4016" w:type="dxa"/>
            <w:tcBorders>
              <w:top w:val="nil"/>
              <w:left w:val="nil"/>
              <w:bottom w:val="nil"/>
              <w:right w:val="nil"/>
            </w:tcBorders>
            <w:shd w:val="clear" w:color="auto" w:fill="auto"/>
            <w:noWrap/>
            <w:hideMark/>
          </w:tcPr>
          <w:p w14:paraId="557798ED" w14:textId="0C024438" w:rsidR="0082634C" w:rsidRPr="0082634C" w:rsidRDefault="007A4A1E" w:rsidP="0082634C">
            <w:pPr>
              <w:suppressAutoHyphens w:val="0"/>
              <w:spacing w:line="240" w:lineRule="auto"/>
              <w:rPr>
                <w:rFonts w:ascii="Arial" w:hAnsi="Arial" w:cs="Arial"/>
                <w:sz w:val="18"/>
                <w:szCs w:val="18"/>
                <w:lang w:val="nl-NL" w:eastAsia="nl-NL"/>
              </w:rPr>
            </w:pPr>
            <w:r>
              <w:rPr>
                <w:rFonts w:ascii="Arial" w:hAnsi="Arial" w:cs="Arial"/>
                <w:sz w:val="18"/>
                <w:szCs w:val="18"/>
                <w:lang w:val="nl-NL" w:eastAsia="nl-NL"/>
              </w:rPr>
              <w:t>ed.dejong@tno.nl</w:t>
            </w:r>
          </w:p>
        </w:tc>
      </w:tr>
      <w:tr w:rsidR="0082634C" w:rsidRPr="0082634C" w14:paraId="01BBE1F0" w14:textId="77777777" w:rsidTr="000E0AAA">
        <w:trPr>
          <w:trHeight w:val="255"/>
        </w:trPr>
        <w:tc>
          <w:tcPr>
            <w:tcW w:w="2516" w:type="dxa"/>
            <w:tcBorders>
              <w:top w:val="nil"/>
              <w:left w:val="nil"/>
              <w:bottom w:val="nil"/>
              <w:right w:val="nil"/>
            </w:tcBorders>
            <w:shd w:val="clear" w:color="auto" w:fill="auto"/>
            <w:noWrap/>
            <w:hideMark/>
          </w:tcPr>
          <w:p w14:paraId="775B8D9B"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Soedesh Mahesh</w:t>
            </w:r>
          </w:p>
        </w:tc>
        <w:tc>
          <w:tcPr>
            <w:tcW w:w="1736" w:type="dxa"/>
            <w:tcBorders>
              <w:top w:val="nil"/>
              <w:left w:val="nil"/>
              <w:bottom w:val="nil"/>
              <w:right w:val="nil"/>
            </w:tcBorders>
            <w:shd w:val="clear" w:color="auto" w:fill="auto"/>
            <w:noWrap/>
            <w:hideMark/>
          </w:tcPr>
          <w:p w14:paraId="0E54777C"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Netherlands</w:t>
            </w:r>
          </w:p>
        </w:tc>
        <w:tc>
          <w:tcPr>
            <w:tcW w:w="4016" w:type="dxa"/>
            <w:tcBorders>
              <w:top w:val="nil"/>
              <w:left w:val="nil"/>
              <w:bottom w:val="nil"/>
              <w:right w:val="nil"/>
            </w:tcBorders>
            <w:shd w:val="clear" w:color="auto" w:fill="auto"/>
            <w:noWrap/>
            <w:hideMark/>
          </w:tcPr>
          <w:p w14:paraId="59789368" w14:textId="3FD880E9" w:rsidR="0082634C" w:rsidRPr="0082634C" w:rsidRDefault="007A4A1E" w:rsidP="0082634C">
            <w:pPr>
              <w:suppressAutoHyphens w:val="0"/>
              <w:spacing w:line="240" w:lineRule="auto"/>
              <w:rPr>
                <w:rFonts w:ascii="Arial" w:hAnsi="Arial" w:cs="Arial"/>
                <w:sz w:val="18"/>
                <w:szCs w:val="18"/>
                <w:lang w:val="nl-NL" w:eastAsia="nl-NL"/>
              </w:rPr>
            </w:pPr>
            <w:r>
              <w:rPr>
                <w:rFonts w:ascii="Arial" w:hAnsi="Arial" w:cs="Arial"/>
                <w:sz w:val="18"/>
                <w:szCs w:val="18"/>
                <w:lang w:val="nl-NL" w:eastAsia="nl-NL"/>
              </w:rPr>
              <w:t>soedesh.mahesh@rivm.nl</w:t>
            </w:r>
          </w:p>
        </w:tc>
      </w:tr>
      <w:tr w:rsidR="007A4A1E" w:rsidRPr="0082634C" w14:paraId="543E1F08" w14:textId="77777777" w:rsidTr="000E0AAA">
        <w:trPr>
          <w:trHeight w:val="255"/>
        </w:trPr>
        <w:tc>
          <w:tcPr>
            <w:tcW w:w="2516" w:type="dxa"/>
            <w:tcBorders>
              <w:top w:val="nil"/>
              <w:left w:val="nil"/>
              <w:bottom w:val="nil"/>
              <w:right w:val="nil"/>
            </w:tcBorders>
            <w:shd w:val="clear" w:color="auto" w:fill="auto"/>
            <w:noWrap/>
          </w:tcPr>
          <w:p w14:paraId="0177D7E1" w14:textId="6E395044" w:rsidR="007A4A1E" w:rsidRPr="0082634C" w:rsidRDefault="007A4A1E" w:rsidP="0082634C">
            <w:pPr>
              <w:suppressAutoHyphens w:val="0"/>
              <w:spacing w:line="240" w:lineRule="auto"/>
              <w:rPr>
                <w:rFonts w:ascii="Arial" w:hAnsi="Arial" w:cs="Arial"/>
                <w:sz w:val="18"/>
                <w:szCs w:val="18"/>
                <w:lang w:val="nl-NL" w:eastAsia="nl-NL"/>
              </w:rPr>
            </w:pPr>
            <w:r>
              <w:rPr>
                <w:rFonts w:ascii="Arial" w:hAnsi="Arial" w:cs="Arial"/>
                <w:sz w:val="18"/>
                <w:szCs w:val="18"/>
                <w:lang w:val="nl-NL" w:eastAsia="nl-NL"/>
              </w:rPr>
              <w:t>Erik Miggelbrink</w:t>
            </w:r>
          </w:p>
        </w:tc>
        <w:tc>
          <w:tcPr>
            <w:tcW w:w="1736" w:type="dxa"/>
            <w:tcBorders>
              <w:top w:val="nil"/>
              <w:left w:val="nil"/>
              <w:bottom w:val="nil"/>
              <w:right w:val="nil"/>
            </w:tcBorders>
            <w:shd w:val="clear" w:color="auto" w:fill="auto"/>
            <w:noWrap/>
          </w:tcPr>
          <w:p w14:paraId="6DA17AE6" w14:textId="27C94328" w:rsidR="007A4A1E" w:rsidRPr="0082634C" w:rsidRDefault="007A4A1E" w:rsidP="0082634C">
            <w:pPr>
              <w:suppressAutoHyphens w:val="0"/>
              <w:spacing w:line="240" w:lineRule="auto"/>
              <w:rPr>
                <w:rFonts w:ascii="Arial" w:hAnsi="Arial" w:cs="Arial"/>
                <w:sz w:val="18"/>
                <w:szCs w:val="18"/>
                <w:lang w:val="nl-NL" w:eastAsia="nl-NL"/>
              </w:rPr>
            </w:pPr>
            <w:r>
              <w:rPr>
                <w:rFonts w:ascii="Arial" w:hAnsi="Arial" w:cs="Arial"/>
                <w:sz w:val="18"/>
                <w:szCs w:val="18"/>
                <w:lang w:val="nl-NL" w:eastAsia="nl-NL"/>
              </w:rPr>
              <w:t>Netherlands</w:t>
            </w:r>
          </w:p>
        </w:tc>
        <w:tc>
          <w:tcPr>
            <w:tcW w:w="4016" w:type="dxa"/>
            <w:tcBorders>
              <w:top w:val="nil"/>
              <w:left w:val="nil"/>
              <w:bottom w:val="nil"/>
              <w:right w:val="nil"/>
            </w:tcBorders>
            <w:shd w:val="clear" w:color="auto" w:fill="auto"/>
            <w:noWrap/>
          </w:tcPr>
          <w:p w14:paraId="66F4B12E" w14:textId="484DE3BE" w:rsidR="007A4A1E" w:rsidRPr="0082634C" w:rsidRDefault="007A4A1E" w:rsidP="0082634C">
            <w:pPr>
              <w:suppressAutoHyphens w:val="0"/>
              <w:spacing w:line="240" w:lineRule="auto"/>
              <w:rPr>
                <w:rFonts w:ascii="Arial" w:hAnsi="Arial" w:cs="Arial"/>
                <w:sz w:val="18"/>
                <w:szCs w:val="18"/>
                <w:lang w:val="nl-NL" w:eastAsia="nl-NL"/>
              </w:rPr>
            </w:pPr>
            <w:r>
              <w:rPr>
                <w:rFonts w:ascii="Arial" w:hAnsi="Arial" w:cs="Arial"/>
                <w:sz w:val="18"/>
                <w:szCs w:val="18"/>
                <w:lang w:val="nl-NL" w:eastAsia="nl-NL"/>
              </w:rPr>
              <w:t>erik.miggelbrink@minienm.nl</w:t>
            </w:r>
          </w:p>
        </w:tc>
      </w:tr>
      <w:tr w:rsidR="0082634C" w:rsidRPr="0082634C" w14:paraId="15BA0086" w14:textId="77777777" w:rsidTr="000E0AAA">
        <w:trPr>
          <w:trHeight w:val="255"/>
        </w:trPr>
        <w:tc>
          <w:tcPr>
            <w:tcW w:w="2516" w:type="dxa"/>
            <w:tcBorders>
              <w:top w:val="nil"/>
              <w:left w:val="nil"/>
              <w:bottom w:val="nil"/>
              <w:right w:val="nil"/>
            </w:tcBorders>
            <w:shd w:val="clear" w:color="auto" w:fill="auto"/>
            <w:noWrap/>
            <w:hideMark/>
          </w:tcPr>
          <w:p w14:paraId="1FD76FE8"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Joanna Szczygielska</w:t>
            </w:r>
          </w:p>
        </w:tc>
        <w:tc>
          <w:tcPr>
            <w:tcW w:w="1736" w:type="dxa"/>
            <w:tcBorders>
              <w:top w:val="nil"/>
              <w:left w:val="nil"/>
              <w:bottom w:val="nil"/>
              <w:right w:val="nil"/>
            </w:tcBorders>
            <w:shd w:val="clear" w:color="auto" w:fill="auto"/>
            <w:noWrap/>
            <w:hideMark/>
          </w:tcPr>
          <w:p w14:paraId="26ECE835"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Poland</w:t>
            </w:r>
          </w:p>
        </w:tc>
        <w:tc>
          <w:tcPr>
            <w:tcW w:w="4016" w:type="dxa"/>
            <w:tcBorders>
              <w:top w:val="nil"/>
              <w:left w:val="nil"/>
              <w:bottom w:val="nil"/>
              <w:right w:val="nil"/>
            </w:tcBorders>
            <w:shd w:val="clear" w:color="auto" w:fill="auto"/>
            <w:noWrap/>
            <w:hideMark/>
          </w:tcPr>
          <w:p w14:paraId="69950A53"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szczygielska@ipo.waw.pl</w:t>
            </w:r>
          </w:p>
        </w:tc>
      </w:tr>
      <w:tr w:rsidR="0082634C" w:rsidRPr="0082634C" w14:paraId="11F7AE2C" w14:textId="77777777" w:rsidTr="000E0AAA">
        <w:trPr>
          <w:trHeight w:val="255"/>
        </w:trPr>
        <w:tc>
          <w:tcPr>
            <w:tcW w:w="2516" w:type="dxa"/>
            <w:tcBorders>
              <w:top w:val="nil"/>
              <w:left w:val="nil"/>
              <w:bottom w:val="nil"/>
              <w:right w:val="nil"/>
            </w:tcBorders>
            <w:shd w:val="clear" w:color="auto" w:fill="auto"/>
            <w:noWrap/>
            <w:hideMark/>
          </w:tcPr>
          <w:p w14:paraId="1BB2DD83"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Ramon Gonzalez</w:t>
            </w:r>
          </w:p>
        </w:tc>
        <w:tc>
          <w:tcPr>
            <w:tcW w:w="1736" w:type="dxa"/>
            <w:tcBorders>
              <w:top w:val="nil"/>
              <w:left w:val="nil"/>
              <w:bottom w:val="nil"/>
              <w:right w:val="nil"/>
            </w:tcBorders>
            <w:shd w:val="clear" w:color="auto" w:fill="auto"/>
            <w:noWrap/>
            <w:hideMark/>
          </w:tcPr>
          <w:p w14:paraId="37E8B359"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Spain</w:t>
            </w:r>
          </w:p>
        </w:tc>
        <w:tc>
          <w:tcPr>
            <w:tcW w:w="4016" w:type="dxa"/>
            <w:tcBorders>
              <w:top w:val="nil"/>
              <w:left w:val="nil"/>
              <w:bottom w:val="nil"/>
              <w:right w:val="nil"/>
            </w:tcBorders>
            <w:shd w:val="clear" w:color="auto" w:fill="auto"/>
            <w:noWrap/>
            <w:hideMark/>
          </w:tcPr>
          <w:p w14:paraId="75351F1E"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reguren@maxam.net</w:t>
            </w:r>
          </w:p>
        </w:tc>
      </w:tr>
      <w:tr w:rsidR="0082634C" w:rsidRPr="0082634C" w14:paraId="5B1EC3F9" w14:textId="77777777" w:rsidTr="000E0AAA">
        <w:trPr>
          <w:trHeight w:val="255"/>
        </w:trPr>
        <w:tc>
          <w:tcPr>
            <w:tcW w:w="2516" w:type="dxa"/>
            <w:tcBorders>
              <w:top w:val="nil"/>
              <w:left w:val="nil"/>
              <w:bottom w:val="nil"/>
              <w:right w:val="nil"/>
            </w:tcBorders>
            <w:shd w:val="clear" w:color="auto" w:fill="auto"/>
            <w:noWrap/>
            <w:hideMark/>
          </w:tcPr>
          <w:p w14:paraId="65E19397"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Jose R. Quintana</w:t>
            </w:r>
          </w:p>
        </w:tc>
        <w:tc>
          <w:tcPr>
            <w:tcW w:w="1736" w:type="dxa"/>
            <w:tcBorders>
              <w:top w:val="nil"/>
              <w:left w:val="nil"/>
              <w:bottom w:val="nil"/>
              <w:right w:val="nil"/>
            </w:tcBorders>
            <w:shd w:val="clear" w:color="auto" w:fill="auto"/>
            <w:noWrap/>
            <w:hideMark/>
          </w:tcPr>
          <w:p w14:paraId="19E7FE3F"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Spain</w:t>
            </w:r>
          </w:p>
        </w:tc>
        <w:tc>
          <w:tcPr>
            <w:tcW w:w="4016" w:type="dxa"/>
            <w:tcBorders>
              <w:top w:val="nil"/>
              <w:left w:val="nil"/>
              <w:bottom w:val="nil"/>
              <w:right w:val="nil"/>
            </w:tcBorders>
            <w:shd w:val="clear" w:color="auto" w:fill="auto"/>
            <w:noWrap/>
            <w:hideMark/>
          </w:tcPr>
          <w:p w14:paraId="74116A0F"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jrquintana@maxam.net</w:t>
            </w:r>
          </w:p>
        </w:tc>
      </w:tr>
      <w:tr w:rsidR="0082634C" w:rsidRPr="0082634C" w14:paraId="6234AD7A" w14:textId="77777777" w:rsidTr="000E0AAA">
        <w:trPr>
          <w:trHeight w:val="255"/>
        </w:trPr>
        <w:tc>
          <w:tcPr>
            <w:tcW w:w="2516" w:type="dxa"/>
            <w:tcBorders>
              <w:top w:val="nil"/>
              <w:left w:val="nil"/>
              <w:bottom w:val="nil"/>
              <w:right w:val="nil"/>
            </w:tcBorders>
            <w:shd w:val="clear" w:color="auto" w:fill="auto"/>
            <w:noWrap/>
            <w:hideMark/>
          </w:tcPr>
          <w:p w14:paraId="46511155"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Shulin Nie</w:t>
            </w:r>
          </w:p>
        </w:tc>
        <w:tc>
          <w:tcPr>
            <w:tcW w:w="1736" w:type="dxa"/>
            <w:tcBorders>
              <w:top w:val="nil"/>
              <w:left w:val="nil"/>
              <w:bottom w:val="nil"/>
              <w:right w:val="nil"/>
            </w:tcBorders>
            <w:shd w:val="clear" w:color="auto" w:fill="auto"/>
            <w:noWrap/>
            <w:hideMark/>
          </w:tcPr>
          <w:p w14:paraId="2F12B69B"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Sweden</w:t>
            </w:r>
          </w:p>
        </w:tc>
        <w:tc>
          <w:tcPr>
            <w:tcW w:w="4016" w:type="dxa"/>
            <w:tcBorders>
              <w:top w:val="nil"/>
              <w:left w:val="nil"/>
              <w:bottom w:val="nil"/>
              <w:right w:val="nil"/>
            </w:tcBorders>
            <w:shd w:val="clear" w:color="auto" w:fill="auto"/>
            <w:noWrap/>
            <w:hideMark/>
          </w:tcPr>
          <w:p w14:paraId="7BF43225"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shulin.nie@msb.se</w:t>
            </w:r>
          </w:p>
        </w:tc>
      </w:tr>
      <w:tr w:rsidR="0082634C" w:rsidRPr="0082634C" w14:paraId="2F164A30" w14:textId="77777777" w:rsidTr="000E0AAA">
        <w:trPr>
          <w:trHeight w:val="255"/>
        </w:trPr>
        <w:tc>
          <w:tcPr>
            <w:tcW w:w="2516" w:type="dxa"/>
            <w:tcBorders>
              <w:top w:val="nil"/>
              <w:left w:val="nil"/>
              <w:bottom w:val="nil"/>
              <w:right w:val="nil"/>
            </w:tcBorders>
            <w:shd w:val="clear" w:color="auto" w:fill="auto"/>
            <w:noWrap/>
            <w:hideMark/>
          </w:tcPr>
          <w:p w14:paraId="19EFFAB6"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Lorens Van Dam</w:t>
            </w:r>
          </w:p>
        </w:tc>
        <w:tc>
          <w:tcPr>
            <w:tcW w:w="1736" w:type="dxa"/>
            <w:tcBorders>
              <w:top w:val="nil"/>
              <w:left w:val="nil"/>
              <w:bottom w:val="nil"/>
              <w:right w:val="nil"/>
            </w:tcBorders>
            <w:shd w:val="clear" w:color="auto" w:fill="auto"/>
            <w:noWrap/>
            <w:hideMark/>
          </w:tcPr>
          <w:p w14:paraId="2671E658"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Sweden</w:t>
            </w:r>
          </w:p>
        </w:tc>
        <w:tc>
          <w:tcPr>
            <w:tcW w:w="4016" w:type="dxa"/>
            <w:tcBorders>
              <w:top w:val="nil"/>
              <w:left w:val="nil"/>
              <w:bottom w:val="nil"/>
              <w:right w:val="nil"/>
            </w:tcBorders>
            <w:shd w:val="clear" w:color="auto" w:fill="auto"/>
            <w:noWrap/>
            <w:hideMark/>
          </w:tcPr>
          <w:p w14:paraId="7A9E89B8"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lorens.van.dam@msb.se</w:t>
            </w:r>
          </w:p>
        </w:tc>
      </w:tr>
      <w:tr w:rsidR="0082634C" w:rsidRPr="0082634C" w14:paraId="6C43613A" w14:textId="77777777" w:rsidTr="000E0AAA">
        <w:trPr>
          <w:trHeight w:val="255"/>
        </w:trPr>
        <w:tc>
          <w:tcPr>
            <w:tcW w:w="2516" w:type="dxa"/>
            <w:tcBorders>
              <w:top w:val="nil"/>
              <w:left w:val="nil"/>
              <w:bottom w:val="nil"/>
              <w:right w:val="nil"/>
            </w:tcBorders>
            <w:shd w:val="clear" w:color="auto" w:fill="auto"/>
            <w:noWrap/>
            <w:hideMark/>
          </w:tcPr>
          <w:p w14:paraId="0528CDF6"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Evan Bale</w:t>
            </w:r>
          </w:p>
        </w:tc>
        <w:tc>
          <w:tcPr>
            <w:tcW w:w="1736" w:type="dxa"/>
            <w:tcBorders>
              <w:top w:val="nil"/>
              <w:left w:val="nil"/>
              <w:bottom w:val="nil"/>
              <w:right w:val="nil"/>
            </w:tcBorders>
            <w:shd w:val="clear" w:color="auto" w:fill="auto"/>
            <w:noWrap/>
            <w:hideMark/>
          </w:tcPr>
          <w:p w14:paraId="09720487"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UK</w:t>
            </w:r>
          </w:p>
        </w:tc>
        <w:tc>
          <w:tcPr>
            <w:tcW w:w="4016" w:type="dxa"/>
            <w:tcBorders>
              <w:top w:val="nil"/>
              <w:left w:val="nil"/>
              <w:bottom w:val="nil"/>
              <w:right w:val="nil"/>
            </w:tcBorders>
            <w:shd w:val="clear" w:color="auto" w:fill="auto"/>
            <w:noWrap/>
            <w:hideMark/>
          </w:tcPr>
          <w:p w14:paraId="76245E52"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evan.bale@hse.gov.uk</w:t>
            </w:r>
          </w:p>
        </w:tc>
      </w:tr>
      <w:tr w:rsidR="0082634C" w:rsidRPr="0082634C" w14:paraId="48B57D22" w14:textId="77777777" w:rsidTr="000E0AAA">
        <w:trPr>
          <w:trHeight w:val="255"/>
        </w:trPr>
        <w:tc>
          <w:tcPr>
            <w:tcW w:w="2516" w:type="dxa"/>
            <w:tcBorders>
              <w:top w:val="nil"/>
              <w:left w:val="nil"/>
              <w:bottom w:val="nil"/>
              <w:right w:val="nil"/>
            </w:tcBorders>
            <w:shd w:val="clear" w:color="auto" w:fill="auto"/>
            <w:noWrap/>
            <w:hideMark/>
          </w:tcPr>
          <w:p w14:paraId="6FF5EE6B"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Philip Smith</w:t>
            </w:r>
          </w:p>
        </w:tc>
        <w:tc>
          <w:tcPr>
            <w:tcW w:w="1736" w:type="dxa"/>
            <w:tcBorders>
              <w:top w:val="nil"/>
              <w:left w:val="nil"/>
              <w:bottom w:val="nil"/>
              <w:right w:val="nil"/>
            </w:tcBorders>
            <w:shd w:val="clear" w:color="auto" w:fill="auto"/>
            <w:noWrap/>
            <w:hideMark/>
          </w:tcPr>
          <w:p w14:paraId="48C884EB"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UK</w:t>
            </w:r>
          </w:p>
        </w:tc>
        <w:tc>
          <w:tcPr>
            <w:tcW w:w="4016" w:type="dxa"/>
            <w:tcBorders>
              <w:top w:val="nil"/>
              <w:left w:val="nil"/>
              <w:bottom w:val="nil"/>
              <w:right w:val="nil"/>
            </w:tcBorders>
            <w:shd w:val="clear" w:color="auto" w:fill="auto"/>
            <w:noWrap/>
            <w:hideMark/>
          </w:tcPr>
          <w:p w14:paraId="4FA00390" w14:textId="77777777" w:rsidR="0082634C" w:rsidRPr="0082634C" w:rsidRDefault="007418DA" w:rsidP="0082634C">
            <w:pPr>
              <w:suppressAutoHyphens w:val="0"/>
              <w:spacing w:line="240" w:lineRule="auto"/>
              <w:rPr>
                <w:rFonts w:ascii="Arial" w:hAnsi="Arial" w:cs="Arial"/>
                <w:sz w:val="18"/>
                <w:szCs w:val="18"/>
                <w:lang w:val="nl-NL" w:eastAsia="nl-NL"/>
              </w:rPr>
            </w:pPr>
            <w:hyperlink r:id="rId10" w:history="1">
              <w:r w:rsidR="0082634C" w:rsidRPr="0082634C">
                <w:rPr>
                  <w:rFonts w:ascii="Arial" w:hAnsi="Arial" w:cs="Arial"/>
                  <w:sz w:val="18"/>
                  <w:szCs w:val="18"/>
                  <w:lang w:val="nl-NL" w:eastAsia="nl-NL"/>
                </w:rPr>
                <w:t>philip.smith@hse.gov.uk</w:t>
              </w:r>
            </w:hyperlink>
          </w:p>
        </w:tc>
      </w:tr>
      <w:tr w:rsidR="0082634C" w:rsidRPr="0082634C" w14:paraId="203EB022" w14:textId="77777777" w:rsidTr="000E0AAA">
        <w:trPr>
          <w:trHeight w:val="255"/>
        </w:trPr>
        <w:tc>
          <w:tcPr>
            <w:tcW w:w="2516" w:type="dxa"/>
            <w:tcBorders>
              <w:top w:val="nil"/>
              <w:left w:val="nil"/>
              <w:bottom w:val="nil"/>
              <w:right w:val="nil"/>
            </w:tcBorders>
            <w:shd w:val="clear" w:color="auto" w:fill="auto"/>
            <w:noWrap/>
            <w:hideMark/>
          </w:tcPr>
          <w:p w14:paraId="758E68AD"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Curtis Gilbert</w:t>
            </w:r>
          </w:p>
        </w:tc>
        <w:tc>
          <w:tcPr>
            <w:tcW w:w="1736" w:type="dxa"/>
            <w:tcBorders>
              <w:top w:val="nil"/>
              <w:left w:val="nil"/>
              <w:bottom w:val="nil"/>
              <w:right w:val="nil"/>
            </w:tcBorders>
            <w:shd w:val="clear" w:color="auto" w:fill="auto"/>
            <w:noWrap/>
            <w:hideMark/>
          </w:tcPr>
          <w:p w14:paraId="7352A131"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USA</w:t>
            </w:r>
          </w:p>
        </w:tc>
        <w:tc>
          <w:tcPr>
            <w:tcW w:w="4016" w:type="dxa"/>
            <w:tcBorders>
              <w:top w:val="nil"/>
              <w:left w:val="nil"/>
              <w:bottom w:val="nil"/>
              <w:right w:val="nil"/>
            </w:tcBorders>
            <w:shd w:val="clear" w:color="auto" w:fill="auto"/>
            <w:noWrap/>
            <w:hideMark/>
          </w:tcPr>
          <w:p w14:paraId="43FEC7AA" w14:textId="77777777" w:rsidR="0082634C" w:rsidRPr="0082634C" w:rsidRDefault="007418DA" w:rsidP="0082634C">
            <w:pPr>
              <w:suppressAutoHyphens w:val="0"/>
              <w:spacing w:line="240" w:lineRule="auto"/>
              <w:rPr>
                <w:rFonts w:ascii="Arial" w:hAnsi="Arial" w:cs="Arial"/>
                <w:sz w:val="18"/>
                <w:szCs w:val="18"/>
                <w:lang w:val="nl-NL" w:eastAsia="nl-NL"/>
              </w:rPr>
            </w:pPr>
            <w:hyperlink r:id="rId11" w:history="1">
              <w:r w:rsidR="0082634C" w:rsidRPr="0082634C">
                <w:rPr>
                  <w:rFonts w:ascii="Arial" w:hAnsi="Arial" w:cs="Arial"/>
                  <w:sz w:val="18"/>
                  <w:szCs w:val="18"/>
                  <w:lang w:val="nl-NL" w:eastAsia="nl-NL"/>
                </w:rPr>
                <w:t>curtis.gilbert@atf.gov</w:t>
              </w:r>
            </w:hyperlink>
          </w:p>
        </w:tc>
      </w:tr>
      <w:tr w:rsidR="0082634C" w:rsidRPr="0082634C" w14:paraId="2BE834F4" w14:textId="77777777" w:rsidTr="000E0AAA">
        <w:trPr>
          <w:trHeight w:val="255"/>
        </w:trPr>
        <w:tc>
          <w:tcPr>
            <w:tcW w:w="2516" w:type="dxa"/>
            <w:tcBorders>
              <w:top w:val="nil"/>
              <w:left w:val="nil"/>
              <w:bottom w:val="nil"/>
              <w:right w:val="nil"/>
            </w:tcBorders>
            <w:shd w:val="clear" w:color="auto" w:fill="auto"/>
            <w:noWrap/>
            <w:hideMark/>
          </w:tcPr>
          <w:p w14:paraId="1FF7C6FE"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Brent Knoblett</w:t>
            </w:r>
          </w:p>
        </w:tc>
        <w:tc>
          <w:tcPr>
            <w:tcW w:w="1736" w:type="dxa"/>
            <w:tcBorders>
              <w:top w:val="nil"/>
              <w:left w:val="nil"/>
              <w:bottom w:val="nil"/>
              <w:right w:val="nil"/>
            </w:tcBorders>
            <w:shd w:val="clear" w:color="auto" w:fill="auto"/>
            <w:noWrap/>
            <w:hideMark/>
          </w:tcPr>
          <w:p w14:paraId="7F99D26A"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USA</w:t>
            </w:r>
          </w:p>
        </w:tc>
        <w:tc>
          <w:tcPr>
            <w:tcW w:w="4016" w:type="dxa"/>
            <w:tcBorders>
              <w:top w:val="nil"/>
              <w:left w:val="nil"/>
              <w:bottom w:val="nil"/>
              <w:right w:val="nil"/>
            </w:tcBorders>
            <w:shd w:val="clear" w:color="auto" w:fill="auto"/>
            <w:noWrap/>
            <w:hideMark/>
          </w:tcPr>
          <w:p w14:paraId="4B2A2C09"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brent.e.knoblett.civ@mail.mil</w:t>
            </w:r>
          </w:p>
        </w:tc>
      </w:tr>
      <w:tr w:rsidR="0082634C" w:rsidRPr="0082634C" w14:paraId="7A58A756" w14:textId="77777777" w:rsidTr="000E0AAA">
        <w:trPr>
          <w:trHeight w:val="255"/>
        </w:trPr>
        <w:tc>
          <w:tcPr>
            <w:tcW w:w="2516" w:type="dxa"/>
            <w:tcBorders>
              <w:top w:val="nil"/>
              <w:left w:val="nil"/>
              <w:bottom w:val="nil"/>
              <w:right w:val="nil"/>
            </w:tcBorders>
            <w:shd w:val="clear" w:color="auto" w:fill="auto"/>
            <w:noWrap/>
            <w:hideMark/>
          </w:tcPr>
          <w:p w14:paraId="06444CC3"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Mike O'Lena</w:t>
            </w:r>
          </w:p>
        </w:tc>
        <w:tc>
          <w:tcPr>
            <w:tcW w:w="1736" w:type="dxa"/>
            <w:tcBorders>
              <w:top w:val="nil"/>
              <w:left w:val="nil"/>
              <w:bottom w:val="nil"/>
              <w:right w:val="nil"/>
            </w:tcBorders>
            <w:shd w:val="clear" w:color="auto" w:fill="auto"/>
            <w:noWrap/>
            <w:hideMark/>
          </w:tcPr>
          <w:p w14:paraId="05417955"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USA</w:t>
            </w:r>
          </w:p>
        </w:tc>
        <w:tc>
          <w:tcPr>
            <w:tcW w:w="4016" w:type="dxa"/>
            <w:tcBorders>
              <w:top w:val="nil"/>
              <w:left w:val="nil"/>
              <w:bottom w:val="nil"/>
              <w:right w:val="nil"/>
            </w:tcBorders>
            <w:shd w:val="clear" w:color="auto" w:fill="auto"/>
            <w:noWrap/>
            <w:hideMark/>
          </w:tcPr>
          <w:p w14:paraId="3BD876F7"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michael.olena@atf.gov</w:t>
            </w:r>
          </w:p>
        </w:tc>
      </w:tr>
      <w:tr w:rsidR="0082634C" w:rsidRPr="0082634C" w14:paraId="23DA0944" w14:textId="77777777" w:rsidTr="000E0AAA">
        <w:trPr>
          <w:trHeight w:val="255"/>
        </w:trPr>
        <w:tc>
          <w:tcPr>
            <w:tcW w:w="2516" w:type="dxa"/>
            <w:tcBorders>
              <w:top w:val="nil"/>
              <w:left w:val="nil"/>
              <w:bottom w:val="nil"/>
              <w:right w:val="nil"/>
            </w:tcBorders>
            <w:shd w:val="clear" w:color="auto" w:fill="auto"/>
            <w:noWrap/>
            <w:hideMark/>
          </w:tcPr>
          <w:p w14:paraId="361884A1"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Brian Vos</w:t>
            </w:r>
          </w:p>
        </w:tc>
        <w:tc>
          <w:tcPr>
            <w:tcW w:w="1736" w:type="dxa"/>
            <w:tcBorders>
              <w:top w:val="nil"/>
              <w:left w:val="nil"/>
              <w:bottom w:val="nil"/>
              <w:right w:val="nil"/>
            </w:tcBorders>
            <w:shd w:val="clear" w:color="auto" w:fill="auto"/>
            <w:noWrap/>
            <w:hideMark/>
          </w:tcPr>
          <w:p w14:paraId="65A4EE07"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USA</w:t>
            </w:r>
          </w:p>
        </w:tc>
        <w:tc>
          <w:tcPr>
            <w:tcW w:w="4016" w:type="dxa"/>
            <w:tcBorders>
              <w:top w:val="nil"/>
              <w:left w:val="nil"/>
              <w:bottom w:val="nil"/>
              <w:right w:val="nil"/>
            </w:tcBorders>
            <w:shd w:val="clear" w:color="auto" w:fill="auto"/>
            <w:noWrap/>
            <w:hideMark/>
          </w:tcPr>
          <w:p w14:paraId="034C5EB5"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brian.vos@dot.gov</w:t>
            </w:r>
          </w:p>
        </w:tc>
      </w:tr>
      <w:tr w:rsidR="0082634C" w:rsidRPr="0082634C" w14:paraId="2E548A44" w14:textId="77777777" w:rsidTr="000E0AAA">
        <w:trPr>
          <w:trHeight w:val="255"/>
        </w:trPr>
        <w:tc>
          <w:tcPr>
            <w:tcW w:w="2516" w:type="dxa"/>
            <w:tcBorders>
              <w:top w:val="nil"/>
              <w:left w:val="nil"/>
              <w:bottom w:val="nil"/>
              <w:right w:val="nil"/>
            </w:tcBorders>
            <w:shd w:val="clear" w:color="auto" w:fill="auto"/>
            <w:noWrap/>
            <w:hideMark/>
          </w:tcPr>
          <w:p w14:paraId="7EA2426E"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Rosa Garcia Couto</w:t>
            </w:r>
          </w:p>
        </w:tc>
        <w:tc>
          <w:tcPr>
            <w:tcW w:w="1736" w:type="dxa"/>
            <w:tcBorders>
              <w:top w:val="nil"/>
              <w:left w:val="nil"/>
              <w:bottom w:val="nil"/>
              <w:right w:val="nil"/>
            </w:tcBorders>
            <w:shd w:val="clear" w:color="auto" w:fill="auto"/>
            <w:noWrap/>
            <w:hideMark/>
          </w:tcPr>
          <w:p w14:paraId="31DB66CE"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UN/ECE/GHS</w:t>
            </w:r>
          </w:p>
        </w:tc>
        <w:tc>
          <w:tcPr>
            <w:tcW w:w="4016" w:type="dxa"/>
            <w:tcBorders>
              <w:top w:val="nil"/>
              <w:left w:val="nil"/>
              <w:bottom w:val="nil"/>
              <w:right w:val="nil"/>
            </w:tcBorders>
            <w:shd w:val="clear" w:color="auto" w:fill="auto"/>
            <w:noWrap/>
            <w:hideMark/>
          </w:tcPr>
          <w:p w14:paraId="4903B571"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Rosa.Garcia.Couto@unece.org</w:t>
            </w:r>
          </w:p>
        </w:tc>
      </w:tr>
      <w:tr w:rsidR="0082634C" w:rsidRPr="0082634C" w14:paraId="2677D2AF" w14:textId="77777777" w:rsidTr="000E0AAA">
        <w:trPr>
          <w:trHeight w:val="255"/>
        </w:trPr>
        <w:tc>
          <w:tcPr>
            <w:tcW w:w="2516" w:type="dxa"/>
            <w:tcBorders>
              <w:top w:val="nil"/>
              <w:left w:val="nil"/>
              <w:bottom w:val="nil"/>
              <w:right w:val="nil"/>
            </w:tcBorders>
            <w:shd w:val="clear" w:color="auto" w:fill="auto"/>
            <w:noWrap/>
            <w:hideMark/>
          </w:tcPr>
          <w:p w14:paraId="7C4920DA"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Randy Biddle</w:t>
            </w:r>
          </w:p>
        </w:tc>
        <w:tc>
          <w:tcPr>
            <w:tcW w:w="1736" w:type="dxa"/>
            <w:tcBorders>
              <w:top w:val="nil"/>
              <w:left w:val="nil"/>
              <w:bottom w:val="nil"/>
              <w:right w:val="nil"/>
            </w:tcBorders>
            <w:shd w:val="clear" w:color="auto" w:fill="auto"/>
            <w:noWrap/>
            <w:hideMark/>
          </w:tcPr>
          <w:p w14:paraId="1C7E3658"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AEISG</w:t>
            </w:r>
          </w:p>
        </w:tc>
        <w:tc>
          <w:tcPr>
            <w:tcW w:w="4016" w:type="dxa"/>
            <w:tcBorders>
              <w:top w:val="nil"/>
              <w:left w:val="nil"/>
              <w:bottom w:val="nil"/>
              <w:right w:val="nil"/>
            </w:tcBorders>
            <w:shd w:val="clear" w:color="auto" w:fill="auto"/>
            <w:noWrap/>
            <w:hideMark/>
          </w:tcPr>
          <w:p w14:paraId="30F79E11"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randy.biddle@ap.dynonobel.com</w:t>
            </w:r>
          </w:p>
        </w:tc>
      </w:tr>
      <w:tr w:rsidR="0082634C" w:rsidRPr="0082634C" w14:paraId="6BA259CD" w14:textId="77777777" w:rsidTr="000E0AAA">
        <w:trPr>
          <w:trHeight w:val="255"/>
        </w:trPr>
        <w:tc>
          <w:tcPr>
            <w:tcW w:w="2516" w:type="dxa"/>
            <w:tcBorders>
              <w:top w:val="nil"/>
              <w:left w:val="nil"/>
              <w:bottom w:val="nil"/>
              <w:right w:val="nil"/>
            </w:tcBorders>
            <w:shd w:val="clear" w:color="auto" w:fill="auto"/>
            <w:noWrap/>
            <w:hideMark/>
          </w:tcPr>
          <w:p w14:paraId="5DDA5B9D"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Ken Price</w:t>
            </w:r>
          </w:p>
        </w:tc>
        <w:tc>
          <w:tcPr>
            <w:tcW w:w="1736" w:type="dxa"/>
            <w:tcBorders>
              <w:top w:val="nil"/>
              <w:left w:val="nil"/>
              <w:bottom w:val="nil"/>
              <w:right w:val="nil"/>
            </w:tcBorders>
            <w:shd w:val="clear" w:color="auto" w:fill="auto"/>
            <w:noWrap/>
            <w:hideMark/>
          </w:tcPr>
          <w:p w14:paraId="1CF98049"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AEISG</w:t>
            </w:r>
          </w:p>
        </w:tc>
        <w:tc>
          <w:tcPr>
            <w:tcW w:w="4016" w:type="dxa"/>
            <w:tcBorders>
              <w:top w:val="nil"/>
              <w:left w:val="nil"/>
              <w:bottom w:val="nil"/>
              <w:right w:val="nil"/>
            </w:tcBorders>
            <w:shd w:val="clear" w:color="auto" w:fill="auto"/>
            <w:noWrap/>
            <w:hideMark/>
          </w:tcPr>
          <w:p w14:paraId="2ABB39BA"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ken@riskom.com.au</w:t>
            </w:r>
          </w:p>
        </w:tc>
      </w:tr>
      <w:tr w:rsidR="0082634C" w:rsidRPr="0082634C" w14:paraId="037BC0D7" w14:textId="77777777" w:rsidTr="000E0AAA">
        <w:trPr>
          <w:trHeight w:val="255"/>
        </w:trPr>
        <w:tc>
          <w:tcPr>
            <w:tcW w:w="2516" w:type="dxa"/>
            <w:tcBorders>
              <w:top w:val="nil"/>
              <w:left w:val="nil"/>
              <w:bottom w:val="nil"/>
              <w:right w:val="nil"/>
            </w:tcBorders>
            <w:shd w:val="clear" w:color="auto" w:fill="auto"/>
            <w:noWrap/>
            <w:hideMark/>
          </w:tcPr>
          <w:p w14:paraId="4E5C0761"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Bob Sheridan</w:t>
            </w:r>
          </w:p>
        </w:tc>
        <w:tc>
          <w:tcPr>
            <w:tcW w:w="1736" w:type="dxa"/>
            <w:tcBorders>
              <w:top w:val="nil"/>
              <w:left w:val="nil"/>
              <w:bottom w:val="nil"/>
              <w:right w:val="nil"/>
            </w:tcBorders>
            <w:shd w:val="clear" w:color="auto" w:fill="auto"/>
            <w:noWrap/>
            <w:hideMark/>
          </w:tcPr>
          <w:p w14:paraId="3B940275"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AEISG</w:t>
            </w:r>
          </w:p>
        </w:tc>
        <w:tc>
          <w:tcPr>
            <w:tcW w:w="4016" w:type="dxa"/>
            <w:tcBorders>
              <w:top w:val="nil"/>
              <w:left w:val="nil"/>
              <w:bottom w:val="nil"/>
              <w:right w:val="nil"/>
            </w:tcBorders>
            <w:shd w:val="clear" w:color="auto" w:fill="auto"/>
            <w:noWrap/>
            <w:hideMark/>
          </w:tcPr>
          <w:p w14:paraId="382F23C3"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bob.sheridan@aeisg.org.au</w:t>
            </w:r>
          </w:p>
        </w:tc>
      </w:tr>
      <w:tr w:rsidR="0082634C" w:rsidRPr="0082634C" w14:paraId="1525B237" w14:textId="77777777" w:rsidTr="000E0AAA">
        <w:trPr>
          <w:trHeight w:val="255"/>
        </w:trPr>
        <w:tc>
          <w:tcPr>
            <w:tcW w:w="2516" w:type="dxa"/>
            <w:tcBorders>
              <w:top w:val="nil"/>
              <w:left w:val="nil"/>
              <w:bottom w:val="nil"/>
              <w:right w:val="nil"/>
            </w:tcBorders>
            <w:shd w:val="clear" w:color="auto" w:fill="auto"/>
            <w:noWrap/>
            <w:hideMark/>
          </w:tcPr>
          <w:p w14:paraId="3DA1B925"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Angel Maria Zubero</w:t>
            </w:r>
          </w:p>
        </w:tc>
        <w:tc>
          <w:tcPr>
            <w:tcW w:w="1736" w:type="dxa"/>
            <w:tcBorders>
              <w:top w:val="nil"/>
              <w:left w:val="nil"/>
              <w:bottom w:val="nil"/>
              <w:right w:val="nil"/>
            </w:tcBorders>
            <w:shd w:val="clear" w:color="auto" w:fill="auto"/>
            <w:noWrap/>
            <w:hideMark/>
          </w:tcPr>
          <w:p w14:paraId="00488D66"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AFEMS</w:t>
            </w:r>
          </w:p>
        </w:tc>
        <w:tc>
          <w:tcPr>
            <w:tcW w:w="4016" w:type="dxa"/>
            <w:tcBorders>
              <w:top w:val="nil"/>
              <w:left w:val="nil"/>
              <w:bottom w:val="nil"/>
              <w:right w:val="nil"/>
            </w:tcBorders>
            <w:shd w:val="clear" w:color="auto" w:fill="auto"/>
            <w:noWrap/>
            <w:hideMark/>
          </w:tcPr>
          <w:p w14:paraId="7A652412"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azubero@maxam.net</w:t>
            </w:r>
          </w:p>
        </w:tc>
      </w:tr>
      <w:tr w:rsidR="0082634C" w:rsidRPr="0082634C" w14:paraId="7BAB556F" w14:textId="77777777" w:rsidTr="000E0AAA">
        <w:trPr>
          <w:trHeight w:val="255"/>
        </w:trPr>
        <w:tc>
          <w:tcPr>
            <w:tcW w:w="2516" w:type="dxa"/>
            <w:tcBorders>
              <w:top w:val="nil"/>
              <w:left w:val="nil"/>
              <w:bottom w:val="nil"/>
              <w:right w:val="nil"/>
            </w:tcBorders>
            <w:shd w:val="clear" w:color="auto" w:fill="auto"/>
            <w:noWrap/>
            <w:hideMark/>
          </w:tcPr>
          <w:p w14:paraId="6232AA71"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Dieter Heitkamp</w:t>
            </w:r>
          </w:p>
        </w:tc>
        <w:tc>
          <w:tcPr>
            <w:tcW w:w="1736" w:type="dxa"/>
            <w:tcBorders>
              <w:top w:val="nil"/>
              <w:left w:val="nil"/>
              <w:bottom w:val="nil"/>
              <w:right w:val="nil"/>
            </w:tcBorders>
            <w:shd w:val="clear" w:color="auto" w:fill="auto"/>
            <w:noWrap/>
            <w:hideMark/>
          </w:tcPr>
          <w:p w14:paraId="4CC18F4F"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CEFIC</w:t>
            </w:r>
          </w:p>
        </w:tc>
        <w:tc>
          <w:tcPr>
            <w:tcW w:w="4016" w:type="dxa"/>
            <w:tcBorders>
              <w:top w:val="nil"/>
              <w:left w:val="nil"/>
              <w:bottom w:val="nil"/>
              <w:right w:val="nil"/>
            </w:tcBorders>
            <w:shd w:val="clear" w:color="auto" w:fill="auto"/>
            <w:noWrap/>
            <w:hideMark/>
          </w:tcPr>
          <w:p w14:paraId="38A3B6DF"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dieter.heitkamp@bayer.com</w:t>
            </w:r>
          </w:p>
        </w:tc>
      </w:tr>
      <w:tr w:rsidR="0082634C" w:rsidRPr="0082634C" w14:paraId="10186B64" w14:textId="77777777" w:rsidTr="000E0AAA">
        <w:trPr>
          <w:trHeight w:val="255"/>
        </w:trPr>
        <w:tc>
          <w:tcPr>
            <w:tcW w:w="2516" w:type="dxa"/>
            <w:tcBorders>
              <w:top w:val="nil"/>
              <w:left w:val="nil"/>
              <w:bottom w:val="nil"/>
              <w:right w:val="nil"/>
            </w:tcBorders>
            <w:shd w:val="clear" w:color="auto" w:fill="auto"/>
            <w:noWrap/>
            <w:hideMark/>
          </w:tcPr>
          <w:p w14:paraId="76F98E03"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Werner Lange</w:t>
            </w:r>
          </w:p>
        </w:tc>
        <w:tc>
          <w:tcPr>
            <w:tcW w:w="1736" w:type="dxa"/>
            <w:tcBorders>
              <w:top w:val="nil"/>
              <w:left w:val="nil"/>
              <w:bottom w:val="nil"/>
              <w:right w:val="nil"/>
            </w:tcBorders>
            <w:shd w:val="clear" w:color="auto" w:fill="auto"/>
            <w:noWrap/>
            <w:hideMark/>
          </w:tcPr>
          <w:p w14:paraId="5ECA11AF"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CEFIC</w:t>
            </w:r>
          </w:p>
        </w:tc>
        <w:tc>
          <w:tcPr>
            <w:tcW w:w="4016" w:type="dxa"/>
            <w:tcBorders>
              <w:top w:val="nil"/>
              <w:left w:val="nil"/>
              <w:bottom w:val="nil"/>
              <w:right w:val="nil"/>
            </w:tcBorders>
            <w:shd w:val="clear" w:color="auto" w:fill="auto"/>
            <w:noWrap/>
            <w:hideMark/>
          </w:tcPr>
          <w:p w14:paraId="09154583"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 xml:space="preserve">wlange@dow.com </w:t>
            </w:r>
          </w:p>
        </w:tc>
      </w:tr>
      <w:tr w:rsidR="0082634C" w:rsidRPr="0082634C" w14:paraId="4E8C34C6" w14:textId="77777777" w:rsidTr="000E0AAA">
        <w:trPr>
          <w:trHeight w:val="255"/>
        </w:trPr>
        <w:tc>
          <w:tcPr>
            <w:tcW w:w="2516" w:type="dxa"/>
            <w:tcBorders>
              <w:top w:val="nil"/>
              <w:left w:val="nil"/>
              <w:bottom w:val="nil"/>
              <w:right w:val="nil"/>
            </w:tcBorders>
            <w:shd w:val="clear" w:color="auto" w:fill="auto"/>
            <w:noWrap/>
            <w:hideMark/>
          </w:tcPr>
          <w:p w14:paraId="13DC82AB"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Peter Schuurman</w:t>
            </w:r>
          </w:p>
        </w:tc>
        <w:tc>
          <w:tcPr>
            <w:tcW w:w="1736" w:type="dxa"/>
            <w:tcBorders>
              <w:top w:val="nil"/>
              <w:left w:val="nil"/>
              <w:bottom w:val="nil"/>
              <w:right w:val="nil"/>
            </w:tcBorders>
            <w:shd w:val="clear" w:color="auto" w:fill="auto"/>
            <w:noWrap/>
            <w:hideMark/>
          </w:tcPr>
          <w:p w14:paraId="0D8D9B76"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CEFIC</w:t>
            </w:r>
          </w:p>
        </w:tc>
        <w:tc>
          <w:tcPr>
            <w:tcW w:w="4016" w:type="dxa"/>
            <w:tcBorders>
              <w:top w:val="nil"/>
              <w:left w:val="nil"/>
              <w:bottom w:val="nil"/>
              <w:right w:val="nil"/>
            </w:tcBorders>
            <w:shd w:val="clear" w:color="auto" w:fill="auto"/>
            <w:noWrap/>
            <w:hideMark/>
          </w:tcPr>
          <w:p w14:paraId="0C91C055"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peter.schuurman@akzonobel.com</w:t>
            </w:r>
          </w:p>
        </w:tc>
      </w:tr>
      <w:tr w:rsidR="0082634C" w:rsidRPr="0082634C" w14:paraId="702E08C2" w14:textId="77777777" w:rsidTr="000E0AAA">
        <w:trPr>
          <w:trHeight w:val="255"/>
        </w:trPr>
        <w:tc>
          <w:tcPr>
            <w:tcW w:w="2516" w:type="dxa"/>
            <w:tcBorders>
              <w:top w:val="nil"/>
              <w:left w:val="nil"/>
              <w:bottom w:val="nil"/>
              <w:right w:val="nil"/>
            </w:tcBorders>
            <w:shd w:val="clear" w:color="auto" w:fill="auto"/>
            <w:noWrap/>
            <w:hideMark/>
          </w:tcPr>
          <w:p w14:paraId="73D17D19"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Klaus Pilatus</w:t>
            </w:r>
          </w:p>
        </w:tc>
        <w:tc>
          <w:tcPr>
            <w:tcW w:w="1736" w:type="dxa"/>
            <w:tcBorders>
              <w:top w:val="nil"/>
              <w:left w:val="nil"/>
              <w:bottom w:val="nil"/>
              <w:right w:val="nil"/>
            </w:tcBorders>
            <w:shd w:val="clear" w:color="auto" w:fill="auto"/>
            <w:noWrap/>
            <w:hideMark/>
          </w:tcPr>
          <w:p w14:paraId="46B91ADF"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CLEPA</w:t>
            </w:r>
          </w:p>
        </w:tc>
        <w:tc>
          <w:tcPr>
            <w:tcW w:w="4016" w:type="dxa"/>
            <w:tcBorders>
              <w:top w:val="nil"/>
              <w:left w:val="nil"/>
              <w:bottom w:val="nil"/>
              <w:right w:val="nil"/>
            </w:tcBorders>
            <w:shd w:val="clear" w:color="auto" w:fill="auto"/>
            <w:noWrap/>
            <w:hideMark/>
          </w:tcPr>
          <w:p w14:paraId="4648C157"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Klaus.pilatus@autoliv.com</w:t>
            </w:r>
          </w:p>
        </w:tc>
      </w:tr>
      <w:tr w:rsidR="0082634C" w:rsidRPr="0082634C" w14:paraId="7D54559D" w14:textId="77777777" w:rsidTr="000E0AAA">
        <w:trPr>
          <w:trHeight w:val="255"/>
        </w:trPr>
        <w:tc>
          <w:tcPr>
            <w:tcW w:w="2516" w:type="dxa"/>
            <w:tcBorders>
              <w:top w:val="nil"/>
              <w:left w:val="nil"/>
              <w:bottom w:val="nil"/>
              <w:right w:val="nil"/>
            </w:tcBorders>
            <w:shd w:val="clear" w:color="auto" w:fill="auto"/>
            <w:noWrap/>
            <w:hideMark/>
          </w:tcPr>
          <w:p w14:paraId="3112F8BB"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Dave Madsen</w:t>
            </w:r>
          </w:p>
        </w:tc>
        <w:tc>
          <w:tcPr>
            <w:tcW w:w="1736" w:type="dxa"/>
            <w:tcBorders>
              <w:top w:val="nil"/>
              <w:left w:val="nil"/>
              <w:bottom w:val="nil"/>
              <w:right w:val="nil"/>
            </w:tcBorders>
            <w:shd w:val="clear" w:color="auto" w:fill="auto"/>
            <w:noWrap/>
            <w:hideMark/>
          </w:tcPr>
          <w:p w14:paraId="3FDCFA52"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COSTHA</w:t>
            </w:r>
          </w:p>
        </w:tc>
        <w:tc>
          <w:tcPr>
            <w:tcW w:w="4016" w:type="dxa"/>
            <w:tcBorders>
              <w:top w:val="nil"/>
              <w:left w:val="nil"/>
              <w:bottom w:val="nil"/>
              <w:right w:val="nil"/>
            </w:tcBorders>
            <w:shd w:val="clear" w:color="auto" w:fill="auto"/>
            <w:noWrap/>
            <w:hideMark/>
          </w:tcPr>
          <w:p w14:paraId="1B7BF435"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dave.madsen@autoliv.com</w:t>
            </w:r>
          </w:p>
        </w:tc>
      </w:tr>
      <w:tr w:rsidR="0082634C" w:rsidRPr="0082634C" w14:paraId="4C579FD5" w14:textId="77777777" w:rsidTr="000E0AAA">
        <w:trPr>
          <w:trHeight w:val="255"/>
        </w:trPr>
        <w:tc>
          <w:tcPr>
            <w:tcW w:w="2516" w:type="dxa"/>
            <w:tcBorders>
              <w:top w:val="nil"/>
              <w:left w:val="nil"/>
              <w:bottom w:val="nil"/>
              <w:right w:val="nil"/>
            </w:tcBorders>
            <w:shd w:val="clear" w:color="auto" w:fill="auto"/>
            <w:noWrap/>
            <w:hideMark/>
          </w:tcPr>
          <w:p w14:paraId="2765695D"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Kishore Shah</w:t>
            </w:r>
          </w:p>
        </w:tc>
        <w:tc>
          <w:tcPr>
            <w:tcW w:w="1736" w:type="dxa"/>
            <w:tcBorders>
              <w:top w:val="nil"/>
              <w:left w:val="nil"/>
              <w:bottom w:val="nil"/>
              <w:right w:val="nil"/>
            </w:tcBorders>
            <w:shd w:val="clear" w:color="auto" w:fill="auto"/>
            <w:noWrap/>
            <w:hideMark/>
          </w:tcPr>
          <w:p w14:paraId="7887DBE4"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Fertilizers Europe</w:t>
            </w:r>
          </w:p>
        </w:tc>
        <w:tc>
          <w:tcPr>
            <w:tcW w:w="4016" w:type="dxa"/>
            <w:tcBorders>
              <w:top w:val="nil"/>
              <w:left w:val="nil"/>
              <w:bottom w:val="nil"/>
              <w:right w:val="nil"/>
            </w:tcBorders>
            <w:shd w:val="clear" w:color="auto" w:fill="auto"/>
            <w:noWrap/>
            <w:hideMark/>
          </w:tcPr>
          <w:p w14:paraId="0F0BA222"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kish@shah4she.co.uk</w:t>
            </w:r>
          </w:p>
        </w:tc>
      </w:tr>
      <w:tr w:rsidR="0082634C" w:rsidRPr="0082634C" w14:paraId="29D7AF42" w14:textId="77777777" w:rsidTr="000E0AAA">
        <w:trPr>
          <w:trHeight w:val="255"/>
        </w:trPr>
        <w:tc>
          <w:tcPr>
            <w:tcW w:w="2516" w:type="dxa"/>
            <w:tcBorders>
              <w:top w:val="nil"/>
              <w:left w:val="nil"/>
              <w:bottom w:val="nil"/>
              <w:right w:val="nil"/>
            </w:tcBorders>
            <w:shd w:val="clear" w:color="auto" w:fill="auto"/>
            <w:noWrap/>
            <w:hideMark/>
          </w:tcPr>
          <w:p w14:paraId="589B9208"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Timothy Golian</w:t>
            </w:r>
          </w:p>
        </w:tc>
        <w:tc>
          <w:tcPr>
            <w:tcW w:w="1736" w:type="dxa"/>
            <w:tcBorders>
              <w:top w:val="nil"/>
              <w:left w:val="nil"/>
              <w:bottom w:val="nil"/>
              <w:right w:val="nil"/>
            </w:tcBorders>
            <w:shd w:val="clear" w:color="auto" w:fill="auto"/>
            <w:noWrap/>
            <w:hideMark/>
          </w:tcPr>
          <w:p w14:paraId="633E2D12"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IME</w:t>
            </w:r>
          </w:p>
        </w:tc>
        <w:tc>
          <w:tcPr>
            <w:tcW w:w="4016" w:type="dxa"/>
            <w:tcBorders>
              <w:top w:val="nil"/>
              <w:left w:val="nil"/>
              <w:bottom w:val="nil"/>
              <w:right w:val="nil"/>
            </w:tcBorders>
            <w:shd w:val="clear" w:color="auto" w:fill="auto"/>
            <w:noWrap/>
            <w:hideMark/>
          </w:tcPr>
          <w:p w14:paraId="63540885"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tim.golian@hunting-intl.com</w:t>
            </w:r>
          </w:p>
        </w:tc>
      </w:tr>
      <w:tr w:rsidR="0082634C" w:rsidRPr="0082634C" w14:paraId="1AC11EEE" w14:textId="77777777" w:rsidTr="000E0AAA">
        <w:trPr>
          <w:trHeight w:val="255"/>
        </w:trPr>
        <w:tc>
          <w:tcPr>
            <w:tcW w:w="2516" w:type="dxa"/>
            <w:tcBorders>
              <w:top w:val="nil"/>
              <w:left w:val="nil"/>
              <w:bottom w:val="nil"/>
              <w:right w:val="nil"/>
            </w:tcBorders>
            <w:shd w:val="clear" w:color="auto" w:fill="auto"/>
            <w:noWrap/>
            <w:hideMark/>
          </w:tcPr>
          <w:p w14:paraId="526B41C1"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Ben Barrett</w:t>
            </w:r>
          </w:p>
        </w:tc>
        <w:tc>
          <w:tcPr>
            <w:tcW w:w="1736" w:type="dxa"/>
            <w:tcBorders>
              <w:top w:val="nil"/>
              <w:left w:val="nil"/>
              <w:bottom w:val="nil"/>
              <w:right w:val="nil"/>
            </w:tcBorders>
            <w:shd w:val="clear" w:color="auto" w:fill="auto"/>
            <w:noWrap/>
            <w:hideMark/>
          </w:tcPr>
          <w:p w14:paraId="77C66D97"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SAAMI</w:t>
            </w:r>
          </w:p>
        </w:tc>
        <w:tc>
          <w:tcPr>
            <w:tcW w:w="4016" w:type="dxa"/>
            <w:tcBorders>
              <w:top w:val="nil"/>
              <w:left w:val="nil"/>
              <w:bottom w:val="nil"/>
              <w:right w:val="nil"/>
            </w:tcBorders>
            <w:shd w:val="clear" w:color="auto" w:fill="auto"/>
            <w:noWrap/>
            <w:hideMark/>
          </w:tcPr>
          <w:p w14:paraId="126729F4"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ben.barrett@dgadvisor.com</w:t>
            </w:r>
          </w:p>
        </w:tc>
      </w:tr>
      <w:tr w:rsidR="0082634C" w:rsidRPr="0082634C" w14:paraId="2CE267E1" w14:textId="77777777" w:rsidTr="000E0AAA">
        <w:trPr>
          <w:trHeight w:val="255"/>
        </w:trPr>
        <w:tc>
          <w:tcPr>
            <w:tcW w:w="2516" w:type="dxa"/>
            <w:tcBorders>
              <w:top w:val="nil"/>
              <w:left w:val="nil"/>
              <w:bottom w:val="nil"/>
              <w:right w:val="nil"/>
            </w:tcBorders>
            <w:shd w:val="clear" w:color="auto" w:fill="auto"/>
            <w:noWrap/>
            <w:hideMark/>
          </w:tcPr>
          <w:p w14:paraId="7DCC4728"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Robert Ford</w:t>
            </w:r>
          </w:p>
        </w:tc>
        <w:tc>
          <w:tcPr>
            <w:tcW w:w="1736" w:type="dxa"/>
            <w:tcBorders>
              <w:top w:val="nil"/>
              <w:left w:val="nil"/>
              <w:bottom w:val="nil"/>
              <w:right w:val="nil"/>
            </w:tcBorders>
            <w:shd w:val="clear" w:color="auto" w:fill="auto"/>
            <w:noWrap/>
            <w:hideMark/>
          </w:tcPr>
          <w:p w14:paraId="20D2BA4D"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SAAMI</w:t>
            </w:r>
          </w:p>
        </w:tc>
        <w:tc>
          <w:tcPr>
            <w:tcW w:w="4016" w:type="dxa"/>
            <w:tcBorders>
              <w:top w:val="nil"/>
              <w:left w:val="nil"/>
              <w:bottom w:val="nil"/>
              <w:right w:val="nil"/>
            </w:tcBorders>
            <w:shd w:val="clear" w:color="auto" w:fill="auto"/>
            <w:noWrap/>
            <w:hideMark/>
          </w:tcPr>
          <w:p w14:paraId="4F41DDAF"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rford@smsenergetics.com</w:t>
            </w:r>
          </w:p>
        </w:tc>
      </w:tr>
      <w:tr w:rsidR="0082634C" w:rsidRPr="0082634C" w14:paraId="00B11EB3" w14:textId="77777777" w:rsidTr="000E0AAA">
        <w:trPr>
          <w:trHeight w:val="255"/>
        </w:trPr>
        <w:tc>
          <w:tcPr>
            <w:tcW w:w="2516" w:type="dxa"/>
            <w:tcBorders>
              <w:top w:val="nil"/>
              <w:left w:val="nil"/>
              <w:bottom w:val="nil"/>
              <w:right w:val="nil"/>
            </w:tcBorders>
            <w:shd w:val="clear" w:color="auto" w:fill="auto"/>
            <w:noWrap/>
            <w:hideMark/>
          </w:tcPr>
          <w:p w14:paraId="04B7EC66"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Brian Osowiecki</w:t>
            </w:r>
          </w:p>
        </w:tc>
        <w:tc>
          <w:tcPr>
            <w:tcW w:w="1736" w:type="dxa"/>
            <w:tcBorders>
              <w:top w:val="nil"/>
              <w:left w:val="nil"/>
              <w:bottom w:val="nil"/>
              <w:right w:val="nil"/>
            </w:tcBorders>
            <w:shd w:val="clear" w:color="auto" w:fill="auto"/>
            <w:noWrap/>
            <w:hideMark/>
          </w:tcPr>
          <w:p w14:paraId="1EF4A760"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SAAMI</w:t>
            </w:r>
          </w:p>
        </w:tc>
        <w:tc>
          <w:tcPr>
            <w:tcW w:w="4016" w:type="dxa"/>
            <w:tcBorders>
              <w:top w:val="nil"/>
              <w:left w:val="nil"/>
              <w:bottom w:val="nil"/>
              <w:right w:val="nil"/>
            </w:tcBorders>
            <w:shd w:val="clear" w:color="auto" w:fill="auto"/>
            <w:noWrap/>
            <w:hideMark/>
          </w:tcPr>
          <w:p w14:paraId="2AC5C8B2" w14:textId="77777777" w:rsidR="0082634C" w:rsidRPr="0082634C" w:rsidRDefault="0082634C" w:rsidP="0082634C">
            <w:pPr>
              <w:suppressAutoHyphens w:val="0"/>
              <w:spacing w:line="240" w:lineRule="auto"/>
              <w:rPr>
                <w:rFonts w:ascii="Arial" w:hAnsi="Arial" w:cs="Arial"/>
                <w:sz w:val="18"/>
                <w:szCs w:val="18"/>
                <w:lang w:val="nl-NL" w:eastAsia="nl-NL"/>
              </w:rPr>
            </w:pPr>
            <w:r w:rsidRPr="0082634C">
              <w:rPr>
                <w:rFonts w:ascii="Arial" w:hAnsi="Arial" w:cs="Arial"/>
                <w:sz w:val="18"/>
                <w:szCs w:val="18"/>
                <w:lang w:val="nl-NL" w:eastAsia="nl-NL"/>
              </w:rPr>
              <w:t>bosowiecki@saami.org</w:t>
            </w:r>
          </w:p>
        </w:tc>
      </w:tr>
    </w:tbl>
    <w:p w14:paraId="6F3512EB" w14:textId="77777777" w:rsidR="00E92815" w:rsidRDefault="00E92815" w:rsidP="0048028F">
      <w:pPr>
        <w:pStyle w:val="SingleTxtG"/>
        <w:spacing w:before="240" w:after="0" w:line="240" w:lineRule="auto"/>
        <w:jc w:val="center"/>
        <w:rPr>
          <w:u w:val="single"/>
          <w:lang w:val="en-US" w:eastAsia="ko-KR"/>
        </w:rPr>
      </w:pPr>
      <w:r>
        <w:rPr>
          <w:u w:val="single"/>
          <w:lang w:val="en-US" w:eastAsia="ko-KR"/>
        </w:rPr>
        <w:tab/>
      </w:r>
      <w:r>
        <w:rPr>
          <w:u w:val="single"/>
          <w:lang w:val="en-US" w:eastAsia="ko-KR"/>
        </w:rPr>
        <w:tab/>
      </w:r>
      <w:r>
        <w:rPr>
          <w:u w:val="single"/>
          <w:lang w:val="en-US" w:eastAsia="ko-KR"/>
        </w:rPr>
        <w:tab/>
      </w:r>
    </w:p>
    <w:p w14:paraId="6223AE77" w14:textId="1D184E36" w:rsidR="00E92815" w:rsidRDefault="00E02A97" w:rsidP="0048028F">
      <w:pPr>
        <w:pStyle w:val="HChG"/>
        <w:spacing w:line="240" w:lineRule="auto"/>
        <w:ind w:left="0" w:right="39" w:firstLine="0"/>
        <w:rPr>
          <w:rFonts w:eastAsia="MS Mincho"/>
          <w:sz w:val="26"/>
          <w:lang w:val="en-US" w:eastAsia="ja-JP"/>
        </w:rPr>
      </w:pPr>
      <w:r>
        <w:rPr>
          <w:u w:val="single"/>
        </w:rPr>
        <w:br w:type="page"/>
      </w:r>
      <w:bookmarkStart w:id="2" w:name="Annex2"/>
      <w:bookmarkEnd w:id="2"/>
      <w:r w:rsidR="00E92815">
        <w:rPr>
          <w:rFonts w:eastAsia="MS Mincho"/>
          <w:lang w:val="en-US" w:eastAsia="ja-JP"/>
        </w:rPr>
        <w:lastRenderedPageBreak/>
        <w:t>Annex 2</w:t>
      </w:r>
      <w:r w:rsidR="00E92815">
        <w:rPr>
          <w:rFonts w:eastAsia="MS Mincho"/>
          <w:lang w:val="en-US" w:eastAsia="ja-JP"/>
        </w:rPr>
        <w:br/>
      </w:r>
      <w:r w:rsidR="00E92815" w:rsidRPr="00AF5B84">
        <w:rPr>
          <w:rFonts w:eastAsia="MS Mincho"/>
          <w:sz w:val="26"/>
          <w:lang w:val="en-US" w:eastAsia="ja-JP"/>
        </w:rPr>
        <w:t xml:space="preserve">Working Group on Explosives </w:t>
      </w:r>
      <w:r w:rsidR="00C7757F" w:rsidRPr="00092CF5">
        <w:rPr>
          <w:rFonts w:eastAsia="MS Mincho"/>
          <w:sz w:val="26"/>
          <w:lang w:val="en-US" w:eastAsia="ja-JP"/>
        </w:rPr>
        <w:t>(</w:t>
      </w:r>
      <w:r w:rsidR="00D96FFC">
        <w:rPr>
          <w:rFonts w:eastAsia="MS Mincho"/>
          <w:sz w:val="26"/>
          <w:lang w:val="en-US" w:eastAsia="ja-JP"/>
        </w:rPr>
        <w:t>28 November - 2 December 2016</w:t>
      </w:r>
      <w:proofErr w:type="gramStart"/>
      <w:r w:rsidR="00C7757F" w:rsidRPr="00092CF5">
        <w:rPr>
          <w:rFonts w:eastAsia="MS Mincho"/>
          <w:sz w:val="26"/>
          <w:lang w:val="en-US" w:eastAsia="ja-JP"/>
        </w:rPr>
        <w:t>)</w:t>
      </w:r>
      <w:proofErr w:type="gramEnd"/>
      <w:r w:rsidR="00E92815" w:rsidRPr="00AF5B84">
        <w:rPr>
          <w:rFonts w:eastAsia="MS Mincho"/>
          <w:sz w:val="26"/>
          <w:lang w:val="en-US" w:eastAsia="ja-JP"/>
        </w:rPr>
        <w:br/>
      </w:r>
      <w:r w:rsidR="001B412D">
        <w:rPr>
          <w:rFonts w:eastAsia="MS Mincho"/>
          <w:sz w:val="26"/>
          <w:lang w:val="en-US" w:eastAsia="ja-JP"/>
        </w:rPr>
        <w:t>Changes for the Model Regulations (19th Revised Edition)</w:t>
      </w:r>
    </w:p>
    <w:p w14:paraId="00A3C265" w14:textId="77777777" w:rsidR="002B72B9" w:rsidRPr="00195E9D" w:rsidRDefault="002B72B9" w:rsidP="0048028F">
      <w:pPr>
        <w:tabs>
          <w:tab w:val="left" w:pos="720"/>
        </w:tabs>
        <w:spacing w:line="240" w:lineRule="auto"/>
        <w:ind w:right="43"/>
        <w:rPr>
          <w:b/>
        </w:rPr>
      </w:pPr>
      <w:r w:rsidRPr="00195E9D">
        <w:rPr>
          <w:rFonts w:eastAsia="MS Mincho"/>
          <w:lang w:eastAsia="ja-JP"/>
        </w:rPr>
        <w:t xml:space="preserve">Notes:  Source of proposed change is indicated by </w:t>
      </w:r>
      <w:r w:rsidRPr="00195E9D">
        <w:rPr>
          <w:rFonts w:eastAsia="MS Mincho"/>
          <w:i/>
          <w:lang w:eastAsia="ja-JP"/>
        </w:rPr>
        <w:t>italicized text (Source:  XXX)</w:t>
      </w:r>
      <w:r w:rsidRPr="00195E9D">
        <w:rPr>
          <w:b/>
        </w:rPr>
        <w:t xml:space="preserve">  </w:t>
      </w:r>
    </w:p>
    <w:p w14:paraId="25653C17" w14:textId="77777777" w:rsidR="002B72B9" w:rsidRPr="00195E9D" w:rsidRDefault="002B72B9" w:rsidP="0048028F">
      <w:pPr>
        <w:tabs>
          <w:tab w:val="left" w:pos="630"/>
        </w:tabs>
        <w:spacing w:line="240" w:lineRule="auto"/>
        <w:ind w:right="43"/>
      </w:pPr>
      <w:r w:rsidRPr="00195E9D">
        <w:rPr>
          <w:color w:val="FF0000"/>
        </w:rPr>
        <w:tab/>
      </w:r>
      <w:r w:rsidRPr="00195E9D">
        <w:rPr>
          <w:strike/>
          <w:color w:val="FF0000"/>
        </w:rPr>
        <w:t>Red</w:t>
      </w:r>
      <w:r w:rsidRPr="00195E9D">
        <w:t xml:space="preserve"> indicates deleted text</w:t>
      </w:r>
    </w:p>
    <w:p w14:paraId="37BEF5F4" w14:textId="77777777" w:rsidR="002B72B9" w:rsidRPr="00195E9D" w:rsidRDefault="002B72B9" w:rsidP="0048028F">
      <w:pPr>
        <w:tabs>
          <w:tab w:val="left" w:pos="630"/>
        </w:tabs>
        <w:spacing w:after="120" w:line="240" w:lineRule="auto"/>
        <w:ind w:right="43"/>
      </w:pPr>
      <w:r w:rsidRPr="00195E9D">
        <w:rPr>
          <w:color w:val="0070C0"/>
        </w:rPr>
        <w:tab/>
      </w:r>
      <w:r w:rsidRPr="00195E9D">
        <w:rPr>
          <w:color w:val="0070C0"/>
          <w:u w:val="single"/>
        </w:rPr>
        <w:t>Blue</w:t>
      </w:r>
      <w:r w:rsidRPr="00195E9D">
        <w:rPr>
          <w:color w:val="0070C0"/>
        </w:rPr>
        <w:t xml:space="preserve"> </w:t>
      </w:r>
      <w:r w:rsidRPr="00195E9D">
        <w:t>indicates inserted text</w:t>
      </w:r>
    </w:p>
    <w:p w14:paraId="3D5A962C" w14:textId="77777777" w:rsidR="00EE4C7C" w:rsidRPr="00195E9D" w:rsidRDefault="00EE4C7C" w:rsidP="0048028F">
      <w:pPr>
        <w:pStyle w:val="SingleTxtG"/>
        <w:keepNext/>
        <w:keepLines/>
        <w:numPr>
          <w:ilvl w:val="0"/>
          <w:numId w:val="5"/>
        </w:numPr>
        <w:pBdr>
          <w:top w:val="single" w:sz="4" w:space="1" w:color="auto"/>
        </w:pBdr>
        <w:spacing w:line="240" w:lineRule="auto"/>
        <w:ind w:right="43"/>
        <w:rPr>
          <w:b/>
        </w:rPr>
      </w:pPr>
    </w:p>
    <w:p w14:paraId="573FF7C4" w14:textId="5DC26133" w:rsidR="00E92815" w:rsidRDefault="00990EAC" w:rsidP="0048028F">
      <w:pPr>
        <w:pStyle w:val="SingleTxtG"/>
        <w:keepNext/>
        <w:keepLines/>
        <w:spacing w:line="240" w:lineRule="auto"/>
        <w:ind w:left="0" w:right="39"/>
      </w:pPr>
      <w:r>
        <w:rPr>
          <w:b/>
          <w:u w:val="single"/>
        </w:rPr>
        <w:t>Section 2.1.1.1(c)</w:t>
      </w:r>
      <w:r w:rsidR="002B72B9" w:rsidRPr="00195E9D">
        <w:rPr>
          <w:b/>
        </w:rPr>
        <w:t xml:space="preserve"> </w:t>
      </w:r>
      <w:r w:rsidR="00E92815" w:rsidRPr="00195E9D">
        <w:t xml:space="preserve">– </w:t>
      </w:r>
      <w:r>
        <w:t xml:space="preserve">amend 2.1.1.1(c) </w:t>
      </w:r>
      <w:r w:rsidR="001E609E">
        <w:t xml:space="preserve">to remove comma </w:t>
      </w:r>
      <w:r>
        <w:t>as shown below:</w:t>
      </w:r>
    </w:p>
    <w:p w14:paraId="0E3E9FEA" w14:textId="5DF60542" w:rsidR="00990EAC" w:rsidRPr="00195E9D" w:rsidRDefault="00990EAC" w:rsidP="00990EAC">
      <w:pPr>
        <w:pStyle w:val="SingleTxtG"/>
        <w:keepNext/>
        <w:keepLines/>
        <w:spacing w:line="240" w:lineRule="auto"/>
        <w:ind w:left="567" w:right="39" w:firstLine="3"/>
      </w:pPr>
      <w:r w:rsidRPr="00990EAC">
        <w:t>Substances and articles not mentioned under (a) and (b) which are manufactured with a view to producing a practical</w:t>
      </w:r>
      <w:r w:rsidRPr="00990EAC">
        <w:rPr>
          <w:strike/>
          <w:color w:val="FF0000"/>
        </w:rPr>
        <w:t>,</w:t>
      </w:r>
      <w:r w:rsidRPr="00990EAC">
        <w:t xml:space="preserve"> e</w:t>
      </w:r>
      <w:r>
        <w:t>xplosive or pyrotechnic effect.</w:t>
      </w:r>
    </w:p>
    <w:p w14:paraId="41AB78F4" w14:textId="20CD9698" w:rsidR="00E92815" w:rsidRPr="00195E9D" w:rsidRDefault="00C2138C" w:rsidP="0048028F">
      <w:pPr>
        <w:pStyle w:val="SingleTxtG"/>
        <w:keepNext/>
        <w:keepLines/>
        <w:spacing w:line="240" w:lineRule="auto"/>
        <w:ind w:left="0" w:right="39"/>
        <w:rPr>
          <w:i/>
        </w:rPr>
      </w:pPr>
      <w:r w:rsidRPr="00195E9D">
        <w:rPr>
          <w:i/>
        </w:rPr>
        <w:t>Source:  ST/SG/AC.10/C.3</w:t>
      </w:r>
      <w:r w:rsidR="004276FE">
        <w:rPr>
          <w:i/>
        </w:rPr>
        <w:t>/2016/</w:t>
      </w:r>
      <w:r w:rsidR="00990EAC">
        <w:rPr>
          <w:i/>
        </w:rPr>
        <w:t>53</w:t>
      </w:r>
      <w:r w:rsidRPr="00195E9D">
        <w:rPr>
          <w:i/>
        </w:rPr>
        <w:t xml:space="preserve">, Para. </w:t>
      </w:r>
      <w:proofErr w:type="gramStart"/>
      <w:r w:rsidR="00990EAC">
        <w:rPr>
          <w:i/>
        </w:rPr>
        <w:t>8</w:t>
      </w:r>
      <w:r w:rsidR="004F7FF4" w:rsidRPr="00195E9D">
        <w:rPr>
          <w:i/>
        </w:rPr>
        <w:t xml:space="preserve"> and Para.</w:t>
      </w:r>
      <w:proofErr w:type="gramEnd"/>
      <w:r w:rsidR="004F7FF4" w:rsidRPr="00195E9D">
        <w:rPr>
          <w:i/>
        </w:rPr>
        <w:t xml:space="preserve"> </w:t>
      </w:r>
      <w:proofErr w:type="gramStart"/>
      <w:r w:rsidR="00782EB8">
        <w:rPr>
          <w:i/>
        </w:rPr>
        <w:t>5</w:t>
      </w:r>
      <w:r w:rsidR="004F7FF4" w:rsidRPr="00195E9D">
        <w:rPr>
          <w:i/>
        </w:rPr>
        <w:t xml:space="preserve"> of this report.</w:t>
      </w:r>
      <w:proofErr w:type="gramEnd"/>
    </w:p>
    <w:p w14:paraId="5CA8DE7C" w14:textId="77777777" w:rsidR="00990EAC" w:rsidRPr="00195E9D" w:rsidRDefault="00990EAC" w:rsidP="00990EAC">
      <w:pPr>
        <w:pStyle w:val="SingleTxtG"/>
        <w:numPr>
          <w:ilvl w:val="0"/>
          <w:numId w:val="5"/>
        </w:numPr>
        <w:pBdr>
          <w:top w:val="single" w:sz="4" w:space="1" w:color="auto"/>
        </w:pBdr>
        <w:spacing w:line="240" w:lineRule="auto"/>
        <w:ind w:right="43"/>
        <w:rPr>
          <w:b/>
        </w:rPr>
      </w:pPr>
    </w:p>
    <w:p w14:paraId="556C1EB3" w14:textId="4B37EABC" w:rsidR="00990EAC" w:rsidRPr="00195E9D" w:rsidRDefault="00990EAC" w:rsidP="00990EAC">
      <w:pPr>
        <w:pStyle w:val="SingleTxtG"/>
        <w:spacing w:line="240" w:lineRule="auto"/>
        <w:ind w:left="0" w:right="39"/>
      </w:pPr>
      <w:r w:rsidRPr="00195E9D">
        <w:rPr>
          <w:b/>
          <w:u w:val="single"/>
        </w:rPr>
        <w:t>Section</w:t>
      </w:r>
      <w:r w:rsidR="00A1139D">
        <w:rPr>
          <w:b/>
          <w:u w:val="single"/>
        </w:rPr>
        <w:t xml:space="preserve"> </w:t>
      </w:r>
      <w:proofErr w:type="gramStart"/>
      <w:r w:rsidR="00A1139D">
        <w:rPr>
          <w:b/>
          <w:u w:val="single"/>
        </w:rPr>
        <w:t>2.0.4</w:t>
      </w:r>
      <w:r w:rsidRPr="00195E9D">
        <w:rPr>
          <w:b/>
          <w:u w:val="single"/>
        </w:rPr>
        <w:t xml:space="preserve"> </w:t>
      </w:r>
      <w:r w:rsidRPr="00195E9D">
        <w:rPr>
          <w:b/>
        </w:rPr>
        <w:t xml:space="preserve"> </w:t>
      </w:r>
      <w:r w:rsidRPr="00195E9D">
        <w:t>–</w:t>
      </w:r>
      <w:proofErr w:type="gramEnd"/>
      <w:r w:rsidRPr="00195E9D">
        <w:t xml:space="preserve"> amend</w:t>
      </w:r>
      <w:r>
        <w:t xml:space="preserve"> </w:t>
      </w:r>
      <w:r w:rsidR="00A1139D">
        <w:t>2.0.4 by adding 2.0.4.3</w:t>
      </w:r>
      <w:r>
        <w:t xml:space="preserve"> as shown below</w:t>
      </w:r>
      <w:r w:rsidRPr="00195E9D">
        <w:t>:</w:t>
      </w:r>
    </w:p>
    <w:p w14:paraId="2A7E064D" w14:textId="77777777" w:rsidR="00A1139D" w:rsidRPr="00055FE8" w:rsidRDefault="00A1139D" w:rsidP="00A1139D">
      <w:pPr>
        <w:tabs>
          <w:tab w:val="left" w:pos="1701"/>
        </w:tabs>
        <w:spacing w:after="120"/>
        <w:ind w:left="1134" w:right="1134"/>
        <w:jc w:val="both"/>
        <w:rPr>
          <w:color w:val="1F497D" w:themeColor="text2"/>
          <w:u w:val="single"/>
        </w:rPr>
      </w:pPr>
      <w:r w:rsidRPr="00055FE8">
        <w:rPr>
          <w:color w:val="1F497D" w:themeColor="text2"/>
          <w:u w:val="single"/>
        </w:rPr>
        <w:t xml:space="preserve">2.0.4.3 </w:t>
      </w:r>
      <w:r w:rsidRPr="00055FE8">
        <w:rPr>
          <w:color w:val="1F497D" w:themeColor="text2"/>
          <w:u w:val="single"/>
        </w:rPr>
        <w:tab/>
        <w:t>Samples of energetic materials for testing purposes</w:t>
      </w:r>
    </w:p>
    <w:p w14:paraId="3FC47B69" w14:textId="2A40BDF6" w:rsidR="00A1139D" w:rsidRPr="00055FE8" w:rsidRDefault="00A1139D" w:rsidP="00A1139D">
      <w:pPr>
        <w:tabs>
          <w:tab w:val="left" w:pos="1701"/>
        </w:tabs>
        <w:spacing w:after="120"/>
        <w:ind w:left="1701" w:right="1134"/>
        <w:jc w:val="both"/>
        <w:rPr>
          <w:color w:val="1F497D" w:themeColor="text2"/>
          <w:u w:val="single"/>
        </w:rPr>
      </w:pPr>
      <w:r w:rsidRPr="00055FE8">
        <w:rPr>
          <w:color w:val="1F497D" w:themeColor="text2"/>
          <w:u w:val="single"/>
        </w:rPr>
        <w:t>2.0.4.3.1</w:t>
      </w:r>
      <w:r w:rsidRPr="00055FE8">
        <w:rPr>
          <w:color w:val="1F497D" w:themeColor="text2"/>
          <w:u w:val="single"/>
        </w:rPr>
        <w:tab/>
        <w:t>Samples of organic substances carrying functional groups listed in tables A6.1 and/or A6.</w:t>
      </w:r>
      <w:r w:rsidR="008028C9" w:rsidRPr="00055FE8">
        <w:rPr>
          <w:color w:val="1F497D" w:themeColor="text2"/>
          <w:u w:val="single"/>
        </w:rPr>
        <w:t>3</w:t>
      </w:r>
      <w:r w:rsidRPr="00055FE8">
        <w:rPr>
          <w:color w:val="1F497D" w:themeColor="text2"/>
          <w:u w:val="single"/>
        </w:rPr>
        <w:t xml:space="preserve"> in Annex 6 (Screening Procedures) of the Manual of Tests and Criteria may be transported under UN 3224 (solid self-reactive substances) or UN 3223 (liquid self-reactive substances), as applicable, of Division 4.1 provided that:</w:t>
      </w:r>
    </w:p>
    <w:p w14:paraId="6FBF30E6" w14:textId="77777777" w:rsidR="00A1139D" w:rsidRPr="00055FE8" w:rsidRDefault="00A1139D" w:rsidP="00213069">
      <w:pPr>
        <w:numPr>
          <w:ilvl w:val="0"/>
          <w:numId w:val="8"/>
        </w:numPr>
        <w:ind w:right="1138" w:firstLine="0"/>
        <w:jc w:val="both"/>
        <w:rPr>
          <w:color w:val="1F497D" w:themeColor="text2"/>
          <w:u w:val="single"/>
        </w:rPr>
      </w:pPr>
      <w:r w:rsidRPr="00055FE8">
        <w:rPr>
          <w:color w:val="1F497D" w:themeColor="text2"/>
          <w:u w:val="single"/>
        </w:rPr>
        <w:t>The samples do not contain any</w:t>
      </w:r>
    </w:p>
    <w:p w14:paraId="14C3EBE2" w14:textId="77777777" w:rsidR="00A1139D" w:rsidRPr="00055FE8" w:rsidRDefault="00A1139D" w:rsidP="00213069">
      <w:pPr>
        <w:numPr>
          <w:ilvl w:val="0"/>
          <w:numId w:val="10"/>
        </w:numPr>
        <w:ind w:right="1138"/>
        <w:jc w:val="both"/>
        <w:rPr>
          <w:color w:val="1F497D" w:themeColor="text2"/>
          <w:u w:val="single"/>
        </w:rPr>
      </w:pPr>
      <w:r w:rsidRPr="00055FE8">
        <w:rPr>
          <w:color w:val="1F497D" w:themeColor="text2"/>
          <w:u w:val="single"/>
        </w:rPr>
        <w:t>known explosives,</w:t>
      </w:r>
    </w:p>
    <w:p w14:paraId="3B3CE809" w14:textId="77777777" w:rsidR="00A1139D" w:rsidRPr="00055FE8" w:rsidRDefault="00A1139D" w:rsidP="00213069">
      <w:pPr>
        <w:numPr>
          <w:ilvl w:val="0"/>
          <w:numId w:val="10"/>
        </w:numPr>
        <w:ind w:right="1138"/>
        <w:jc w:val="both"/>
        <w:rPr>
          <w:color w:val="1F497D" w:themeColor="text2"/>
          <w:u w:val="single"/>
        </w:rPr>
      </w:pPr>
      <w:r w:rsidRPr="00055FE8">
        <w:rPr>
          <w:color w:val="1F497D" w:themeColor="text2"/>
          <w:u w:val="single"/>
        </w:rPr>
        <w:t>substances showing explosive effects in testing,</w:t>
      </w:r>
    </w:p>
    <w:p w14:paraId="2A9E7E2F" w14:textId="77777777" w:rsidR="00A1139D" w:rsidRPr="00055FE8" w:rsidRDefault="00A1139D" w:rsidP="00213069">
      <w:pPr>
        <w:numPr>
          <w:ilvl w:val="0"/>
          <w:numId w:val="10"/>
        </w:numPr>
        <w:ind w:right="1138"/>
        <w:jc w:val="both"/>
        <w:rPr>
          <w:color w:val="1F497D" w:themeColor="text2"/>
          <w:u w:val="single"/>
        </w:rPr>
      </w:pPr>
      <w:r w:rsidRPr="00055FE8">
        <w:rPr>
          <w:color w:val="1F497D" w:themeColor="text2"/>
          <w:u w:val="single"/>
        </w:rPr>
        <w:t>compounds designed with the view of producing a practical explosive or pyrotechnic effect, or</w:t>
      </w:r>
    </w:p>
    <w:p w14:paraId="1D5B8D8B" w14:textId="26BF846A" w:rsidR="00A1139D" w:rsidRPr="00055FE8" w:rsidRDefault="00A1139D" w:rsidP="00213069">
      <w:pPr>
        <w:numPr>
          <w:ilvl w:val="0"/>
          <w:numId w:val="10"/>
        </w:numPr>
        <w:spacing w:after="120"/>
        <w:ind w:right="1134"/>
        <w:jc w:val="both"/>
        <w:rPr>
          <w:color w:val="1F497D" w:themeColor="text2"/>
          <w:u w:val="single"/>
        </w:rPr>
      </w:pPr>
      <w:r w:rsidRPr="00055FE8">
        <w:rPr>
          <w:color w:val="1F497D" w:themeColor="text2"/>
          <w:u w:val="single"/>
        </w:rPr>
        <w:t>components consisting of synthetic precursors of intentional explosives</w:t>
      </w:r>
      <w:r w:rsidR="001F31F1">
        <w:rPr>
          <w:color w:val="1F497D" w:themeColor="text2"/>
          <w:u w:val="single"/>
        </w:rPr>
        <w:t>;</w:t>
      </w:r>
    </w:p>
    <w:p w14:paraId="5C51D760" w14:textId="77777777" w:rsidR="00A1139D" w:rsidRPr="00055FE8" w:rsidRDefault="00A1139D" w:rsidP="00213069">
      <w:pPr>
        <w:numPr>
          <w:ilvl w:val="0"/>
          <w:numId w:val="8"/>
        </w:numPr>
        <w:spacing w:after="120"/>
        <w:ind w:right="1134" w:firstLine="0"/>
        <w:jc w:val="both"/>
        <w:rPr>
          <w:color w:val="1F497D" w:themeColor="text2"/>
          <w:u w:val="single"/>
        </w:rPr>
      </w:pPr>
      <w:r w:rsidRPr="00055FE8">
        <w:rPr>
          <w:color w:val="1F497D" w:themeColor="text2"/>
          <w:u w:val="single"/>
        </w:rPr>
        <w:t>For mixtures, complexes or salts of inorganic oxidizing substances of Division 5.1 with organic material(s), the concentration of the inorganic oxidizing substance is:</w:t>
      </w:r>
    </w:p>
    <w:p w14:paraId="4AC05B76" w14:textId="0ACD21F3" w:rsidR="00A1139D" w:rsidRPr="00055FE8" w:rsidRDefault="00A1139D" w:rsidP="00213069">
      <w:pPr>
        <w:numPr>
          <w:ilvl w:val="2"/>
          <w:numId w:val="9"/>
        </w:numPr>
        <w:spacing w:after="120"/>
        <w:ind w:left="2268" w:right="1134" w:firstLine="0"/>
        <w:jc w:val="both"/>
        <w:rPr>
          <w:color w:val="1F497D" w:themeColor="text2"/>
          <w:u w:val="single"/>
        </w:rPr>
      </w:pPr>
      <w:r w:rsidRPr="00055FE8">
        <w:rPr>
          <w:color w:val="1F497D" w:themeColor="text2"/>
          <w:u w:val="single"/>
        </w:rPr>
        <w:t xml:space="preserve">Less than 15%, by mass, if assigned to packing group I (high hazard) </w:t>
      </w:r>
      <w:r w:rsidRPr="00055FE8">
        <w:rPr>
          <w:color w:val="1F497D" w:themeColor="text2"/>
          <w:u w:val="single"/>
        </w:rPr>
        <w:tab/>
      </w:r>
      <w:r w:rsidRPr="00055FE8">
        <w:rPr>
          <w:color w:val="1F497D" w:themeColor="text2"/>
          <w:u w:val="single"/>
        </w:rPr>
        <w:tab/>
        <w:t>or II (medium hazard);</w:t>
      </w:r>
      <w:r w:rsidR="001F31F1">
        <w:rPr>
          <w:color w:val="1F497D" w:themeColor="text2"/>
          <w:u w:val="single"/>
        </w:rPr>
        <w:t xml:space="preserve"> or</w:t>
      </w:r>
    </w:p>
    <w:p w14:paraId="18D307AB" w14:textId="77777777" w:rsidR="00A1139D" w:rsidRPr="00055FE8" w:rsidRDefault="00A1139D" w:rsidP="00213069">
      <w:pPr>
        <w:numPr>
          <w:ilvl w:val="2"/>
          <w:numId w:val="9"/>
        </w:numPr>
        <w:ind w:left="2275" w:right="1138" w:firstLine="0"/>
        <w:jc w:val="both"/>
        <w:rPr>
          <w:color w:val="1F497D" w:themeColor="text2"/>
          <w:u w:val="single"/>
        </w:rPr>
      </w:pPr>
      <w:r w:rsidRPr="00055FE8">
        <w:rPr>
          <w:color w:val="1F497D" w:themeColor="text2"/>
          <w:u w:val="single"/>
        </w:rPr>
        <w:t>Less than 30%, by mass, if assigned to packing group III (low</w:t>
      </w:r>
    </w:p>
    <w:p w14:paraId="508192AF" w14:textId="2A23B1EE" w:rsidR="00A1139D" w:rsidRPr="00055FE8" w:rsidRDefault="00A1139D" w:rsidP="00A1139D">
      <w:pPr>
        <w:spacing w:after="120"/>
        <w:ind w:left="2268" w:right="1134" w:firstLine="567"/>
        <w:jc w:val="both"/>
        <w:rPr>
          <w:color w:val="1F497D" w:themeColor="text2"/>
          <w:u w:val="single"/>
        </w:rPr>
      </w:pPr>
      <w:proofErr w:type="gramStart"/>
      <w:r w:rsidRPr="00055FE8">
        <w:rPr>
          <w:color w:val="1F497D" w:themeColor="text2"/>
          <w:u w:val="single"/>
        </w:rPr>
        <w:t>hazard</w:t>
      </w:r>
      <w:proofErr w:type="gramEnd"/>
      <w:r w:rsidRPr="00055FE8">
        <w:rPr>
          <w:color w:val="1F497D" w:themeColor="text2"/>
          <w:u w:val="single"/>
        </w:rPr>
        <w:t>);</w:t>
      </w:r>
    </w:p>
    <w:p w14:paraId="15E53518" w14:textId="72437EFA" w:rsidR="00A1139D" w:rsidRPr="00055FE8" w:rsidRDefault="00A1139D" w:rsidP="00213069">
      <w:pPr>
        <w:numPr>
          <w:ilvl w:val="0"/>
          <w:numId w:val="8"/>
        </w:numPr>
        <w:spacing w:after="120"/>
        <w:ind w:right="1134" w:firstLine="0"/>
        <w:jc w:val="both"/>
        <w:rPr>
          <w:color w:val="1F497D" w:themeColor="text2"/>
          <w:u w:val="single"/>
        </w:rPr>
      </w:pPr>
      <w:r w:rsidRPr="00055FE8">
        <w:rPr>
          <w:color w:val="1F497D" w:themeColor="text2"/>
          <w:u w:val="single"/>
        </w:rPr>
        <w:t>Available data do not allow a more precise classification;</w:t>
      </w:r>
    </w:p>
    <w:p w14:paraId="15329451" w14:textId="226B34C8" w:rsidR="00A1139D" w:rsidRPr="00055FE8" w:rsidRDefault="00A1139D" w:rsidP="00213069">
      <w:pPr>
        <w:numPr>
          <w:ilvl w:val="0"/>
          <w:numId w:val="8"/>
        </w:numPr>
        <w:spacing w:after="120"/>
        <w:ind w:right="1134" w:firstLine="0"/>
        <w:jc w:val="both"/>
        <w:rPr>
          <w:color w:val="1F497D" w:themeColor="text2"/>
          <w:u w:val="single"/>
        </w:rPr>
      </w:pPr>
      <w:r w:rsidRPr="00055FE8">
        <w:rPr>
          <w:color w:val="1F497D" w:themeColor="text2"/>
          <w:u w:val="single"/>
        </w:rPr>
        <w:t>The sample is not packed together with other goods</w:t>
      </w:r>
      <w:r w:rsidR="001F31F1">
        <w:rPr>
          <w:color w:val="1F497D" w:themeColor="text2"/>
          <w:u w:val="single"/>
        </w:rPr>
        <w:t>; and</w:t>
      </w:r>
    </w:p>
    <w:p w14:paraId="2FE2A932" w14:textId="0E19311A" w:rsidR="00990EAC" w:rsidRPr="00B70D8F" w:rsidRDefault="00A1139D" w:rsidP="00213069">
      <w:pPr>
        <w:numPr>
          <w:ilvl w:val="0"/>
          <w:numId w:val="8"/>
        </w:numPr>
        <w:spacing w:after="120"/>
        <w:ind w:right="1134" w:firstLine="0"/>
        <w:jc w:val="both"/>
        <w:rPr>
          <w:color w:val="1F497D" w:themeColor="text2"/>
        </w:rPr>
      </w:pPr>
      <w:r w:rsidRPr="00055FE8">
        <w:rPr>
          <w:color w:val="1F497D" w:themeColor="text2"/>
          <w:u w:val="single"/>
        </w:rPr>
        <w:t>The sample is packaged in accordance with special packaging provision PP94 or PP95, as applicable.</w:t>
      </w:r>
    </w:p>
    <w:p w14:paraId="2581B9C8" w14:textId="332F1E36" w:rsidR="00990EAC" w:rsidRPr="00195E9D" w:rsidRDefault="00990EAC" w:rsidP="00990EAC">
      <w:pPr>
        <w:pStyle w:val="SingleTxtG"/>
        <w:spacing w:line="240" w:lineRule="auto"/>
        <w:ind w:left="0" w:right="39"/>
        <w:rPr>
          <w:i/>
        </w:rPr>
      </w:pPr>
      <w:r w:rsidRPr="00195E9D">
        <w:rPr>
          <w:i/>
        </w:rPr>
        <w:t xml:space="preserve">Source:  </w:t>
      </w:r>
      <w:r w:rsidR="0016496C" w:rsidRPr="0016496C">
        <w:rPr>
          <w:i/>
        </w:rPr>
        <w:t>UN/SCETDG/50/INF.23</w:t>
      </w:r>
      <w:r w:rsidR="00876122">
        <w:rPr>
          <w:i/>
        </w:rPr>
        <w:t>,</w:t>
      </w:r>
      <w:r w:rsidRPr="00195E9D">
        <w:rPr>
          <w:i/>
        </w:rPr>
        <w:t xml:space="preserve"> </w:t>
      </w:r>
      <w:r w:rsidR="00661EA8">
        <w:rPr>
          <w:i/>
        </w:rPr>
        <w:t>Para</w:t>
      </w:r>
      <w:r w:rsidR="00876122">
        <w:rPr>
          <w:i/>
        </w:rPr>
        <w:t>.</w:t>
      </w:r>
      <w:r w:rsidR="00661EA8">
        <w:rPr>
          <w:i/>
        </w:rPr>
        <w:t xml:space="preserve"> </w:t>
      </w:r>
      <w:proofErr w:type="gramStart"/>
      <w:r w:rsidR="00661EA8">
        <w:rPr>
          <w:i/>
        </w:rPr>
        <w:t xml:space="preserve">4 </w:t>
      </w:r>
      <w:r>
        <w:rPr>
          <w:i/>
        </w:rPr>
        <w:t xml:space="preserve">(as amended by the working group) </w:t>
      </w:r>
      <w:r w:rsidRPr="00195E9D">
        <w:rPr>
          <w:i/>
        </w:rPr>
        <w:t>and Para.</w:t>
      </w:r>
      <w:proofErr w:type="gramEnd"/>
      <w:r w:rsidRPr="00195E9D">
        <w:rPr>
          <w:i/>
        </w:rPr>
        <w:t xml:space="preserve"> </w:t>
      </w:r>
      <w:proofErr w:type="gramStart"/>
      <w:r w:rsidR="00782EB8">
        <w:rPr>
          <w:i/>
        </w:rPr>
        <w:t>7</w:t>
      </w:r>
      <w:r w:rsidRPr="00195E9D">
        <w:rPr>
          <w:i/>
        </w:rPr>
        <w:t xml:space="preserve"> of this report.</w:t>
      </w:r>
      <w:proofErr w:type="gramEnd"/>
    </w:p>
    <w:p w14:paraId="63CA8016" w14:textId="77777777" w:rsidR="00990EAC" w:rsidRPr="00195E9D" w:rsidRDefault="00990EAC" w:rsidP="00990EAC">
      <w:pPr>
        <w:pStyle w:val="SingleTxtG"/>
        <w:numPr>
          <w:ilvl w:val="0"/>
          <w:numId w:val="5"/>
        </w:numPr>
        <w:pBdr>
          <w:top w:val="single" w:sz="4" w:space="1" w:color="auto"/>
        </w:pBdr>
        <w:spacing w:line="240" w:lineRule="auto"/>
        <w:ind w:right="43"/>
        <w:rPr>
          <w:b/>
        </w:rPr>
      </w:pPr>
    </w:p>
    <w:p w14:paraId="7B1D29F0" w14:textId="757CC17B" w:rsidR="002126A7" w:rsidRPr="002126A7" w:rsidRDefault="00CF5F97" w:rsidP="00CF5F97">
      <w:pPr>
        <w:pStyle w:val="SingleTxtG"/>
        <w:keepNext/>
        <w:keepLines/>
        <w:spacing w:line="240" w:lineRule="auto"/>
        <w:ind w:left="0" w:right="39"/>
      </w:pPr>
      <w:r w:rsidRPr="00CF5F97">
        <w:rPr>
          <w:b/>
          <w:u w:val="single"/>
        </w:rPr>
        <w:lastRenderedPageBreak/>
        <w:t>Chapter 3.2, Dangerous Goods List</w:t>
      </w:r>
      <w:r w:rsidRPr="00CF5F97">
        <w:rPr>
          <w:b/>
        </w:rPr>
        <w:t xml:space="preserve"> </w:t>
      </w:r>
      <w:r w:rsidRPr="00CF5F97">
        <w:t xml:space="preserve">– </w:t>
      </w:r>
      <w:r>
        <w:t>Add PP94 and PP95 in Column 9</w:t>
      </w:r>
      <w:r w:rsidRPr="00CF5F97">
        <w:t xml:space="preserve"> (Special </w:t>
      </w:r>
      <w:r>
        <w:t>packing p</w:t>
      </w:r>
      <w:r w:rsidRPr="00CF5F97">
        <w:t xml:space="preserve">rovisions) against the following UN Nos.:  </w:t>
      </w:r>
      <w:r>
        <w:t>3223</w:t>
      </w:r>
      <w:r w:rsidRPr="00CF5F97">
        <w:t xml:space="preserve"> and </w:t>
      </w:r>
      <w:r>
        <w:t>332</w:t>
      </w:r>
      <w:r w:rsidRPr="00CF5F97">
        <w:t>4</w:t>
      </w:r>
      <w:r>
        <w:t xml:space="preserve"> as shown below.</w:t>
      </w:r>
    </w:p>
    <w:tbl>
      <w:tblPr>
        <w:tblStyle w:val="TableGrid"/>
        <w:tblW w:w="9072" w:type="dxa"/>
        <w:jc w:val="center"/>
        <w:tblLayout w:type="fixed"/>
        <w:tblLook w:val="04A0" w:firstRow="1" w:lastRow="0" w:firstColumn="1" w:lastColumn="0" w:noHBand="0" w:noVBand="1"/>
      </w:tblPr>
      <w:tblGrid>
        <w:gridCol w:w="511"/>
        <w:gridCol w:w="1899"/>
        <w:gridCol w:w="567"/>
        <w:gridCol w:w="567"/>
        <w:gridCol w:w="708"/>
        <w:gridCol w:w="709"/>
        <w:gridCol w:w="567"/>
        <w:gridCol w:w="425"/>
        <w:gridCol w:w="818"/>
        <w:gridCol w:w="742"/>
        <w:gridCol w:w="708"/>
        <w:gridCol w:w="851"/>
      </w:tblGrid>
      <w:tr w:rsidR="002126A7" w:rsidRPr="002126A7" w14:paraId="3EA9D712" w14:textId="77777777" w:rsidTr="00560974">
        <w:trPr>
          <w:trHeight w:val="546"/>
          <w:jc w:val="center"/>
        </w:trPr>
        <w:tc>
          <w:tcPr>
            <w:tcW w:w="511" w:type="dxa"/>
            <w:vMerge w:val="restart"/>
            <w:vAlign w:val="center"/>
          </w:tcPr>
          <w:p w14:paraId="28DED460" w14:textId="77777777" w:rsidR="002126A7" w:rsidRPr="002126A7" w:rsidRDefault="002126A7" w:rsidP="002126A7">
            <w:pPr>
              <w:spacing w:after="120"/>
              <w:jc w:val="center"/>
            </w:pPr>
            <w:r w:rsidRPr="002126A7">
              <w:t>UN</w:t>
            </w:r>
            <w:r w:rsidRPr="002126A7">
              <w:br/>
              <w:t>No.</w:t>
            </w:r>
          </w:p>
        </w:tc>
        <w:tc>
          <w:tcPr>
            <w:tcW w:w="1899" w:type="dxa"/>
            <w:vMerge w:val="restart"/>
            <w:vAlign w:val="center"/>
          </w:tcPr>
          <w:p w14:paraId="078627D7" w14:textId="77777777" w:rsidR="002126A7" w:rsidRPr="002126A7" w:rsidRDefault="002126A7" w:rsidP="002126A7">
            <w:pPr>
              <w:spacing w:after="120"/>
              <w:jc w:val="center"/>
            </w:pPr>
            <w:r w:rsidRPr="002126A7">
              <w:t>Name and description</w:t>
            </w:r>
          </w:p>
        </w:tc>
        <w:tc>
          <w:tcPr>
            <w:tcW w:w="567" w:type="dxa"/>
            <w:vMerge w:val="restart"/>
            <w:vAlign w:val="center"/>
          </w:tcPr>
          <w:p w14:paraId="40B32917" w14:textId="77777777" w:rsidR="002126A7" w:rsidRPr="002126A7" w:rsidRDefault="002126A7" w:rsidP="002126A7">
            <w:pPr>
              <w:spacing w:after="120"/>
              <w:jc w:val="center"/>
            </w:pPr>
            <w:r w:rsidRPr="002126A7">
              <w:t xml:space="preserve">Class or </w:t>
            </w:r>
            <w:proofErr w:type="spellStart"/>
            <w:r w:rsidRPr="002126A7">
              <w:t>divi-sion</w:t>
            </w:r>
            <w:proofErr w:type="spellEnd"/>
          </w:p>
        </w:tc>
        <w:tc>
          <w:tcPr>
            <w:tcW w:w="567" w:type="dxa"/>
            <w:vMerge w:val="restart"/>
            <w:vAlign w:val="center"/>
          </w:tcPr>
          <w:p w14:paraId="343C23DC" w14:textId="77777777" w:rsidR="002126A7" w:rsidRPr="002126A7" w:rsidRDefault="002126A7" w:rsidP="002126A7">
            <w:pPr>
              <w:spacing w:after="120"/>
              <w:jc w:val="center"/>
            </w:pPr>
            <w:proofErr w:type="spellStart"/>
            <w:r w:rsidRPr="002126A7">
              <w:t>Subsi</w:t>
            </w:r>
            <w:proofErr w:type="spellEnd"/>
            <w:r w:rsidRPr="002126A7">
              <w:t>-diary risk</w:t>
            </w:r>
          </w:p>
        </w:tc>
        <w:tc>
          <w:tcPr>
            <w:tcW w:w="708" w:type="dxa"/>
            <w:vMerge w:val="restart"/>
            <w:vAlign w:val="center"/>
          </w:tcPr>
          <w:p w14:paraId="023873DC" w14:textId="77777777" w:rsidR="002126A7" w:rsidRPr="002126A7" w:rsidRDefault="002126A7" w:rsidP="002126A7">
            <w:pPr>
              <w:spacing w:after="120"/>
              <w:jc w:val="center"/>
            </w:pPr>
            <w:r w:rsidRPr="002126A7">
              <w:t>UN packing group</w:t>
            </w:r>
          </w:p>
        </w:tc>
        <w:tc>
          <w:tcPr>
            <w:tcW w:w="709" w:type="dxa"/>
            <w:vMerge w:val="restart"/>
            <w:vAlign w:val="center"/>
          </w:tcPr>
          <w:p w14:paraId="4AC17698" w14:textId="77777777" w:rsidR="002126A7" w:rsidRPr="002126A7" w:rsidRDefault="002126A7" w:rsidP="002126A7">
            <w:pPr>
              <w:spacing w:after="120"/>
              <w:jc w:val="center"/>
            </w:pPr>
            <w:r w:rsidRPr="002126A7">
              <w:t xml:space="preserve">Special </w:t>
            </w:r>
            <w:proofErr w:type="spellStart"/>
            <w:r w:rsidRPr="002126A7">
              <w:t>provi-sions</w:t>
            </w:r>
            <w:proofErr w:type="spellEnd"/>
          </w:p>
        </w:tc>
        <w:tc>
          <w:tcPr>
            <w:tcW w:w="992" w:type="dxa"/>
            <w:gridSpan w:val="2"/>
            <w:vMerge w:val="restart"/>
            <w:vAlign w:val="center"/>
          </w:tcPr>
          <w:p w14:paraId="7AEF7D7C" w14:textId="77777777" w:rsidR="002126A7" w:rsidRPr="002126A7" w:rsidRDefault="002126A7" w:rsidP="002126A7">
            <w:pPr>
              <w:spacing w:after="120"/>
              <w:jc w:val="center"/>
            </w:pPr>
            <w:r w:rsidRPr="002126A7">
              <w:t>Limited and excepted quantities</w:t>
            </w:r>
          </w:p>
        </w:tc>
        <w:tc>
          <w:tcPr>
            <w:tcW w:w="1560" w:type="dxa"/>
            <w:gridSpan w:val="2"/>
            <w:vAlign w:val="center"/>
          </w:tcPr>
          <w:p w14:paraId="50ADEDD7" w14:textId="77777777" w:rsidR="002126A7" w:rsidRPr="002126A7" w:rsidRDefault="002126A7" w:rsidP="002126A7">
            <w:pPr>
              <w:spacing w:after="120"/>
              <w:jc w:val="center"/>
            </w:pPr>
            <w:proofErr w:type="spellStart"/>
            <w:r w:rsidRPr="002126A7">
              <w:t>Packagings</w:t>
            </w:r>
            <w:proofErr w:type="spellEnd"/>
            <w:r w:rsidRPr="002126A7">
              <w:t xml:space="preserve"> and IBCs</w:t>
            </w:r>
          </w:p>
        </w:tc>
        <w:tc>
          <w:tcPr>
            <w:tcW w:w="1559" w:type="dxa"/>
            <w:gridSpan w:val="2"/>
            <w:vAlign w:val="center"/>
          </w:tcPr>
          <w:p w14:paraId="3B8A2B3F" w14:textId="77777777" w:rsidR="002126A7" w:rsidRPr="002126A7" w:rsidRDefault="002126A7" w:rsidP="002126A7">
            <w:pPr>
              <w:spacing w:after="120"/>
              <w:jc w:val="center"/>
            </w:pPr>
            <w:r w:rsidRPr="002126A7">
              <w:t>Portable tanks and bulk containers</w:t>
            </w:r>
          </w:p>
        </w:tc>
      </w:tr>
      <w:tr w:rsidR="002126A7" w:rsidRPr="002126A7" w14:paraId="0E3CDDBF" w14:textId="77777777" w:rsidTr="00560974">
        <w:trPr>
          <w:trHeight w:val="1099"/>
          <w:jc w:val="center"/>
        </w:trPr>
        <w:tc>
          <w:tcPr>
            <w:tcW w:w="511" w:type="dxa"/>
            <w:vMerge/>
            <w:vAlign w:val="center"/>
          </w:tcPr>
          <w:p w14:paraId="14AC9672" w14:textId="77777777" w:rsidR="002126A7" w:rsidRPr="002126A7" w:rsidRDefault="002126A7" w:rsidP="002126A7">
            <w:pPr>
              <w:spacing w:after="120"/>
              <w:jc w:val="center"/>
            </w:pPr>
          </w:p>
        </w:tc>
        <w:tc>
          <w:tcPr>
            <w:tcW w:w="1899" w:type="dxa"/>
            <w:vMerge/>
            <w:vAlign w:val="center"/>
          </w:tcPr>
          <w:p w14:paraId="3C146323" w14:textId="77777777" w:rsidR="002126A7" w:rsidRPr="002126A7" w:rsidRDefault="002126A7" w:rsidP="002126A7">
            <w:pPr>
              <w:spacing w:after="120"/>
              <w:jc w:val="center"/>
            </w:pPr>
          </w:p>
        </w:tc>
        <w:tc>
          <w:tcPr>
            <w:tcW w:w="567" w:type="dxa"/>
            <w:vMerge/>
            <w:vAlign w:val="center"/>
          </w:tcPr>
          <w:p w14:paraId="752C19BE" w14:textId="77777777" w:rsidR="002126A7" w:rsidRPr="002126A7" w:rsidRDefault="002126A7" w:rsidP="002126A7">
            <w:pPr>
              <w:spacing w:after="120"/>
              <w:jc w:val="center"/>
            </w:pPr>
          </w:p>
        </w:tc>
        <w:tc>
          <w:tcPr>
            <w:tcW w:w="567" w:type="dxa"/>
            <w:vMerge/>
            <w:vAlign w:val="center"/>
          </w:tcPr>
          <w:p w14:paraId="37E47AAC" w14:textId="77777777" w:rsidR="002126A7" w:rsidRPr="002126A7" w:rsidRDefault="002126A7" w:rsidP="002126A7">
            <w:pPr>
              <w:spacing w:after="120"/>
              <w:jc w:val="center"/>
            </w:pPr>
          </w:p>
        </w:tc>
        <w:tc>
          <w:tcPr>
            <w:tcW w:w="708" w:type="dxa"/>
            <w:vMerge/>
            <w:vAlign w:val="center"/>
          </w:tcPr>
          <w:p w14:paraId="5342DA7F" w14:textId="77777777" w:rsidR="002126A7" w:rsidRPr="002126A7" w:rsidRDefault="002126A7" w:rsidP="002126A7">
            <w:pPr>
              <w:spacing w:after="120"/>
              <w:jc w:val="center"/>
            </w:pPr>
          </w:p>
        </w:tc>
        <w:tc>
          <w:tcPr>
            <w:tcW w:w="709" w:type="dxa"/>
            <w:vMerge/>
            <w:vAlign w:val="center"/>
          </w:tcPr>
          <w:p w14:paraId="46C514F3" w14:textId="77777777" w:rsidR="002126A7" w:rsidRPr="002126A7" w:rsidRDefault="002126A7" w:rsidP="002126A7">
            <w:pPr>
              <w:spacing w:after="120"/>
              <w:jc w:val="center"/>
            </w:pPr>
          </w:p>
        </w:tc>
        <w:tc>
          <w:tcPr>
            <w:tcW w:w="992" w:type="dxa"/>
            <w:gridSpan w:val="2"/>
            <w:vMerge/>
            <w:vAlign w:val="center"/>
          </w:tcPr>
          <w:p w14:paraId="11C18DD0" w14:textId="77777777" w:rsidR="002126A7" w:rsidRPr="002126A7" w:rsidRDefault="002126A7" w:rsidP="002126A7">
            <w:pPr>
              <w:spacing w:after="120"/>
              <w:jc w:val="center"/>
            </w:pPr>
          </w:p>
        </w:tc>
        <w:tc>
          <w:tcPr>
            <w:tcW w:w="818" w:type="dxa"/>
            <w:vAlign w:val="center"/>
          </w:tcPr>
          <w:p w14:paraId="496A2EBE" w14:textId="77777777" w:rsidR="002126A7" w:rsidRPr="002126A7" w:rsidRDefault="002126A7" w:rsidP="002126A7">
            <w:pPr>
              <w:spacing w:after="120"/>
              <w:jc w:val="center"/>
            </w:pPr>
            <w:r w:rsidRPr="002126A7">
              <w:t>Packing instruct-</w:t>
            </w:r>
            <w:proofErr w:type="spellStart"/>
            <w:r w:rsidRPr="002126A7">
              <w:t>tion</w:t>
            </w:r>
            <w:proofErr w:type="spellEnd"/>
          </w:p>
        </w:tc>
        <w:tc>
          <w:tcPr>
            <w:tcW w:w="742" w:type="dxa"/>
            <w:vAlign w:val="center"/>
          </w:tcPr>
          <w:p w14:paraId="0990021F" w14:textId="77777777" w:rsidR="002126A7" w:rsidRPr="002126A7" w:rsidRDefault="002126A7" w:rsidP="002126A7">
            <w:pPr>
              <w:spacing w:after="120"/>
              <w:jc w:val="center"/>
            </w:pPr>
            <w:r w:rsidRPr="002126A7">
              <w:t xml:space="preserve">Special packing </w:t>
            </w:r>
            <w:proofErr w:type="spellStart"/>
            <w:r w:rsidRPr="002126A7">
              <w:t>provi-sions</w:t>
            </w:r>
            <w:proofErr w:type="spellEnd"/>
          </w:p>
        </w:tc>
        <w:tc>
          <w:tcPr>
            <w:tcW w:w="708" w:type="dxa"/>
            <w:vAlign w:val="center"/>
          </w:tcPr>
          <w:p w14:paraId="74AE2398" w14:textId="77777777" w:rsidR="002126A7" w:rsidRPr="002126A7" w:rsidRDefault="002126A7" w:rsidP="002126A7">
            <w:pPr>
              <w:spacing w:after="120"/>
              <w:jc w:val="center"/>
            </w:pPr>
            <w:proofErr w:type="spellStart"/>
            <w:r w:rsidRPr="002126A7">
              <w:t>Instruc-tions</w:t>
            </w:r>
            <w:proofErr w:type="spellEnd"/>
          </w:p>
        </w:tc>
        <w:tc>
          <w:tcPr>
            <w:tcW w:w="851" w:type="dxa"/>
            <w:vAlign w:val="center"/>
          </w:tcPr>
          <w:p w14:paraId="5798713C" w14:textId="77777777" w:rsidR="002126A7" w:rsidRPr="002126A7" w:rsidRDefault="002126A7" w:rsidP="002126A7">
            <w:pPr>
              <w:spacing w:after="120"/>
              <w:jc w:val="center"/>
            </w:pPr>
            <w:r w:rsidRPr="002126A7">
              <w:t>Special provisions</w:t>
            </w:r>
          </w:p>
        </w:tc>
      </w:tr>
      <w:tr w:rsidR="002126A7" w:rsidRPr="002126A7" w14:paraId="5A5F1019" w14:textId="77777777" w:rsidTr="00560974">
        <w:trPr>
          <w:trHeight w:val="348"/>
          <w:jc w:val="center"/>
        </w:trPr>
        <w:tc>
          <w:tcPr>
            <w:tcW w:w="511" w:type="dxa"/>
            <w:vAlign w:val="center"/>
          </w:tcPr>
          <w:p w14:paraId="50139EC9" w14:textId="77777777" w:rsidR="002126A7" w:rsidRPr="002126A7" w:rsidRDefault="002126A7" w:rsidP="002126A7">
            <w:pPr>
              <w:spacing w:after="120"/>
              <w:jc w:val="center"/>
            </w:pPr>
            <w:r w:rsidRPr="002126A7">
              <w:t>(1)</w:t>
            </w:r>
          </w:p>
        </w:tc>
        <w:tc>
          <w:tcPr>
            <w:tcW w:w="1899" w:type="dxa"/>
            <w:vAlign w:val="center"/>
          </w:tcPr>
          <w:p w14:paraId="1BBF59EA" w14:textId="77777777" w:rsidR="002126A7" w:rsidRPr="002126A7" w:rsidRDefault="002126A7" w:rsidP="002126A7">
            <w:pPr>
              <w:spacing w:after="120"/>
              <w:jc w:val="center"/>
            </w:pPr>
            <w:r w:rsidRPr="002126A7">
              <w:t>(2)</w:t>
            </w:r>
          </w:p>
        </w:tc>
        <w:tc>
          <w:tcPr>
            <w:tcW w:w="567" w:type="dxa"/>
            <w:vAlign w:val="center"/>
          </w:tcPr>
          <w:p w14:paraId="16E93822" w14:textId="77777777" w:rsidR="002126A7" w:rsidRPr="002126A7" w:rsidRDefault="002126A7" w:rsidP="002126A7">
            <w:pPr>
              <w:spacing w:after="120"/>
              <w:jc w:val="center"/>
            </w:pPr>
            <w:r w:rsidRPr="002126A7">
              <w:t>(3)</w:t>
            </w:r>
          </w:p>
        </w:tc>
        <w:tc>
          <w:tcPr>
            <w:tcW w:w="567" w:type="dxa"/>
            <w:vAlign w:val="center"/>
          </w:tcPr>
          <w:p w14:paraId="0C1B26D4" w14:textId="77777777" w:rsidR="002126A7" w:rsidRPr="002126A7" w:rsidRDefault="002126A7" w:rsidP="002126A7">
            <w:pPr>
              <w:spacing w:after="120"/>
              <w:jc w:val="center"/>
            </w:pPr>
            <w:r w:rsidRPr="002126A7">
              <w:t>(4)</w:t>
            </w:r>
          </w:p>
        </w:tc>
        <w:tc>
          <w:tcPr>
            <w:tcW w:w="708" w:type="dxa"/>
            <w:vAlign w:val="center"/>
          </w:tcPr>
          <w:p w14:paraId="08AD4885" w14:textId="77777777" w:rsidR="002126A7" w:rsidRPr="002126A7" w:rsidRDefault="002126A7" w:rsidP="002126A7">
            <w:pPr>
              <w:spacing w:after="120"/>
              <w:jc w:val="center"/>
            </w:pPr>
            <w:r w:rsidRPr="002126A7">
              <w:t>(5)</w:t>
            </w:r>
          </w:p>
        </w:tc>
        <w:tc>
          <w:tcPr>
            <w:tcW w:w="709" w:type="dxa"/>
            <w:vAlign w:val="center"/>
          </w:tcPr>
          <w:p w14:paraId="7AC3BDF3" w14:textId="77777777" w:rsidR="002126A7" w:rsidRPr="002126A7" w:rsidRDefault="002126A7" w:rsidP="002126A7">
            <w:pPr>
              <w:spacing w:after="120"/>
              <w:jc w:val="center"/>
            </w:pPr>
            <w:r w:rsidRPr="002126A7">
              <w:t>(6)</w:t>
            </w:r>
          </w:p>
        </w:tc>
        <w:tc>
          <w:tcPr>
            <w:tcW w:w="567" w:type="dxa"/>
            <w:vAlign w:val="center"/>
          </w:tcPr>
          <w:p w14:paraId="425B16DA" w14:textId="77777777" w:rsidR="002126A7" w:rsidRPr="002126A7" w:rsidRDefault="002126A7" w:rsidP="002126A7">
            <w:pPr>
              <w:spacing w:after="120"/>
              <w:jc w:val="center"/>
            </w:pPr>
            <w:r w:rsidRPr="002126A7">
              <w:t>(7a)</w:t>
            </w:r>
          </w:p>
        </w:tc>
        <w:tc>
          <w:tcPr>
            <w:tcW w:w="425" w:type="dxa"/>
            <w:vAlign w:val="center"/>
          </w:tcPr>
          <w:p w14:paraId="3B888189" w14:textId="77777777" w:rsidR="002126A7" w:rsidRPr="002126A7" w:rsidRDefault="002126A7" w:rsidP="002126A7">
            <w:pPr>
              <w:spacing w:after="120"/>
              <w:jc w:val="center"/>
            </w:pPr>
            <w:r w:rsidRPr="002126A7">
              <w:t>(7b)</w:t>
            </w:r>
          </w:p>
        </w:tc>
        <w:tc>
          <w:tcPr>
            <w:tcW w:w="818" w:type="dxa"/>
            <w:vAlign w:val="center"/>
          </w:tcPr>
          <w:p w14:paraId="7EDE4486" w14:textId="77777777" w:rsidR="002126A7" w:rsidRPr="002126A7" w:rsidRDefault="002126A7" w:rsidP="002126A7">
            <w:pPr>
              <w:spacing w:after="120"/>
              <w:jc w:val="center"/>
            </w:pPr>
            <w:r w:rsidRPr="002126A7">
              <w:t>(8)</w:t>
            </w:r>
          </w:p>
        </w:tc>
        <w:tc>
          <w:tcPr>
            <w:tcW w:w="742" w:type="dxa"/>
            <w:vAlign w:val="center"/>
          </w:tcPr>
          <w:p w14:paraId="2FF7CE21" w14:textId="77777777" w:rsidR="002126A7" w:rsidRPr="002126A7" w:rsidRDefault="002126A7" w:rsidP="002126A7">
            <w:pPr>
              <w:spacing w:after="120"/>
              <w:jc w:val="center"/>
            </w:pPr>
            <w:r w:rsidRPr="002126A7">
              <w:t>(9)</w:t>
            </w:r>
          </w:p>
        </w:tc>
        <w:tc>
          <w:tcPr>
            <w:tcW w:w="708" w:type="dxa"/>
            <w:vAlign w:val="center"/>
          </w:tcPr>
          <w:p w14:paraId="50AB8ECB" w14:textId="77777777" w:rsidR="002126A7" w:rsidRPr="002126A7" w:rsidRDefault="002126A7" w:rsidP="002126A7">
            <w:pPr>
              <w:spacing w:after="120"/>
              <w:jc w:val="center"/>
            </w:pPr>
            <w:r w:rsidRPr="002126A7">
              <w:t>(10)</w:t>
            </w:r>
          </w:p>
        </w:tc>
        <w:tc>
          <w:tcPr>
            <w:tcW w:w="851" w:type="dxa"/>
            <w:vAlign w:val="center"/>
          </w:tcPr>
          <w:p w14:paraId="6091F489" w14:textId="77777777" w:rsidR="002126A7" w:rsidRPr="002126A7" w:rsidRDefault="002126A7" w:rsidP="002126A7">
            <w:pPr>
              <w:spacing w:after="120"/>
              <w:jc w:val="center"/>
            </w:pPr>
            <w:r w:rsidRPr="002126A7">
              <w:t>(11)</w:t>
            </w:r>
          </w:p>
        </w:tc>
      </w:tr>
      <w:tr w:rsidR="002126A7" w:rsidRPr="002126A7" w14:paraId="3C898B05" w14:textId="77777777" w:rsidTr="00560974">
        <w:trPr>
          <w:trHeight w:val="623"/>
          <w:jc w:val="center"/>
        </w:trPr>
        <w:tc>
          <w:tcPr>
            <w:tcW w:w="511" w:type="dxa"/>
            <w:vAlign w:val="center"/>
          </w:tcPr>
          <w:p w14:paraId="0BF9713E" w14:textId="77777777" w:rsidR="002126A7" w:rsidRPr="002126A7" w:rsidRDefault="002126A7" w:rsidP="002126A7">
            <w:pPr>
              <w:spacing w:after="120"/>
              <w:jc w:val="center"/>
            </w:pPr>
            <w:r w:rsidRPr="002126A7">
              <w:t>3223</w:t>
            </w:r>
          </w:p>
        </w:tc>
        <w:tc>
          <w:tcPr>
            <w:tcW w:w="1899" w:type="dxa"/>
            <w:vAlign w:val="center"/>
          </w:tcPr>
          <w:p w14:paraId="7B7A090C" w14:textId="77777777" w:rsidR="002126A7" w:rsidRPr="002126A7" w:rsidRDefault="002126A7" w:rsidP="002126A7">
            <w:pPr>
              <w:spacing w:after="120"/>
              <w:jc w:val="center"/>
            </w:pPr>
            <w:r w:rsidRPr="002126A7">
              <w:t>SELF-REACTIVE LIQUID TYPE C</w:t>
            </w:r>
          </w:p>
        </w:tc>
        <w:tc>
          <w:tcPr>
            <w:tcW w:w="567" w:type="dxa"/>
            <w:vAlign w:val="center"/>
          </w:tcPr>
          <w:p w14:paraId="13BA140A" w14:textId="77777777" w:rsidR="002126A7" w:rsidRPr="002126A7" w:rsidRDefault="002126A7" w:rsidP="002126A7">
            <w:pPr>
              <w:spacing w:after="120"/>
              <w:jc w:val="center"/>
            </w:pPr>
            <w:r w:rsidRPr="002126A7">
              <w:t>4.1</w:t>
            </w:r>
          </w:p>
        </w:tc>
        <w:tc>
          <w:tcPr>
            <w:tcW w:w="567" w:type="dxa"/>
            <w:vAlign w:val="center"/>
          </w:tcPr>
          <w:p w14:paraId="649F6EB7" w14:textId="77777777" w:rsidR="002126A7" w:rsidRPr="002126A7" w:rsidRDefault="002126A7" w:rsidP="002126A7">
            <w:pPr>
              <w:spacing w:after="120"/>
              <w:jc w:val="center"/>
            </w:pPr>
          </w:p>
        </w:tc>
        <w:tc>
          <w:tcPr>
            <w:tcW w:w="708" w:type="dxa"/>
            <w:vAlign w:val="center"/>
          </w:tcPr>
          <w:p w14:paraId="53674D54" w14:textId="77777777" w:rsidR="002126A7" w:rsidRPr="002126A7" w:rsidRDefault="002126A7" w:rsidP="002126A7">
            <w:pPr>
              <w:spacing w:after="120"/>
              <w:jc w:val="center"/>
            </w:pPr>
          </w:p>
        </w:tc>
        <w:tc>
          <w:tcPr>
            <w:tcW w:w="709" w:type="dxa"/>
            <w:vAlign w:val="center"/>
          </w:tcPr>
          <w:p w14:paraId="3D0E6A1B" w14:textId="77777777" w:rsidR="002126A7" w:rsidRPr="002126A7" w:rsidRDefault="002126A7" w:rsidP="002126A7">
            <w:pPr>
              <w:spacing w:after="120"/>
              <w:jc w:val="center"/>
            </w:pPr>
            <w:r w:rsidRPr="002126A7">
              <w:t>274</w:t>
            </w:r>
          </w:p>
        </w:tc>
        <w:tc>
          <w:tcPr>
            <w:tcW w:w="567" w:type="dxa"/>
            <w:vAlign w:val="center"/>
          </w:tcPr>
          <w:p w14:paraId="6D09586F" w14:textId="77777777" w:rsidR="002126A7" w:rsidRPr="002126A7" w:rsidRDefault="002126A7" w:rsidP="002126A7">
            <w:pPr>
              <w:spacing w:after="120"/>
              <w:jc w:val="center"/>
            </w:pPr>
            <w:r w:rsidRPr="002126A7">
              <w:t>25 ml</w:t>
            </w:r>
          </w:p>
        </w:tc>
        <w:tc>
          <w:tcPr>
            <w:tcW w:w="425" w:type="dxa"/>
            <w:vAlign w:val="center"/>
          </w:tcPr>
          <w:p w14:paraId="1A92973B" w14:textId="77777777" w:rsidR="002126A7" w:rsidRPr="002126A7" w:rsidRDefault="002126A7" w:rsidP="002126A7">
            <w:pPr>
              <w:spacing w:after="120"/>
              <w:jc w:val="center"/>
            </w:pPr>
            <w:r w:rsidRPr="002126A7">
              <w:t>E0</w:t>
            </w:r>
          </w:p>
        </w:tc>
        <w:tc>
          <w:tcPr>
            <w:tcW w:w="818" w:type="dxa"/>
            <w:vAlign w:val="center"/>
          </w:tcPr>
          <w:p w14:paraId="04C0847C" w14:textId="77777777" w:rsidR="002126A7" w:rsidRPr="002126A7" w:rsidRDefault="002126A7" w:rsidP="002126A7">
            <w:pPr>
              <w:spacing w:after="120"/>
              <w:jc w:val="center"/>
            </w:pPr>
            <w:r w:rsidRPr="002126A7">
              <w:t>P520</w:t>
            </w:r>
          </w:p>
        </w:tc>
        <w:tc>
          <w:tcPr>
            <w:tcW w:w="742" w:type="dxa"/>
            <w:vAlign w:val="center"/>
          </w:tcPr>
          <w:p w14:paraId="68A7388D" w14:textId="77777777" w:rsidR="002126A7" w:rsidRPr="002126A7" w:rsidRDefault="002126A7" w:rsidP="002126A7">
            <w:pPr>
              <w:spacing w:after="120"/>
              <w:jc w:val="center"/>
            </w:pPr>
            <w:r w:rsidRPr="002126A7">
              <w:t>PP21</w:t>
            </w:r>
          </w:p>
          <w:p w14:paraId="72315934" w14:textId="77777777" w:rsidR="002126A7" w:rsidRPr="00055FE8" w:rsidRDefault="002126A7" w:rsidP="002126A7">
            <w:pPr>
              <w:spacing w:after="120"/>
              <w:jc w:val="center"/>
              <w:rPr>
                <w:color w:val="1F497D" w:themeColor="text2"/>
                <w:u w:val="single"/>
              </w:rPr>
            </w:pPr>
            <w:r w:rsidRPr="00055FE8">
              <w:rPr>
                <w:color w:val="1F497D" w:themeColor="text2"/>
                <w:u w:val="single"/>
              </w:rPr>
              <w:t>PP94</w:t>
            </w:r>
          </w:p>
          <w:p w14:paraId="6A3813E1" w14:textId="77777777" w:rsidR="002126A7" w:rsidRPr="002126A7" w:rsidRDefault="002126A7" w:rsidP="002126A7">
            <w:pPr>
              <w:spacing w:after="120"/>
              <w:jc w:val="center"/>
            </w:pPr>
            <w:r w:rsidRPr="00055FE8">
              <w:rPr>
                <w:color w:val="1F497D" w:themeColor="text2"/>
                <w:u w:val="single"/>
              </w:rPr>
              <w:t>PP95</w:t>
            </w:r>
          </w:p>
        </w:tc>
        <w:tc>
          <w:tcPr>
            <w:tcW w:w="708" w:type="dxa"/>
            <w:vAlign w:val="center"/>
          </w:tcPr>
          <w:p w14:paraId="045F7F7A" w14:textId="77777777" w:rsidR="002126A7" w:rsidRPr="002126A7" w:rsidRDefault="002126A7" w:rsidP="002126A7">
            <w:pPr>
              <w:spacing w:after="120"/>
              <w:jc w:val="center"/>
            </w:pPr>
          </w:p>
        </w:tc>
        <w:tc>
          <w:tcPr>
            <w:tcW w:w="851" w:type="dxa"/>
            <w:vAlign w:val="center"/>
          </w:tcPr>
          <w:p w14:paraId="5EAA0B8A" w14:textId="77777777" w:rsidR="002126A7" w:rsidRPr="002126A7" w:rsidRDefault="002126A7" w:rsidP="002126A7">
            <w:pPr>
              <w:spacing w:after="120"/>
              <w:jc w:val="center"/>
            </w:pPr>
          </w:p>
        </w:tc>
      </w:tr>
      <w:tr w:rsidR="002126A7" w:rsidRPr="002126A7" w14:paraId="367D3D93" w14:textId="77777777" w:rsidTr="00560974">
        <w:trPr>
          <w:trHeight w:val="623"/>
          <w:jc w:val="center"/>
        </w:trPr>
        <w:tc>
          <w:tcPr>
            <w:tcW w:w="511" w:type="dxa"/>
            <w:vAlign w:val="center"/>
          </w:tcPr>
          <w:p w14:paraId="03A70926" w14:textId="77777777" w:rsidR="002126A7" w:rsidRPr="002126A7" w:rsidRDefault="002126A7" w:rsidP="002126A7">
            <w:pPr>
              <w:spacing w:after="120"/>
              <w:jc w:val="center"/>
            </w:pPr>
            <w:r w:rsidRPr="002126A7">
              <w:t>3224</w:t>
            </w:r>
          </w:p>
        </w:tc>
        <w:tc>
          <w:tcPr>
            <w:tcW w:w="1899" w:type="dxa"/>
            <w:vAlign w:val="center"/>
          </w:tcPr>
          <w:p w14:paraId="3A16B179" w14:textId="77777777" w:rsidR="002126A7" w:rsidRPr="002126A7" w:rsidRDefault="002126A7" w:rsidP="002126A7">
            <w:pPr>
              <w:spacing w:after="120"/>
              <w:jc w:val="center"/>
            </w:pPr>
            <w:r w:rsidRPr="002126A7">
              <w:t>SELF-REACTIVE SOLID TYPE C</w:t>
            </w:r>
          </w:p>
        </w:tc>
        <w:tc>
          <w:tcPr>
            <w:tcW w:w="567" w:type="dxa"/>
            <w:vAlign w:val="center"/>
          </w:tcPr>
          <w:p w14:paraId="13A3516A" w14:textId="77777777" w:rsidR="002126A7" w:rsidRPr="002126A7" w:rsidRDefault="002126A7" w:rsidP="002126A7">
            <w:pPr>
              <w:spacing w:after="120"/>
              <w:jc w:val="center"/>
            </w:pPr>
            <w:r w:rsidRPr="002126A7">
              <w:t>4.1</w:t>
            </w:r>
          </w:p>
        </w:tc>
        <w:tc>
          <w:tcPr>
            <w:tcW w:w="567" w:type="dxa"/>
            <w:vAlign w:val="center"/>
          </w:tcPr>
          <w:p w14:paraId="7B771CE8" w14:textId="77777777" w:rsidR="002126A7" w:rsidRPr="002126A7" w:rsidRDefault="002126A7" w:rsidP="002126A7">
            <w:pPr>
              <w:spacing w:after="120"/>
              <w:jc w:val="center"/>
            </w:pPr>
          </w:p>
        </w:tc>
        <w:tc>
          <w:tcPr>
            <w:tcW w:w="708" w:type="dxa"/>
            <w:vAlign w:val="center"/>
          </w:tcPr>
          <w:p w14:paraId="239CE279" w14:textId="77777777" w:rsidR="002126A7" w:rsidRPr="002126A7" w:rsidRDefault="002126A7" w:rsidP="002126A7">
            <w:pPr>
              <w:spacing w:after="120"/>
              <w:jc w:val="center"/>
            </w:pPr>
          </w:p>
        </w:tc>
        <w:tc>
          <w:tcPr>
            <w:tcW w:w="709" w:type="dxa"/>
            <w:vAlign w:val="center"/>
          </w:tcPr>
          <w:p w14:paraId="54A90EE7" w14:textId="77777777" w:rsidR="002126A7" w:rsidRPr="002126A7" w:rsidRDefault="002126A7" w:rsidP="002126A7">
            <w:pPr>
              <w:spacing w:after="120"/>
              <w:jc w:val="center"/>
            </w:pPr>
            <w:r w:rsidRPr="002126A7">
              <w:t>274</w:t>
            </w:r>
          </w:p>
        </w:tc>
        <w:tc>
          <w:tcPr>
            <w:tcW w:w="567" w:type="dxa"/>
            <w:vAlign w:val="center"/>
          </w:tcPr>
          <w:p w14:paraId="74AD90AD" w14:textId="77777777" w:rsidR="002126A7" w:rsidRPr="002126A7" w:rsidRDefault="002126A7" w:rsidP="002126A7">
            <w:pPr>
              <w:spacing w:after="120"/>
              <w:jc w:val="center"/>
            </w:pPr>
            <w:r w:rsidRPr="002126A7">
              <w:t>100 g</w:t>
            </w:r>
          </w:p>
        </w:tc>
        <w:tc>
          <w:tcPr>
            <w:tcW w:w="425" w:type="dxa"/>
            <w:vAlign w:val="center"/>
          </w:tcPr>
          <w:p w14:paraId="4194381B" w14:textId="77777777" w:rsidR="002126A7" w:rsidRPr="002126A7" w:rsidRDefault="002126A7" w:rsidP="002126A7">
            <w:pPr>
              <w:spacing w:after="120"/>
              <w:jc w:val="center"/>
            </w:pPr>
            <w:r w:rsidRPr="002126A7">
              <w:t>E0</w:t>
            </w:r>
          </w:p>
        </w:tc>
        <w:tc>
          <w:tcPr>
            <w:tcW w:w="818" w:type="dxa"/>
            <w:vAlign w:val="center"/>
          </w:tcPr>
          <w:p w14:paraId="6E393601" w14:textId="77777777" w:rsidR="002126A7" w:rsidRPr="002126A7" w:rsidRDefault="002126A7" w:rsidP="002126A7">
            <w:pPr>
              <w:spacing w:after="120"/>
              <w:jc w:val="center"/>
            </w:pPr>
            <w:r w:rsidRPr="002126A7">
              <w:t>P520</w:t>
            </w:r>
          </w:p>
        </w:tc>
        <w:tc>
          <w:tcPr>
            <w:tcW w:w="742" w:type="dxa"/>
            <w:vAlign w:val="center"/>
          </w:tcPr>
          <w:p w14:paraId="23D9A82B" w14:textId="77777777" w:rsidR="002126A7" w:rsidRPr="002126A7" w:rsidRDefault="002126A7" w:rsidP="002126A7">
            <w:pPr>
              <w:spacing w:after="120"/>
              <w:jc w:val="center"/>
            </w:pPr>
            <w:r w:rsidRPr="002126A7">
              <w:t>PP21</w:t>
            </w:r>
          </w:p>
          <w:p w14:paraId="7015515C" w14:textId="77777777" w:rsidR="002126A7" w:rsidRPr="00055FE8" w:rsidRDefault="002126A7" w:rsidP="002126A7">
            <w:pPr>
              <w:spacing w:after="120"/>
              <w:jc w:val="center"/>
              <w:rPr>
                <w:color w:val="1F497D" w:themeColor="text2"/>
                <w:u w:val="single"/>
              </w:rPr>
            </w:pPr>
            <w:r w:rsidRPr="00055FE8">
              <w:rPr>
                <w:color w:val="1F497D" w:themeColor="text2"/>
                <w:u w:val="single"/>
              </w:rPr>
              <w:t>PP94</w:t>
            </w:r>
          </w:p>
          <w:p w14:paraId="7CDF2B28" w14:textId="77777777" w:rsidR="002126A7" w:rsidRPr="002126A7" w:rsidRDefault="002126A7" w:rsidP="002126A7">
            <w:pPr>
              <w:spacing w:after="120"/>
              <w:jc w:val="center"/>
            </w:pPr>
            <w:r w:rsidRPr="00055FE8">
              <w:rPr>
                <w:color w:val="1F497D" w:themeColor="text2"/>
                <w:u w:val="single"/>
              </w:rPr>
              <w:t>PP95</w:t>
            </w:r>
          </w:p>
        </w:tc>
        <w:tc>
          <w:tcPr>
            <w:tcW w:w="708" w:type="dxa"/>
            <w:vAlign w:val="center"/>
          </w:tcPr>
          <w:p w14:paraId="18879D96" w14:textId="77777777" w:rsidR="002126A7" w:rsidRPr="002126A7" w:rsidRDefault="002126A7" w:rsidP="002126A7">
            <w:pPr>
              <w:spacing w:after="120"/>
              <w:jc w:val="center"/>
            </w:pPr>
          </w:p>
        </w:tc>
        <w:tc>
          <w:tcPr>
            <w:tcW w:w="851" w:type="dxa"/>
            <w:vAlign w:val="center"/>
          </w:tcPr>
          <w:p w14:paraId="25B5474E" w14:textId="77777777" w:rsidR="002126A7" w:rsidRPr="002126A7" w:rsidRDefault="002126A7" w:rsidP="002126A7">
            <w:pPr>
              <w:spacing w:after="120"/>
              <w:jc w:val="center"/>
            </w:pPr>
          </w:p>
        </w:tc>
      </w:tr>
    </w:tbl>
    <w:p w14:paraId="32E6A3F3" w14:textId="4CDC581D" w:rsidR="00990EAC" w:rsidRPr="00B055A3" w:rsidRDefault="00990EAC" w:rsidP="00CF5F97">
      <w:pPr>
        <w:pStyle w:val="SingleTxtG"/>
        <w:spacing w:line="240" w:lineRule="auto"/>
        <w:ind w:left="0" w:right="39"/>
        <w:rPr>
          <w:sz w:val="22"/>
        </w:rPr>
      </w:pPr>
    </w:p>
    <w:p w14:paraId="552C5E6B" w14:textId="77121429" w:rsidR="00990EAC" w:rsidRPr="00195E9D" w:rsidRDefault="00990EAC" w:rsidP="00990EAC">
      <w:pPr>
        <w:pStyle w:val="SingleTxtG"/>
        <w:spacing w:line="240" w:lineRule="auto"/>
        <w:ind w:left="0" w:right="39"/>
        <w:rPr>
          <w:i/>
        </w:rPr>
      </w:pPr>
      <w:r w:rsidRPr="00195E9D">
        <w:rPr>
          <w:i/>
        </w:rPr>
        <w:t xml:space="preserve">Source:  </w:t>
      </w:r>
      <w:r w:rsidR="00CF5F97" w:rsidRPr="00CF5F97">
        <w:rPr>
          <w:i/>
        </w:rPr>
        <w:t>UN/SCETDG/50/INF.23</w:t>
      </w:r>
      <w:r w:rsidR="00876122">
        <w:rPr>
          <w:i/>
        </w:rPr>
        <w:t>,</w:t>
      </w:r>
      <w:r w:rsidR="00D569FD">
        <w:rPr>
          <w:i/>
        </w:rPr>
        <w:t xml:space="preserve"> Para</w:t>
      </w:r>
      <w:r w:rsidR="00876122">
        <w:rPr>
          <w:i/>
        </w:rPr>
        <w:t>.</w:t>
      </w:r>
      <w:r w:rsidR="00D569FD">
        <w:rPr>
          <w:i/>
        </w:rPr>
        <w:t xml:space="preserve"> </w:t>
      </w:r>
      <w:proofErr w:type="gramStart"/>
      <w:r w:rsidR="00D569FD">
        <w:rPr>
          <w:i/>
        </w:rPr>
        <w:t>5</w:t>
      </w:r>
      <w:r w:rsidR="00CF5F97" w:rsidRPr="00CF5F97">
        <w:rPr>
          <w:i/>
        </w:rPr>
        <w:t xml:space="preserve"> (as amended b</w:t>
      </w:r>
      <w:r w:rsidR="00782EB8">
        <w:rPr>
          <w:i/>
        </w:rPr>
        <w:t>y the working group) and Para.</w:t>
      </w:r>
      <w:proofErr w:type="gramEnd"/>
      <w:r w:rsidR="00782EB8">
        <w:rPr>
          <w:i/>
        </w:rPr>
        <w:t xml:space="preserve"> </w:t>
      </w:r>
      <w:proofErr w:type="gramStart"/>
      <w:r w:rsidR="00782EB8">
        <w:rPr>
          <w:i/>
        </w:rPr>
        <w:t>7</w:t>
      </w:r>
      <w:r w:rsidR="00CF5F97" w:rsidRPr="00CF5F97">
        <w:rPr>
          <w:i/>
        </w:rPr>
        <w:t xml:space="preserve"> of this report</w:t>
      </w:r>
      <w:r w:rsidRPr="00195E9D">
        <w:rPr>
          <w:i/>
        </w:rPr>
        <w:t>.</w:t>
      </w:r>
      <w:proofErr w:type="gramEnd"/>
    </w:p>
    <w:p w14:paraId="6D76ACF7" w14:textId="77777777" w:rsidR="00CF5F97" w:rsidRPr="00195E9D" w:rsidRDefault="00CF5F97" w:rsidP="00CF5F97">
      <w:pPr>
        <w:pStyle w:val="SingleTxtG"/>
        <w:numPr>
          <w:ilvl w:val="0"/>
          <w:numId w:val="5"/>
        </w:numPr>
        <w:pBdr>
          <w:top w:val="single" w:sz="4" w:space="1" w:color="auto"/>
        </w:pBdr>
        <w:spacing w:line="240" w:lineRule="auto"/>
        <w:ind w:right="43"/>
        <w:rPr>
          <w:b/>
        </w:rPr>
      </w:pPr>
    </w:p>
    <w:p w14:paraId="7CD660AF" w14:textId="10F3F0F9" w:rsidR="00CF5F97" w:rsidRPr="00195E9D" w:rsidRDefault="007D3B5F" w:rsidP="00CF5F97">
      <w:pPr>
        <w:pStyle w:val="SingleTxtG"/>
        <w:spacing w:line="240" w:lineRule="auto"/>
        <w:ind w:left="0" w:right="39"/>
      </w:pPr>
      <w:r>
        <w:rPr>
          <w:b/>
          <w:u w:val="single"/>
        </w:rPr>
        <w:t xml:space="preserve">Chapter 4.14, Packing Instruction </w:t>
      </w:r>
      <w:r w:rsidR="001B649A">
        <w:rPr>
          <w:b/>
          <w:u w:val="single"/>
        </w:rPr>
        <w:t>P</w:t>
      </w:r>
      <w:r>
        <w:rPr>
          <w:b/>
          <w:u w:val="single"/>
        </w:rPr>
        <w:t>520</w:t>
      </w:r>
      <w:r w:rsidR="00CF5F97" w:rsidRPr="00195E9D">
        <w:rPr>
          <w:b/>
        </w:rPr>
        <w:t xml:space="preserve"> </w:t>
      </w:r>
      <w:r w:rsidR="00CF5F97" w:rsidRPr="00195E9D">
        <w:t>– a</w:t>
      </w:r>
      <w:r>
        <w:t xml:space="preserve">dd a new special packing provision PP94 to packing instruction </w:t>
      </w:r>
      <w:r w:rsidR="001B649A">
        <w:t>P</w:t>
      </w:r>
      <w:r>
        <w:t>520 as show</w:t>
      </w:r>
      <w:r w:rsidR="0014748B">
        <w:t>n</w:t>
      </w:r>
      <w:r>
        <w:t xml:space="preserve"> below:</w:t>
      </w:r>
    </w:p>
    <w:p w14:paraId="688BF07E" w14:textId="466C9638" w:rsidR="00560974" w:rsidRPr="00055FE8" w:rsidRDefault="00560974" w:rsidP="007D3B5F">
      <w:pPr>
        <w:spacing w:after="120"/>
        <w:ind w:left="1134" w:right="1134"/>
        <w:jc w:val="both"/>
        <w:rPr>
          <w:color w:val="1F497D" w:themeColor="text2"/>
          <w:u w:val="single"/>
        </w:rPr>
      </w:pPr>
      <w:r w:rsidRPr="00055FE8">
        <w:rPr>
          <w:color w:val="1F497D" w:themeColor="text2"/>
          <w:u w:val="single"/>
        </w:rPr>
        <w:t>PP94</w:t>
      </w:r>
      <w:r w:rsidRPr="00055FE8">
        <w:rPr>
          <w:color w:val="1F497D" w:themeColor="text2"/>
          <w:u w:val="single"/>
        </w:rPr>
        <w:tab/>
        <w:t>Very small amounts of energetic samples of section 2.0.4.3 may be carried under UN 3223 or 3224, as appropriate, provided that:</w:t>
      </w:r>
    </w:p>
    <w:p w14:paraId="5B95F2CE" w14:textId="520E376D" w:rsidR="00560974" w:rsidRPr="00055FE8" w:rsidRDefault="00560974" w:rsidP="007D3B5F">
      <w:pPr>
        <w:spacing w:after="120"/>
        <w:ind w:left="1134" w:right="1134"/>
        <w:jc w:val="both"/>
        <w:rPr>
          <w:color w:val="1F497D" w:themeColor="text2"/>
          <w:u w:val="single"/>
        </w:rPr>
      </w:pPr>
      <w:r w:rsidRPr="00055FE8">
        <w:rPr>
          <w:color w:val="1F497D" w:themeColor="text2"/>
          <w:u w:val="single"/>
        </w:rPr>
        <w:t>1.</w:t>
      </w:r>
      <w:r w:rsidRPr="00055FE8">
        <w:rPr>
          <w:color w:val="1F497D" w:themeColor="text2"/>
          <w:u w:val="single"/>
        </w:rPr>
        <w:tab/>
        <w:t xml:space="preserve">Only combination packaging with outer packaging comprising boxes (4A, 4B, 4N, 4C1, </w:t>
      </w:r>
      <w:proofErr w:type="gramStart"/>
      <w:r w:rsidRPr="00055FE8">
        <w:rPr>
          <w:color w:val="1F497D" w:themeColor="text2"/>
          <w:u w:val="single"/>
        </w:rPr>
        <w:t>4C2</w:t>
      </w:r>
      <w:proofErr w:type="gramEnd"/>
      <w:r w:rsidRPr="00055FE8">
        <w:rPr>
          <w:color w:val="1F497D" w:themeColor="text2"/>
          <w:u w:val="single"/>
        </w:rPr>
        <w:t>, 4D, 4F, 4G, 4H1 and 4H2) are used;</w:t>
      </w:r>
    </w:p>
    <w:p w14:paraId="2290AB4B" w14:textId="0671402C" w:rsidR="00560974" w:rsidRPr="00055FE8" w:rsidRDefault="00560974" w:rsidP="007D3B5F">
      <w:pPr>
        <w:spacing w:after="120"/>
        <w:ind w:left="1134" w:right="1134"/>
        <w:jc w:val="both"/>
        <w:rPr>
          <w:color w:val="1F497D" w:themeColor="text2"/>
          <w:u w:val="single"/>
        </w:rPr>
      </w:pPr>
      <w:r w:rsidRPr="00055FE8">
        <w:rPr>
          <w:color w:val="1F497D" w:themeColor="text2"/>
          <w:u w:val="single"/>
        </w:rPr>
        <w:t>2.</w:t>
      </w:r>
      <w:r w:rsidRPr="00055FE8">
        <w:rPr>
          <w:color w:val="1F497D" w:themeColor="text2"/>
          <w:u w:val="single"/>
        </w:rPr>
        <w:tab/>
        <w:t xml:space="preserve">The samples are carried in </w:t>
      </w:r>
      <w:proofErr w:type="spellStart"/>
      <w:r w:rsidRPr="00055FE8">
        <w:rPr>
          <w:color w:val="1F497D" w:themeColor="text2"/>
          <w:u w:val="single"/>
        </w:rPr>
        <w:t>microtiter</w:t>
      </w:r>
      <w:proofErr w:type="spellEnd"/>
      <w:r w:rsidRPr="00055FE8">
        <w:rPr>
          <w:color w:val="1F497D" w:themeColor="text2"/>
          <w:u w:val="single"/>
        </w:rPr>
        <w:t xml:space="preserve"> plates or multi-</w:t>
      </w:r>
      <w:proofErr w:type="spellStart"/>
      <w:r w:rsidRPr="00055FE8">
        <w:rPr>
          <w:color w:val="1F497D" w:themeColor="text2"/>
          <w:u w:val="single"/>
        </w:rPr>
        <w:t>titer</w:t>
      </w:r>
      <w:proofErr w:type="spellEnd"/>
      <w:r w:rsidRPr="00055FE8">
        <w:rPr>
          <w:color w:val="1F497D" w:themeColor="text2"/>
          <w:u w:val="single"/>
        </w:rPr>
        <w:t xml:space="preserve"> plates made of plastic</w:t>
      </w:r>
      <w:r w:rsidR="001F31F1">
        <w:rPr>
          <w:color w:val="1F497D" w:themeColor="text2"/>
          <w:u w:val="single"/>
        </w:rPr>
        <w:t>s</w:t>
      </w:r>
      <w:r w:rsidRPr="00055FE8">
        <w:rPr>
          <w:color w:val="1F497D" w:themeColor="text2"/>
          <w:u w:val="single"/>
        </w:rPr>
        <w:t>, glass, porcelain or stoneware as inner packaging;</w:t>
      </w:r>
    </w:p>
    <w:p w14:paraId="230829A6" w14:textId="618E00C0" w:rsidR="00560974" w:rsidRPr="00055FE8" w:rsidRDefault="00560974" w:rsidP="007D3B5F">
      <w:pPr>
        <w:spacing w:after="120"/>
        <w:ind w:left="1134" w:right="1134"/>
        <w:jc w:val="both"/>
        <w:rPr>
          <w:color w:val="1F497D" w:themeColor="text2"/>
          <w:u w:val="single"/>
        </w:rPr>
      </w:pPr>
      <w:r w:rsidRPr="00055FE8">
        <w:rPr>
          <w:color w:val="1F497D" w:themeColor="text2"/>
          <w:u w:val="single"/>
        </w:rPr>
        <w:t>3.</w:t>
      </w:r>
      <w:r w:rsidRPr="00055FE8">
        <w:rPr>
          <w:color w:val="1F497D" w:themeColor="text2"/>
          <w:u w:val="single"/>
        </w:rPr>
        <w:tab/>
        <w:t>The maximum amount per individual inner cavity does not exceed 0.01 g for solids or 0.01 ml for liquids;</w:t>
      </w:r>
    </w:p>
    <w:p w14:paraId="2DF6984C" w14:textId="31E911A8" w:rsidR="00560974" w:rsidRPr="00055FE8" w:rsidRDefault="00560974" w:rsidP="007D3B5F">
      <w:pPr>
        <w:spacing w:after="120"/>
        <w:ind w:left="1134" w:right="1134"/>
        <w:jc w:val="both"/>
        <w:rPr>
          <w:color w:val="1F497D" w:themeColor="text2"/>
          <w:u w:val="single"/>
        </w:rPr>
      </w:pPr>
      <w:r w:rsidRPr="00055FE8">
        <w:rPr>
          <w:color w:val="1F497D" w:themeColor="text2"/>
          <w:u w:val="single"/>
        </w:rPr>
        <w:t>4.</w:t>
      </w:r>
      <w:r w:rsidRPr="00055FE8">
        <w:rPr>
          <w:color w:val="1F497D" w:themeColor="text2"/>
          <w:u w:val="single"/>
        </w:rPr>
        <w:tab/>
      </w:r>
      <w:r w:rsidR="00C52B14" w:rsidRPr="00055FE8">
        <w:rPr>
          <w:color w:val="1F497D" w:themeColor="text2"/>
          <w:u w:val="single"/>
        </w:rPr>
        <w:t>The maximum net quantity per outer packaging is 20 g for solids or 20 ml for liquids, or</w:t>
      </w:r>
      <w:r w:rsidR="001F31F1" w:rsidRPr="00055FE8">
        <w:rPr>
          <w:color w:val="1F497D" w:themeColor="text2"/>
          <w:u w:val="single"/>
        </w:rPr>
        <w:t xml:space="preserve"> in the case of mixed pack</w:t>
      </w:r>
      <w:r w:rsidR="001F31F1">
        <w:rPr>
          <w:color w:val="1F497D" w:themeColor="text2"/>
          <w:u w:val="single"/>
        </w:rPr>
        <w:t>ag</w:t>
      </w:r>
      <w:r w:rsidR="001F31F1" w:rsidRPr="00055FE8">
        <w:rPr>
          <w:color w:val="1F497D" w:themeColor="text2"/>
          <w:u w:val="single"/>
        </w:rPr>
        <w:t>ing</w:t>
      </w:r>
      <w:r w:rsidR="001F31F1">
        <w:rPr>
          <w:color w:val="1F497D" w:themeColor="text2"/>
          <w:u w:val="single"/>
        </w:rPr>
        <w:t xml:space="preserve"> the</w:t>
      </w:r>
      <w:r w:rsidR="001F31F1" w:rsidRPr="00055FE8">
        <w:rPr>
          <w:color w:val="1F497D" w:themeColor="text2"/>
          <w:u w:val="single"/>
        </w:rPr>
        <w:t xml:space="preserve"> </w:t>
      </w:r>
      <w:r w:rsidR="00C52B14" w:rsidRPr="00055FE8">
        <w:rPr>
          <w:color w:val="1F497D" w:themeColor="text2"/>
          <w:u w:val="single"/>
        </w:rPr>
        <w:t>sum of g</w:t>
      </w:r>
      <w:r w:rsidR="001F31F1">
        <w:rPr>
          <w:color w:val="1F497D" w:themeColor="text2"/>
          <w:u w:val="single"/>
        </w:rPr>
        <w:t>rams</w:t>
      </w:r>
      <w:r w:rsidR="00C52B14" w:rsidRPr="00055FE8">
        <w:rPr>
          <w:color w:val="1F497D" w:themeColor="text2"/>
          <w:u w:val="single"/>
        </w:rPr>
        <w:t xml:space="preserve"> and m</w:t>
      </w:r>
      <w:r w:rsidR="001F31F1">
        <w:rPr>
          <w:color w:val="1F497D" w:themeColor="text2"/>
          <w:u w:val="single"/>
        </w:rPr>
        <w:t>illi</w:t>
      </w:r>
      <w:r w:rsidR="00C52B14" w:rsidRPr="00055FE8">
        <w:rPr>
          <w:color w:val="1F497D" w:themeColor="text2"/>
          <w:u w:val="single"/>
        </w:rPr>
        <w:t>l</w:t>
      </w:r>
      <w:r w:rsidR="001F31F1">
        <w:rPr>
          <w:color w:val="1F497D" w:themeColor="text2"/>
          <w:u w:val="single"/>
        </w:rPr>
        <w:t>itres</w:t>
      </w:r>
      <w:r w:rsidR="00C52B14" w:rsidRPr="00055FE8">
        <w:rPr>
          <w:color w:val="1F497D" w:themeColor="text2"/>
          <w:u w:val="single"/>
        </w:rPr>
        <w:t xml:space="preserve"> </w:t>
      </w:r>
      <w:r w:rsidR="001F31F1">
        <w:rPr>
          <w:color w:val="1F497D" w:themeColor="text2"/>
          <w:u w:val="single"/>
        </w:rPr>
        <w:t>shall not exceed 20</w:t>
      </w:r>
      <w:r w:rsidR="00C52B14" w:rsidRPr="00055FE8">
        <w:rPr>
          <w:color w:val="1F497D" w:themeColor="text2"/>
          <w:u w:val="single"/>
        </w:rPr>
        <w:t>; and</w:t>
      </w:r>
    </w:p>
    <w:p w14:paraId="47481B6D" w14:textId="55572256" w:rsidR="00CF5F97" w:rsidRPr="00055FE8" w:rsidRDefault="007D3B5F" w:rsidP="007D3B5F">
      <w:pPr>
        <w:spacing w:after="120"/>
        <w:ind w:left="1170" w:right="1134"/>
        <w:jc w:val="both"/>
        <w:rPr>
          <w:color w:val="1F497D" w:themeColor="text2"/>
          <w:u w:val="single"/>
        </w:rPr>
      </w:pPr>
      <w:r w:rsidRPr="00055FE8">
        <w:rPr>
          <w:color w:val="1F497D" w:themeColor="text2"/>
          <w:u w:val="single"/>
        </w:rPr>
        <w:t>5</w:t>
      </w:r>
      <w:r w:rsidR="00560974" w:rsidRPr="00055FE8">
        <w:rPr>
          <w:color w:val="1F497D" w:themeColor="text2"/>
          <w:u w:val="single"/>
        </w:rPr>
        <w:t>.</w:t>
      </w:r>
      <w:r w:rsidR="00560974" w:rsidRPr="00055FE8">
        <w:rPr>
          <w:color w:val="1F497D" w:themeColor="text2"/>
          <w:u w:val="single"/>
        </w:rPr>
        <w:tab/>
        <w:t>When dry ice or liquid nitrogen is optionally used as a coolant for quality control measures, the requirements of 5.5.3 are complied with. Interior supports shall be provided to secure the secondary packaging in the original position. The primary receptacle and the secondary packaging shall maintain their integrity at the temperature of the refrigerant used as well as the temperatures and the pressures which could res</w:t>
      </w:r>
      <w:r w:rsidRPr="00055FE8">
        <w:rPr>
          <w:color w:val="1F497D" w:themeColor="text2"/>
          <w:u w:val="single"/>
        </w:rPr>
        <w:t>ult if refrigeration were lost.</w:t>
      </w:r>
    </w:p>
    <w:p w14:paraId="3450F632" w14:textId="6024AAA2" w:rsidR="00CF5F97" w:rsidRPr="00195E9D" w:rsidRDefault="00CF5F97" w:rsidP="00CF5F97">
      <w:pPr>
        <w:pStyle w:val="SingleTxtG"/>
        <w:spacing w:line="240" w:lineRule="auto"/>
        <w:ind w:left="0" w:right="39"/>
        <w:rPr>
          <w:i/>
        </w:rPr>
      </w:pPr>
      <w:r w:rsidRPr="00195E9D">
        <w:rPr>
          <w:i/>
        </w:rPr>
        <w:t xml:space="preserve">Source:  </w:t>
      </w:r>
      <w:r w:rsidR="007D3B5F" w:rsidRPr="00CF5F97">
        <w:rPr>
          <w:i/>
        </w:rPr>
        <w:t>UN/SCETDG/50/INF.23</w:t>
      </w:r>
      <w:r w:rsidR="00876122">
        <w:rPr>
          <w:i/>
        </w:rPr>
        <w:t>,</w:t>
      </w:r>
      <w:r w:rsidR="007D3B5F" w:rsidRPr="00CF5F97">
        <w:rPr>
          <w:i/>
        </w:rPr>
        <w:t xml:space="preserve"> </w:t>
      </w:r>
      <w:r w:rsidR="00D569FD">
        <w:rPr>
          <w:i/>
        </w:rPr>
        <w:t>Para</w:t>
      </w:r>
      <w:r w:rsidR="00876122">
        <w:rPr>
          <w:i/>
        </w:rPr>
        <w:t>.</w:t>
      </w:r>
      <w:r w:rsidR="00D569FD">
        <w:rPr>
          <w:i/>
        </w:rPr>
        <w:t xml:space="preserve"> </w:t>
      </w:r>
      <w:proofErr w:type="gramStart"/>
      <w:r w:rsidR="00D569FD">
        <w:rPr>
          <w:i/>
        </w:rPr>
        <w:t xml:space="preserve">6 </w:t>
      </w:r>
      <w:r w:rsidR="007D3B5F" w:rsidRPr="00CF5F97">
        <w:rPr>
          <w:i/>
        </w:rPr>
        <w:t>(as amended b</w:t>
      </w:r>
      <w:r w:rsidR="00782EB8">
        <w:rPr>
          <w:i/>
        </w:rPr>
        <w:t>y the working group) and Para.</w:t>
      </w:r>
      <w:proofErr w:type="gramEnd"/>
      <w:r w:rsidR="00782EB8">
        <w:rPr>
          <w:i/>
        </w:rPr>
        <w:t xml:space="preserve"> </w:t>
      </w:r>
      <w:proofErr w:type="gramStart"/>
      <w:r w:rsidR="00782EB8">
        <w:rPr>
          <w:i/>
        </w:rPr>
        <w:t>7</w:t>
      </w:r>
      <w:r w:rsidR="007D3B5F" w:rsidRPr="00CF5F97">
        <w:rPr>
          <w:i/>
        </w:rPr>
        <w:t xml:space="preserve"> of this report</w:t>
      </w:r>
      <w:r w:rsidRPr="00195E9D">
        <w:rPr>
          <w:i/>
        </w:rPr>
        <w:t>.</w:t>
      </w:r>
      <w:proofErr w:type="gramEnd"/>
    </w:p>
    <w:p w14:paraId="1AC9FC3B" w14:textId="77777777" w:rsidR="001B649A" w:rsidRPr="00195E9D" w:rsidRDefault="001B649A" w:rsidP="001B649A">
      <w:pPr>
        <w:pStyle w:val="SingleTxtG"/>
        <w:numPr>
          <w:ilvl w:val="0"/>
          <w:numId w:val="5"/>
        </w:numPr>
        <w:pBdr>
          <w:top w:val="single" w:sz="4" w:space="1" w:color="auto"/>
        </w:pBdr>
        <w:spacing w:line="240" w:lineRule="auto"/>
        <w:ind w:right="43"/>
        <w:rPr>
          <w:b/>
        </w:rPr>
      </w:pPr>
    </w:p>
    <w:p w14:paraId="51DE3554" w14:textId="25ED00A6" w:rsidR="001B649A" w:rsidRDefault="00BC6913" w:rsidP="001B649A">
      <w:pPr>
        <w:pStyle w:val="SingleTxtG"/>
        <w:spacing w:line="240" w:lineRule="auto"/>
        <w:ind w:left="0" w:right="39"/>
      </w:pPr>
      <w:r>
        <w:rPr>
          <w:b/>
          <w:u w:val="single"/>
        </w:rPr>
        <w:t>Chapter 4.14, Packing Instruction P520</w:t>
      </w:r>
      <w:r w:rsidRPr="00195E9D">
        <w:rPr>
          <w:b/>
        </w:rPr>
        <w:t xml:space="preserve"> </w:t>
      </w:r>
      <w:r w:rsidRPr="00195E9D">
        <w:t>– a</w:t>
      </w:r>
      <w:r>
        <w:t>dd a new special packing provision PP9</w:t>
      </w:r>
      <w:r w:rsidR="00C52B14">
        <w:t>5</w:t>
      </w:r>
      <w:r>
        <w:t xml:space="preserve"> to packing instruction P520 as shown below</w:t>
      </w:r>
      <w:r w:rsidR="001B649A" w:rsidRPr="00195E9D">
        <w:t>:</w:t>
      </w:r>
    </w:p>
    <w:p w14:paraId="734798F8" w14:textId="3D9F9992" w:rsidR="00C52B14" w:rsidRPr="00055FE8" w:rsidRDefault="00C52B14" w:rsidP="00C52B14">
      <w:pPr>
        <w:spacing w:after="120"/>
        <w:ind w:left="1134" w:right="1134"/>
        <w:jc w:val="both"/>
        <w:rPr>
          <w:color w:val="1F497D" w:themeColor="text2"/>
          <w:u w:val="single"/>
        </w:rPr>
      </w:pPr>
      <w:r w:rsidRPr="00055FE8">
        <w:rPr>
          <w:color w:val="1F497D" w:themeColor="text2"/>
          <w:u w:val="single"/>
        </w:rPr>
        <w:lastRenderedPageBreak/>
        <w:t xml:space="preserve">PP95  </w:t>
      </w:r>
      <w:r w:rsidRPr="00055FE8">
        <w:rPr>
          <w:color w:val="1F497D" w:themeColor="text2"/>
          <w:u w:val="single"/>
        </w:rPr>
        <w:tab/>
        <w:t>Small amounts of energetic samples of section 2.0.4.3 may be carried under UN 3223 or 3224, as applicable, provided that:</w:t>
      </w:r>
    </w:p>
    <w:p w14:paraId="2C305C36" w14:textId="60EDC2E6" w:rsidR="00A42B33" w:rsidRPr="00055FE8" w:rsidRDefault="00C52B14" w:rsidP="00A42B33">
      <w:pPr>
        <w:pStyle w:val="SingleTxtG"/>
        <w:rPr>
          <w:color w:val="1F497D" w:themeColor="text2"/>
          <w:u w:val="single"/>
        </w:rPr>
      </w:pPr>
      <w:r w:rsidRPr="00055FE8">
        <w:rPr>
          <w:color w:val="1F497D" w:themeColor="text2"/>
          <w:u w:val="single"/>
        </w:rPr>
        <w:t>1.</w:t>
      </w:r>
      <w:r w:rsidRPr="00055FE8">
        <w:rPr>
          <w:color w:val="1F497D" w:themeColor="text2"/>
          <w:u w:val="single"/>
        </w:rPr>
        <w:tab/>
      </w:r>
      <w:r w:rsidR="00A42B33" w:rsidRPr="00055FE8">
        <w:rPr>
          <w:color w:val="1F497D" w:themeColor="text2"/>
          <w:u w:val="single"/>
        </w:rPr>
        <w:t>Outer packaging comprise only type 4G having minimum dimensions of 60 cm (l) by 40</w:t>
      </w:r>
      <w:r w:rsidR="00A51831">
        <w:rPr>
          <w:color w:val="1F497D" w:themeColor="text2"/>
          <w:u w:val="single"/>
        </w:rPr>
        <w:t>.</w:t>
      </w:r>
      <w:r w:rsidR="00A42B33" w:rsidRPr="00055FE8">
        <w:rPr>
          <w:color w:val="1F497D" w:themeColor="text2"/>
          <w:u w:val="single"/>
        </w:rPr>
        <w:t>5 cm (w) by 30 cm (h) and minimum wall thickness of 1</w:t>
      </w:r>
      <w:r w:rsidR="00A51831">
        <w:rPr>
          <w:color w:val="1F497D" w:themeColor="text2"/>
          <w:u w:val="single"/>
        </w:rPr>
        <w:t>.</w:t>
      </w:r>
      <w:r w:rsidR="00A42B33" w:rsidRPr="00055FE8">
        <w:rPr>
          <w:color w:val="1F497D" w:themeColor="text2"/>
          <w:u w:val="single"/>
        </w:rPr>
        <w:t>3 cm consisting of corrugated fibreboard;</w:t>
      </w:r>
    </w:p>
    <w:p w14:paraId="564E5703" w14:textId="410021F7" w:rsidR="00A42B33" w:rsidRPr="00055FE8" w:rsidRDefault="00A42B33" w:rsidP="00A42B33">
      <w:pPr>
        <w:spacing w:after="120"/>
        <w:ind w:left="1134" w:right="1134"/>
        <w:jc w:val="both"/>
        <w:rPr>
          <w:color w:val="1F497D" w:themeColor="text2"/>
          <w:u w:val="single"/>
        </w:rPr>
      </w:pPr>
      <w:r w:rsidRPr="00055FE8">
        <w:rPr>
          <w:color w:val="1F497D" w:themeColor="text2"/>
          <w:u w:val="single"/>
        </w:rPr>
        <w:t>2.</w:t>
      </w:r>
      <w:r w:rsidRPr="00055FE8">
        <w:rPr>
          <w:color w:val="1F497D" w:themeColor="text2"/>
          <w:u w:val="single"/>
        </w:rPr>
        <w:tab/>
        <w:t>The individual substance is contained in an inner packaging of glass or plastic</w:t>
      </w:r>
      <w:r w:rsidR="00A51831">
        <w:rPr>
          <w:color w:val="1F497D" w:themeColor="text2"/>
          <w:u w:val="single"/>
        </w:rPr>
        <w:t>s</w:t>
      </w:r>
      <w:r w:rsidRPr="00055FE8">
        <w:rPr>
          <w:color w:val="1F497D" w:themeColor="text2"/>
          <w:u w:val="single"/>
        </w:rPr>
        <w:t xml:space="preserve"> of maximum capacity 30 ml placed in an </w:t>
      </w:r>
      <w:r w:rsidR="00A51831">
        <w:rPr>
          <w:color w:val="1F497D" w:themeColor="text2"/>
          <w:u w:val="single"/>
        </w:rPr>
        <w:t>e</w:t>
      </w:r>
      <w:r w:rsidRPr="00055FE8">
        <w:rPr>
          <w:color w:val="1F497D" w:themeColor="text2"/>
          <w:u w:val="single"/>
        </w:rPr>
        <w:t xml:space="preserve">xpandable </w:t>
      </w:r>
      <w:r w:rsidR="00A51831">
        <w:rPr>
          <w:color w:val="1F497D" w:themeColor="text2"/>
          <w:u w:val="single"/>
        </w:rPr>
        <w:t>p</w:t>
      </w:r>
      <w:r w:rsidRPr="00055FE8">
        <w:rPr>
          <w:color w:val="1F497D" w:themeColor="text2"/>
          <w:u w:val="single"/>
        </w:rPr>
        <w:t xml:space="preserve">olyethylene foam matrix of </w:t>
      </w:r>
      <w:r w:rsidR="008028C9" w:rsidRPr="00055FE8">
        <w:rPr>
          <w:color w:val="1F497D" w:themeColor="text2"/>
          <w:u w:val="single"/>
        </w:rPr>
        <w:t>at least</w:t>
      </w:r>
      <w:r w:rsidRPr="00055FE8">
        <w:rPr>
          <w:color w:val="1F497D" w:themeColor="text2"/>
          <w:u w:val="single"/>
        </w:rPr>
        <w:t xml:space="preserve"> 130 mm thick</w:t>
      </w:r>
      <w:r w:rsidR="00A51831">
        <w:rPr>
          <w:color w:val="1F497D" w:themeColor="text2"/>
          <w:u w:val="single"/>
        </w:rPr>
        <w:t>ness</w:t>
      </w:r>
      <w:r w:rsidRPr="00055FE8">
        <w:rPr>
          <w:color w:val="1F497D" w:themeColor="text2"/>
          <w:u w:val="single"/>
        </w:rPr>
        <w:t xml:space="preserve"> having a density of </w:t>
      </w:r>
      <w:r w:rsidR="00A51831">
        <w:rPr>
          <w:color w:val="1F497D" w:themeColor="text2"/>
          <w:u w:val="single"/>
        </w:rPr>
        <w:t>18 +/- 1</w:t>
      </w:r>
      <w:r w:rsidRPr="00055FE8">
        <w:rPr>
          <w:color w:val="1F497D" w:themeColor="text2"/>
          <w:u w:val="single"/>
        </w:rPr>
        <w:t xml:space="preserve"> g/l;</w:t>
      </w:r>
    </w:p>
    <w:p w14:paraId="166CEE4D" w14:textId="3D23DAD5" w:rsidR="00A42B33" w:rsidRPr="00055FE8" w:rsidRDefault="00A42B33" w:rsidP="00A42B33">
      <w:pPr>
        <w:spacing w:after="120"/>
        <w:ind w:left="1134" w:right="1134"/>
        <w:jc w:val="both"/>
        <w:rPr>
          <w:color w:val="1F497D" w:themeColor="text2"/>
          <w:u w:val="single"/>
        </w:rPr>
      </w:pPr>
      <w:r w:rsidRPr="00055FE8">
        <w:rPr>
          <w:color w:val="1F497D" w:themeColor="text2"/>
          <w:u w:val="single"/>
        </w:rPr>
        <w:t>3.</w:t>
      </w:r>
      <w:r w:rsidRPr="00055FE8">
        <w:rPr>
          <w:color w:val="1F497D" w:themeColor="text2"/>
          <w:u w:val="single"/>
        </w:rPr>
        <w:tab/>
        <w:t xml:space="preserve">Within the foam carrier, sample receptacles are segregated from each other by a minimum distance of 40 mm and from the wall of the outer package by a minimum distance of 70 mm. The package may contain up to two layers of such foam matrices, each carrying </w:t>
      </w:r>
      <w:r w:rsidR="00A51831">
        <w:rPr>
          <w:color w:val="1F497D" w:themeColor="text2"/>
          <w:u w:val="single"/>
        </w:rPr>
        <w:t xml:space="preserve">up to </w:t>
      </w:r>
      <w:r w:rsidRPr="00055FE8">
        <w:rPr>
          <w:color w:val="1F497D" w:themeColor="text2"/>
          <w:u w:val="single"/>
        </w:rPr>
        <w:t>28 sample bottles</w:t>
      </w:r>
      <w:r w:rsidR="00A51831">
        <w:rPr>
          <w:color w:val="1F497D" w:themeColor="text2"/>
          <w:u w:val="single"/>
        </w:rPr>
        <w:t>;</w:t>
      </w:r>
    </w:p>
    <w:p w14:paraId="6BFEBC23" w14:textId="77777777" w:rsidR="00A42B33" w:rsidRPr="00055FE8" w:rsidRDefault="00A42B33" w:rsidP="00A42B33">
      <w:pPr>
        <w:spacing w:after="120"/>
        <w:ind w:left="1134" w:right="1134"/>
        <w:jc w:val="both"/>
        <w:rPr>
          <w:color w:val="1F497D" w:themeColor="text2"/>
          <w:u w:val="single"/>
        </w:rPr>
      </w:pPr>
      <w:r w:rsidRPr="00055FE8">
        <w:rPr>
          <w:color w:val="1F497D" w:themeColor="text2"/>
          <w:u w:val="single"/>
        </w:rPr>
        <w:t>4.</w:t>
      </w:r>
      <w:r w:rsidRPr="00055FE8">
        <w:rPr>
          <w:color w:val="1F497D" w:themeColor="text2"/>
          <w:u w:val="single"/>
        </w:rPr>
        <w:tab/>
        <w:t>The maximum content of each inner receptacle does not exceed 1 g for solids or 1 ml for liquids;</w:t>
      </w:r>
    </w:p>
    <w:p w14:paraId="4500547C" w14:textId="7EBFC27E" w:rsidR="00A42B33" w:rsidRPr="00055FE8" w:rsidRDefault="00A42B33" w:rsidP="00A42B33">
      <w:pPr>
        <w:spacing w:after="120"/>
        <w:ind w:left="1134" w:right="1134"/>
        <w:jc w:val="both"/>
        <w:rPr>
          <w:color w:val="1F497D" w:themeColor="text2"/>
          <w:u w:val="single"/>
        </w:rPr>
      </w:pPr>
      <w:r w:rsidRPr="00055FE8">
        <w:rPr>
          <w:color w:val="1F497D" w:themeColor="text2"/>
          <w:u w:val="single"/>
        </w:rPr>
        <w:t>5.</w:t>
      </w:r>
      <w:r w:rsidRPr="00055FE8">
        <w:rPr>
          <w:color w:val="1F497D" w:themeColor="text2"/>
          <w:u w:val="single"/>
        </w:rPr>
        <w:tab/>
        <w:t xml:space="preserve">The maximum net quantity per outer packaging is 56 g for solids or 56 ml for liquids, or </w:t>
      </w:r>
      <w:r w:rsidR="00A51831">
        <w:rPr>
          <w:color w:val="1F497D" w:themeColor="text2"/>
          <w:u w:val="single"/>
        </w:rPr>
        <w:t xml:space="preserve">in the case of mixed packaging the </w:t>
      </w:r>
      <w:r w:rsidRPr="00055FE8">
        <w:rPr>
          <w:color w:val="1F497D" w:themeColor="text2"/>
          <w:u w:val="single"/>
        </w:rPr>
        <w:t>sum of grams and m</w:t>
      </w:r>
      <w:r w:rsidR="00A51831">
        <w:rPr>
          <w:color w:val="1F497D" w:themeColor="text2"/>
          <w:u w:val="single"/>
        </w:rPr>
        <w:t>illi</w:t>
      </w:r>
      <w:r w:rsidRPr="00055FE8">
        <w:rPr>
          <w:color w:val="1F497D" w:themeColor="text2"/>
          <w:u w:val="single"/>
        </w:rPr>
        <w:t>l</w:t>
      </w:r>
      <w:r w:rsidR="00A51831">
        <w:rPr>
          <w:color w:val="1F497D" w:themeColor="text2"/>
          <w:u w:val="single"/>
        </w:rPr>
        <w:t>itres</w:t>
      </w:r>
      <w:r w:rsidRPr="00055FE8">
        <w:rPr>
          <w:color w:val="1F497D" w:themeColor="text2"/>
          <w:u w:val="single"/>
        </w:rPr>
        <w:t xml:space="preserve"> </w:t>
      </w:r>
      <w:r w:rsidR="00A51831">
        <w:rPr>
          <w:color w:val="1F497D" w:themeColor="text2"/>
          <w:u w:val="single"/>
        </w:rPr>
        <w:t>shall not exceed</w:t>
      </w:r>
      <w:r w:rsidRPr="00055FE8">
        <w:rPr>
          <w:color w:val="1F497D" w:themeColor="text2"/>
          <w:u w:val="single"/>
        </w:rPr>
        <w:t xml:space="preserve"> 56; and</w:t>
      </w:r>
    </w:p>
    <w:p w14:paraId="54B0C5CF" w14:textId="1D9566C5" w:rsidR="001B649A" w:rsidRPr="00E24F07" w:rsidRDefault="00A42B33" w:rsidP="00701DB9">
      <w:pPr>
        <w:spacing w:after="120"/>
        <w:ind w:left="1134" w:right="1134"/>
        <w:jc w:val="both"/>
        <w:rPr>
          <w:color w:val="1F497D" w:themeColor="text2"/>
        </w:rPr>
      </w:pPr>
      <w:r w:rsidRPr="00055FE8">
        <w:rPr>
          <w:color w:val="1F497D" w:themeColor="text2"/>
          <w:u w:val="single"/>
        </w:rPr>
        <w:t>6.</w:t>
      </w:r>
      <w:r w:rsidRPr="00055FE8">
        <w:rPr>
          <w:color w:val="1F497D" w:themeColor="text2"/>
          <w:u w:val="single"/>
        </w:rPr>
        <w:tab/>
        <w:t>When dry ice or liquid nitrogen is optionally used as a coolant for quality control measures, the requirements of 5.5.3 are complied with. Interior supports shall be provided to secure the secondary packaging in the original position. The primary receptacle and the secondary packaging shall maintain their integrity at the temperature of the refrigerant used as well as the temperatures and the pressures which could result if refrigeration were lost</w:t>
      </w:r>
      <w:r w:rsidR="00701DB9" w:rsidRPr="00055FE8">
        <w:rPr>
          <w:color w:val="1F497D" w:themeColor="text2"/>
          <w:u w:val="single"/>
        </w:rPr>
        <w:t>.</w:t>
      </w:r>
    </w:p>
    <w:p w14:paraId="1CA17E6D" w14:textId="2ADD2683" w:rsidR="001B649A" w:rsidRPr="00195E9D" w:rsidRDefault="001B649A" w:rsidP="001B649A">
      <w:pPr>
        <w:pStyle w:val="SingleTxtG"/>
        <w:spacing w:line="240" w:lineRule="auto"/>
        <w:ind w:left="0" w:right="39"/>
        <w:rPr>
          <w:i/>
        </w:rPr>
      </w:pPr>
      <w:r w:rsidRPr="00195E9D">
        <w:rPr>
          <w:i/>
        </w:rPr>
        <w:t xml:space="preserve">Source:  </w:t>
      </w:r>
      <w:r w:rsidR="00701DB9" w:rsidRPr="00CF5F97">
        <w:rPr>
          <w:i/>
        </w:rPr>
        <w:t>UN/SCETDG/50/INF.23</w:t>
      </w:r>
      <w:r w:rsidR="00876122">
        <w:rPr>
          <w:i/>
        </w:rPr>
        <w:t>,</w:t>
      </w:r>
      <w:r w:rsidR="00701DB9" w:rsidRPr="00CF5F97">
        <w:rPr>
          <w:i/>
        </w:rPr>
        <w:t xml:space="preserve"> </w:t>
      </w:r>
      <w:r w:rsidR="00701DB9">
        <w:rPr>
          <w:i/>
        </w:rPr>
        <w:t>Para</w:t>
      </w:r>
      <w:r w:rsidR="00876122">
        <w:rPr>
          <w:i/>
        </w:rPr>
        <w:t>.</w:t>
      </w:r>
      <w:r w:rsidR="00701DB9">
        <w:rPr>
          <w:i/>
        </w:rPr>
        <w:t xml:space="preserve"> </w:t>
      </w:r>
      <w:proofErr w:type="gramStart"/>
      <w:r w:rsidR="00701DB9">
        <w:rPr>
          <w:i/>
        </w:rPr>
        <w:t xml:space="preserve">7 </w:t>
      </w:r>
      <w:r w:rsidR="00701DB9" w:rsidRPr="00CF5F97">
        <w:rPr>
          <w:i/>
        </w:rPr>
        <w:t>(as amended b</w:t>
      </w:r>
      <w:r w:rsidR="00782EB8">
        <w:rPr>
          <w:i/>
        </w:rPr>
        <w:t>y the working group) and Para.</w:t>
      </w:r>
      <w:proofErr w:type="gramEnd"/>
      <w:r w:rsidR="00782EB8">
        <w:rPr>
          <w:i/>
        </w:rPr>
        <w:t xml:space="preserve"> </w:t>
      </w:r>
      <w:proofErr w:type="gramStart"/>
      <w:r w:rsidR="00782EB8">
        <w:rPr>
          <w:i/>
        </w:rPr>
        <w:t>7</w:t>
      </w:r>
      <w:r w:rsidR="00701DB9" w:rsidRPr="00CF5F97">
        <w:rPr>
          <w:i/>
        </w:rPr>
        <w:t xml:space="preserve"> of this report</w:t>
      </w:r>
      <w:r w:rsidR="00701DB9">
        <w:rPr>
          <w:i/>
        </w:rPr>
        <w:t>.</w:t>
      </w:r>
      <w:proofErr w:type="gramEnd"/>
    </w:p>
    <w:p w14:paraId="62149BD4" w14:textId="77777777" w:rsidR="007D3FD6" w:rsidRPr="00195E9D" w:rsidRDefault="007D3FD6" w:rsidP="007D3FD6">
      <w:pPr>
        <w:pStyle w:val="SingleTxtG"/>
        <w:numPr>
          <w:ilvl w:val="0"/>
          <w:numId w:val="5"/>
        </w:numPr>
        <w:pBdr>
          <w:top w:val="single" w:sz="4" w:space="1" w:color="auto"/>
        </w:pBdr>
        <w:spacing w:line="240" w:lineRule="auto"/>
        <w:ind w:right="43"/>
        <w:rPr>
          <w:b/>
        </w:rPr>
      </w:pPr>
    </w:p>
    <w:p w14:paraId="4BAAEFE1" w14:textId="77777777" w:rsidR="007D3FD6" w:rsidRDefault="007D3FD6" w:rsidP="007D3FD6">
      <w:pPr>
        <w:suppressAutoHyphens w:val="0"/>
        <w:autoSpaceDE w:val="0"/>
        <w:autoSpaceDN w:val="0"/>
        <w:adjustRightInd w:val="0"/>
        <w:spacing w:line="240" w:lineRule="auto"/>
        <w:ind w:left="1134"/>
        <w:rPr>
          <w:sz w:val="22"/>
        </w:rPr>
      </w:pPr>
      <w:r w:rsidRPr="00E44987">
        <w:rPr>
          <w:sz w:val="22"/>
        </w:rPr>
        <w:t>List of amendments to Working Document 66 as agreed by the EWG</w:t>
      </w:r>
    </w:p>
    <w:p w14:paraId="77C158BC" w14:textId="77777777" w:rsidR="007D3FD6" w:rsidRPr="00E44987" w:rsidRDefault="007D3FD6" w:rsidP="007D3FD6">
      <w:pPr>
        <w:suppressAutoHyphens w:val="0"/>
        <w:autoSpaceDE w:val="0"/>
        <w:autoSpaceDN w:val="0"/>
        <w:adjustRightInd w:val="0"/>
        <w:spacing w:line="240" w:lineRule="auto"/>
        <w:ind w:left="1134"/>
        <w:rPr>
          <w:color w:val="000000" w:themeColor="text1"/>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4819"/>
        <w:gridCol w:w="1763"/>
      </w:tblGrid>
      <w:tr w:rsidR="007D3FD6" w:rsidRPr="009E2735" w14:paraId="3CF5FA98" w14:textId="77777777" w:rsidTr="008C7E5A">
        <w:tc>
          <w:tcPr>
            <w:tcW w:w="2660" w:type="dxa"/>
          </w:tcPr>
          <w:p w14:paraId="4F7627DF" w14:textId="77777777" w:rsidR="007D3FD6" w:rsidRPr="009E2735" w:rsidRDefault="007D3FD6" w:rsidP="008C7E5A">
            <w:r w:rsidRPr="009E2735">
              <w:t>Section A</w:t>
            </w:r>
          </w:p>
          <w:p w14:paraId="02E46E5B" w14:textId="77777777" w:rsidR="007D3FD6" w:rsidRPr="009E2735" w:rsidRDefault="007D3FD6" w:rsidP="008C7E5A">
            <w:r w:rsidRPr="009E2735">
              <w:t>In Chapter 3.2</w:t>
            </w:r>
          </w:p>
          <w:p w14:paraId="106A5275" w14:textId="77777777" w:rsidR="007D3FD6" w:rsidRPr="009E2735" w:rsidRDefault="007D3FD6" w:rsidP="008C7E5A"/>
        </w:tc>
        <w:tc>
          <w:tcPr>
            <w:tcW w:w="6582" w:type="dxa"/>
            <w:gridSpan w:val="2"/>
          </w:tcPr>
          <w:p w14:paraId="59EA0B3A" w14:textId="77777777" w:rsidR="007D3FD6" w:rsidRPr="009E2735" w:rsidRDefault="007D3FD6" w:rsidP="008C7E5A">
            <w:r w:rsidRPr="009E2735">
              <w:t xml:space="preserve">• For UN </w:t>
            </w:r>
            <w:r>
              <w:t>Number</w:t>
            </w:r>
            <w:r w:rsidRPr="009E2735">
              <w:t xml:space="preserve"> 2067, delete 186 </w:t>
            </w:r>
            <w:r w:rsidRPr="00684051">
              <w:rPr>
                <w:strike/>
                <w:color w:val="FF0000"/>
              </w:rPr>
              <w:t>and 306</w:t>
            </w:r>
            <w:r w:rsidRPr="00684051">
              <w:rPr>
                <w:color w:val="FF0000"/>
              </w:rPr>
              <w:t xml:space="preserve"> </w:t>
            </w:r>
            <w:r w:rsidRPr="009E2735">
              <w:t>from column (6) Special provisions;</w:t>
            </w:r>
          </w:p>
          <w:p w14:paraId="02BD8DCF" w14:textId="77777777" w:rsidR="007D3FD6" w:rsidRPr="009E2735" w:rsidRDefault="007D3FD6" w:rsidP="008C7E5A">
            <w:r w:rsidRPr="009E2735">
              <w:t xml:space="preserve">• For UN </w:t>
            </w:r>
            <w:r>
              <w:t>Number</w:t>
            </w:r>
            <w:r w:rsidRPr="009E2735">
              <w:t xml:space="preserve"> 2071, delete 186 from column (6) Special provisions.</w:t>
            </w:r>
          </w:p>
        </w:tc>
      </w:tr>
      <w:tr w:rsidR="007D3FD6" w:rsidRPr="009E2735" w14:paraId="089CCACE" w14:textId="77777777" w:rsidTr="008C7E5A">
        <w:tc>
          <w:tcPr>
            <w:tcW w:w="2660" w:type="dxa"/>
          </w:tcPr>
          <w:p w14:paraId="439B5C22" w14:textId="77777777" w:rsidR="007D3FD6" w:rsidRPr="009E2735" w:rsidRDefault="007D3FD6" w:rsidP="008C7E5A">
            <w:r w:rsidRPr="009E2735">
              <w:t>Section A</w:t>
            </w:r>
          </w:p>
          <w:p w14:paraId="3A2A56B3" w14:textId="77777777" w:rsidR="007D3FD6" w:rsidRPr="00684051" w:rsidRDefault="007D3FD6" w:rsidP="008C7E5A">
            <w:pPr>
              <w:rPr>
                <w:color w:val="002060"/>
              </w:rPr>
            </w:pPr>
            <w:r w:rsidRPr="009E2735">
              <w:t>In Chapter 3.3</w:t>
            </w:r>
          </w:p>
          <w:p w14:paraId="054CDC69" w14:textId="77777777" w:rsidR="007D3FD6" w:rsidRPr="009E2735" w:rsidRDefault="007D3FD6" w:rsidP="008C7E5A"/>
        </w:tc>
        <w:tc>
          <w:tcPr>
            <w:tcW w:w="6582" w:type="dxa"/>
            <w:gridSpan w:val="2"/>
          </w:tcPr>
          <w:p w14:paraId="70B05147" w14:textId="77777777" w:rsidR="007D3FD6" w:rsidRPr="009E2735" w:rsidRDefault="007D3FD6" w:rsidP="008C7E5A">
            <w:r w:rsidRPr="009E2735">
              <w:t xml:space="preserve">• Change Special provision 193 to read: </w:t>
            </w:r>
          </w:p>
          <w:p w14:paraId="372B0648" w14:textId="77777777" w:rsidR="007D3FD6" w:rsidRPr="009E2735" w:rsidRDefault="007D3FD6" w:rsidP="008C7E5A">
            <w:r w:rsidRPr="009E2735">
              <w:t xml:space="preserve">"This entry may only be used for ammonium nitrate based compound fertilizers. They shall be classified in accordance with the procedure as set out in the Manual of Tests and Criteria, Part III, Section 39. Fertilizers meeting the criteria for this UN </w:t>
            </w:r>
            <w:r w:rsidRPr="00684051">
              <w:rPr>
                <w:strike/>
                <w:color w:val="FF0000"/>
              </w:rPr>
              <w:t>No.</w:t>
            </w:r>
            <w:r w:rsidRPr="00684051">
              <w:rPr>
                <w:color w:val="FF0000"/>
              </w:rPr>
              <w:t xml:space="preserve"> </w:t>
            </w:r>
            <w:r w:rsidRPr="00F0343B">
              <w:rPr>
                <w:color w:val="002060"/>
                <w:u w:val="single"/>
              </w:rPr>
              <w:t>Number</w:t>
            </w:r>
            <w:r w:rsidRPr="00684051">
              <w:rPr>
                <w:color w:val="002060"/>
              </w:rPr>
              <w:t xml:space="preserve"> </w:t>
            </w:r>
            <w:proofErr w:type="gramStart"/>
            <w:r w:rsidRPr="009E2735">
              <w:t>are</w:t>
            </w:r>
            <w:proofErr w:type="gramEnd"/>
            <w:r w:rsidRPr="009E2735">
              <w:t xml:space="preserve"> only subject to these Regulations when transported by air or sea."</w:t>
            </w:r>
          </w:p>
        </w:tc>
      </w:tr>
      <w:tr w:rsidR="007D3FD6" w:rsidRPr="009E2735" w14:paraId="51DB7A1E" w14:textId="77777777" w:rsidTr="008C7E5A">
        <w:trPr>
          <w:gridAfter w:val="1"/>
          <w:wAfter w:w="1763" w:type="dxa"/>
        </w:trPr>
        <w:tc>
          <w:tcPr>
            <w:tcW w:w="0" w:type="auto"/>
          </w:tcPr>
          <w:p w14:paraId="021D01BA" w14:textId="77777777" w:rsidR="007D3FD6" w:rsidRPr="009E2735" w:rsidRDefault="007D3FD6" w:rsidP="008C7E5A">
            <w:r w:rsidRPr="009E2735">
              <w:t xml:space="preserve">Changes to </w:t>
            </w:r>
            <w:r>
              <w:t xml:space="preserve">the </w:t>
            </w:r>
            <w:r w:rsidRPr="009E2735">
              <w:t>DGL</w:t>
            </w:r>
            <w:r>
              <w:t xml:space="preserve"> (table)</w:t>
            </w:r>
          </w:p>
        </w:tc>
        <w:tc>
          <w:tcPr>
            <w:tcW w:w="4819" w:type="dxa"/>
          </w:tcPr>
          <w:p w14:paraId="2DD7FB96" w14:textId="77777777" w:rsidR="007D3FD6" w:rsidRPr="009E2735" w:rsidRDefault="007D3FD6" w:rsidP="008C7E5A">
            <w:r w:rsidRPr="009E2735">
              <w:t>Retain 306 in column (6) for UN 2067.</w:t>
            </w:r>
          </w:p>
        </w:tc>
      </w:tr>
    </w:tbl>
    <w:p w14:paraId="6BE8AC75" w14:textId="77777777" w:rsidR="007D3FD6" w:rsidRPr="00E44987" w:rsidRDefault="007D3FD6" w:rsidP="007D3FD6">
      <w:pPr>
        <w:suppressAutoHyphens w:val="0"/>
        <w:autoSpaceDE w:val="0"/>
        <w:autoSpaceDN w:val="0"/>
        <w:adjustRightInd w:val="0"/>
        <w:spacing w:line="240" w:lineRule="auto"/>
      </w:pPr>
    </w:p>
    <w:p w14:paraId="582D035B" w14:textId="77777777" w:rsidR="007D3FD6" w:rsidRPr="00B8280B" w:rsidRDefault="007D3FD6" w:rsidP="007D3FD6">
      <w:pPr>
        <w:suppressAutoHyphens w:val="0"/>
        <w:autoSpaceDE w:val="0"/>
        <w:autoSpaceDN w:val="0"/>
        <w:adjustRightInd w:val="0"/>
        <w:spacing w:line="240" w:lineRule="auto"/>
        <w:rPr>
          <w:color w:val="1F497D" w:themeColor="text2"/>
          <w:sz w:val="22"/>
          <w:szCs w:val="22"/>
        </w:rPr>
      </w:pPr>
      <w:r w:rsidRPr="00195E9D">
        <w:rPr>
          <w:i/>
        </w:rPr>
        <w:t xml:space="preserve">Source:  </w:t>
      </w:r>
      <w:r w:rsidRPr="008D49BB">
        <w:rPr>
          <w:i/>
        </w:rPr>
        <w:t>ST</w:t>
      </w:r>
      <w:r>
        <w:rPr>
          <w:i/>
        </w:rPr>
        <w:t xml:space="preserve">/SG/AC.10/C.3/2016/66 </w:t>
      </w:r>
      <w:r w:rsidRPr="008D49BB">
        <w:rPr>
          <w:i/>
        </w:rPr>
        <w:t xml:space="preserve">(as amended by the work group) and Para. </w:t>
      </w:r>
      <w:proofErr w:type="gramStart"/>
      <w:r w:rsidRPr="008D49BB">
        <w:rPr>
          <w:i/>
        </w:rPr>
        <w:t>8 of this report.</w:t>
      </w:r>
      <w:proofErr w:type="gramEnd"/>
    </w:p>
    <w:p w14:paraId="65977570" w14:textId="77777777" w:rsidR="00B34835" w:rsidRPr="00195E9D" w:rsidRDefault="00B34835" w:rsidP="00B34835">
      <w:pPr>
        <w:pStyle w:val="SingleTxtG"/>
        <w:numPr>
          <w:ilvl w:val="0"/>
          <w:numId w:val="5"/>
        </w:numPr>
        <w:pBdr>
          <w:top w:val="single" w:sz="4" w:space="1" w:color="auto"/>
        </w:pBdr>
        <w:spacing w:line="240" w:lineRule="auto"/>
        <w:ind w:right="43"/>
        <w:rPr>
          <w:b/>
        </w:rPr>
      </w:pPr>
    </w:p>
    <w:p w14:paraId="29035445" w14:textId="09340C5E" w:rsidR="00E44987" w:rsidRPr="00E44987" w:rsidRDefault="007D3FD6" w:rsidP="007D3FD6">
      <w:pPr>
        <w:suppressAutoHyphens w:val="0"/>
        <w:autoSpaceDE w:val="0"/>
        <w:autoSpaceDN w:val="0"/>
        <w:adjustRightInd w:val="0"/>
        <w:spacing w:line="240" w:lineRule="auto"/>
        <w:rPr>
          <w:color w:val="000000" w:themeColor="text1"/>
          <w:szCs w:val="22"/>
        </w:rPr>
      </w:pPr>
      <w:r>
        <w:rPr>
          <w:sz w:val="22"/>
        </w:rPr>
        <w:t>Amend Table 1.4.1 to add Class 1, Division 1.6 explosives, at the appropriate location.</w:t>
      </w:r>
    </w:p>
    <w:p w14:paraId="3209958F" w14:textId="77777777" w:rsidR="00E44987" w:rsidRPr="00E44987" w:rsidRDefault="00E44987" w:rsidP="002B2253">
      <w:pPr>
        <w:suppressAutoHyphens w:val="0"/>
        <w:autoSpaceDE w:val="0"/>
        <w:autoSpaceDN w:val="0"/>
        <w:adjustRightInd w:val="0"/>
        <w:spacing w:line="240" w:lineRule="auto"/>
      </w:pPr>
    </w:p>
    <w:p w14:paraId="177C45D1" w14:textId="0FA6AE65" w:rsidR="002B2253" w:rsidRPr="00B8280B" w:rsidRDefault="002B2253" w:rsidP="002B2253">
      <w:pPr>
        <w:suppressAutoHyphens w:val="0"/>
        <w:autoSpaceDE w:val="0"/>
        <w:autoSpaceDN w:val="0"/>
        <w:adjustRightInd w:val="0"/>
        <w:spacing w:line="240" w:lineRule="auto"/>
        <w:rPr>
          <w:color w:val="1F497D" w:themeColor="text2"/>
          <w:sz w:val="22"/>
          <w:szCs w:val="22"/>
        </w:rPr>
      </w:pPr>
      <w:r w:rsidRPr="00195E9D">
        <w:rPr>
          <w:i/>
        </w:rPr>
        <w:t xml:space="preserve">Source:  </w:t>
      </w:r>
      <w:r w:rsidR="007D3FD6" w:rsidRPr="007D3FD6">
        <w:rPr>
          <w:i/>
        </w:rPr>
        <w:t>UN/SCETDG/50/INF.44 – (UK)</w:t>
      </w:r>
      <w:r w:rsidR="00135B22">
        <w:rPr>
          <w:i/>
        </w:rPr>
        <w:t xml:space="preserve"> (as a</w:t>
      </w:r>
      <w:r w:rsidRPr="008D49BB">
        <w:rPr>
          <w:i/>
        </w:rPr>
        <w:t>mende</w:t>
      </w:r>
      <w:r w:rsidR="00135B22">
        <w:rPr>
          <w:i/>
        </w:rPr>
        <w:t xml:space="preserve">d by the work group) and Para. </w:t>
      </w:r>
      <w:proofErr w:type="gramStart"/>
      <w:r w:rsidR="00135B22">
        <w:rPr>
          <w:i/>
        </w:rPr>
        <w:t>9</w:t>
      </w:r>
      <w:r w:rsidRPr="008D49BB">
        <w:rPr>
          <w:i/>
        </w:rPr>
        <w:t xml:space="preserve"> of this report.</w:t>
      </w:r>
      <w:proofErr w:type="gramEnd"/>
    </w:p>
    <w:p w14:paraId="5E4884E1" w14:textId="77777777" w:rsidR="007462F7" w:rsidRDefault="007462F7" w:rsidP="007462F7">
      <w:pPr>
        <w:pStyle w:val="SingleTxtG"/>
        <w:pBdr>
          <w:top w:val="single" w:sz="4" w:space="1" w:color="auto"/>
        </w:pBdr>
        <w:spacing w:line="240" w:lineRule="auto"/>
        <w:ind w:left="0" w:right="43"/>
        <w:rPr>
          <w:b/>
        </w:rPr>
      </w:pPr>
    </w:p>
    <w:p w14:paraId="0216B131" w14:textId="4A26B446" w:rsidR="000704F4" w:rsidRPr="00E23862" w:rsidRDefault="000704F4" w:rsidP="00E23862">
      <w:pPr>
        <w:pStyle w:val="SingleTxtG"/>
        <w:pBdr>
          <w:top w:val="single" w:sz="4" w:space="1" w:color="auto"/>
        </w:pBdr>
        <w:spacing w:line="240" w:lineRule="auto"/>
        <w:ind w:left="0" w:right="43"/>
        <w:rPr>
          <w:b/>
        </w:rPr>
      </w:pPr>
    </w:p>
    <w:p w14:paraId="33105619" w14:textId="04F06702" w:rsidR="001B412D" w:rsidRPr="00E30980" w:rsidRDefault="00BC60D1" w:rsidP="0048028F">
      <w:pPr>
        <w:pStyle w:val="SingleTxtG"/>
        <w:spacing w:before="240" w:line="240" w:lineRule="auto"/>
        <w:ind w:left="0" w:right="43"/>
        <w:rPr>
          <w:i/>
        </w:rPr>
      </w:pPr>
      <w:r>
        <w:rPr>
          <w:u w:val="single"/>
        </w:rPr>
        <w:br w:type="page"/>
      </w:r>
    </w:p>
    <w:p w14:paraId="1CA1B7B0" w14:textId="049C19B0" w:rsidR="001B412D" w:rsidRDefault="001B412D" w:rsidP="0048028F">
      <w:pPr>
        <w:pStyle w:val="HChG"/>
        <w:spacing w:line="240" w:lineRule="auto"/>
        <w:ind w:left="0" w:right="39" w:firstLine="0"/>
        <w:rPr>
          <w:rFonts w:eastAsia="MS Mincho"/>
          <w:sz w:val="26"/>
          <w:lang w:val="en-US" w:eastAsia="ja-JP"/>
        </w:rPr>
      </w:pPr>
      <w:bookmarkStart w:id="3" w:name="Annex3"/>
      <w:bookmarkEnd w:id="3"/>
      <w:r>
        <w:rPr>
          <w:rFonts w:eastAsia="MS Mincho"/>
          <w:lang w:val="en-US" w:eastAsia="ja-JP"/>
        </w:rPr>
        <w:lastRenderedPageBreak/>
        <w:t>Annex 3</w:t>
      </w:r>
      <w:r>
        <w:rPr>
          <w:rFonts w:eastAsia="MS Mincho"/>
          <w:lang w:val="en-US" w:eastAsia="ja-JP"/>
        </w:rPr>
        <w:br/>
      </w:r>
      <w:r w:rsidRPr="00AF5B84">
        <w:rPr>
          <w:rFonts w:eastAsia="MS Mincho"/>
          <w:sz w:val="26"/>
          <w:lang w:val="en-US" w:eastAsia="ja-JP"/>
        </w:rPr>
        <w:t xml:space="preserve">Working Group on Explosives </w:t>
      </w:r>
      <w:r w:rsidRPr="00092CF5">
        <w:rPr>
          <w:rFonts w:eastAsia="MS Mincho"/>
          <w:sz w:val="26"/>
          <w:lang w:val="en-US" w:eastAsia="ja-JP"/>
        </w:rPr>
        <w:t>(</w:t>
      </w:r>
      <w:r w:rsidR="00D96FFC">
        <w:rPr>
          <w:rFonts w:eastAsia="MS Mincho"/>
          <w:sz w:val="26"/>
          <w:lang w:val="en-US" w:eastAsia="ja-JP"/>
        </w:rPr>
        <w:t>28 November - 2 December 2016</w:t>
      </w:r>
      <w:proofErr w:type="gramStart"/>
      <w:r w:rsidRPr="00092CF5">
        <w:rPr>
          <w:rFonts w:eastAsia="MS Mincho"/>
          <w:sz w:val="26"/>
          <w:lang w:val="en-US" w:eastAsia="ja-JP"/>
        </w:rPr>
        <w:t>)</w:t>
      </w:r>
      <w:proofErr w:type="gramEnd"/>
      <w:r w:rsidRPr="00AF5B84">
        <w:rPr>
          <w:rFonts w:eastAsia="MS Mincho"/>
          <w:sz w:val="26"/>
          <w:lang w:val="en-US" w:eastAsia="ja-JP"/>
        </w:rPr>
        <w:br/>
      </w:r>
      <w:r>
        <w:rPr>
          <w:rFonts w:eastAsia="MS Mincho"/>
          <w:sz w:val="26"/>
          <w:lang w:val="en-US" w:eastAsia="ja-JP"/>
        </w:rPr>
        <w:t>Changes for the Test Manual (6th Revised Edition)</w:t>
      </w:r>
    </w:p>
    <w:p w14:paraId="67F6829C" w14:textId="2D1F6FCB" w:rsidR="001B412D" w:rsidRPr="00195E9D" w:rsidRDefault="001B412D" w:rsidP="0048028F">
      <w:pPr>
        <w:tabs>
          <w:tab w:val="left" w:pos="720"/>
        </w:tabs>
        <w:spacing w:line="240" w:lineRule="auto"/>
        <w:ind w:right="43"/>
        <w:rPr>
          <w:b/>
        </w:rPr>
      </w:pPr>
      <w:r w:rsidRPr="00195E9D">
        <w:rPr>
          <w:rFonts w:eastAsia="MS Mincho"/>
          <w:lang w:eastAsia="ja-JP"/>
        </w:rPr>
        <w:t>Note</w:t>
      </w:r>
      <w:r w:rsidR="00AB42E1" w:rsidRPr="00195E9D">
        <w:rPr>
          <w:rFonts w:eastAsia="MS Mincho"/>
          <w:lang w:eastAsia="ja-JP"/>
        </w:rPr>
        <w:t>s</w:t>
      </w:r>
      <w:r w:rsidRPr="00195E9D">
        <w:rPr>
          <w:rFonts w:eastAsia="MS Mincho"/>
          <w:lang w:eastAsia="ja-JP"/>
        </w:rPr>
        <w:t xml:space="preserve">:  Source of proposed change is indicated by </w:t>
      </w:r>
      <w:r w:rsidRPr="00195E9D">
        <w:rPr>
          <w:rFonts w:eastAsia="MS Mincho"/>
          <w:i/>
          <w:lang w:eastAsia="ja-JP"/>
        </w:rPr>
        <w:t>italicized text (Source:  XXX)</w:t>
      </w:r>
      <w:r w:rsidRPr="00195E9D">
        <w:rPr>
          <w:b/>
        </w:rPr>
        <w:t xml:space="preserve">  </w:t>
      </w:r>
    </w:p>
    <w:p w14:paraId="148C5B2F" w14:textId="26C11024" w:rsidR="00AB42E1" w:rsidRPr="00195E9D" w:rsidRDefault="00AB42E1" w:rsidP="0048028F">
      <w:pPr>
        <w:tabs>
          <w:tab w:val="left" w:pos="630"/>
        </w:tabs>
        <w:spacing w:line="240" w:lineRule="auto"/>
        <w:ind w:right="43"/>
      </w:pPr>
      <w:r w:rsidRPr="00195E9D">
        <w:rPr>
          <w:color w:val="FF0000"/>
        </w:rPr>
        <w:tab/>
      </w:r>
      <w:r w:rsidRPr="00195E9D">
        <w:rPr>
          <w:strike/>
          <w:color w:val="FF0000"/>
        </w:rPr>
        <w:t>Red</w:t>
      </w:r>
      <w:r w:rsidRPr="00195E9D">
        <w:t xml:space="preserve"> indicates deleted text</w:t>
      </w:r>
    </w:p>
    <w:p w14:paraId="6792D08C" w14:textId="57950673" w:rsidR="00AB42E1" w:rsidRPr="00195E9D" w:rsidRDefault="00AB42E1" w:rsidP="0048028F">
      <w:pPr>
        <w:tabs>
          <w:tab w:val="left" w:pos="630"/>
        </w:tabs>
        <w:spacing w:after="120" w:line="240" w:lineRule="auto"/>
        <w:ind w:right="43"/>
      </w:pPr>
      <w:r w:rsidRPr="00195E9D">
        <w:rPr>
          <w:color w:val="0070C0"/>
        </w:rPr>
        <w:tab/>
      </w:r>
      <w:r w:rsidRPr="00195E9D">
        <w:rPr>
          <w:color w:val="0070C0"/>
          <w:u w:val="single"/>
        </w:rPr>
        <w:t>Blue</w:t>
      </w:r>
      <w:r w:rsidRPr="00195E9D">
        <w:rPr>
          <w:color w:val="0070C0"/>
        </w:rPr>
        <w:t xml:space="preserve"> </w:t>
      </w:r>
      <w:r w:rsidRPr="00195E9D">
        <w:t>indicates inserted text</w:t>
      </w:r>
    </w:p>
    <w:p w14:paraId="7D16B41F" w14:textId="77777777" w:rsidR="00BC5DEC" w:rsidRPr="00195E9D" w:rsidRDefault="00BC5DEC" w:rsidP="00213069">
      <w:pPr>
        <w:pStyle w:val="SingleTxtG"/>
        <w:numPr>
          <w:ilvl w:val="0"/>
          <w:numId w:val="6"/>
        </w:numPr>
        <w:pBdr>
          <w:top w:val="single" w:sz="4" w:space="1" w:color="auto"/>
        </w:pBdr>
        <w:spacing w:line="240" w:lineRule="auto"/>
        <w:ind w:right="43"/>
        <w:rPr>
          <w:b/>
        </w:rPr>
      </w:pPr>
    </w:p>
    <w:p w14:paraId="6B090C16" w14:textId="472BAE4D" w:rsidR="00BC5DEC" w:rsidRPr="00195E9D" w:rsidRDefault="00BC5DEC" w:rsidP="00BC5DEC">
      <w:pPr>
        <w:pStyle w:val="SingleTxtG"/>
        <w:spacing w:line="240" w:lineRule="auto"/>
        <w:ind w:left="0" w:right="39"/>
      </w:pPr>
      <w:r w:rsidRPr="00195E9D">
        <w:rPr>
          <w:b/>
          <w:u w:val="single"/>
        </w:rPr>
        <w:t>Section</w:t>
      </w:r>
      <w:r>
        <w:rPr>
          <w:b/>
          <w:u w:val="single"/>
        </w:rPr>
        <w:t xml:space="preserve"> </w:t>
      </w:r>
      <w:proofErr w:type="gramStart"/>
      <w:r w:rsidR="00F0435C">
        <w:rPr>
          <w:b/>
          <w:u w:val="single"/>
        </w:rPr>
        <w:t>1</w:t>
      </w:r>
      <w:r w:rsidR="00A7549C">
        <w:rPr>
          <w:b/>
          <w:u w:val="single"/>
        </w:rPr>
        <w:t>1.5.1.2.2</w:t>
      </w:r>
      <w:r w:rsidRPr="00195E9D">
        <w:rPr>
          <w:b/>
          <w:u w:val="single"/>
        </w:rPr>
        <w:t xml:space="preserve"> </w:t>
      </w:r>
      <w:r w:rsidRPr="00195E9D">
        <w:rPr>
          <w:b/>
        </w:rPr>
        <w:t xml:space="preserve"> </w:t>
      </w:r>
      <w:r w:rsidRPr="00195E9D">
        <w:t>–</w:t>
      </w:r>
      <w:proofErr w:type="gramEnd"/>
      <w:r w:rsidRPr="00195E9D">
        <w:t xml:space="preserve"> amend </w:t>
      </w:r>
      <w:r w:rsidR="00E44987">
        <w:t xml:space="preserve">the fourth sentence of </w:t>
      </w:r>
      <w:r w:rsidR="00A7549C">
        <w:t>11.5.1.2.2</w:t>
      </w:r>
      <w:r w:rsidR="00F0435C">
        <w:t xml:space="preserve"> </w:t>
      </w:r>
      <w:r w:rsidRPr="00195E9D">
        <w:t>as shown below:</w:t>
      </w:r>
    </w:p>
    <w:p w14:paraId="696BEF3C" w14:textId="3B871137" w:rsidR="00D34370" w:rsidRDefault="006C0976" w:rsidP="00B67EDA">
      <w:pPr>
        <w:pStyle w:val="SingleTxtG"/>
        <w:spacing w:line="240" w:lineRule="auto"/>
        <w:ind w:left="562" w:right="43"/>
        <w:rPr>
          <w:sz w:val="22"/>
          <w:szCs w:val="22"/>
        </w:rPr>
      </w:pPr>
      <w:r w:rsidRPr="00161ADB">
        <w:rPr>
          <w:sz w:val="22"/>
          <w:szCs w:val="22"/>
        </w:rPr>
        <w:t>Calibration involves heating a tube (fitted with a 1.5 mm orifice plate) filled with 27 cm</w:t>
      </w:r>
      <w:r w:rsidRPr="00161ADB">
        <w:rPr>
          <w:sz w:val="22"/>
          <w:szCs w:val="22"/>
          <w:vertAlign w:val="superscript"/>
        </w:rPr>
        <w:t>3</w:t>
      </w:r>
      <w:r w:rsidRPr="00161ADB">
        <w:rPr>
          <w:sz w:val="22"/>
          <w:szCs w:val="22"/>
        </w:rPr>
        <w:t xml:space="preserve"> of </w:t>
      </w:r>
      <w:proofErr w:type="spellStart"/>
      <w:r w:rsidRPr="00161ADB">
        <w:rPr>
          <w:sz w:val="22"/>
          <w:szCs w:val="22"/>
        </w:rPr>
        <w:t>dibutyl</w:t>
      </w:r>
      <w:proofErr w:type="spellEnd"/>
      <w:r w:rsidRPr="00161ADB">
        <w:rPr>
          <w:sz w:val="22"/>
          <w:szCs w:val="22"/>
        </w:rPr>
        <w:t xml:space="preserve"> phthalate</w:t>
      </w:r>
      <w:r w:rsidRPr="006C0976">
        <w:rPr>
          <w:color w:val="1F497D" w:themeColor="text2"/>
          <w:sz w:val="22"/>
          <w:szCs w:val="22"/>
        </w:rPr>
        <w:t xml:space="preserve"> </w:t>
      </w:r>
      <w:r w:rsidRPr="00E44987">
        <w:rPr>
          <w:color w:val="1F497D" w:themeColor="text2"/>
          <w:sz w:val="22"/>
          <w:szCs w:val="22"/>
          <w:u w:val="single"/>
        </w:rPr>
        <w:t>or silicone oil of apparent density 0.96 ± 0.02 at 20°C and heat capacity 1.46 ± 0.02 J/</w:t>
      </w:r>
      <w:proofErr w:type="spellStart"/>
      <w:r w:rsidRPr="00E44987">
        <w:rPr>
          <w:color w:val="1F497D" w:themeColor="text2"/>
          <w:sz w:val="22"/>
          <w:szCs w:val="22"/>
          <w:u w:val="single"/>
        </w:rPr>
        <w:t>g.K</w:t>
      </w:r>
      <w:proofErr w:type="spellEnd"/>
      <w:r w:rsidRPr="00E44987">
        <w:rPr>
          <w:color w:val="1F497D" w:themeColor="text2"/>
          <w:sz w:val="22"/>
          <w:szCs w:val="22"/>
          <w:u w:val="single"/>
        </w:rPr>
        <w:t xml:space="preserve"> at 25°C</w:t>
      </w:r>
      <w:r w:rsidRPr="00161ADB">
        <w:rPr>
          <w:sz w:val="22"/>
          <w:szCs w:val="22"/>
        </w:rPr>
        <w:t xml:space="preserve">. </w:t>
      </w:r>
    </w:p>
    <w:p w14:paraId="0259104D" w14:textId="76CE29F2" w:rsidR="00BC5DEC" w:rsidRPr="00195E9D" w:rsidRDefault="00BC5DEC" w:rsidP="00BC5DEC">
      <w:pPr>
        <w:pStyle w:val="SingleTxtG"/>
        <w:spacing w:line="240" w:lineRule="auto"/>
        <w:ind w:left="0" w:right="39"/>
        <w:rPr>
          <w:i/>
        </w:rPr>
      </w:pPr>
      <w:r w:rsidRPr="00195E9D">
        <w:rPr>
          <w:i/>
        </w:rPr>
        <w:t>Source:  ST/SG/AC.10/C.3</w:t>
      </w:r>
      <w:r w:rsidR="00A82F13">
        <w:rPr>
          <w:i/>
        </w:rPr>
        <w:t>/2016/13</w:t>
      </w:r>
      <w:r w:rsidRPr="00195E9D">
        <w:rPr>
          <w:i/>
        </w:rPr>
        <w:t xml:space="preserve">, Para. </w:t>
      </w:r>
      <w:proofErr w:type="gramStart"/>
      <w:r w:rsidR="00A82F13">
        <w:rPr>
          <w:i/>
        </w:rPr>
        <w:t>8</w:t>
      </w:r>
      <w:r w:rsidRPr="00195E9D">
        <w:rPr>
          <w:i/>
        </w:rPr>
        <w:t xml:space="preserve"> </w:t>
      </w:r>
      <w:r>
        <w:rPr>
          <w:i/>
        </w:rPr>
        <w:t xml:space="preserve">(as amended by the working group) </w:t>
      </w:r>
      <w:r w:rsidR="00A82F13">
        <w:rPr>
          <w:i/>
        </w:rPr>
        <w:t>and Para.4</w:t>
      </w:r>
      <w:r w:rsidRPr="00195E9D">
        <w:rPr>
          <w:i/>
        </w:rPr>
        <w:t xml:space="preserve"> of this report.</w:t>
      </w:r>
      <w:proofErr w:type="gramEnd"/>
    </w:p>
    <w:p w14:paraId="2A70285A" w14:textId="77777777" w:rsidR="007F1411" w:rsidRPr="00195E9D" w:rsidRDefault="007F1411" w:rsidP="00213069">
      <w:pPr>
        <w:pStyle w:val="SingleTxtG"/>
        <w:numPr>
          <w:ilvl w:val="0"/>
          <w:numId w:val="6"/>
        </w:numPr>
        <w:pBdr>
          <w:top w:val="single" w:sz="4" w:space="1" w:color="auto"/>
        </w:pBdr>
        <w:spacing w:line="240" w:lineRule="auto"/>
        <w:ind w:right="43"/>
        <w:rPr>
          <w:b/>
        </w:rPr>
      </w:pPr>
    </w:p>
    <w:p w14:paraId="2BC8CE93" w14:textId="7E8CA606" w:rsidR="007F1411" w:rsidRPr="00195E9D" w:rsidRDefault="007F1411" w:rsidP="007F1411">
      <w:pPr>
        <w:pStyle w:val="SingleTxtG"/>
        <w:spacing w:line="240" w:lineRule="auto"/>
        <w:ind w:left="0" w:right="39"/>
      </w:pPr>
      <w:r w:rsidRPr="00195E9D">
        <w:rPr>
          <w:b/>
          <w:u w:val="single"/>
        </w:rPr>
        <w:t>Section</w:t>
      </w:r>
      <w:r>
        <w:rPr>
          <w:b/>
          <w:u w:val="single"/>
        </w:rPr>
        <w:t xml:space="preserve"> </w:t>
      </w:r>
      <w:proofErr w:type="gramStart"/>
      <w:r>
        <w:rPr>
          <w:b/>
          <w:u w:val="single"/>
        </w:rPr>
        <w:t>12.5.1.2.2</w:t>
      </w:r>
      <w:r w:rsidRPr="00195E9D">
        <w:rPr>
          <w:b/>
          <w:u w:val="single"/>
        </w:rPr>
        <w:t xml:space="preserve"> </w:t>
      </w:r>
      <w:r w:rsidRPr="00195E9D">
        <w:rPr>
          <w:b/>
        </w:rPr>
        <w:t xml:space="preserve"> </w:t>
      </w:r>
      <w:r w:rsidRPr="00195E9D">
        <w:t>–</w:t>
      </w:r>
      <w:proofErr w:type="gramEnd"/>
      <w:r w:rsidRPr="00195E9D">
        <w:t xml:space="preserve"> amend </w:t>
      </w:r>
      <w:r w:rsidR="00E44987">
        <w:t xml:space="preserve">the fourth sentence of </w:t>
      </w:r>
      <w:r>
        <w:t xml:space="preserve">12.5.1.2.2 </w:t>
      </w:r>
      <w:r w:rsidRPr="00195E9D">
        <w:t>as shown below:</w:t>
      </w:r>
    </w:p>
    <w:p w14:paraId="75F6A6DF" w14:textId="630CCD25" w:rsidR="00F9616E" w:rsidRDefault="00D34370" w:rsidP="007F1411">
      <w:pPr>
        <w:pStyle w:val="SingleTxtG"/>
        <w:spacing w:line="240" w:lineRule="auto"/>
        <w:ind w:left="562" w:right="43"/>
        <w:rPr>
          <w:sz w:val="22"/>
          <w:szCs w:val="22"/>
        </w:rPr>
      </w:pPr>
      <w:r w:rsidRPr="00161ADB">
        <w:rPr>
          <w:sz w:val="22"/>
          <w:szCs w:val="22"/>
        </w:rPr>
        <w:t>Calibration involves heating a tube (fitted with a 1.5 mm orifice plate) filled with 27 cm</w:t>
      </w:r>
      <w:r w:rsidRPr="00161ADB">
        <w:rPr>
          <w:sz w:val="22"/>
          <w:szCs w:val="22"/>
          <w:vertAlign w:val="superscript"/>
        </w:rPr>
        <w:t>3</w:t>
      </w:r>
      <w:r w:rsidRPr="00161ADB">
        <w:rPr>
          <w:sz w:val="22"/>
          <w:szCs w:val="22"/>
        </w:rPr>
        <w:t xml:space="preserve"> of </w:t>
      </w:r>
      <w:proofErr w:type="spellStart"/>
      <w:r w:rsidRPr="00161ADB">
        <w:rPr>
          <w:sz w:val="22"/>
          <w:szCs w:val="22"/>
        </w:rPr>
        <w:t>dibutyl</w:t>
      </w:r>
      <w:proofErr w:type="spellEnd"/>
      <w:r w:rsidRPr="00161ADB">
        <w:rPr>
          <w:sz w:val="22"/>
          <w:szCs w:val="22"/>
        </w:rPr>
        <w:t xml:space="preserve"> phthalate</w:t>
      </w:r>
      <w:r w:rsidRPr="00D34370">
        <w:rPr>
          <w:color w:val="1F497D" w:themeColor="text2"/>
          <w:sz w:val="22"/>
          <w:szCs w:val="22"/>
        </w:rPr>
        <w:t xml:space="preserve"> </w:t>
      </w:r>
      <w:r w:rsidRPr="00E44987">
        <w:rPr>
          <w:color w:val="1F497D" w:themeColor="text2"/>
          <w:sz w:val="22"/>
          <w:szCs w:val="22"/>
          <w:u w:val="single"/>
        </w:rPr>
        <w:t>or silicone oil of apparent density 0.96 ± 0.02 at 20°C and heat capacity 1.46 ± 0.02 J/</w:t>
      </w:r>
      <w:proofErr w:type="spellStart"/>
      <w:r w:rsidRPr="00E44987">
        <w:rPr>
          <w:color w:val="1F497D" w:themeColor="text2"/>
          <w:sz w:val="22"/>
          <w:szCs w:val="22"/>
          <w:u w:val="single"/>
        </w:rPr>
        <w:t>g.K</w:t>
      </w:r>
      <w:proofErr w:type="spellEnd"/>
      <w:r w:rsidRPr="00E44987">
        <w:rPr>
          <w:color w:val="1F497D" w:themeColor="text2"/>
          <w:sz w:val="22"/>
          <w:szCs w:val="22"/>
          <w:u w:val="single"/>
        </w:rPr>
        <w:t xml:space="preserve"> at 25°C</w:t>
      </w:r>
      <w:r w:rsidRPr="00161ADB">
        <w:rPr>
          <w:sz w:val="22"/>
          <w:szCs w:val="22"/>
        </w:rPr>
        <w:t xml:space="preserve">. </w:t>
      </w:r>
    </w:p>
    <w:p w14:paraId="777750BA" w14:textId="77777777" w:rsidR="007F1411" w:rsidRPr="00195E9D" w:rsidRDefault="007F1411" w:rsidP="007F1411">
      <w:pPr>
        <w:pStyle w:val="SingleTxtG"/>
        <w:spacing w:line="240" w:lineRule="auto"/>
        <w:ind w:left="0" w:right="39"/>
        <w:rPr>
          <w:i/>
        </w:rPr>
      </w:pPr>
      <w:r w:rsidRPr="00195E9D">
        <w:rPr>
          <w:i/>
        </w:rPr>
        <w:t>Source:  ST/SG/AC.10/C.3</w:t>
      </w:r>
      <w:r>
        <w:rPr>
          <w:i/>
        </w:rPr>
        <w:t>/2016/13</w:t>
      </w:r>
      <w:r w:rsidRPr="00195E9D">
        <w:rPr>
          <w:i/>
        </w:rPr>
        <w:t xml:space="preserve">, Para. </w:t>
      </w:r>
      <w:proofErr w:type="gramStart"/>
      <w:r>
        <w:rPr>
          <w:i/>
        </w:rPr>
        <w:t>8</w:t>
      </w:r>
      <w:r w:rsidRPr="00195E9D">
        <w:rPr>
          <w:i/>
        </w:rPr>
        <w:t xml:space="preserve"> </w:t>
      </w:r>
      <w:r>
        <w:rPr>
          <w:i/>
        </w:rPr>
        <w:t>(as amended by the working group) and Para.4</w:t>
      </w:r>
      <w:r w:rsidRPr="00195E9D">
        <w:rPr>
          <w:i/>
        </w:rPr>
        <w:t xml:space="preserve"> of this report.</w:t>
      </w:r>
      <w:proofErr w:type="gramEnd"/>
    </w:p>
    <w:p w14:paraId="241520C6" w14:textId="77777777" w:rsidR="007F1411" w:rsidRPr="00195E9D" w:rsidRDefault="007F1411" w:rsidP="00213069">
      <w:pPr>
        <w:pStyle w:val="SingleTxtG"/>
        <w:numPr>
          <w:ilvl w:val="0"/>
          <w:numId w:val="6"/>
        </w:numPr>
        <w:pBdr>
          <w:top w:val="single" w:sz="4" w:space="1" w:color="auto"/>
        </w:pBdr>
        <w:spacing w:line="240" w:lineRule="auto"/>
        <w:ind w:right="43"/>
        <w:rPr>
          <w:b/>
        </w:rPr>
      </w:pPr>
    </w:p>
    <w:p w14:paraId="599718F4" w14:textId="23310D04" w:rsidR="007F1411" w:rsidRPr="00195E9D" w:rsidRDefault="007F1411" w:rsidP="007F1411">
      <w:pPr>
        <w:pStyle w:val="SingleTxtG"/>
        <w:spacing w:line="240" w:lineRule="auto"/>
        <w:ind w:left="0" w:right="39"/>
      </w:pPr>
      <w:r w:rsidRPr="00195E9D">
        <w:rPr>
          <w:b/>
          <w:u w:val="single"/>
        </w:rPr>
        <w:t>Section</w:t>
      </w:r>
      <w:r>
        <w:rPr>
          <w:b/>
          <w:u w:val="single"/>
        </w:rPr>
        <w:t xml:space="preserve"> </w:t>
      </w:r>
      <w:proofErr w:type="gramStart"/>
      <w:r>
        <w:rPr>
          <w:b/>
          <w:u w:val="single"/>
        </w:rPr>
        <w:t>18.6.1.2.2</w:t>
      </w:r>
      <w:r w:rsidRPr="00195E9D">
        <w:rPr>
          <w:b/>
          <w:u w:val="single"/>
        </w:rPr>
        <w:t xml:space="preserve"> </w:t>
      </w:r>
      <w:r w:rsidRPr="00195E9D">
        <w:rPr>
          <w:b/>
        </w:rPr>
        <w:t xml:space="preserve"> </w:t>
      </w:r>
      <w:r w:rsidRPr="00195E9D">
        <w:t>–</w:t>
      </w:r>
      <w:proofErr w:type="gramEnd"/>
      <w:r w:rsidRPr="00195E9D">
        <w:t xml:space="preserve"> amend </w:t>
      </w:r>
      <w:r w:rsidR="00E44987">
        <w:t xml:space="preserve">the fourth sentence of </w:t>
      </w:r>
      <w:r>
        <w:t xml:space="preserve">18.6.1.2.2 </w:t>
      </w:r>
      <w:r w:rsidRPr="00195E9D">
        <w:t>as shown below:</w:t>
      </w:r>
    </w:p>
    <w:p w14:paraId="07A15B64" w14:textId="5868B004" w:rsidR="00F9616E" w:rsidRDefault="00F9616E" w:rsidP="007F1411">
      <w:pPr>
        <w:pStyle w:val="SingleTxtG"/>
        <w:spacing w:line="240" w:lineRule="auto"/>
        <w:ind w:left="562" w:right="43"/>
      </w:pPr>
      <w:r>
        <w:t>Calibration involves heating a tube (fitted with a 1.5 mm orifice plate) filled with 27 cm</w:t>
      </w:r>
      <w:r>
        <w:rPr>
          <w:vertAlign w:val="superscript"/>
        </w:rPr>
        <w:t>3</w:t>
      </w:r>
      <w:r>
        <w:t xml:space="preserve"> of </w:t>
      </w:r>
      <w:proofErr w:type="spellStart"/>
      <w:r>
        <w:t>dibutyl</w:t>
      </w:r>
      <w:proofErr w:type="spellEnd"/>
      <w:r>
        <w:t xml:space="preserve"> phthalate </w:t>
      </w:r>
      <w:r w:rsidRPr="00744804">
        <w:t xml:space="preserve">or </w:t>
      </w:r>
      <w:r w:rsidR="00135B22" w:rsidRPr="00135B22">
        <w:rPr>
          <w:strike/>
          <w:color w:val="FF0000"/>
        </w:rPr>
        <w:t xml:space="preserve">equivalent </w:t>
      </w:r>
      <w:r w:rsidRPr="00E44987">
        <w:rPr>
          <w:color w:val="1F497D" w:themeColor="text2"/>
          <w:sz w:val="22"/>
          <w:szCs w:val="22"/>
          <w:u w:val="single"/>
        </w:rPr>
        <w:t>silicone oil of apparent density 0.96 ± 0.02 at 20°C and heat capacity 1.46 ± 0.02 J/</w:t>
      </w:r>
      <w:proofErr w:type="spellStart"/>
      <w:r w:rsidRPr="00E44987">
        <w:rPr>
          <w:color w:val="1F497D" w:themeColor="text2"/>
          <w:sz w:val="22"/>
          <w:szCs w:val="22"/>
          <w:u w:val="single"/>
        </w:rPr>
        <w:t>g.K</w:t>
      </w:r>
      <w:proofErr w:type="spellEnd"/>
      <w:r w:rsidRPr="00E44987">
        <w:rPr>
          <w:color w:val="1F497D" w:themeColor="text2"/>
          <w:sz w:val="22"/>
          <w:szCs w:val="22"/>
          <w:u w:val="single"/>
        </w:rPr>
        <w:t xml:space="preserve"> at 25°C</w:t>
      </w:r>
      <w:r>
        <w:t xml:space="preserve">. </w:t>
      </w:r>
    </w:p>
    <w:p w14:paraId="2255EA40" w14:textId="77777777" w:rsidR="007F1411" w:rsidRPr="00195E9D" w:rsidRDefault="007F1411" w:rsidP="007F1411">
      <w:pPr>
        <w:pStyle w:val="SingleTxtG"/>
        <w:spacing w:line="240" w:lineRule="auto"/>
        <w:ind w:left="0" w:right="39"/>
        <w:rPr>
          <w:i/>
        </w:rPr>
      </w:pPr>
      <w:r w:rsidRPr="00195E9D">
        <w:rPr>
          <w:i/>
        </w:rPr>
        <w:t>Source:  ST/SG/AC.10/C.3</w:t>
      </w:r>
      <w:r>
        <w:rPr>
          <w:i/>
        </w:rPr>
        <w:t>/2016/13</w:t>
      </w:r>
      <w:r w:rsidRPr="00195E9D">
        <w:rPr>
          <w:i/>
        </w:rPr>
        <w:t xml:space="preserve">, Para. </w:t>
      </w:r>
      <w:proofErr w:type="gramStart"/>
      <w:r>
        <w:rPr>
          <w:i/>
        </w:rPr>
        <w:t>8</w:t>
      </w:r>
      <w:r w:rsidRPr="00195E9D">
        <w:rPr>
          <w:i/>
        </w:rPr>
        <w:t xml:space="preserve"> </w:t>
      </w:r>
      <w:r>
        <w:rPr>
          <w:i/>
        </w:rPr>
        <w:t>(as amended by the working group) and Para.4</w:t>
      </w:r>
      <w:r w:rsidRPr="00195E9D">
        <w:rPr>
          <w:i/>
        </w:rPr>
        <w:t xml:space="preserve"> of this report.</w:t>
      </w:r>
      <w:proofErr w:type="gramEnd"/>
    </w:p>
    <w:p w14:paraId="18628BE4" w14:textId="77777777" w:rsidR="00BA31D8" w:rsidRPr="00195E9D" w:rsidRDefault="00BA31D8" w:rsidP="00213069">
      <w:pPr>
        <w:pStyle w:val="SingleTxtG"/>
        <w:numPr>
          <w:ilvl w:val="0"/>
          <w:numId w:val="6"/>
        </w:numPr>
        <w:pBdr>
          <w:top w:val="single" w:sz="4" w:space="1" w:color="auto"/>
        </w:pBdr>
        <w:spacing w:line="240" w:lineRule="auto"/>
        <w:ind w:right="43"/>
        <w:rPr>
          <w:b/>
        </w:rPr>
      </w:pPr>
    </w:p>
    <w:p w14:paraId="179D5716" w14:textId="6E6307CB" w:rsidR="00BA31D8" w:rsidRPr="00195E9D" w:rsidRDefault="00BA31D8" w:rsidP="00BA31D8">
      <w:pPr>
        <w:pStyle w:val="SingleTxtG"/>
        <w:spacing w:line="240" w:lineRule="auto"/>
        <w:ind w:left="0" w:right="39"/>
      </w:pPr>
      <w:r w:rsidRPr="00195E9D">
        <w:rPr>
          <w:b/>
          <w:u w:val="single"/>
        </w:rPr>
        <w:t>Section</w:t>
      </w:r>
      <w:r>
        <w:rPr>
          <w:b/>
          <w:u w:val="single"/>
        </w:rPr>
        <w:t xml:space="preserve"> </w:t>
      </w:r>
      <w:proofErr w:type="gramStart"/>
      <w:r w:rsidR="00212E6E">
        <w:rPr>
          <w:b/>
          <w:u w:val="single"/>
        </w:rPr>
        <w:t>25</w:t>
      </w:r>
      <w:r>
        <w:rPr>
          <w:b/>
          <w:u w:val="single"/>
        </w:rPr>
        <w:t>.4.1.2.2</w:t>
      </w:r>
      <w:r w:rsidRPr="00195E9D">
        <w:rPr>
          <w:b/>
          <w:u w:val="single"/>
        </w:rPr>
        <w:t xml:space="preserve"> </w:t>
      </w:r>
      <w:r w:rsidRPr="00195E9D">
        <w:rPr>
          <w:b/>
        </w:rPr>
        <w:t xml:space="preserve"> </w:t>
      </w:r>
      <w:r w:rsidRPr="00195E9D">
        <w:t>–</w:t>
      </w:r>
      <w:proofErr w:type="gramEnd"/>
      <w:r w:rsidRPr="00195E9D">
        <w:t xml:space="preserve"> amend </w:t>
      </w:r>
      <w:r w:rsidR="00E44987">
        <w:t xml:space="preserve">the fourth sentence of </w:t>
      </w:r>
      <w:r w:rsidR="00212E6E">
        <w:t>25</w:t>
      </w:r>
      <w:r>
        <w:t xml:space="preserve">.4.1.2.2 </w:t>
      </w:r>
      <w:r w:rsidRPr="00195E9D">
        <w:t>as shown below:</w:t>
      </w:r>
    </w:p>
    <w:p w14:paraId="2B8E0329" w14:textId="031713C8" w:rsidR="00212E6E" w:rsidRPr="00B67EDA" w:rsidRDefault="00212E6E" w:rsidP="00BA31D8">
      <w:pPr>
        <w:pStyle w:val="SingleTxtG"/>
        <w:spacing w:line="240" w:lineRule="auto"/>
        <w:ind w:left="562" w:right="43"/>
        <w:rPr>
          <w:sz w:val="22"/>
          <w:szCs w:val="22"/>
        </w:rPr>
      </w:pPr>
      <w:r w:rsidRPr="00AE1200">
        <w:rPr>
          <w:sz w:val="22"/>
          <w:szCs w:val="22"/>
        </w:rPr>
        <w:t>Calibration involves heating a tube (fitted with a 1.5</w:t>
      </w:r>
      <w:r>
        <w:rPr>
          <w:sz w:val="22"/>
          <w:szCs w:val="22"/>
        </w:rPr>
        <w:t> mm</w:t>
      </w:r>
      <w:r w:rsidRPr="00AE1200">
        <w:rPr>
          <w:sz w:val="22"/>
          <w:szCs w:val="22"/>
        </w:rPr>
        <w:t xml:space="preserve"> orifice plate) filled with 27</w:t>
      </w:r>
      <w:r>
        <w:rPr>
          <w:sz w:val="22"/>
          <w:szCs w:val="22"/>
        </w:rPr>
        <w:t> cm</w:t>
      </w:r>
      <w:r w:rsidRPr="00AE1200">
        <w:rPr>
          <w:sz w:val="22"/>
          <w:szCs w:val="22"/>
          <w:vertAlign w:val="superscript"/>
        </w:rPr>
        <w:t>3</w:t>
      </w:r>
      <w:r w:rsidRPr="00AE1200">
        <w:rPr>
          <w:sz w:val="22"/>
          <w:szCs w:val="22"/>
        </w:rPr>
        <w:t xml:space="preserve"> of </w:t>
      </w:r>
      <w:proofErr w:type="spellStart"/>
      <w:r w:rsidRPr="00AE1200">
        <w:rPr>
          <w:sz w:val="22"/>
          <w:szCs w:val="22"/>
        </w:rPr>
        <w:t>dibutyl</w:t>
      </w:r>
      <w:proofErr w:type="spellEnd"/>
      <w:r w:rsidRPr="00AE1200">
        <w:rPr>
          <w:sz w:val="22"/>
          <w:szCs w:val="22"/>
        </w:rPr>
        <w:t xml:space="preserve"> </w:t>
      </w:r>
      <w:r w:rsidRPr="006E4847">
        <w:rPr>
          <w:sz w:val="22"/>
          <w:szCs w:val="22"/>
        </w:rPr>
        <w:t>phthalate</w:t>
      </w:r>
      <w:r w:rsidRPr="00C41959">
        <w:rPr>
          <w:sz w:val="22"/>
          <w:szCs w:val="22"/>
        </w:rPr>
        <w:t xml:space="preserve"> </w:t>
      </w:r>
      <w:r w:rsidRPr="00300513">
        <w:rPr>
          <w:sz w:val="22"/>
          <w:szCs w:val="22"/>
        </w:rPr>
        <w:t xml:space="preserve">or </w:t>
      </w:r>
      <w:r w:rsidRPr="00135B22">
        <w:rPr>
          <w:strike/>
          <w:color w:val="FF0000"/>
          <w:sz w:val="22"/>
          <w:szCs w:val="22"/>
        </w:rPr>
        <w:t xml:space="preserve">equivalent </w:t>
      </w:r>
      <w:r w:rsidRPr="00E44987">
        <w:rPr>
          <w:color w:val="1F497D" w:themeColor="text2"/>
          <w:sz w:val="22"/>
          <w:szCs w:val="22"/>
          <w:u w:val="single"/>
        </w:rPr>
        <w:t>silicone oil of apparent density 0.96 ± 0.02 at 20°C and heat capacity 1.46 ± 0.02 J/</w:t>
      </w:r>
      <w:proofErr w:type="spellStart"/>
      <w:r w:rsidRPr="00E44987">
        <w:rPr>
          <w:color w:val="1F497D" w:themeColor="text2"/>
          <w:sz w:val="22"/>
          <w:szCs w:val="22"/>
          <w:u w:val="single"/>
        </w:rPr>
        <w:t>g.K</w:t>
      </w:r>
      <w:proofErr w:type="spellEnd"/>
      <w:r w:rsidRPr="00E44987">
        <w:rPr>
          <w:color w:val="1F497D" w:themeColor="text2"/>
          <w:sz w:val="22"/>
          <w:szCs w:val="22"/>
          <w:u w:val="single"/>
        </w:rPr>
        <w:t xml:space="preserve"> at 25°C</w:t>
      </w:r>
      <w:r w:rsidRPr="006E4847">
        <w:rPr>
          <w:sz w:val="22"/>
          <w:szCs w:val="22"/>
        </w:rPr>
        <w:t xml:space="preserve">. </w:t>
      </w:r>
    </w:p>
    <w:p w14:paraId="70A31030" w14:textId="77777777" w:rsidR="00BA31D8" w:rsidRPr="00195E9D" w:rsidRDefault="00BA31D8" w:rsidP="00BA31D8">
      <w:pPr>
        <w:pStyle w:val="SingleTxtG"/>
        <w:spacing w:line="240" w:lineRule="auto"/>
        <w:ind w:left="0" w:right="39"/>
        <w:rPr>
          <w:i/>
        </w:rPr>
      </w:pPr>
      <w:r w:rsidRPr="00195E9D">
        <w:rPr>
          <w:i/>
        </w:rPr>
        <w:t>Source:  ST/SG/AC.10/C.3</w:t>
      </w:r>
      <w:r>
        <w:rPr>
          <w:i/>
        </w:rPr>
        <w:t>/2016/13</w:t>
      </w:r>
      <w:r w:rsidRPr="00195E9D">
        <w:rPr>
          <w:i/>
        </w:rPr>
        <w:t xml:space="preserve">, Para. </w:t>
      </w:r>
      <w:proofErr w:type="gramStart"/>
      <w:r>
        <w:rPr>
          <w:i/>
        </w:rPr>
        <w:t>8</w:t>
      </w:r>
      <w:r w:rsidRPr="00195E9D">
        <w:rPr>
          <w:i/>
        </w:rPr>
        <w:t xml:space="preserve"> </w:t>
      </w:r>
      <w:r>
        <w:rPr>
          <w:i/>
        </w:rPr>
        <w:t>(as amended by the working group) and Para.4</w:t>
      </w:r>
      <w:r w:rsidRPr="00195E9D">
        <w:rPr>
          <w:i/>
        </w:rPr>
        <w:t xml:space="preserve"> of this report.</w:t>
      </w:r>
      <w:proofErr w:type="gramEnd"/>
    </w:p>
    <w:p w14:paraId="5DEA3B32" w14:textId="77777777" w:rsidR="00A7549C" w:rsidRPr="00195E9D" w:rsidRDefault="00A7549C" w:rsidP="00213069">
      <w:pPr>
        <w:pStyle w:val="SingleTxtG"/>
        <w:numPr>
          <w:ilvl w:val="0"/>
          <w:numId w:val="6"/>
        </w:numPr>
        <w:pBdr>
          <w:top w:val="single" w:sz="4" w:space="1" w:color="auto"/>
        </w:pBdr>
        <w:spacing w:line="240" w:lineRule="auto"/>
        <w:ind w:right="43"/>
        <w:rPr>
          <w:b/>
        </w:rPr>
      </w:pPr>
    </w:p>
    <w:p w14:paraId="7DEDD4C9" w14:textId="16445398" w:rsidR="00A7549C" w:rsidRPr="00195E9D" w:rsidRDefault="00A7549C" w:rsidP="00A7549C">
      <w:pPr>
        <w:pStyle w:val="SingleTxtG"/>
        <w:spacing w:line="240" w:lineRule="auto"/>
        <w:ind w:left="0" w:right="39"/>
      </w:pPr>
      <w:r w:rsidRPr="00195E9D">
        <w:rPr>
          <w:b/>
          <w:u w:val="single"/>
        </w:rPr>
        <w:t>Section</w:t>
      </w:r>
      <w:r w:rsidR="00055FE8">
        <w:rPr>
          <w:b/>
          <w:u w:val="single"/>
        </w:rPr>
        <w:t xml:space="preserve"> 10.3.3</w:t>
      </w:r>
      <w:r w:rsidRPr="00195E9D">
        <w:rPr>
          <w:b/>
        </w:rPr>
        <w:t xml:space="preserve"> </w:t>
      </w:r>
      <w:r w:rsidRPr="00195E9D">
        <w:t xml:space="preserve">– amend </w:t>
      </w:r>
      <w:r>
        <w:t xml:space="preserve">10.3.3 </w:t>
      </w:r>
      <w:r w:rsidRPr="00195E9D">
        <w:t>as shown below:</w:t>
      </w:r>
    </w:p>
    <w:p w14:paraId="189EB4E7" w14:textId="77777777" w:rsidR="00055FE8" w:rsidRDefault="00055FE8" w:rsidP="00055FE8">
      <w:pPr>
        <w:pStyle w:val="SingleTxtG"/>
        <w:ind w:left="1701"/>
      </w:pPr>
      <w:r>
        <w:t>“10.3.3.2</w:t>
      </w:r>
      <w:r>
        <w:tab/>
        <w:t>The acceptance procedure for substances designed to have a</w:t>
      </w:r>
      <w:r w:rsidRPr="00001682">
        <w:rPr>
          <w:strike/>
          <w:color w:val="FF0000"/>
        </w:rPr>
        <w:t>n</w:t>
      </w:r>
      <w:r>
        <w:t xml:space="preserve"> </w:t>
      </w:r>
      <w:r w:rsidRPr="0027167B">
        <w:rPr>
          <w:color w:val="002060"/>
          <w:u w:val="single"/>
        </w:rPr>
        <w:t>practical</w:t>
      </w:r>
      <w:r>
        <w:rPr>
          <w:color w:val="00B0F0"/>
        </w:rPr>
        <w:t xml:space="preserve"> </w:t>
      </w:r>
      <w:r>
        <w:t xml:space="preserve">explosive </w:t>
      </w:r>
      <w:r w:rsidRPr="0027167B">
        <w:rPr>
          <w:color w:val="002060"/>
          <w:u w:val="single"/>
        </w:rPr>
        <w:t>or pyrotechnic</w:t>
      </w:r>
      <w:r w:rsidRPr="00001682">
        <w:rPr>
          <w:color w:val="002060"/>
        </w:rPr>
        <w:t xml:space="preserve"> </w:t>
      </w:r>
      <w:r>
        <w:t xml:space="preserve">effect starts with the application of test </w:t>
      </w:r>
      <w:r w:rsidRPr="00001682">
        <w:rPr>
          <w:color w:val="002060"/>
        </w:rPr>
        <w:t xml:space="preserve">series </w:t>
      </w:r>
      <w:r w:rsidRPr="00001682">
        <w:rPr>
          <w:strike/>
          <w:color w:val="FF0000"/>
        </w:rPr>
        <w:t xml:space="preserve">types </w:t>
      </w:r>
      <w:r>
        <w:t xml:space="preserve">3 </w:t>
      </w:r>
      <w:r w:rsidRPr="00001682">
        <w:rPr>
          <w:strike/>
          <w:color w:val="FF0000"/>
        </w:rPr>
        <w:t xml:space="preserve">(a), 3 (b), 3 (c) and 3 (d) </w:t>
      </w:r>
      <w:r>
        <w:t xml:space="preserve">to determine if the substance is too sensitive for transport in the form in which it is tested. </w:t>
      </w:r>
      <w:r w:rsidRPr="0027167B">
        <w:rPr>
          <w:color w:val="002060"/>
          <w:u w:val="single"/>
        </w:rPr>
        <w:t>If the substance passes all tests, the procedure for the assignment to the appropriate division is applied. If the substance fails any of the tests, it is forbidden for transport in the form tested.</w:t>
      </w:r>
      <w:r>
        <w:rPr>
          <w:color w:val="002060"/>
        </w:rPr>
        <w:t xml:space="preserve"> </w:t>
      </w:r>
      <w:proofErr w:type="gramStart"/>
      <w:r w:rsidRPr="00001682">
        <w:rPr>
          <w:strike/>
          <w:color w:val="FF0000"/>
        </w:rPr>
        <w:t xml:space="preserve">If it proves to be thermally unstable, i.e. it </w:t>
      </w:r>
      <w:r w:rsidRPr="0027167B">
        <w:rPr>
          <w:color w:val="002060"/>
          <w:u w:val="single"/>
        </w:rPr>
        <w:t>A substance which</w:t>
      </w:r>
      <w:r>
        <w:rPr>
          <w:color w:val="002060"/>
        </w:rPr>
        <w:t xml:space="preserve"> </w:t>
      </w:r>
      <w:r>
        <w:t xml:space="preserve">fails test type 3 (c) </w:t>
      </w:r>
      <w:r w:rsidRPr="0027167B">
        <w:rPr>
          <w:strike/>
          <w:color w:val="FF0000"/>
        </w:rPr>
        <w:t xml:space="preserve">it </w:t>
      </w:r>
      <w:r w:rsidRPr="0027167B">
        <w:rPr>
          <w:color w:val="002060"/>
          <w:u w:val="single"/>
        </w:rPr>
        <w:t>may be altered and resubmitted to test type 3(c).</w:t>
      </w:r>
      <w:proofErr w:type="gramEnd"/>
      <w:r>
        <w:t xml:space="preserve"> </w:t>
      </w:r>
      <w:r w:rsidRPr="00001682">
        <w:rPr>
          <w:strike/>
          <w:color w:val="FF0000"/>
        </w:rPr>
        <w:t xml:space="preserve">, it is not permitted to be transported. If it </w:t>
      </w:r>
      <w:r w:rsidRPr="0027167B">
        <w:rPr>
          <w:color w:val="002060"/>
          <w:u w:val="single"/>
        </w:rPr>
        <w:t xml:space="preserve">A substance which </w:t>
      </w:r>
      <w:r w:rsidRPr="0027167B">
        <w:rPr>
          <w:u w:val="single"/>
        </w:rPr>
        <w:t xml:space="preserve">fails test types 3 (a), 3 (b) or 3 (d) </w:t>
      </w:r>
      <w:r w:rsidRPr="0027167B">
        <w:rPr>
          <w:color w:val="002060"/>
          <w:u w:val="single"/>
        </w:rPr>
        <w:t xml:space="preserve">may be encapsulated or packaged to reduce </w:t>
      </w:r>
      <w:r w:rsidRPr="0027167B">
        <w:rPr>
          <w:color w:val="002060"/>
          <w:u w:val="single"/>
        </w:rPr>
        <w:lastRenderedPageBreak/>
        <w:t>sensitiveness to external stimuli and submitted to test type 4(b).</w:t>
      </w:r>
      <w:r w:rsidRPr="00001682">
        <w:rPr>
          <w:strike/>
          <w:color w:val="FF0000"/>
        </w:rPr>
        <w:t xml:space="preserve">it may either be encapsulated or otherwise desensitized or packaged to reduce its sensitiveness to external stimuli. Examples are water-wetted primary explosives and primary explosives which have been encapsulated in the form of detonators. The resulting new articles should be submitted to test series </w:t>
      </w:r>
      <w:proofErr w:type="gramStart"/>
      <w:r w:rsidRPr="00001682">
        <w:rPr>
          <w:strike/>
          <w:color w:val="FF0000"/>
        </w:rPr>
        <w:t>4,</w:t>
      </w:r>
      <w:proofErr w:type="gramEnd"/>
      <w:r w:rsidRPr="00001682">
        <w:rPr>
          <w:strike/>
          <w:color w:val="FF0000"/>
        </w:rPr>
        <w:t xml:space="preserve"> and liquids or packaged solids to a test of type 4 (b), to determine whether or not their level of safety in transport is consistent with the requirements of Class 1. Desensitized substances should be re-examined under test series 3 </w:t>
      </w:r>
      <w:r w:rsidRPr="00001682">
        <w:rPr>
          <w:strike/>
          <w:color w:val="FF0000"/>
          <w:u w:val="single"/>
        </w:rPr>
        <w:t>to determine whether their level of safety in transport is consistent with the requirements of Class 1.</w:t>
      </w:r>
      <w:r w:rsidRPr="00001682">
        <w:rPr>
          <w:strike/>
          <w:color w:val="FF0000"/>
        </w:rPr>
        <w:t xml:space="preserve"> </w:t>
      </w:r>
      <w:proofErr w:type="gramStart"/>
      <w:r w:rsidRPr="00001682">
        <w:rPr>
          <w:strike/>
          <w:color w:val="FF0000"/>
        </w:rPr>
        <w:t>for</w:t>
      </w:r>
      <w:proofErr w:type="gramEnd"/>
      <w:r w:rsidRPr="00001682">
        <w:rPr>
          <w:strike/>
          <w:color w:val="FF0000"/>
        </w:rPr>
        <w:t xml:space="preserve"> the same purpose. If a substance designed to have an explosive effect passes all tests in Test series 3 or an article designed to have an explosive effect passes all tests in series 4, the procedure for assignment to the appropriate division is applied.</w:t>
      </w:r>
      <w:r>
        <w:t>”</w:t>
      </w:r>
    </w:p>
    <w:p w14:paraId="0DC4C488" w14:textId="6894C465" w:rsidR="00055FE8" w:rsidRDefault="00055FE8" w:rsidP="00055FE8">
      <w:pPr>
        <w:pStyle w:val="SingleTxtG"/>
        <w:ind w:left="1701"/>
      </w:pPr>
      <w:r>
        <w:t>Renumber current paragraph 10.3.3.3 to 10.3.3.4.</w:t>
      </w:r>
    </w:p>
    <w:p w14:paraId="4C26C132" w14:textId="1903D47C" w:rsidR="00055FE8" w:rsidRDefault="00EF3B06" w:rsidP="00055FE8">
      <w:pPr>
        <w:pStyle w:val="SingleTxtG"/>
        <w:ind w:left="1701"/>
      </w:pPr>
      <w:r>
        <w:t xml:space="preserve">Renumber current </w:t>
      </w:r>
      <w:r w:rsidR="00055FE8">
        <w:t>paragraph 10.3.3.</w:t>
      </w:r>
      <w:r>
        <w:t>4 to 10.3.3.3 and amend</w:t>
      </w:r>
      <w:r w:rsidR="00055FE8">
        <w:t xml:space="preserve"> as follows:</w:t>
      </w:r>
    </w:p>
    <w:p w14:paraId="50B168BF" w14:textId="61001604" w:rsidR="00055FE8" w:rsidRDefault="00055FE8" w:rsidP="00055FE8">
      <w:pPr>
        <w:pStyle w:val="SingleTxtG"/>
        <w:ind w:left="1701"/>
      </w:pPr>
      <w:r>
        <w:t xml:space="preserve"> “10.3.3.3 All articles </w:t>
      </w:r>
      <w:r w:rsidRPr="0027167B">
        <w:rPr>
          <w:color w:val="002060"/>
          <w:u w:val="single"/>
        </w:rPr>
        <w:t xml:space="preserve">as presented for transport (packaged </w:t>
      </w:r>
      <w:r w:rsidRPr="0027167B">
        <w:rPr>
          <w:u w:val="single"/>
        </w:rPr>
        <w:t xml:space="preserve">or </w:t>
      </w:r>
      <w:r w:rsidRPr="0027167B">
        <w:rPr>
          <w:color w:val="002060"/>
          <w:u w:val="single"/>
        </w:rPr>
        <w:t>un</w:t>
      </w:r>
      <w:r w:rsidRPr="0027167B">
        <w:rPr>
          <w:u w:val="single"/>
        </w:rPr>
        <w:t>packaged</w:t>
      </w:r>
      <w:r w:rsidRPr="0027167B">
        <w:rPr>
          <w:color w:val="002060"/>
          <w:u w:val="single"/>
        </w:rPr>
        <w:t>)</w:t>
      </w:r>
      <w:r>
        <w:t xml:space="preserve"> </w:t>
      </w:r>
      <w:r w:rsidRPr="003C7CEF">
        <w:rPr>
          <w:strike/>
          <w:color w:val="FF0000"/>
        </w:rPr>
        <w:t>articles containing substances which have failed test type 3 (a), 3 (b) or 3 (d)</w:t>
      </w:r>
      <w:r w:rsidRPr="003C7CEF">
        <w:rPr>
          <w:color w:val="FF0000"/>
        </w:rPr>
        <w:t xml:space="preserve"> </w:t>
      </w:r>
      <w:r>
        <w:t xml:space="preserve">should be subjected to test series 4. </w:t>
      </w:r>
      <w:r w:rsidR="000C06B4">
        <w:rPr>
          <w:color w:val="002060"/>
          <w:u w:val="single"/>
        </w:rPr>
        <w:t>However</w:t>
      </w:r>
      <w:r w:rsidRPr="0027167B">
        <w:rPr>
          <w:color w:val="002060"/>
          <w:u w:val="single"/>
        </w:rPr>
        <w:t>, if there is sufficient information to indicate that the article would not be too dangerous for transport</w:t>
      </w:r>
      <w:r w:rsidR="000C06B4">
        <w:rPr>
          <w:color w:val="002060"/>
          <w:u w:val="single"/>
        </w:rPr>
        <w:t>, the competent authority may decide to waive all or part of these tests for the article</w:t>
      </w:r>
      <w:r w:rsidRPr="0027167B">
        <w:rPr>
          <w:color w:val="002060"/>
          <w:u w:val="single"/>
        </w:rPr>
        <w:t>.</w:t>
      </w:r>
      <w:r>
        <w:rPr>
          <w:color w:val="002060"/>
        </w:rPr>
        <w:t xml:space="preserve"> </w:t>
      </w:r>
      <w:r w:rsidRPr="00001682">
        <w:rPr>
          <w:strike/>
          <w:color w:val="FF0000"/>
        </w:rPr>
        <w:t xml:space="preserve">If the article or packaged articles pass test type 4 (a), test type 4 (b) is performed. </w:t>
      </w:r>
      <w:r w:rsidRPr="00001682">
        <w:rPr>
          <w:strike/>
          <w:color w:val="FF0000"/>
          <w:u w:val="single"/>
        </w:rPr>
        <w:t>Encapsulated and/or p</w:t>
      </w:r>
      <w:r w:rsidRPr="00001682">
        <w:rPr>
          <w:strike/>
          <w:color w:val="FF0000"/>
        </w:rPr>
        <w:t xml:space="preserve">ackaged substances </w:t>
      </w:r>
      <w:r w:rsidRPr="00001682">
        <w:rPr>
          <w:strike/>
          <w:color w:val="FF0000"/>
          <w:u w:val="single"/>
        </w:rPr>
        <w:t>containing substances which have failed test types 3 (a), 3 (b) or 3 (d)</w:t>
      </w:r>
      <w:r w:rsidRPr="00001682">
        <w:rPr>
          <w:strike/>
          <w:color w:val="FF0000"/>
        </w:rPr>
        <w:t xml:space="preserve"> are subjected to test type 4 (b) only. If the product fails either test type 4 (a) or 4 (b), it should be rejected. However, the product may be modified and re-tested. </w:t>
      </w:r>
      <w:r w:rsidRPr="00030853">
        <w:rPr>
          <w:u w:val="single"/>
        </w:rPr>
        <w:t xml:space="preserve">If the product passes all the required tests in </w:t>
      </w:r>
      <w:r w:rsidRPr="008F02F5">
        <w:rPr>
          <w:strike/>
          <w:color w:val="FF0000"/>
          <w:u w:val="single"/>
        </w:rPr>
        <w:t xml:space="preserve">Test </w:t>
      </w:r>
      <w:proofErr w:type="spellStart"/>
      <w:r w:rsidRPr="008F02F5">
        <w:rPr>
          <w:strike/>
          <w:color w:val="FF0000"/>
          <w:u w:val="single"/>
        </w:rPr>
        <w:t>Series</w:t>
      </w:r>
      <w:r w:rsidRPr="0027167B">
        <w:rPr>
          <w:color w:val="002060"/>
          <w:u w:val="single"/>
        </w:rPr>
        <w:t>test</w:t>
      </w:r>
      <w:proofErr w:type="spellEnd"/>
      <w:r w:rsidRPr="0027167B">
        <w:rPr>
          <w:color w:val="002060"/>
          <w:u w:val="single"/>
        </w:rPr>
        <w:t xml:space="preserve"> series</w:t>
      </w:r>
      <w:r>
        <w:rPr>
          <w:color w:val="002060"/>
          <w:u w:val="single"/>
        </w:rPr>
        <w:t xml:space="preserve"> </w:t>
      </w:r>
      <w:r w:rsidRPr="00030853">
        <w:rPr>
          <w:u w:val="single"/>
        </w:rPr>
        <w:t>4, the procedure for assignment to the appropriate division is applied.</w:t>
      </w:r>
      <w:r>
        <w:t xml:space="preserve"> </w:t>
      </w:r>
      <w:r w:rsidRPr="0027167B">
        <w:rPr>
          <w:color w:val="002060"/>
          <w:u w:val="single"/>
        </w:rPr>
        <w:t xml:space="preserve">If the product fails any of the required tests, it is forbidden for transport in the form tested, but may be modified or repackaged and resubmitted to test series 4. </w:t>
      </w:r>
      <w:r>
        <w:t>If the competent authority suspects that the product may be subject to stimuli other than those specified in test</w:t>
      </w:r>
      <w:r>
        <w:rPr>
          <w:color w:val="002060"/>
        </w:rPr>
        <w:t xml:space="preserve"> </w:t>
      </w:r>
      <w:r w:rsidRPr="0027167B">
        <w:rPr>
          <w:color w:val="002060"/>
          <w:u w:val="single"/>
        </w:rPr>
        <w:t>series</w:t>
      </w:r>
      <w:r>
        <w:t xml:space="preserve"> </w:t>
      </w:r>
      <w:r w:rsidRPr="008F02F5">
        <w:rPr>
          <w:strike/>
          <w:color w:val="FF0000"/>
        </w:rPr>
        <w:t xml:space="preserve">type </w:t>
      </w:r>
      <w:r w:rsidRPr="00030853">
        <w:t xml:space="preserve">4 </w:t>
      </w:r>
      <w:r w:rsidRPr="008F02F5">
        <w:rPr>
          <w:strike/>
          <w:color w:val="FF0000"/>
        </w:rPr>
        <w:t xml:space="preserve">(a) and 4 (b) </w:t>
      </w:r>
      <w:r w:rsidRPr="00030853">
        <w:t>resulting in potentially dangerous effects, additional information or tests may be required (see note under paragraph 2.1.3.3.1 of the Model Regulations).”</w:t>
      </w:r>
    </w:p>
    <w:p w14:paraId="362BC7FB" w14:textId="1551EDFF" w:rsidR="00154DBF" w:rsidRPr="00055FE8" w:rsidRDefault="00154DBF" w:rsidP="00055FE8">
      <w:pPr>
        <w:pStyle w:val="SingleTxtG"/>
        <w:spacing w:line="240" w:lineRule="auto"/>
        <w:ind w:left="562" w:right="43"/>
        <w:rPr>
          <w:sz w:val="22"/>
          <w:szCs w:val="22"/>
        </w:rPr>
      </w:pPr>
    </w:p>
    <w:p w14:paraId="48A3A5ED" w14:textId="2583A3C3" w:rsidR="00154DBF" w:rsidRPr="00055FE8" w:rsidRDefault="00154DBF" w:rsidP="00154DBF">
      <w:pPr>
        <w:pStyle w:val="SingleTxtG"/>
        <w:spacing w:line="240" w:lineRule="auto"/>
        <w:ind w:left="0" w:right="39"/>
        <w:rPr>
          <w:i/>
        </w:rPr>
      </w:pPr>
      <w:r w:rsidRPr="00195E9D">
        <w:rPr>
          <w:i/>
        </w:rPr>
        <w:t>Source:  ST/SG/AC.10/C.3</w:t>
      </w:r>
      <w:r>
        <w:rPr>
          <w:i/>
        </w:rPr>
        <w:t>/2016/60</w:t>
      </w:r>
      <w:r w:rsidRPr="00195E9D">
        <w:rPr>
          <w:i/>
        </w:rPr>
        <w:t xml:space="preserve">, Para. </w:t>
      </w:r>
      <w:proofErr w:type="gramStart"/>
      <w:r>
        <w:rPr>
          <w:i/>
        </w:rPr>
        <w:t>12</w:t>
      </w:r>
      <w:r w:rsidRPr="00195E9D">
        <w:rPr>
          <w:i/>
        </w:rPr>
        <w:t xml:space="preserve"> </w:t>
      </w:r>
      <w:r>
        <w:rPr>
          <w:i/>
        </w:rPr>
        <w:t xml:space="preserve">(as amended by the working group) </w:t>
      </w:r>
      <w:r w:rsidRPr="00195E9D">
        <w:rPr>
          <w:i/>
        </w:rPr>
        <w:t>and Para.</w:t>
      </w:r>
      <w:proofErr w:type="gramEnd"/>
      <w:r w:rsidRPr="00195E9D">
        <w:rPr>
          <w:i/>
        </w:rPr>
        <w:t xml:space="preserve"> </w:t>
      </w:r>
      <w:proofErr w:type="gramStart"/>
      <w:r w:rsidR="00782EB8">
        <w:rPr>
          <w:i/>
        </w:rPr>
        <w:t>6</w:t>
      </w:r>
      <w:r w:rsidRPr="00195E9D">
        <w:rPr>
          <w:i/>
        </w:rPr>
        <w:t xml:space="preserve"> of this report.</w:t>
      </w:r>
      <w:proofErr w:type="gramEnd"/>
    </w:p>
    <w:p w14:paraId="04DB452A" w14:textId="76EC793A" w:rsidR="00FC40AB" w:rsidRPr="00055FE8" w:rsidRDefault="00055FE8" w:rsidP="00213069">
      <w:pPr>
        <w:pStyle w:val="SingleTxtG"/>
        <w:numPr>
          <w:ilvl w:val="0"/>
          <w:numId w:val="6"/>
        </w:numPr>
        <w:pBdr>
          <w:top w:val="single" w:sz="4" w:space="1" w:color="auto"/>
        </w:pBdr>
        <w:spacing w:line="240" w:lineRule="auto"/>
        <w:ind w:right="43"/>
      </w:pPr>
      <w:r w:rsidRPr="00055FE8">
        <w:t>Amend Annex I of document …/C.3/2016/66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141"/>
      </w:tblGrid>
      <w:tr w:rsidR="00E44987" w:rsidRPr="009E2735" w14:paraId="1EE6B33F" w14:textId="77777777" w:rsidTr="00E44987">
        <w:tc>
          <w:tcPr>
            <w:tcW w:w="1101" w:type="dxa"/>
          </w:tcPr>
          <w:p w14:paraId="765442F1" w14:textId="77777777" w:rsidR="00E44987" w:rsidRPr="009E2735" w:rsidRDefault="00E44987" w:rsidP="00E44987">
            <w:r w:rsidRPr="009E2735">
              <w:t>39.3.1</w:t>
            </w:r>
          </w:p>
        </w:tc>
        <w:tc>
          <w:tcPr>
            <w:tcW w:w="8141" w:type="dxa"/>
          </w:tcPr>
          <w:p w14:paraId="19990878" w14:textId="77777777" w:rsidR="00E44987" w:rsidRPr="009E2735" w:rsidRDefault="00E44987" w:rsidP="00E44987">
            <w:r w:rsidRPr="009E2735">
              <w:t xml:space="preserve">An ammonium nitrate based fertilizer is a </w:t>
            </w:r>
            <w:r w:rsidRPr="00684051">
              <w:rPr>
                <w:strike/>
                <w:color w:val="FF0000"/>
              </w:rPr>
              <w:t>fertilizer</w:t>
            </w:r>
            <w:r w:rsidRPr="009E2735">
              <w:rPr>
                <w:b/>
              </w:rPr>
              <w:t xml:space="preserve"> </w:t>
            </w:r>
            <w:r w:rsidRPr="00F0343B">
              <w:rPr>
                <w:color w:val="002060"/>
                <w:u w:val="single"/>
              </w:rPr>
              <w:t>uniform mixture</w:t>
            </w:r>
            <w:r w:rsidRPr="009E2735">
              <w:t xml:space="preserve"> containing ammonium (NH</w:t>
            </w:r>
            <w:r w:rsidRPr="00A569A8">
              <w:rPr>
                <w:color w:val="1F497D" w:themeColor="text2"/>
                <w:u w:val="single"/>
                <w:vertAlign w:val="subscript"/>
              </w:rPr>
              <w:t>4</w:t>
            </w:r>
            <w:r w:rsidRPr="00A569A8">
              <w:rPr>
                <w:color w:val="1F497D" w:themeColor="text2"/>
                <w:u w:val="single"/>
                <w:vertAlign w:val="superscript"/>
              </w:rPr>
              <w:t>+</w:t>
            </w:r>
            <w:r w:rsidRPr="009E2735">
              <w:t>) and nitrate (NO</w:t>
            </w:r>
            <w:r w:rsidRPr="00A569A8">
              <w:rPr>
                <w:color w:val="1F497D" w:themeColor="text2"/>
                <w:u w:val="single"/>
                <w:vertAlign w:val="subscript"/>
              </w:rPr>
              <w:t>3</w:t>
            </w:r>
            <w:r w:rsidRPr="00A569A8">
              <w:rPr>
                <w:color w:val="1F497D" w:themeColor="text2"/>
                <w:u w:val="single"/>
                <w:vertAlign w:val="superscript"/>
              </w:rPr>
              <w:t>−</w:t>
            </w:r>
            <w:r w:rsidRPr="009E2735">
              <w:t>) ions. See also 39.3.3.</w:t>
            </w:r>
          </w:p>
        </w:tc>
      </w:tr>
      <w:tr w:rsidR="00E44987" w:rsidRPr="009E2735" w14:paraId="4AA00B31" w14:textId="77777777" w:rsidTr="00E44987">
        <w:tc>
          <w:tcPr>
            <w:tcW w:w="1101" w:type="dxa"/>
          </w:tcPr>
          <w:p w14:paraId="13772E96" w14:textId="77777777" w:rsidR="00E44987" w:rsidRPr="009E2735" w:rsidRDefault="00E44987" w:rsidP="00E44987">
            <w:r w:rsidRPr="009E2735">
              <w:t>39.3.2</w:t>
            </w:r>
          </w:p>
        </w:tc>
        <w:tc>
          <w:tcPr>
            <w:tcW w:w="8141" w:type="dxa"/>
          </w:tcPr>
          <w:p w14:paraId="5E42FAE5" w14:textId="77777777" w:rsidR="00E44987" w:rsidRPr="009E2735" w:rsidRDefault="00E44987" w:rsidP="00E44987">
            <w:r w:rsidRPr="009E2735">
              <w:t xml:space="preserve">A compound fertilizer is a </w:t>
            </w:r>
            <w:r w:rsidRPr="00684051">
              <w:rPr>
                <w:strike/>
                <w:color w:val="FF0000"/>
              </w:rPr>
              <w:t>fertilizer</w:t>
            </w:r>
            <w:r w:rsidRPr="009E2735">
              <w:rPr>
                <w:b/>
              </w:rPr>
              <w:t xml:space="preserve"> </w:t>
            </w:r>
            <w:r w:rsidRPr="00F0343B">
              <w:rPr>
                <w:color w:val="002060"/>
                <w:u w:val="single"/>
              </w:rPr>
              <w:t>uniform mixture</w:t>
            </w:r>
            <w:r w:rsidRPr="00684051">
              <w:rPr>
                <w:color w:val="002060"/>
              </w:rPr>
              <w:t xml:space="preserve"> </w:t>
            </w:r>
            <w:r w:rsidRPr="009E2735">
              <w:t>that contains at least two of the three primary nutrients nitrogen (N), phosphorus (P) and potassium (K).</w:t>
            </w:r>
          </w:p>
        </w:tc>
      </w:tr>
      <w:tr w:rsidR="00E44987" w:rsidRPr="009E2735" w14:paraId="25EAA315" w14:textId="77777777" w:rsidTr="00E44987">
        <w:tc>
          <w:tcPr>
            <w:tcW w:w="1101" w:type="dxa"/>
          </w:tcPr>
          <w:p w14:paraId="78DA3522" w14:textId="77777777" w:rsidR="00E44987" w:rsidRPr="009E2735" w:rsidRDefault="00E44987" w:rsidP="00E44987">
            <w:r w:rsidRPr="009E2735">
              <w:t>39.3.4</w:t>
            </w:r>
          </w:p>
        </w:tc>
        <w:tc>
          <w:tcPr>
            <w:tcW w:w="8141" w:type="dxa"/>
          </w:tcPr>
          <w:p w14:paraId="66354D7D" w14:textId="77777777" w:rsidR="00E44987" w:rsidRPr="009E2735" w:rsidRDefault="00E44987" w:rsidP="00E44987">
            <w:r w:rsidRPr="009E2735">
              <w:t xml:space="preserve">Combustible substances as referred to in paragraph 39.4 include also </w:t>
            </w:r>
            <w:r w:rsidRPr="00684051">
              <w:rPr>
                <w:strike/>
                <w:color w:val="FF0000"/>
              </w:rPr>
              <w:t>non-organic</w:t>
            </w:r>
            <w:r w:rsidRPr="009E2735">
              <w:t xml:space="preserve"> </w:t>
            </w:r>
            <w:r w:rsidRPr="00F0343B">
              <w:rPr>
                <w:color w:val="002060"/>
                <w:u w:val="single"/>
              </w:rPr>
              <w:t>inorganic</w:t>
            </w:r>
            <w:r w:rsidRPr="00684051">
              <w:rPr>
                <w:color w:val="002060"/>
              </w:rPr>
              <w:t xml:space="preserve"> </w:t>
            </w:r>
            <w:r w:rsidRPr="009E2735">
              <w:t>substances that can be oxidized, e.g. elemental sulphur. For organic substances the content of combustibles is calculated as carbon.</w:t>
            </w:r>
          </w:p>
        </w:tc>
      </w:tr>
      <w:tr w:rsidR="00E44987" w:rsidRPr="009E2735" w14:paraId="26831B39" w14:textId="77777777" w:rsidTr="00E44987">
        <w:tc>
          <w:tcPr>
            <w:tcW w:w="1101" w:type="dxa"/>
          </w:tcPr>
          <w:p w14:paraId="357F1AF8" w14:textId="77777777" w:rsidR="00E44987" w:rsidRPr="009E2735" w:rsidRDefault="00E44987" w:rsidP="00E44987">
            <w:r w:rsidRPr="009E2735">
              <w:t>39.3.5</w:t>
            </w:r>
          </w:p>
        </w:tc>
        <w:tc>
          <w:tcPr>
            <w:tcW w:w="8141" w:type="dxa"/>
          </w:tcPr>
          <w:p w14:paraId="683A7ABA" w14:textId="77777777" w:rsidR="00E44987" w:rsidRPr="009E2735" w:rsidRDefault="00E44987" w:rsidP="00E44987">
            <w:r w:rsidRPr="009E2735">
              <w:t xml:space="preserve">Materials that </w:t>
            </w:r>
            <w:r w:rsidRPr="00684051">
              <w:rPr>
                <w:strike/>
                <w:color w:val="FF0000"/>
              </w:rPr>
              <w:t>are</w:t>
            </w:r>
            <w:r w:rsidRPr="009E2735">
              <w:rPr>
                <w:b/>
              </w:rPr>
              <w:t xml:space="preserve"> </w:t>
            </w:r>
            <w:r w:rsidRPr="00F0343B">
              <w:rPr>
                <w:color w:val="002060"/>
                <w:u w:val="single"/>
              </w:rPr>
              <w:t>may be</w:t>
            </w:r>
            <w:r w:rsidRPr="00684051">
              <w:rPr>
                <w:color w:val="002060"/>
              </w:rPr>
              <w:t xml:space="preserve"> </w:t>
            </w:r>
            <w:r w:rsidRPr="009E2735">
              <w:t xml:space="preserve">incompatible with ammonium nitrate include </w:t>
            </w:r>
            <w:r w:rsidRPr="00A569A8">
              <w:rPr>
                <w:strike/>
                <w:color w:val="FF0000"/>
              </w:rPr>
              <w:t>e.g.</w:t>
            </w:r>
            <w:r w:rsidRPr="00A569A8">
              <w:rPr>
                <w:color w:val="FF0000"/>
              </w:rPr>
              <w:t xml:space="preserve"> </w:t>
            </w:r>
            <w:r w:rsidRPr="009E2735">
              <w:t>urea, acids, superphosphates with free acid, elemental sulphur, sulphides and most transition metals, including heavy metals (e.g. copper), and chlorides. Note however that this listing is not exhaustive.</w:t>
            </w:r>
          </w:p>
        </w:tc>
      </w:tr>
      <w:tr w:rsidR="00E44987" w:rsidRPr="009E2735" w14:paraId="03179770" w14:textId="77777777" w:rsidTr="00E44987">
        <w:tc>
          <w:tcPr>
            <w:tcW w:w="1101" w:type="dxa"/>
          </w:tcPr>
          <w:p w14:paraId="0EB81188" w14:textId="77777777" w:rsidR="00E44987" w:rsidRPr="009E2735" w:rsidRDefault="00E44987" w:rsidP="00E44987">
            <w:r w:rsidRPr="009E2735">
              <w:t>39.4.2</w:t>
            </w:r>
          </w:p>
        </w:tc>
        <w:tc>
          <w:tcPr>
            <w:tcW w:w="8141" w:type="dxa"/>
          </w:tcPr>
          <w:p w14:paraId="46854E3F" w14:textId="77777777" w:rsidR="00E44987" w:rsidRPr="009E2735" w:rsidRDefault="00E44987" w:rsidP="00E44987">
            <w:r w:rsidRPr="009E2735">
              <w:t xml:space="preserve">UN </w:t>
            </w:r>
            <w:r w:rsidRPr="00684051">
              <w:rPr>
                <w:strike/>
                <w:color w:val="FF0000"/>
              </w:rPr>
              <w:t>No.</w:t>
            </w:r>
            <w:r w:rsidRPr="009E2735">
              <w:t xml:space="preserve"> </w:t>
            </w:r>
            <w:r w:rsidRPr="00F0343B">
              <w:rPr>
                <w:color w:val="002060"/>
                <w:u w:val="single"/>
              </w:rPr>
              <w:t>Number</w:t>
            </w:r>
            <w:r w:rsidRPr="00684051">
              <w:rPr>
                <w:color w:val="002060"/>
              </w:rPr>
              <w:t xml:space="preserve"> </w:t>
            </w:r>
            <w:r w:rsidRPr="009E2735">
              <w:t>2067 may only be used for ammonium nitrate based fertilizers that do not show explosive properties when tested in accordance with Test Series 2 of this Manual.</w:t>
            </w:r>
          </w:p>
        </w:tc>
      </w:tr>
      <w:tr w:rsidR="00E44987" w:rsidRPr="009E2735" w14:paraId="738BED17" w14:textId="77777777" w:rsidTr="00E44987">
        <w:tc>
          <w:tcPr>
            <w:tcW w:w="1101" w:type="dxa"/>
          </w:tcPr>
          <w:p w14:paraId="3B196147" w14:textId="77777777" w:rsidR="00E44987" w:rsidRPr="009E2735" w:rsidRDefault="00E44987" w:rsidP="00E44987">
            <w:r w:rsidRPr="009E2735">
              <w:t>39.4.3</w:t>
            </w:r>
          </w:p>
        </w:tc>
        <w:tc>
          <w:tcPr>
            <w:tcW w:w="8141" w:type="dxa"/>
          </w:tcPr>
          <w:p w14:paraId="57B5C679" w14:textId="77777777" w:rsidR="00E44987" w:rsidRPr="009E2735" w:rsidRDefault="00E44987" w:rsidP="00E44987">
            <w:r w:rsidRPr="009E2735">
              <w:t xml:space="preserve">Ammonium nitrate based fertilizers that do not fulfil the requirements for classification as UN </w:t>
            </w:r>
            <w:r w:rsidRPr="00684051">
              <w:rPr>
                <w:strike/>
                <w:color w:val="FF0000"/>
              </w:rPr>
              <w:t>No.</w:t>
            </w:r>
            <w:r w:rsidRPr="009E2735">
              <w:t xml:space="preserve"> </w:t>
            </w:r>
            <w:r w:rsidRPr="00F0343B">
              <w:rPr>
                <w:color w:val="002060"/>
                <w:u w:val="single"/>
              </w:rPr>
              <w:t>Number</w:t>
            </w:r>
            <w:r w:rsidRPr="00684051">
              <w:rPr>
                <w:color w:val="002060"/>
              </w:rPr>
              <w:t xml:space="preserve"> </w:t>
            </w:r>
            <w:r w:rsidRPr="009E2735">
              <w:t xml:space="preserve">2067, can be assigned another suitable UN </w:t>
            </w:r>
            <w:r w:rsidRPr="00684051">
              <w:rPr>
                <w:strike/>
                <w:color w:val="FF0000"/>
              </w:rPr>
              <w:t>No.</w:t>
            </w:r>
            <w:r w:rsidRPr="00684051">
              <w:rPr>
                <w:b/>
                <w:color w:val="FF0000"/>
              </w:rPr>
              <w:t xml:space="preserve"> </w:t>
            </w:r>
            <w:r w:rsidRPr="00F0343B">
              <w:rPr>
                <w:color w:val="002060"/>
                <w:u w:val="single"/>
              </w:rPr>
              <w:t>Number</w:t>
            </w:r>
            <w:r w:rsidRPr="00684051">
              <w:rPr>
                <w:color w:val="002060"/>
              </w:rPr>
              <w:t xml:space="preserve"> </w:t>
            </w:r>
            <w:r w:rsidRPr="009E2735">
              <w:t xml:space="preserve">in Class 1 or Class 5, Division 5.1, provided that the suitability for transport is demonstrated and this is approved by the competent authority. This may for instance be when contamination has occurred in e.g. an accident, so that the </w:t>
            </w:r>
            <w:r w:rsidRPr="009E2735">
              <w:lastRenderedPageBreak/>
              <w:t xml:space="preserve">fertilizer can be transported under a suitable UN </w:t>
            </w:r>
            <w:r w:rsidRPr="00684051">
              <w:rPr>
                <w:strike/>
                <w:color w:val="FF0000"/>
              </w:rPr>
              <w:t>No.</w:t>
            </w:r>
            <w:r w:rsidRPr="009E2735">
              <w:t xml:space="preserve"> </w:t>
            </w:r>
            <w:r w:rsidRPr="00F0343B">
              <w:rPr>
                <w:color w:val="002060"/>
                <w:u w:val="single"/>
              </w:rPr>
              <w:t>Number</w:t>
            </w:r>
            <w:r w:rsidRPr="00684051">
              <w:rPr>
                <w:color w:val="002060"/>
              </w:rPr>
              <w:t xml:space="preserve"> </w:t>
            </w:r>
            <w:r w:rsidRPr="009E2735">
              <w:t>e.g. in Class 1 as approved by the competent authority.</w:t>
            </w:r>
          </w:p>
        </w:tc>
      </w:tr>
      <w:tr w:rsidR="00E44987" w:rsidRPr="009E2735" w14:paraId="3AD1F582" w14:textId="77777777" w:rsidTr="00E44987">
        <w:tc>
          <w:tcPr>
            <w:tcW w:w="1101" w:type="dxa"/>
          </w:tcPr>
          <w:p w14:paraId="5A138317" w14:textId="77777777" w:rsidR="00E44987" w:rsidRPr="009E2735" w:rsidRDefault="00E44987" w:rsidP="00E44987">
            <w:r w:rsidRPr="009E2735">
              <w:lastRenderedPageBreak/>
              <w:t>39.4.8</w:t>
            </w:r>
          </w:p>
        </w:tc>
        <w:tc>
          <w:tcPr>
            <w:tcW w:w="8141" w:type="dxa"/>
          </w:tcPr>
          <w:p w14:paraId="3998ED3C" w14:textId="77777777" w:rsidR="00E44987" w:rsidRPr="009E2735" w:rsidRDefault="00E44987" w:rsidP="00E44987">
            <w:pPr>
              <w:rPr>
                <w:i/>
              </w:rPr>
            </w:pPr>
            <w:r w:rsidRPr="009E2735">
              <w:rPr>
                <w:i/>
              </w:rPr>
              <w:t>Delete the entire paragraph</w:t>
            </w:r>
          </w:p>
        </w:tc>
      </w:tr>
      <w:tr w:rsidR="00E44987" w:rsidRPr="009E2735" w14:paraId="50FFA3F6" w14:textId="77777777" w:rsidTr="00E44987">
        <w:tc>
          <w:tcPr>
            <w:tcW w:w="1101" w:type="dxa"/>
          </w:tcPr>
          <w:p w14:paraId="23C4467C" w14:textId="77777777" w:rsidR="00E44987" w:rsidRPr="009E2735" w:rsidRDefault="00E44987" w:rsidP="00E44987">
            <w:r>
              <w:t>39.5</w:t>
            </w:r>
          </w:p>
        </w:tc>
        <w:tc>
          <w:tcPr>
            <w:tcW w:w="8141" w:type="dxa"/>
          </w:tcPr>
          <w:p w14:paraId="3BD0B6BF" w14:textId="77777777" w:rsidR="00E44987" w:rsidRPr="009E2735" w:rsidRDefault="00E44987" w:rsidP="00E44987">
            <w:pPr>
              <w:rPr>
                <w:i/>
              </w:rPr>
            </w:pPr>
            <w:r>
              <w:rPr>
                <w:i/>
              </w:rPr>
              <w:t>Use space between “UN” and “2067” and between “UN” and “2071” throughout the flow chart.</w:t>
            </w:r>
          </w:p>
        </w:tc>
      </w:tr>
      <w:tr w:rsidR="00E44987" w:rsidRPr="009E2735" w14:paraId="71E8FFA6" w14:textId="77777777" w:rsidTr="00E44987">
        <w:tc>
          <w:tcPr>
            <w:tcW w:w="1101" w:type="dxa"/>
          </w:tcPr>
          <w:p w14:paraId="7A4207C1" w14:textId="77777777" w:rsidR="00E44987" w:rsidRPr="009E2735" w:rsidRDefault="00E44987" w:rsidP="00E44987">
            <w:r w:rsidRPr="009E2735">
              <w:t xml:space="preserve">39.5 </w:t>
            </w:r>
          </w:p>
          <w:p w14:paraId="52306CD3" w14:textId="77777777" w:rsidR="00E44987" w:rsidRPr="009E2735" w:rsidRDefault="00E44987" w:rsidP="00E44987">
            <w:r w:rsidRPr="009E2735">
              <w:t>Box D4</w:t>
            </w:r>
          </w:p>
        </w:tc>
        <w:tc>
          <w:tcPr>
            <w:tcW w:w="8141" w:type="dxa"/>
          </w:tcPr>
          <w:p w14:paraId="26CBC248" w14:textId="77777777" w:rsidR="00E44987" w:rsidRPr="009E2735" w:rsidRDefault="00E44987" w:rsidP="00E44987">
            <w:r w:rsidRPr="009E2735">
              <w:t xml:space="preserve">Does it contain any incompatible materials in amounts that could </w:t>
            </w:r>
            <w:r w:rsidRPr="00684051">
              <w:rPr>
                <w:strike/>
                <w:color w:val="FF0000"/>
              </w:rPr>
              <w:t>potentially</w:t>
            </w:r>
            <w:r w:rsidRPr="00684051">
              <w:rPr>
                <w:color w:val="FF0000"/>
              </w:rPr>
              <w:t xml:space="preserve"> </w:t>
            </w:r>
            <w:r w:rsidRPr="009E2735">
              <w:t>negatively affect the stability of AN? (See 39.3.5</w:t>
            </w:r>
            <w:r w:rsidRPr="00684051">
              <w:rPr>
                <w:color w:val="FF0000"/>
              </w:rPr>
              <w:t xml:space="preserve"> </w:t>
            </w:r>
            <w:r w:rsidRPr="00684051">
              <w:rPr>
                <w:strike/>
                <w:color w:val="FF0000"/>
              </w:rPr>
              <w:t>and 39.4.8</w:t>
            </w:r>
            <w:r w:rsidRPr="009E2735">
              <w:t>)</w:t>
            </w:r>
          </w:p>
        </w:tc>
      </w:tr>
      <w:tr w:rsidR="00E44987" w:rsidRPr="009E2735" w14:paraId="03E91655" w14:textId="77777777" w:rsidTr="00E44987">
        <w:tc>
          <w:tcPr>
            <w:tcW w:w="1101" w:type="dxa"/>
          </w:tcPr>
          <w:p w14:paraId="12A465B0" w14:textId="77777777" w:rsidR="00E44987" w:rsidRPr="009E2735" w:rsidRDefault="00E44987" w:rsidP="00E44987">
            <w:r w:rsidRPr="009E2735">
              <w:t xml:space="preserve">39.5 </w:t>
            </w:r>
          </w:p>
          <w:p w14:paraId="47DDD772" w14:textId="77777777" w:rsidR="00E44987" w:rsidRPr="009E2735" w:rsidRDefault="00E44987" w:rsidP="00E44987">
            <w:r w:rsidRPr="009E2735">
              <w:t xml:space="preserve">Box F8 </w:t>
            </w:r>
          </w:p>
        </w:tc>
        <w:tc>
          <w:tcPr>
            <w:tcW w:w="8141" w:type="dxa"/>
          </w:tcPr>
          <w:p w14:paraId="249F0755" w14:textId="77777777" w:rsidR="00E44987" w:rsidRPr="009E2735" w:rsidRDefault="00E44987" w:rsidP="00E44987">
            <w:r w:rsidRPr="009E2735">
              <w:t>Not within the composition limits of UN 2067. (See 39.4.3</w:t>
            </w:r>
            <w:r w:rsidRPr="00684051">
              <w:rPr>
                <w:strike/>
                <w:color w:val="FF0000"/>
              </w:rPr>
              <w:t xml:space="preserve"> and 39.4.6</w:t>
            </w:r>
            <w:r w:rsidRPr="009E2735">
              <w:t>)</w:t>
            </w:r>
          </w:p>
        </w:tc>
      </w:tr>
      <w:tr w:rsidR="00E44987" w:rsidRPr="009E2735" w14:paraId="01B9FDD5" w14:textId="77777777" w:rsidTr="00E44987">
        <w:tc>
          <w:tcPr>
            <w:tcW w:w="1101" w:type="dxa"/>
          </w:tcPr>
          <w:p w14:paraId="200A752D" w14:textId="77777777" w:rsidR="00E44987" w:rsidRPr="009E2735" w:rsidRDefault="00E44987" w:rsidP="00E44987">
            <w:r w:rsidRPr="009E2735">
              <w:t>39.5</w:t>
            </w:r>
          </w:p>
          <w:p w14:paraId="4C3DFEF6" w14:textId="77777777" w:rsidR="00E44987" w:rsidRPr="009E2735" w:rsidRDefault="00E44987" w:rsidP="00E44987">
            <w:r w:rsidRPr="009E2735">
              <w:t>Box F36</w:t>
            </w:r>
          </w:p>
        </w:tc>
        <w:tc>
          <w:tcPr>
            <w:tcW w:w="8141" w:type="dxa"/>
          </w:tcPr>
          <w:p w14:paraId="016B0561" w14:textId="77777777" w:rsidR="00E44987" w:rsidRPr="009E2735" w:rsidRDefault="00E44987" w:rsidP="00E44987">
            <w:r w:rsidRPr="009E2735">
              <w:t>Not within the composition limits of UN 2067. (See 39.4.3</w:t>
            </w:r>
            <w:r w:rsidRPr="00684051">
              <w:rPr>
                <w:strike/>
                <w:color w:val="FF0000"/>
              </w:rPr>
              <w:t xml:space="preserve"> and 39.4.6</w:t>
            </w:r>
            <w:r w:rsidRPr="009E2735">
              <w:t>)</w:t>
            </w:r>
          </w:p>
        </w:tc>
      </w:tr>
      <w:tr w:rsidR="00E44987" w:rsidRPr="009E2735" w14:paraId="3DB33DBB" w14:textId="77777777" w:rsidTr="00E44987">
        <w:tc>
          <w:tcPr>
            <w:tcW w:w="1101" w:type="dxa"/>
          </w:tcPr>
          <w:p w14:paraId="574B9292" w14:textId="77777777" w:rsidR="00E44987" w:rsidRDefault="00E44987" w:rsidP="00E44987">
            <w:r>
              <w:t>39.5</w:t>
            </w:r>
          </w:p>
          <w:p w14:paraId="0942C73D" w14:textId="77777777" w:rsidR="00E44987" w:rsidRPr="009E2735" w:rsidRDefault="00E44987" w:rsidP="00E44987">
            <w:r>
              <w:t>Box D38</w:t>
            </w:r>
          </w:p>
        </w:tc>
        <w:tc>
          <w:tcPr>
            <w:tcW w:w="8141" w:type="dxa"/>
          </w:tcPr>
          <w:p w14:paraId="61E2325E" w14:textId="77777777" w:rsidR="00E44987" w:rsidRPr="009E2735" w:rsidRDefault="00E44987" w:rsidP="00E44987">
            <w:r w:rsidRPr="009E2735">
              <w:t xml:space="preserve">Does it contain ≤80% </w:t>
            </w:r>
            <w:proofErr w:type="gramStart"/>
            <w:r w:rsidRPr="009E2735">
              <w:t>AN</w:t>
            </w:r>
            <w:proofErr w:type="gramEnd"/>
            <w:r w:rsidRPr="009E2735">
              <w:t xml:space="preserve"> mixed with calcium carbonate and/or dolomite and/or mineral calcium </w:t>
            </w:r>
            <w:proofErr w:type="spellStart"/>
            <w:r w:rsidRPr="00684051">
              <w:rPr>
                <w:strike/>
                <w:color w:val="FF0000"/>
              </w:rPr>
              <w:t>sulfate</w:t>
            </w:r>
            <w:proofErr w:type="spellEnd"/>
            <w:r w:rsidRPr="00684051">
              <w:rPr>
                <w:b/>
                <w:color w:val="FF0000"/>
              </w:rPr>
              <w:t xml:space="preserve"> </w:t>
            </w:r>
            <w:r w:rsidRPr="00F0343B">
              <w:rPr>
                <w:color w:val="002060"/>
              </w:rPr>
              <w:t>sulphate</w:t>
            </w:r>
            <w:r w:rsidRPr="009E2735">
              <w:t>?</w:t>
            </w:r>
          </w:p>
        </w:tc>
      </w:tr>
      <w:tr w:rsidR="00E44987" w:rsidRPr="009E2735" w14:paraId="63B2D642" w14:textId="77777777" w:rsidTr="00E44987">
        <w:tc>
          <w:tcPr>
            <w:tcW w:w="1101" w:type="dxa"/>
          </w:tcPr>
          <w:p w14:paraId="2053F2E5" w14:textId="77777777" w:rsidR="00E44987" w:rsidRDefault="00E44987" w:rsidP="00E44987">
            <w:r>
              <w:t>39.5</w:t>
            </w:r>
          </w:p>
        </w:tc>
        <w:tc>
          <w:tcPr>
            <w:tcW w:w="8141" w:type="dxa"/>
          </w:tcPr>
          <w:p w14:paraId="4F9A0B5D" w14:textId="77777777" w:rsidR="00E44987" w:rsidRPr="009E2735" w:rsidRDefault="00E44987" w:rsidP="00E44987">
            <w:r>
              <w:t>Throughout the flow chart; replace AN with ammonium nitrate and AS with ammonium sulphate</w:t>
            </w:r>
          </w:p>
        </w:tc>
      </w:tr>
    </w:tbl>
    <w:p w14:paraId="08DE87EE" w14:textId="77777777" w:rsidR="00E44987" w:rsidRPr="00E44987" w:rsidRDefault="00E44987" w:rsidP="00FC40AB">
      <w:pPr>
        <w:pStyle w:val="SingleTxtG"/>
        <w:spacing w:line="240" w:lineRule="auto"/>
        <w:ind w:left="0" w:right="39"/>
      </w:pPr>
    </w:p>
    <w:p w14:paraId="5880E356" w14:textId="5ED29C42" w:rsidR="00FC40AB" w:rsidRPr="00195E9D" w:rsidRDefault="00FC40AB" w:rsidP="00FC40AB">
      <w:pPr>
        <w:pStyle w:val="SingleTxtG"/>
        <w:spacing w:line="240" w:lineRule="auto"/>
        <w:ind w:left="0" w:right="39"/>
        <w:rPr>
          <w:i/>
        </w:rPr>
      </w:pPr>
      <w:r w:rsidRPr="00195E9D">
        <w:rPr>
          <w:i/>
        </w:rPr>
        <w:t xml:space="preserve">Source:  </w:t>
      </w:r>
      <w:r w:rsidR="000E0AAA" w:rsidRPr="000E0AAA">
        <w:rPr>
          <w:i/>
        </w:rPr>
        <w:t xml:space="preserve"> </w:t>
      </w:r>
      <w:r w:rsidR="000E0AAA" w:rsidRPr="00A27A1B">
        <w:rPr>
          <w:i/>
        </w:rPr>
        <w:t>ST/SG/AC.10/C.3/2016/66 (as amended by the work gr</w:t>
      </w:r>
      <w:r w:rsidR="000E0AAA">
        <w:rPr>
          <w:i/>
        </w:rPr>
        <w:t xml:space="preserve">oup) and Para. </w:t>
      </w:r>
      <w:proofErr w:type="gramStart"/>
      <w:r w:rsidR="000E0AAA">
        <w:rPr>
          <w:i/>
        </w:rPr>
        <w:t>8 of this report</w:t>
      </w:r>
      <w:r w:rsidR="000E0AAA" w:rsidRPr="00195E9D">
        <w:rPr>
          <w:i/>
        </w:rPr>
        <w:t>.</w:t>
      </w:r>
      <w:proofErr w:type="gramEnd"/>
    </w:p>
    <w:p w14:paraId="639E37CA" w14:textId="77777777" w:rsidR="00FC40AB" w:rsidRPr="00195E9D" w:rsidRDefault="00FC40AB" w:rsidP="00213069">
      <w:pPr>
        <w:pStyle w:val="SingleTxtG"/>
        <w:numPr>
          <w:ilvl w:val="0"/>
          <w:numId w:val="6"/>
        </w:numPr>
        <w:pBdr>
          <w:top w:val="single" w:sz="4" w:space="1" w:color="auto"/>
        </w:pBdr>
        <w:spacing w:line="240" w:lineRule="auto"/>
        <w:ind w:right="43"/>
        <w:rPr>
          <w:b/>
        </w:rPr>
      </w:pPr>
    </w:p>
    <w:p w14:paraId="4C7B8F75" w14:textId="76243342" w:rsidR="00800BE4" w:rsidRPr="00800BE4" w:rsidRDefault="00FA08FB" w:rsidP="00800BE4">
      <w:pPr>
        <w:pStyle w:val="SingleTxtG"/>
        <w:spacing w:line="240" w:lineRule="auto"/>
        <w:ind w:left="562" w:right="43"/>
        <w:rPr>
          <w:sz w:val="22"/>
          <w:szCs w:val="22"/>
        </w:rPr>
      </w:pPr>
      <w:r w:rsidRPr="00FA08FB">
        <w:rPr>
          <w:sz w:val="22"/>
          <w:szCs w:val="22"/>
        </w:rPr>
        <w:tab/>
      </w:r>
      <w:r w:rsidR="00800BE4" w:rsidRPr="00800BE4">
        <w:rPr>
          <w:sz w:val="22"/>
          <w:szCs w:val="22"/>
        </w:rPr>
        <w:t>Amendments to document ST/SG/AC.10/C.3/2016/83</w:t>
      </w:r>
      <w:r w:rsidR="00800BE4">
        <w:rPr>
          <w:sz w:val="22"/>
          <w:szCs w:val="22"/>
        </w:rPr>
        <w:t xml:space="preserve"> </w:t>
      </w:r>
      <w:r w:rsidR="00800BE4" w:rsidRPr="00800BE4">
        <w:rPr>
          <w:sz w:val="22"/>
          <w:szCs w:val="22"/>
        </w:rPr>
        <w:t xml:space="preserve">- ST/SG/AC.10/C.4/2016/16 agreed by the Explosives Working Group </w:t>
      </w:r>
    </w:p>
    <w:p w14:paraId="50C17A99" w14:textId="0DDF7D3D" w:rsidR="00E44987" w:rsidRDefault="00E44987" w:rsidP="00800BE4">
      <w:pPr>
        <w:pStyle w:val="SingleTxtG"/>
        <w:spacing w:line="240" w:lineRule="auto"/>
        <w:ind w:left="562" w:right="43"/>
        <w:rPr>
          <w:sz w:val="22"/>
          <w:szCs w:val="22"/>
        </w:rPr>
      </w:pPr>
      <w:r>
        <w:rPr>
          <w:sz w:val="22"/>
          <w:szCs w:val="22"/>
        </w:rPr>
        <w:t>Ignore the changes to Sections 1 and 10</w:t>
      </w:r>
      <w:r w:rsidR="00D944A7">
        <w:rPr>
          <w:sz w:val="22"/>
          <w:szCs w:val="22"/>
        </w:rPr>
        <w:t xml:space="preserve"> (except those listed in Amendment 5)</w:t>
      </w:r>
      <w:r>
        <w:rPr>
          <w:sz w:val="22"/>
          <w:szCs w:val="22"/>
        </w:rPr>
        <w:t>, as well as those to Part II and III.</w:t>
      </w:r>
    </w:p>
    <w:p w14:paraId="01EA56BF"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b/>
          <w:sz w:val="22"/>
          <w:szCs w:val="22"/>
        </w:rPr>
        <w:t>Section 11</w:t>
      </w:r>
      <w:r w:rsidRPr="00D944A7">
        <w:rPr>
          <w:sz w:val="22"/>
          <w:szCs w:val="22"/>
        </w:rPr>
        <w:tab/>
        <w:t>Amendments agreed with the following modifications:</w:t>
      </w:r>
    </w:p>
    <w:p w14:paraId="160E8267" w14:textId="77777777" w:rsidR="00D944A7" w:rsidRPr="00D944A7" w:rsidRDefault="00D944A7" w:rsidP="00D944A7">
      <w:pPr>
        <w:tabs>
          <w:tab w:val="left" w:pos="1701"/>
          <w:tab w:val="left" w:pos="1985"/>
        </w:tabs>
        <w:spacing w:after="120" w:line="240" w:lineRule="auto"/>
        <w:ind w:left="1985" w:right="43" w:hanging="1423"/>
        <w:jc w:val="both"/>
        <w:rPr>
          <w:sz w:val="22"/>
          <w:szCs w:val="22"/>
        </w:rPr>
      </w:pPr>
      <w:r w:rsidRPr="00D944A7">
        <w:rPr>
          <w:sz w:val="22"/>
          <w:szCs w:val="22"/>
        </w:rPr>
        <w:t>11.4.1.2.1</w:t>
      </w:r>
      <w:r w:rsidRPr="00D944A7">
        <w:rPr>
          <w:sz w:val="22"/>
          <w:szCs w:val="22"/>
        </w:rPr>
        <w:tab/>
      </w:r>
      <w:r w:rsidRPr="00D944A7">
        <w:rPr>
          <w:sz w:val="22"/>
          <w:szCs w:val="22"/>
        </w:rPr>
        <w:tab/>
        <w:t>Remove this amendment from the list of amendments and include it in a corrigendum to the 6th revised edition.</w:t>
      </w:r>
    </w:p>
    <w:p w14:paraId="45AD78EB" w14:textId="77777777" w:rsidR="00D944A7" w:rsidRPr="00D944A7" w:rsidRDefault="00D944A7" w:rsidP="00D944A7">
      <w:pPr>
        <w:tabs>
          <w:tab w:val="left" w:pos="1701"/>
          <w:tab w:val="left" w:pos="1985"/>
        </w:tabs>
        <w:spacing w:after="120" w:line="240" w:lineRule="auto"/>
        <w:ind w:left="1985" w:right="43" w:hanging="1423"/>
        <w:jc w:val="both"/>
        <w:rPr>
          <w:sz w:val="22"/>
          <w:szCs w:val="22"/>
        </w:rPr>
      </w:pPr>
      <w:r w:rsidRPr="00D944A7">
        <w:rPr>
          <w:sz w:val="22"/>
          <w:szCs w:val="22"/>
        </w:rPr>
        <w:t>11.5.1.3.1</w:t>
      </w:r>
      <w:r w:rsidRPr="00D944A7">
        <w:rPr>
          <w:sz w:val="22"/>
          <w:szCs w:val="22"/>
        </w:rPr>
        <w:tab/>
      </w:r>
      <w:r w:rsidRPr="00D944A7">
        <w:rPr>
          <w:sz w:val="22"/>
          <w:szCs w:val="22"/>
        </w:rPr>
        <w:tab/>
        <w:t>Amend to read as follows:</w:t>
      </w:r>
    </w:p>
    <w:p w14:paraId="2B04B580"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sz w:val="22"/>
          <w:szCs w:val="22"/>
        </w:rPr>
        <w:tab/>
        <w:t>“In footnote 1, replace “transport conditions” with “operating conditions”</w:t>
      </w:r>
    </w:p>
    <w:p w14:paraId="6EB3B914" w14:textId="77777777" w:rsidR="00D944A7" w:rsidRPr="00D944A7" w:rsidRDefault="00D944A7" w:rsidP="00D944A7">
      <w:pPr>
        <w:tabs>
          <w:tab w:val="left" w:pos="1985"/>
        </w:tabs>
        <w:spacing w:after="120" w:line="240" w:lineRule="auto"/>
        <w:ind w:left="562" w:right="43"/>
        <w:jc w:val="both"/>
        <w:rPr>
          <w:sz w:val="22"/>
          <w:szCs w:val="22"/>
        </w:rPr>
      </w:pPr>
      <w:r w:rsidRPr="00D944A7">
        <w:rPr>
          <w:b/>
          <w:sz w:val="22"/>
          <w:szCs w:val="22"/>
        </w:rPr>
        <w:t>Section 12</w:t>
      </w:r>
      <w:r w:rsidRPr="00D944A7">
        <w:rPr>
          <w:sz w:val="22"/>
          <w:szCs w:val="22"/>
        </w:rPr>
        <w:tab/>
        <w:t>Amendments agreed with the following modifications:</w:t>
      </w:r>
    </w:p>
    <w:p w14:paraId="7FD01C56"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sz w:val="22"/>
          <w:szCs w:val="22"/>
        </w:rPr>
        <w:t>12.5.1.3.1</w:t>
      </w:r>
      <w:r w:rsidRPr="00D944A7">
        <w:rPr>
          <w:sz w:val="22"/>
          <w:szCs w:val="22"/>
        </w:rPr>
        <w:tab/>
        <w:t>Amend to read as follows:</w:t>
      </w:r>
    </w:p>
    <w:p w14:paraId="6DDC1AFB" w14:textId="77777777" w:rsidR="00D944A7" w:rsidRPr="00D944A7" w:rsidRDefault="00D944A7" w:rsidP="00D944A7">
      <w:pPr>
        <w:tabs>
          <w:tab w:val="left" w:pos="1701"/>
          <w:tab w:val="left" w:pos="1985"/>
        </w:tabs>
        <w:spacing w:after="120" w:line="240" w:lineRule="auto"/>
        <w:ind w:left="1985" w:right="43" w:hanging="1423"/>
        <w:jc w:val="both"/>
        <w:rPr>
          <w:sz w:val="22"/>
          <w:szCs w:val="22"/>
        </w:rPr>
      </w:pPr>
      <w:r w:rsidRPr="00D944A7">
        <w:rPr>
          <w:sz w:val="22"/>
          <w:szCs w:val="22"/>
        </w:rPr>
        <w:tab/>
      </w:r>
      <w:r w:rsidRPr="00D944A7">
        <w:rPr>
          <w:sz w:val="22"/>
          <w:szCs w:val="22"/>
        </w:rPr>
        <w:tab/>
        <w:t>“In footnote 1, replace “transport conditions” with “operating conditions”</w:t>
      </w:r>
    </w:p>
    <w:p w14:paraId="3004063F" w14:textId="77777777" w:rsidR="00D944A7" w:rsidRPr="00D944A7" w:rsidRDefault="00D944A7" w:rsidP="00D944A7">
      <w:pPr>
        <w:spacing w:after="120" w:line="240" w:lineRule="auto"/>
        <w:ind w:left="1985" w:right="43" w:hanging="1423"/>
        <w:jc w:val="both"/>
        <w:rPr>
          <w:sz w:val="22"/>
          <w:szCs w:val="22"/>
        </w:rPr>
      </w:pPr>
      <w:r w:rsidRPr="00D944A7">
        <w:rPr>
          <w:b/>
          <w:sz w:val="22"/>
          <w:szCs w:val="22"/>
        </w:rPr>
        <w:t>Section 13</w:t>
      </w:r>
      <w:r w:rsidRPr="00D944A7">
        <w:rPr>
          <w:sz w:val="22"/>
          <w:szCs w:val="22"/>
        </w:rPr>
        <w:tab/>
        <w:t>Amendments agreed with the following modifications:</w:t>
      </w:r>
    </w:p>
    <w:p w14:paraId="25706A7E" w14:textId="77777777" w:rsidR="00D944A7" w:rsidRPr="00D944A7" w:rsidRDefault="00D944A7" w:rsidP="00D944A7">
      <w:pPr>
        <w:spacing w:after="120" w:line="240" w:lineRule="auto"/>
        <w:ind w:left="1985" w:right="43" w:hanging="1423"/>
        <w:jc w:val="both"/>
        <w:rPr>
          <w:sz w:val="22"/>
          <w:szCs w:val="22"/>
        </w:rPr>
      </w:pPr>
      <w:r w:rsidRPr="00D944A7">
        <w:rPr>
          <w:sz w:val="22"/>
          <w:szCs w:val="22"/>
        </w:rPr>
        <w:t>13.1</w:t>
      </w:r>
      <w:r w:rsidRPr="00D944A7">
        <w:rPr>
          <w:sz w:val="22"/>
          <w:szCs w:val="22"/>
        </w:rPr>
        <w:tab/>
        <w:t>Replace with the following:</w:t>
      </w:r>
    </w:p>
    <w:p w14:paraId="64B221D0"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sz w:val="22"/>
          <w:szCs w:val="22"/>
        </w:rPr>
        <w:tab/>
        <w:t>“Amend to read as follows:</w:t>
      </w:r>
    </w:p>
    <w:p w14:paraId="20C811B0"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sz w:val="22"/>
          <w:szCs w:val="22"/>
        </w:rPr>
        <w:tab/>
        <w:t>“This test series is used to answer the questions in boxes 10 and 11 of Figure 10.2 by determining the sensitiveness of the substance to mechanical stimuli (impact and friction), to heat and to flame. The question in box 10 is answered "no" if a "+" is obtained in test type 3(c) and the substance shall be categorised as an unstable explosive; consequentially the substance is not permitted for transport. The question in box 11 is answered "yes" if a "+" is obtained in any of the test types 3(a), 3(b) or 3(d). If a "+" is obtained, the substance shall be categorised as an unstable explosive in the form in which it was tested but may be encapsulated or otherwise desensitized or packaged to reduce its sensitiveness to external stimuli.</w:t>
      </w:r>
    </w:p>
    <w:p w14:paraId="365B60B5" w14:textId="77777777" w:rsidR="00D944A7" w:rsidRPr="00D944A7" w:rsidRDefault="00D944A7" w:rsidP="00D944A7">
      <w:pPr>
        <w:tabs>
          <w:tab w:val="left" w:pos="1985"/>
        </w:tabs>
        <w:spacing w:after="120" w:line="240" w:lineRule="auto"/>
        <w:ind w:left="1985" w:right="43" w:hanging="1423"/>
        <w:jc w:val="both"/>
        <w:rPr>
          <w:i/>
          <w:sz w:val="22"/>
          <w:szCs w:val="22"/>
        </w:rPr>
      </w:pPr>
      <w:r w:rsidRPr="00D944A7">
        <w:rPr>
          <w:b/>
          <w:i/>
          <w:sz w:val="22"/>
          <w:szCs w:val="22"/>
        </w:rPr>
        <w:tab/>
        <w:t>NOTE</w:t>
      </w:r>
      <w:r w:rsidRPr="00D944A7">
        <w:rPr>
          <w:i/>
          <w:sz w:val="22"/>
          <w:szCs w:val="22"/>
        </w:rPr>
        <w:t xml:space="preserve">: </w:t>
      </w:r>
      <w:r w:rsidRPr="00D944A7">
        <w:rPr>
          <w:i/>
          <w:sz w:val="22"/>
          <w:szCs w:val="22"/>
        </w:rPr>
        <w:tab/>
        <w:t>Although explosives categorised as unstable explosives are forbidden for transport they are not prohibited in other sectors where special precautions may be applied.”</w:t>
      </w:r>
    </w:p>
    <w:p w14:paraId="6A99DC70"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sz w:val="22"/>
          <w:szCs w:val="22"/>
        </w:rPr>
        <w:lastRenderedPageBreak/>
        <w:t>13.3.2</w:t>
      </w:r>
      <w:r w:rsidRPr="00D944A7">
        <w:rPr>
          <w:sz w:val="22"/>
          <w:szCs w:val="22"/>
        </w:rPr>
        <w:tab/>
        <w:t>Amend to read as follows:</w:t>
      </w:r>
    </w:p>
    <w:p w14:paraId="2BAAA8FA"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sz w:val="22"/>
          <w:szCs w:val="22"/>
        </w:rPr>
        <w:tab/>
        <w:t>“Replace “wetting agent provided for transport” with “wetting agent specified”.”</w:t>
      </w:r>
    </w:p>
    <w:p w14:paraId="4D215510"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sz w:val="22"/>
          <w:szCs w:val="22"/>
        </w:rPr>
        <w:t>13.4</w:t>
      </w:r>
      <w:r w:rsidRPr="00D944A7">
        <w:rPr>
          <w:sz w:val="22"/>
          <w:szCs w:val="22"/>
        </w:rPr>
        <w:tab/>
        <w:t>Replace with the following:</w:t>
      </w:r>
    </w:p>
    <w:p w14:paraId="12C92347"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sz w:val="22"/>
          <w:szCs w:val="22"/>
        </w:rPr>
        <w:tab/>
        <w:t>“Throughout the whole sub-section replace “too dangerous to transport” and “too dangerous for transport” with “an unstable explosive”.</w:t>
      </w:r>
    </w:p>
    <w:p w14:paraId="495B13D0" w14:textId="77777777" w:rsidR="00D944A7" w:rsidRPr="00D944A7" w:rsidRDefault="00D944A7" w:rsidP="00D944A7">
      <w:pPr>
        <w:tabs>
          <w:tab w:val="left" w:pos="1985"/>
        </w:tabs>
        <w:spacing w:after="120" w:line="240" w:lineRule="auto"/>
        <w:ind w:left="1985" w:right="43" w:hanging="1423"/>
        <w:jc w:val="both"/>
        <w:rPr>
          <w:i/>
          <w:sz w:val="22"/>
          <w:szCs w:val="22"/>
        </w:rPr>
      </w:pPr>
      <w:r w:rsidRPr="00D944A7">
        <w:rPr>
          <w:i/>
          <w:sz w:val="22"/>
          <w:szCs w:val="22"/>
        </w:rPr>
        <w:tab/>
        <w:t>(Applies to the following paragraphs: 13.4.1.1; 13.4.1.4.1; 13.4.1.4.2; 13.4.2.1; 13.4.2.4; 13.4.3.1; 13.4.3.4.1 (twice); 13.4.3.4.2 (twice); 13.4.4.1; 13.4.4.4; 13.4.5.1; 13.4.5.4.2; 13.4.5.4.3; 13.4.6.1; 13.4.6.4.1; 13.4.6.4.2; 13.4.7.1; 13.4.7.5.1 and 13.4.7.5.2)</w:t>
      </w:r>
    </w:p>
    <w:p w14:paraId="4613F52B" w14:textId="77777777" w:rsidR="00D944A7" w:rsidRPr="00D944A7" w:rsidRDefault="00D944A7" w:rsidP="00D944A7">
      <w:pPr>
        <w:tabs>
          <w:tab w:val="left" w:pos="1985"/>
        </w:tabs>
        <w:spacing w:after="120" w:line="240" w:lineRule="auto"/>
        <w:ind w:left="562" w:right="43"/>
        <w:jc w:val="both"/>
        <w:rPr>
          <w:sz w:val="22"/>
          <w:szCs w:val="22"/>
        </w:rPr>
      </w:pPr>
      <w:r w:rsidRPr="00D944A7">
        <w:rPr>
          <w:sz w:val="22"/>
          <w:szCs w:val="22"/>
        </w:rPr>
        <w:t>13.4.2.3.1 (c)</w:t>
      </w:r>
      <w:r w:rsidRPr="00D944A7">
        <w:rPr>
          <w:sz w:val="22"/>
          <w:szCs w:val="22"/>
        </w:rPr>
        <w:tab/>
        <w:t>Replace with the following:</w:t>
      </w:r>
    </w:p>
    <w:p w14:paraId="06B14DF6" w14:textId="77777777" w:rsidR="00D944A7" w:rsidRPr="00D944A7" w:rsidRDefault="00D944A7" w:rsidP="00D944A7">
      <w:pPr>
        <w:tabs>
          <w:tab w:val="left" w:pos="1985"/>
        </w:tabs>
        <w:spacing w:after="120" w:line="240" w:lineRule="auto"/>
        <w:ind w:left="562" w:right="43"/>
        <w:jc w:val="both"/>
        <w:rPr>
          <w:sz w:val="22"/>
          <w:szCs w:val="22"/>
        </w:rPr>
      </w:pPr>
      <w:r w:rsidRPr="00D944A7">
        <w:rPr>
          <w:sz w:val="22"/>
          <w:szCs w:val="22"/>
        </w:rPr>
        <w:tab/>
        <w:t>“Replace “are transported” with “are manufactured”.”</w:t>
      </w:r>
    </w:p>
    <w:p w14:paraId="5B0899F4" w14:textId="77777777" w:rsidR="00D944A7" w:rsidRPr="00D944A7" w:rsidRDefault="00D944A7" w:rsidP="00D944A7">
      <w:pPr>
        <w:tabs>
          <w:tab w:val="left" w:pos="1985"/>
        </w:tabs>
        <w:spacing w:after="120" w:line="240" w:lineRule="auto"/>
        <w:ind w:left="562" w:right="43"/>
        <w:jc w:val="both"/>
        <w:rPr>
          <w:sz w:val="22"/>
          <w:szCs w:val="22"/>
        </w:rPr>
      </w:pPr>
      <w:r w:rsidRPr="00D944A7">
        <w:rPr>
          <w:sz w:val="22"/>
          <w:szCs w:val="22"/>
        </w:rPr>
        <w:t>13.4.6.3.1.1</w:t>
      </w:r>
      <w:r w:rsidRPr="00D944A7">
        <w:rPr>
          <w:sz w:val="22"/>
          <w:szCs w:val="22"/>
        </w:rPr>
        <w:tab/>
        <w:t>Replace with the following:</w:t>
      </w:r>
    </w:p>
    <w:p w14:paraId="7406F955" w14:textId="77777777" w:rsidR="00D944A7" w:rsidRPr="00D944A7" w:rsidRDefault="00D944A7" w:rsidP="00D944A7">
      <w:pPr>
        <w:spacing w:after="120" w:line="240" w:lineRule="auto"/>
        <w:ind w:left="1985" w:right="43" w:hanging="1418"/>
        <w:jc w:val="both"/>
        <w:rPr>
          <w:sz w:val="22"/>
          <w:szCs w:val="22"/>
        </w:rPr>
      </w:pPr>
      <w:r w:rsidRPr="00D944A7">
        <w:rPr>
          <w:sz w:val="22"/>
          <w:szCs w:val="22"/>
        </w:rPr>
        <w:tab/>
        <w:t>“At the end of the second sentence replace “wetting agent required for transport” with “wetting agent specified”.</w:t>
      </w:r>
    </w:p>
    <w:p w14:paraId="4A982DF6"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sz w:val="22"/>
          <w:szCs w:val="22"/>
        </w:rPr>
        <w:t>13.4.7.3.1</w:t>
      </w:r>
      <w:r w:rsidRPr="00D944A7">
        <w:rPr>
          <w:sz w:val="22"/>
          <w:szCs w:val="22"/>
        </w:rPr>
        <w:tab/>
        <w:t>Replace with the following:</w:t>
      </w:r>
    </w:p>
    <w:p w14:paraId="4B28086A"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sz w:val="22"/>
          <w:szCs w:val="22"/>
        </w:rPr>
        <w:tab/>
        <w:t>“At the end of the second sentence replace “wetting agent required for transport” with “wetting agent specified”.</w:t>
      </w:r>
    </w:p>
    <w:p w14:paraId="59D7A060" w14:textId="77777777" w:rsidR="00D944A7" w:rsidRPr="00D944A7" w:rsidRDefault="00D944A7" w:rsidP="00D944A7">
      <w:pPr>
        <w:tabs>
          <w:tab w:val="left" w:pos="1985"/>
        </w:tabs>
        <w:spacing w:after="120" w:line="240" w:lineRule="auto"/>
        <w:ind w:left="562" w:right="43"/>
        <w:jc w:val="both"/>
        <w:rPr>
          <w:sz w:val="22"/>
          <w:szCs w:val="22"/>
        </w:rPr>
      </w:pPr>
      <w:r w:rsidRPr="00D944A7">
        <w:rPr>
          <w:sz w:val="22"/>
          <w:szCs w:val="22"/>
        </w:rPr>
        <w:t>13.5</w:t>
      </w:r>
      <w:r w:rsidRPr="00D944A7">
        <w:rPr>
          <w:sz w:val="22"/>
          <w:szCs w:val="22"/>
        </w:rPr>
        <w:tab/>
        <w:t>Replace with the following:</w:t>
      </w:r>
    </w:p>
    <w:p w14:paraId="403062DC"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sz w:val="22"/>
          <w:szCs w:val="22"/>
        </w:rPr>
        <w:tab/>
        <w:t>“Throughout the whole sub-section replace “too dangerous to transport” and “too dangerous for transport” with “an unstable explosive”.</w:t>
      </w:r>
    </w:p>
    <w:p w14:paraId="1B4D5F8D" w14:textId="77777777" w:rsidR="00D944A7" w:rsidRPr="00D944A7" w:rsidRDefault="00D944A7" w:rsidP="00D944A7">
      <w:pPr>
        <w:tabs>
          <w:tab w:val="left" w:pos="1985"/>
        </w:tabs>
        <w:spacing w:after="120" w:line="240" w:lineRule="auto"/>
        <w:ind w:left="1985" w:right="43" w:hanging="1423"/>
        <w:jc w:val="both"/>
        <w:rPr>
          <w:i/>
          <w:sz w:val="22"/>
          <w:szCs w:val="22"/>
        </w:rPr>
      </w:pPr>
      <w:r w:rsidRPr="00D944A7">
        <w:rPr>
          <w:sz w:val="22"/>
          <w:szCs w:val="22"/>
        </w:rPr>
        <w:tab/>
      </w:r>
      <w:r w:rsidRPr="00D944A7">
        <w:rPr>
          <w:i/>
          <w:sz w:val="22"/>
          <w:szCs w:val="22"/>
        </w:rPr>
        <w:t>(Applies to the following paragraphs: 13.5.1.1; 13.5.1.3.4; 13.5.2.1; 13.5.2.4 (twice); 13.5.3.1; 13.5.3.4; 13.5.4.1 and 13.5.4.5)</w:t>
      </w:r>
    </w:p>
    <w:p w14:paraId="02575E99" w14:textId="77777777" w:rsidR="00D944A7" w:rsidRPr="00D944A7" w:rsidRDefault="00D944A7" w:rsidP="00D944A7">
      <w:pPr>
        <w:tabs>
          <w:tab w:val="left" w:pos="1985"/>
        </w:tabs>
        <w:spacing w:after="120" w:line="240" w:lineRule="auto"/>
        <w:ind w:left="562" w:right="43"/>
        <w:jc w:val="both"/>
        <w:rPr>
          <w:sz w:val="22"/>
          <w:szCs w:val="22"/>
        </w:rPr>
      </w:pPr>
      <w:r w:rsidRPr="00D944A7">
        <w:rPr>
          <w:sz w:val="22"/>
          <w:szCs w:val="22"/>
        </w:rPr>
        <w:t>13.5.1.3.1</w:t>
      </w:r>
      <w:r w:rsidRPr="00D944A7">
        <w:rPr>
          <w:sz w:val="22"/>
          <w:szCs w:val="22"/>
        </w:rPr>
        <w:tab/>
        <w:t>Replace with the following:</w:t>
      </w:r>
    </w:p>
    <w:p w14:paraId="6CD4B3CC"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sz w:val="22"/>
          <w:szCs w:val="22"/>
        </w:rPr>
        <w:tab/>
        <w:t>“At the end of the second sentence replace “wetting agent provided for transport” with “wetting agent specified” and in sub-paragraph (c) replace “are transported” with “are manufactured”.</w:t>
      </w:r>
    </w:p>
    <w:p w14:paraId="37029D5C" w14:textId="77777777" w:rsidR="00D944A7" w:rsidRPr="00D944A7" w:rsidRDefault="00D944A7" w:rsidP="00D944A7">
      <w:pPr>
        <w:tabs>
          <w:tab w:val="left" w:pos="1985"/>
        </w:tabs>
        <w:spacing w:after="120" w:line="240" w:lineRule="auto"/>
        <w:ind w:left="562" w:right="43"/>
        <w:jc w:val="both"/>
        <w:rPr>
          <w:sz w:val="22"/>
          <w:szCs w:val="22"/>
        </w:rPr>
      </w:pPr>
      <w:r w:rsidRPr="00D944A7">
        <w:rPr>
          <w:sz w:val="22"/>
          <w:szCs w:val="22"/>
        </w:rPr>
        <w:t>13.5.3.3.1</w:t>
      </w:r>
      <w:r w:rsidRPr="00D944A7">
        <w:rPr>
          <w:sz w:val="22"/>
          <w:szCs w:val="22"/>
        </w:rPr>
        <w:tab/>
        <w:t>Replace with the following:</w:t>
      </w:r>
    </w:p>
    <w:p w14:paraId="7A5BB3C0" w14:textId="77777777" w:rsidR="00D944A7" w:rsidRPr="00D944A7" w:rsidRDefault="00D944A7" w:rsidP="00D944A7">
      <w:pPr>
        <w:tabs>
          <w:tab w:val="left" w:pos="1985"/>
        </w:tabs>
        <w:spacing w:after="120" w:line="240" w:lineRule="auto"/>
        <w:ind w:left="562" w:right="43"/>
        <w:jc w:val="both"/>
        <w:rPr>
          <w:sz w:val="22"/>
          <w:szCs w:val="22"/>
        </w:rPr>
      </w:pPr>
      <w:r w:rsidRPr="00D944A7">
        <w:rPr>
          <w:sz w:val="22"/>
          <w:szCs w:val="22"/>
        </w:rPr>
        <w:tab/>
        <w:t>“Replace “wetting agent provided for transport” with “wetting agent specified”.”</w:t>
      </w:r>
    </w:p>
    <w:p w14:paraId="2B0BCB15"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sz w:val="22"/>
          <w:szCs w:val="22"/>
        </w:rPr>
        <w:t>13.5.4.3.1</w:t>
      </w:r>
      <w:r w:rsidRPr="00D944A7">
        <w:rPr>
          <w:sz w:val="22"/>
          <w:szCs w:val="22"/>
        </w:rPr>
        <w:tab/>
        <w:t>Replace with the following:</w:t>
      </w:r>
    </w:p>
    <w:p w14:paraId="7E7AA18B"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sz w:val="22"/>
          <w:szCs w:val="22"/>
        </w:rPr>
        <w:tab/>
        <w:t>“Replace “wetting agent provided for transport” with “wetting agent specified”.”</w:t>
      </w:r>
    </w:p>
    <w:p w14:paraId="41944530"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sz w:val="22"/>
          <w:szCs w:val="22"/>
        </w:rPr>
        <w:t>13.6.1.3.1</w:t>
      </w:r>
      <w:r w:rsidRPr="00D944A7">
        <w:rPr>
          <w:sz w:val="22"/>
          <w:szCs w:val="22"/>
        </w:rPr>
        <w:tab/>
        <w:t>Replace with the following:</w:t>
      </w:r>
    </w:p>
    <w:p w14:paraId="702F074B" w14:textId="545484FA" w:rsidR="00D944A7" w:rsidRPr="00D944A7" w:rsidRDefault="00D944A7" w:rsidP="00D944A7">
      <w:pPr>
        <w:tabs>
          <w:tab w:val="left" w:pos="1985"/>
        </w:tabs>
        <w:spacing w:after="120" w:line="240" w:lineRule="auto"/>
        <w:ind w:left="1985" w:right="43" w:hanging="1423"/>
        <w:jc w:val="both"/>
        <w:rPr>
          <w:sz w:val="22"/>
          <w:szCs w:val="22"/>
        </w:rPr>
      </w:pPr>
      <w:r w:rsidRPr="00D944A7">
        <w:rPr>
          <w:sz w:val="22"/>
          <w:szCs w:val="22"/>
        </w:rPr>
        <w:tab/>
        <w:t>“Amend the last sentence to read as follows: “If explosion or ignit</w:t>
      </w:r>
      <w:r w:rsidR="00E608C7">
        <w:rPr>
          <w:sz w:val="22"/>
          <w:szCs w:val="22"/>
        </w:rPr>
        <w:t>ion occurs then the substance is</w:t>
      </w:r>
      <w:r w:rsidRPr="00D944A7">
        <w:rPr>
          <w:sz w:val="22"/>
          <w:szCs w:val="22"/>
        </w:rPr>
        <w:t xml:space="preserve"> too thermally unstable for transport and shall be categorized as an unstable explosive”.”</w:t>
      </w:r>
    </w:p>
    <w:p w14:paraId="5737C5AD"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sz w:val="22"/>
          <w:szCs w:val="22"/>
        </w:rPr>
        <w:t>13.6.1.3.2</w:t>
      </w:r>
      <w:r w:rsidRPr="00D944A7">
        <w:rPr>
          <w:sz w:val="22"/>
          <w:szCs w:val="22"/>
        </w:rPr>
        <w:tab/>
        <w:t>Remove this amendment from the list of amendments and include it in a corrigendum to the 6th revised edition.</w:t>
      </w:r>
    </w:p>
    <w:p w14:paraId="11A75A3D"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sz w:val="22"/>
          <w:szCs w:val="22"/>
        </w:rPr>
        <w:t>13.6.1.4.2</w:t>
      </w:r>
      <w:r w:rsidRPr="00D944A7">
        <w:rPr>
          <w:sz w:val="22"/>
          <w:szCs w:val="22"/>
        </w:rPr>
        <w:tab/>
        <w:t>In the proposed amendment, replace “shall be classified” with “shall be categorised”.</w:t>
      </w:r>
    </w:p>
    <w:p w14:paraId="5C3D8836"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sz w:val="22"/>
          <w:szCs w:val="22"/>
        </w:rPr>
        <w:t>13.6.2.4.2</w:t>
      </w:r>
      <w:r w:rsidRPr="00D944A7">
        <w:rPr>
          <w:sz w:val="22"/>
          <w:szCs w:val="22"/>
        </w:rPr>
        <w:tab/>
        <w:t>In the proposed amendment, replace “shall be classified” with “shall be categorised”.</w:t>
      </w:r>
    </w:p>
    <w:p w14:paraId="3F9F6658"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sz w:val="22"/>
          <w:szCs w:val="22"/>
        </w:rPr>
        <w:lastRenderedPageBreak/>
        <w:t>13.7.1.3</w:t>
      </w:r>
      <w:r w:rsidRPr="00D944A7">
        <w:rPr>
          <w:sz w:val="22"/>
          <w:szCs w:val="22"/>
        </w:rPr>
        <w:tab/>
        <w:t>Replace with the following:</w:t>
      </w:r>
    </w:p>
    <w:p w14:paraId="612618EE"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sz w:val="22"/>
          <w:szCs w:val="22"/>
        </w:rPr>
        <w:tab/>
        <w:t>“In the last paragraph, replace “too dangerous for transport” with “an unstable explosive”.</w:t>
      </w:r>
    </w:p>
    <w:p w14:paraId="0D974FEF"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b/>
          <w:sz w:val="22"/>
          <w:szCs w:val="22"/>
        </w:rPr>
        <w:t>Section 14</w:t>
      </w:r>
      <w:r w:rsidRPr="00D944A7">
        <w:rPr>
          <w:sz w:val="22"/>
          <w:szCs w:val="22"/>
        </w:rPr>
        <w:tab/>
        <w:t>Delete all the proposed amendments to this section.</w:t>
      </w:r>
      <w:r w:rsidRPr="00D944A7">
        <w:rPr>
          <w:sz w:val="22"/>
          <w:szCs w:val="22"/>
        </w:rPr>
        <w:tab/>
      </w:r>
    </w:p>
    <w:p w14:paraId="00E245C4"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b/>
          <w:sz w:val="22"/>
          <w:szCs w:val="22"/>
        </w:rPr>
        <w:t>Section 15</w:t>
      </w:r>
      <w:r w:rsidRPr="00D944A7">
        <w:rPr>
          <w:sz w:val="22"/>
          <w:szCs w:val="22"/>
        </w:rPr>
        <w:tab/>
        <w:t>Amendments agreed with the following modifications:</w:t>
      </w:r>
    </w:p>
    <w:p w14:paraId="039B1DB0"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sz w:val="22"/>
          <w:szCs w:val="22"/>
        </w:rPr>
        <w:t>15.4.1.3</w:t>
      </w:r>
      <w:r w:rsidRPr="00D944A7">
        <w:rPr>
          <w:sz w:val="22"/>
          <w:szCs w:val="22"/>
        </w:rPr>
        <w:tab/>
        <w:t>In the amendment to the fourth last but one sentence, replace “which can be subjected” with “which could be subjected”.</w:t>
      </w:r>
    </w:p>
    <w:p w14:paraId="70CEA63A"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sz w:val="22"/>
          <w:szCs w:val="22"/>
        </w:rPr>
        <w:t>15.6.1.1</w:t>
      </w:r>
      <w:r w:rsidRPr="00D944A7">
        <w:rPr>
          <w:sz w:val="22"/>
          <w:szCs w:val="22"/>
        </w:rPr>
        <w:tab/>
        <w:t>Replace with the following:</w:t>
      </w:r>
    </w:p>
    <w:p w14:paraId="42CBFABD"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sz w:val="22"/>
          <w:szCs w:val="22"/>
        </w:rPr>
        <w:tab/>
        <w:t>“Replace “packaged as for transport” with “as packaged for transport”.”</w:t>
      </w:r>
    </w:p>
    <w:p w14:paraId="265F09E4"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sz w:val="22"/>
          <w:szCs w:val="22"/>
        </w:rPr>
        <w:t>15.6.1.3.1</w:t>
      </w:r>
      <w:r w:rsidRPr="00D944A7">
        <w:rPr>
          <w:sz w:val="22"/>
          <w:szCs w:val="22"/>
        </w:rPr>
        <w:tab/>
        <w:t>Delete the proposed amendment.</w:t>
      </w:r>
    </w:p>
    <w:p w14:paraId="270B3284"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b/>
          <w:sz w:val="22"/>
          <w:szCs w:val="22"/>
        </w:rPr>
        <w:t>Section 16</w:t>
      </w:r>
      <w:r w:rsidRPr="00D944A7">
        <w:rPr>
          <w:sz w:val="22"/>
          <w:szCs w:val="22"/>
        </w:rPr>
        <w:tab/>
        <w:t>Amendments agreed with the following modifications:</w:t>
      </w:r>
    </w:p>
    <w:p w14:paraId="739DBEC0"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sz w:val="22"/>
          <w:szCs w:val="22"/>
        </w:rPr>
        <w:t>16.3.1</w:t>
      </w:r>
      <w:r w:rsidRPr="00D944A7">
        <w:rPr>
          <w:sz w:val="22"/>
          <w:szCs w:val="22"/>
        </w:rPr>
        <w:tab/>
        <w:t>Delete the amendment to the first sentence.</w:t>
      </w:r>
    </w:p>
    <w:p w14:paraId="05ABD2ED"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sz w:val="22"/>
          <w:szCs w:val="22"/>
        </w:rPr>
        <w:tab/>
        <w:t>Replace the amendment to the second sentence with the following: “In the second sentence replace “most disadvantageous” with “most severe”.</w:t>
      </w:r>
    </w:p>
    <w:p w14:paraId="2BC77549" w14:textId="77777777" w:rsidR="00D944A7" w:rsidRPr="00D944A7" w:rsidRDefault="00D944A7" w:rsidP="00D944A7">
      <w:pPr>
        <w:tabs>
          <w:tab w:val="left" w:pos="1985"/>
        </w:tabs>
        <w:spacing w:after="120" w:line="240" w:lineRule="auto"/>
        <w:ind w:left="1985" w:right="43" w:hanging="1423"/>
        <w:jc w:val="both"/>
        <w:rPr>
          <w:i/>
          <w:sz w:val="22"/>
          <w:szCs w:val="22"/>
        </w:rPr>
      </w:pPr>
      <w:r w:rsidRPr="00D944A7">
        <w:rPr>
          <w:sz w:val="22"/>
          <w:szCs w:val="22"/>
        </w:rPr>
        <w:tab/>
      </w:r>
      <w:r w:rsidRPr="00D944A7">
        <w:rPr>
          <w:i/>
          <w:sz w:val="22"/>
          <w:szCs w:val="22"/>
        </w:rPr>
        <w:t>(The amendment to the third sentence remains unchanged)</w:t>
      </w:r>
    </w:p>
    <w:p w14:paraId="1DEB4B49"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sz w:val="22"/>
          <w:szCs w:val="22"/>
        </w:rPr>
        <w:t>16.4.1.3.1</w:t>
      </w:r>
      <w:r w:rsidRPr="00D944A7">
        <w:rPr>
          <w:sz w:val="22"/>
          <w:szCs w:val="22"/>
        </w:rPr>
        <w:tab/>
        <w:t>Delete the amendment to the first sentence.</w:t>
      </w:r>
    </w:p>
    <w:p w14:paraId="66B3FA39"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sz w:val="22"/>
          <w:szCs w:val="22"/>
        </w:rPr>
        <w:t>16.5.1.3</w:t>
      </w:r>
      <w:r w:rsidRPr="00D944A7">
        <w:rPr>
          <w:sz w:val="22"/>
          <w:szCs w:val="22"/>
        </w:rPr>
        <w:tab/>
        <w:t>Delete the amendment to the first sentence.</w:t>
      </w:r>
    </w:p>
    <w:p w14:paraId="21933A38"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sz w:val="22"/>
          <w:szCs w:val="22"/>
        </w:rPr>
        <w:t>16.6.1.3.1</w:t>
      </w:r>
      <w:r w:rsidRPr="00D944A7">
        <w:rPr>
          <w:sz w:val="22"/>
          <w:szCs w:val="22"/>
        </w:rPr>
        <w:tab/>
        <w:t>Delete the proposed amendment.</w:t>
      </w:r>
    </w:p>
    <w:p w14:paraId="282D4432"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sz w:val="22"/>
          <w:szCs w:val="22"/>
        </w:rPr>
        <w:t>16.7.1.3.1</w:t>
      </w:r>
      <w:r w:rsidRPr="00D944A7">
        <w:rPr>
          <w:sz w:val="22"/>
          <w:szCs w:val="22"/>
        </w:rPr>
        <w:tab/>
        <w:t>Replace the amendment with the following: “In the second sentence replace “are to be carried” with “are classified”.”</w:t>
      </w:r>
    </w:p>
    <w:p w14:paraId="6B9E0170"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b/>
          <w:sz w:val="22"/>
          <w:szCs w:val="22"/>
        </w:rPr>
        <w:t>Section 17</w:t>
      </w:r>
      <w:r w:rsidRPr="00D944A7">
        <w:rPr>
          <w:sz w:val="22"/>
          <w:szCs w:val="22"/>
        </w:rPr>
        <w:tab/>
        <w:t>Delete all amendments except the one addressing paragraph 17.11.1.2.1.</w:t>
      </w:r>
    </w:p>
    <w:p w14:paraId="27AA0646"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b/>
          <w:sz w:val="22"/>
          <w:szCs w:val="22"/>
        </w:rPr>
        <w:t>Section 18</w:t>
      </w:r>
      <w:r w:rsidRPr="00D944A7">
        <w:rPr>
          <w:sz w:val="22"/>
          <w:szCs w:val="22"/>
        </w:rPr>
        <w:tab/>
        <w:t xml:space="preserve">Amendments agreed without modifications. </w:t>
      </w:r>
    </w:p>
    <w:p w14:paraId="40BF6427"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b/>
          <w:sz w:val="22"/>
          <w:szCs w:val="22"/>
        </w:rPr>
        <w:t>Appendix 5</w:t>
      </w:r>
      <w:r w:rsidRPr="00D944A7">
        <w:rPr>
          <w:sz w:val="22"/>
          <w:szCs w:val="22"/>
        </w:rPr>
        <w:tab/>
        <w:t>Amendments agreed with the following modification:</w:t>
      </w:r>
    </w:p>
    <w:p w14:paraId="0971F2E7"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sz w:val="22"/>
          <w:szCs w:val="22"/>
        </w:rPr>
        <w:t>Section 2</w:t>
      </w:r>
      <w:r w:rsidRPr="00D944A7">
        <w:rPr>
          <w:sz w:val="22"/>
          <w:szCs w:val="22"/>
        </w:rPr>
        <w:tab/>
        <w:t>At the end of the 7th sentence (“Usually, the bursting pressure...”) do not delete the word “transport” but replace it by “operating” .</w:t>
      </w:r>
    </w:p>
    <w:p w14:paraId="73804D60" w14:textId="77777777" w:rsidR="00D944A7" w:rsidRPr="00D944A7" w:rsidRDefault="00D944A7" w:rsidP="00D944A7">
      <w:pPr>
        <w:tabs>
          <w:tab w:val="left" w:pos="1985"/>
        </w:tabs>
        <w:spacing w:after="120" w:line="240" w:lineRule="auto"/>
        <w:ind w:left="1985" w:right="43" w:hanging="1423"/>
        <w:jc w:val="both"/>
        <w:rPr>
          <w:sz w:val="22"/>
          <w:szCs w:val="22"/>
        </w:rPr>
      </w:pPr>
      <w:r w:rsidRPr="00D944A7">
        <w:rPr>
          <w:b/>
          <w:sz w:val="22"/>
          <w:szCs w:val="22"/>
        </w:rPr>
        <w:t>Appendix 6</w:t>
      </w:r>
      <w:r w:rsidRPr="00D944A7">
        <w:rPr>
          <w:sz w:val="22"/>
          <w:szCs w:val="22"/>
        </w:rPr>
        <w:t xml:space="preserve"> </w:t>
      </w:r>
      <w:r w:rsidRPr="00D944A7">
        <w:rPr>
          <w:sz w:val="22"/>
          <w:szCs w:val="22"/>
        </w:rPr>
        <w:tab/>
        <w:t>Amendments agreed with the following modification:</w:t>
      </w:r>
    </w:p>
    <w:p w14:paraId="2DB3A768" w14:textId="2F9A11FF" w:rsidR="00D944A7" w:rsidRDefault="00D944A7" w:rsidP="00D944A7">
      <w:pPr>
        <w:tabs>
          <w:tab w:val="left" w:pos="1985"/>
        </w:tabs>
        <w:spacing w:after="120" w:line="240" w:lineRule="auto"/>
        <w:ind w:left="1985" w:right="43" w:hanging="1423"/>
        <w:jc w:val="both"/>
        <w:rPr>
          <w:sz w:val="22"/>
          <w:szCs w:val="22"/>
        </w:rPr>
      </w:pPr>
      <w:r w:rsidRPr="00D944A7">
        <w:rPr>
          <w:sz w:val="22"/>
          <w:szCs w:val="22"/>
        </w:rPr>
        <w:t>2.2</w:t>
      </w:r>
      <w:r w:rsidRPr="00D944A7">
        <w:rPr>
          <w:sz w:val="22"/>
          <w:szCs w:val="22"/>
        </w:rPr>
        <w:tab/>
        <w:t xml:space="preserve">In the amendment relating to the new sentence to be added at the end, replace “during normal operation of transport, storage or use’ with “during </w:t>
      </w:r>
      <w:r w:rsidR="00BA02B9">
        <w:rPr>
          <w:sz w:val="22"/>
          <w:szCs w:val="22"/>
        </w:rPr>
        <w:t xml:space="preserve">normal </w:t>
      </w:r>
      <w:r w:rsidRPr="00D944A7">
        <w:rPr>
          <w:sz w:val="22"/>
          <w:szCs w:val="22"/>
        </w:rPr>
        <w:t xml:space="preserve">operating conditions’’ </w:t>
      </w:r>
    </w:p>
    <w:p w14:paraId="5A35D70E" w14:textId="77777777" w:rsidR="00D944A7" w:rsidRPr="00FA08FB" w:rsidRDefault="00D944A7" w:rsidP="00D944A7">
      <w:pPr>
        <w:tabs>
          <w:tab w:val="left" w:pos="1985"/>
        </w:tabs>
        <w:spacing w:after="120" w:line="240" w:lineRule="auto"/>
        <w:ind w:left="1985" w:right="43" w:hanging="1423"/>
        <w:jc w:val="both"/>
        <w:rPr>
          <w:sz w:val="22"/>
          <w:szCs w:val="22"/>
        </w:rPr>
      </w:pPr>
    </w:p>
    <w:p w14:paraId="64A85EFE" w14:textId="1C029857" w:rsidR="00FC40AB" w:rsidRPr="00195E9D" w:rsidRDefault="00FC40AB" w:rsidP="00FC40AB">
      <w:pPr>
        <w:pStyle w:val="SingleTxtG"/>
        <w:spacing w:line="240" w:lineRule="auto"/>
        <w:ind w:left="0" w:right="39"/>
        <w:rPr>
          <w:i/>
        </w:rPr>
      </w:pPr>
      <w:r w:rsidRPr="00195E9D">
        <w:rPr>
          <w:i/>
        </w:rPr>
        <w:t xml:space="preserve">Source:  </w:t>
      </w:r>
      <w:r w:rsidR="00EC0EA2">
        <w:rPr>
          <w:i/>
        </w:rPr>
        <w:t xml:space="preserve">ST/SG/AC.10/C.3/2016/83 </w:t>
      </w:r>
      <w:r>
        <w:rPr>
          <w:i/>
        </w:rPr>
        <w:t xml:space="preserve">(as amended by the working group) </w:t>
      </w:r>
      <w:r w:rsidRPr="00195E9D">
        <w:rPr>
          <w:i/>
        </w:rPr>
        <w:t xml:space="preserve">and Para. </w:t>
      </w:r>
      <w:proofErr w:type="gramStart"/>
      <w:r w:rsidR="00EC0EA2">
        <w:rPr>
          <w:i/>
        </w:rPr>
        <w:t>11</w:t>
      </w:r>
      <w:r w:rsidRPr="00195E9D">
        <w:rPr>
          <w:i/>
        </w:rPr>
        <w:t xml:space="preserve"> of this report.</w:t>
      </w:r>
      <w:proofErr w:type="gramEnd"/>
    </w:p>
    <w:p w14:paraId="26F8370B" w14:textId="0C316FF4" w:rsidR="0074713C" w:rsidRPr="00195E9D" w:rsidRDefault="0074713C" w:rsidP="0074713C">
      <w:pPr>
        <w:pStyle w:val="SingleTxtG"/>
        <w:spacing w:line="240" w:lineRule="auto"/>
        <w:ind w:left="0" w:right="39"/>
        <w:rPr>
          <w:i/>
        </w:rPr>
      </w:pPr>
    </w:p>
    <w:p w14:paraId="573BAF78" w14:textId="77777777" w:rsidR="00800BE4" w:rsidRDefault="00800BE4">
      <w:pPr>
        <w:suppressAutoHyphens w:val="0"/>
        <w:spacing w:line="240" w:lineRule="auto"/>
        <w:rPr>
          <w:rFonts w:eastAsia="MS Mincho"/>
          <w:b/>
          <w:sz w:val="28"/>
          <w:lang w:val="en-US" w:eastAsia="ja-JP"/>
        </w:rPr>
      </w:pPr>
      <w:r>
        <w:rPr>
          <w:rFonts w:eastAsia="MS Mincho"/>
          <w:lang w:val="en-US" w:eastAsia="ja-JP"/>
        </w:rPr>
        <w:br w:type="page"/>
      </w:r>
    </w:p>
    <w:p w14:paraId="064E8D20" w14:textId="31E5C823" w:rsidR="003539CE" w:rsidRDefault="003539CE" w:rsidP="003539CE">
      <w:pPr>
        <w:pStyle w:val="HChG"/>
        <w:ind w:left="0" w:right="39" w:firstLine="0"/>
        <w:rPr>
          <w:rFonts w:eastAsia="MS Mincho"/>
          <w:sz w:val="26"/>
          <w:lang w:val="en-US" w:eastAsia="ja-JP"/>
        </w:rPr>
      </w:pPr>
      <w:r>
        <w:rPr>
          <w:rFonts w:eastAsia="MS Mincho"/>
          <w:lang w:val="en-US" w:eastAsia="ja-JP"/>
        </w:rPr>
        <w:lastRenderedPageBreak/>
        <w:t>Annex 4</w:t>
      </w:r>
      <w:r>
        <w:rPr>
          <w:rFonts w:eastAsia="MS Mincho"/>
          <w:lang w:val="en-US" w:eastAsia="ja-JP"/>
        </w:rPr>
        <w:br/>
      </w:r>
      <w:r w:rsidRPr="00AF5B84">
        <w:rPr>
          <w:rFonts w:eastAsia="MS Mincho"/>
          <w:sz w:val="26"/>
          <w:lang w:val="en-US" w:eastAsia="ja-JP"/>
        </w:rPr>
        <w:t xml:space="preserve">Working Group on Explosives </w:t>
      </w:r>
      <w:r w:rsidRPr="00092CF5">
        <w:rPr>
          <w:rFonts w:eastAsia="MS Mincho"/>
          <w:sz w:val="26"/>
          <w:lang w:val="en-US" w:eastAsia="ja-JP"/>
        </w:rPr>
        <w:t>(</w:t>
      </w:r>
      <w:r w:rsidR="00D96FFC">
        <w:rPr>
          <w:rFonts w:eastAsia="MS Mincho"/>
          <w:sz w:val="26"/>
          <w:lang w:val="en-US" w:eastAsia="ja-JP"/>
        </w:rPr>
        <w:t>28 November - 2 December 2016</w:t>
      </w:r>
      <w:proofErr w:type="gramStart"/>
      <w:r w:rsidRPr="00092CF5">
        <w:rPr>
          <w:rFonts w:eastAsia="MS Mincho"/>
          <w:sz w:val="26"/>
          <w:lang w:val="en-US" w:eastAsia="ja-JP"/>
        </w:rPr>
        <w:t>)</w:t>
      </w:r>
      <w:proofErr w:type="gramEnd"/>
      <w:r w:rsidRPr="00AF5B84">
        <w:rPr>
          <w:rFonts w:eastAsia="MS Mincho"/>
          <w:sz w:val="26"/>
          <w:lang w:val="en-US" w:eastAsia="ja-JP"/>
        </w:rPr>
        <w:br/>
      </w:r>
      <w:r>
        <w:rPr>
          <w:rFonts w:eastAsia="MS Mincho"/>
          <w:sz w:val="26"/>
          <w:lang w:val="en-US" w:eastAsia="ja-JP"/>
        </w:rPr>
        <w:t>Changes for the GHS Document (6th Revised Edition)</w:t>
      </w:r>
    </w:p>
    <w:p w14:paraId="19A3FD7D" w14:textId="77777777" w:rsidR="002B3B17" w:rsidRPr="002B3B17" w:rsidRDefault="002B3B17" w:rsidP="002B3B17">
      <w:pPr>
        <w:tabs>
          <w:tab w:val="left" w:pos="720"/>
        </w:tabs>
        <w:spacing w:line="240" w:lineRule="auto"/>
        <w:ind w:right="43"/>
        <w:rPr>
          <w:b/>
        </w:rPr>
      </w:pPr>
      <w:r w:rsidRPr="002B3B17">
        <w:rPr>
          <w:rFonts w:eastAsia="MS Mincho"/>
          <w:lang w:eastAsia="ja-JP"/>
        </w:rPr>
        <w:t xml:space="preserve">Notes:  Source of proposed change is indicated by </w:t>
      </w:r>
      <w:r w:rsidRPr="002B3B17">
        <w:rPr>
          <w:rFonts w:eastAsia="MS Mincho"/>
          <w:i/>
          <w:lang w:eastAsia="ja-JP"/>
        </w:rPr>
        <w:t>italicized text (Source:  XXX)</w:t>
      </w:r>
      <w:r w:rsidRPr="002B3B17">
        <w:rPr>
          <w:b/>
        </w:rPr>
        <w:t xml:space="preserve">  </w:t>
      </w:r>
    </w:p>
    <w:p w14:paraId="43407243" w14:textId="77777777" w:rsidR="002B3B17" w:rsidRPr="00195E9D" w:rsidRDefault="002B3B17" w:rsidP="002B3B17">
      <w:pPr>
        <w:tabs>
          <w:tab w:val="left" w:pos="630"/>
        </w:tabs>
        <w:spacing w:line="240" w:lineRule="auto"/>
        <w:ind w:right="43"/>
      </w:pPr>
      <w:r w:rsidRPr="002B3B17">
        <w:rPr>
          <w:color w:val="FF0000"/>
        </w:rPr>
        <w:tab/>
      </w:r>
      <w:r w:rsidRPr="002B3B17">
        <w:rPr>
          <w:strike/>
          <w:color w:val="FF0000"/>
        </w:rPr>
        <w:t>Red</w:t>
      </w:r>
      <w:r w:rsidRPr="00195E9D">
        <w:t xml:space="preserve"> indicates deleted text</w:t>
      </w:r>
    </w:p>
    <w:p w14:paraId="1A6C439E" w14:textId="77777777" w:rsidR="002B3B17" w:rsidRPr="00195E9D" w:rsidRDefault="002B3B17" w:rsidP="002B3B17">
      <w:pPr>
        <w:tabs>
          <w:tab w:val="left" w:pos="630"/>
        </w:tabs>
        <w:spacing w:after="120" w:line="240" w:lineRule="auto"/>
        <w:ind w:right="43"/>
      </w:pPr>
      <w:r w:rsidRPr="002B3B17">
        <w:rPr>
          <w:color w:val="0070C0"/>
        </w:rPr>
        <w:tab/>
      </w:r>
      <w:r w:rsidRPr="002B3B17">
        <w:rPr>
          <w:color w:val="0070C0"/>
          <w:u w:val="single"/>
        </w:rPr>
        <w:t>Blue</w:t>
      </w:r>
      <w:r w:rsidRPr="002B3B17">
        <w:rPr>
          <w:color w:val="0070C0"/>
        </w:rPr>
        <w:t xml:space="preserve"> </w:t>
      </w:r>
      <w:r w:rsidRPr="00195E9D">
        <w:t>indicates inserted text</w:t>
      </w:r>
    </w:p>
    <w:p w14:paraId="30223710" w14:textId="77777777" w:rsidR="003539CE" w:rsidRPr="00555E68" w:rsidRDefault="003539CE" w:rsidP="00213069">
      <w:pPr>
        <w:pStyle w:val="SingleTxtG"/>
        <w:keepNext/>
        <w:numPr>
          <w:ilvl w:val="0"/>
          <w:numId w:val="7"/>
        </w:numPr>
        <w:pBdr>
          <w:top w:val="single" w:sz="4" w:space="1" w:color="auto"/>
        </w:pBdr>
        <w:ind w:right="43"/>
        <w:rPr>
          <w:b/>
        </w:rPr>
      </w:pPr>
    </w:p>
    <w:p w14:paraId="2BA73AF4" w14:textId="68E9AB09" w:rsidR="003539CE" w:rsidRDefault="003539CE" w:rsidP="003539CE">
      <w:pPr>
        <w:pStyle w:val="SingleTxtG"/>
        <w:ind w:left="0" w:right="39"/>
      </w:pPr>
      <w:r>
        <w:rPr>
          <w:b/>
          <w:u w:val="single"/>
        </w:rPr>
        <w:t xml:space="preserve">Section </w:t>
      </w:r>
      <w:r w:rsidR="003569B5">
        <w:rPr>
          <w:b/>
          <w:u w:val="single"/>
        </w:rPr>
        <w:t>2.1</w:t>
      </w:r>
      <w:r w:rsidR="002B3B17">
        <w:rPr>
          <w:b/>
          <w:u w:val="single"/>
        </w:rPr>
        <w:t>.</w:t>
      </w:r>
      <w:r w:rsidR="003569B5">
        <w:rPr>
          <w:b/>
          <w:u w:val="single"/>
        </w:rPr>
        <w:t>1.2(c)</w:t>
      </w:r>
      <w:r>
        <w:t xml:space="preserve"> – </w:t>
      </w:r>
      <w:r w:rsidR="002B3B17">
        <w:t xml:space="preserve">amend </w:t>
      </w:r>
      <w:r w:rsidR="003569B5">
        <w:t xml:space="preserve">2.1.1.2(c) </w:t>
      </w:r>
      <w:r w:rsidR="009248B6">
        <w:t xml:space="preserve">to remove comma </w:t>
      </w:r>
      <w:r w:rsidR="002B3B17">
        <w:t>as shown below</w:t>
      </w:r>
      <w:r>
        <w:t>:</w:t>
      </w:r>
    </w:p>
    <w:p w14:paraId="48DED5EA" w14:textId="2A6C013A" w:rsidR="007722CE" w:rsidRDefault="007722CE" w:rsidP="003569B5">
      <w:pPr>
        <w:pStyle w:val="SingleTxtG"/>
        <w:keepNext/>
        <w:keepLines/>
        <w:spacing w:line="240" w:lineRule="auto"/>
        <w:ind w:left="567" w:right="39" w:firstLine="3"/>
      </w:pPr>
      <w:r w:rsidRPr="00251D0E">
        <w:rPr>
          <w:lang w:val="en-US"/>
        </w:rPr>
        <w:t xml:space="preserve">Substances, mixtures and articles not mentioned under (a) and (b) above which are manufactured with the view to producing a </w:t>
      </w:r>
      <w:r w:rsidRPr="00990EAC">
        <w:t>practical</w:t>
      </w:r>
      <w:r w:rsidRPr="00990EAC">
        <w:rPr>
          <w:strike/>
          <w:color w:val="FF0000"/>
        </w:rPr>
        <w:t>,</w:t>
      </w:r>
      <w:r w:rsidRPr="00990EAC">
        <w:t xml:space="preserve"> e</w:t>
      </w:r>
      <w:r>
        <w:t>xplosive</w:t>
      </w:r>
      <w:r w:rsidRPr="00251D0E">
        <w:rPr>
          <w:lang w:val="en-US"/>
        </w:rPr>
        <w:t xml:space="preserve"> or pyrotechnic effect</w:t>
      </w:r>
      <w:r>
        <w:rPr>
          <w:lang w:val="en-US"/>
        </w:rPr>
        <w:t>.</w:t>
      </w:r>
    </w:p>
    <w:p w14:paraId="51218C8F" w14:textId="59F6BF98" w:rsidR="003539CE" w:rsidRPr="003569B5" w:rsidRDefault="003569B5" w:rsidP="003539CE">
      <w:pPr>
        <w:pStyle w:val="SingleTxtG"/>
        <w:ind w:left="0" w:right="39"/>
      </w:pPr>
      <w:r w:rsidRPr="00195E9D">
        <w:rPr>
          <w:i/>
        </w:rPr>
        <w:t>Source:  ST/SG/AC.10/C.3</w:t>
      </w:r>
      <w:r>
        <w:rPr>
          <w:i/>
        </w:rPr>
        <w:t>/2016/53</w:t>
      </w:r>
      <w:r w:rsidRPr="00195E9D">
        <w:rPr>
          <w:i/>
        </w:rPr>
        <w:t xml:space="preserve">, Para. </w:t>
      </w:r>
      <w:proofErr w:type="gramStart"/>
      <w:r w:rsidR="009A3DEF">
        <w:rPr>
          <w:i/>
        </w:rPr>
        <w:t>8</w:t>
      </w:r>
      <w:r w:rsidRPr="00195E9D">
        <w:rPr>
          <w:i/>
        </w:rPr>
        <w:t xml:space="preserve"> and Para.</w:t>
      </w:r>
      <w:proofErr w:type="gramEnd"/>
      <w:r w:rsidRPr="00195E9D">
        <w:rPr>
          <w:i/>
        </w:rPr>
        <w:t xml:space="preserve"> </w:t>
      </w:r>
      <w:proofErr w:type="gramStart"/>
      <w:r w:rsidR="00782EB8">
        <w:rPr>
          <w:i/>
        </w:rPr>
        <w:t>5</w:t>
      </w:r>
      <w:r w:rsidRPr="00195E9D">
        <w:rPr>
          <w:i/>
        </w:rPr>
        <w:t xml:space="preserve"> of this report</w:t>
      </w:r>
      <w:r w:rsidR="007722CE">
        <w:rPr>
          <w:i/>
        </w:rPr>
        <w:t>.</w:t>
      </w:r>
      <w:proofErr w:type="gramEnd"/>
    </w:p>
    <w:p w14:paraId="570305AC" w14:textId="77777777" w:rsidR="007722CE" w:rsidRPr="00555E68" w:rsidRDefault="007722CE" w:rsidP="00213069">
      <w:pPr>
        <w:pStyle w:val="SingleTxtG"/>
        <w:keepNext/>
        <w:numPr>
          <w:ilvl w:val="0"/>
          <w:numId w:val="7"/>
        </w:numPr>
        <w:pBdr>
          <w:top w:val="single" w:sz="4" w:space="1" w:color="auto"/>
        </w:pBdr>
        <w:ind w:right="43"/>
        <w:rPr>
          <w:b/>
        </w:rPr>
      </w:pPr>
    </w:p>
    <w:p w14:paraId="29FD7FB6" w14:textId="675373F9" w:rsidR="007722CE" w:rsidRDefault="00517920" w:rsidP="007722CE">
      <w:pPr>
        <w:pStyle w:val="SingleTxtG"/>
        <w:ind w:left="0" w:right="39"/>
      </w:pPr>
      <w:r>
        <w:rPr>
          <w:b/>
          <w:u w:val="single"/>
        </w:rPr>
        <w:t xml:space="preserve">Note b to Table </w:t>
      </w:r>
      <w:r w:rsidR="007722CE">
        <w:rPr>
          <w:b/>
          <w:u w:val="single"/>
        </w:rPr>
        <w:t>2.1.1</w:t>
      </w:r>
      <w:r w:rsidR="007722CE">
        <w:t xml:space="preserve"> – amend </w:t>
      </w:r>
      <w:r>
        <w:t xml:space="preserve">Note b to Table </w:t>
      </w:r>
      <w:r w:rsidR="007722CE">
        <w:t xml:space="preserve">2.1.1 </w:t>
      </w:r>
      <w:r w:rsidR="009248B6">
        <w:t xml:space="preserve">to remove comma </w:t>
      </w:r>
      <w:r w:rsidR="007722CE">
        <w:t>as shown below:</w:t>
      </w:r>
    </w:p>
    <w:p w14:paraId="08A1F74A" w14:textId="61886DD3" w:rsidR="007722CE" w:rsidRDefault="007722CE" w:rsidP="007722CE">
      <w:pPr>
        <w:pStyle w:val="SingleTxtG"/>
        <w:keepNext/>
        <w:keepLines/>
        <w:spacing w:line="240" w:lineRule="auto"/>
        <w:ind w:left="567" w:right="39" w:firstLine="3"/>
        <w:rPr>
          <w:lang w:val="en-US"/>
        </w:rPr>
      </w:pPr>
      <w:proofErr w:type="gramStart"/>
      <w:r w:rsidRPr="00251D0E">
        <w:rPr>
          <w:bCs/>
          <w:lang w:val="en-US"/>
        </w:rPr>
        <w:t>b</w:t>
      </w:r>
      <w:proofErr w:type="gramEnd"/>
      <w:r w:rsidRPr="00251D0E">
        <w:rPr>
          <w:b/>
          <w:bCs/>
          <w:lang w:val="en-US"/>
        </w:rPr>
        <w:t xml:space="preserve"> </w:t>
      </w:r>
      <w:r w:rsidRPr="00251D0E">
        <w:rPr>
          <w:iCs/>
          <w:lang w:val="en-US"/>
        </w:rPr>
        <w:t xml:space="preserve">This comprises substances, mixtures and articles which are manufactured with a view to producing a </w:t>
      </w:r>
      <w:r w:rsidR="00517920" w:rsidRPr="00990EAC">
        <w:t>practical</w:t>
      </w:r>
      <w:r w:rsidR="00517920" w:rsidRPr="00990EAC">
        <w:rPr>
          <w:strike/>
          <w:color w:val="FF0000"/>
        </w:rPr>
        <w:t>,</w:t>
      </w:r>
      <w:r w:rsidR="00517920" w:rsidRPr="00990EAC">
        <w:t xml:space="preserve"> e</w:t>
      </w:r>
      <w:r w:rsidR="00517920">
        <w:t>xplosive</w:t>
      </w:r>
      <w:r w:rsidR="00517920" w:rsidRPr="00251D0E">
        <w:rPr>
          <w:lang w:val="en-US"/>
        </w:rPr>
        <w:t xml:space="preserve"> </w:t>
      </w:r>
      <w:r w:rsidRPr="00251D0E">
        <w:rPr>
          <w:iCs/>
          <w:lang w:val="en-US"/>
        </w:rPr>
        <w:t>or pyrotechnic effect.</w:t>
      </w:r>
    </w:p>
    <w:p w14:paraId="4B39390C" w14:textId="10CD97CE" w:rsidR="007722CE" w:rsidRPr="003569B5" w:rsidRDefault="007722CE" w:rsidP="007722CE">
      <w:pPr>
        <w:pStyle w:val="SingleTxtG"/>
        <w:ind w:left="0" w:right="39"/>
      </w:pPr>
      <w:r w:rsidRPr="00195E9D">
        <w:rPr>
          <w:i/>
        </w:rPr>
        <w:t>Source:  ST/SG/AC.10/C.3</w:t>
      </w:r>
      <w:r>
        <w:rPr>
          <w:i/>
        </w:rPr>
        <w:t>/2016/53</w:t>
      </w:r>
      <w:r w:rsidRPr="00195E9D">
        <w:rPr>
          <w:i/>
        </w:rPr>
        <w:t xml:space="preserve">, Para. </w:t>
      </w:r>
      <w:proofErr w:type="gramStart"/>
      <w:r w:rsidR="009A3DEF">
        <w:rPr>
          <w:i/>
        </w:rPr>
        <w:t>8</w:t>
      </w:r>
      <w:r w:rsidRPr="00195E9D">
        <w:rPr>
          <w:i/>
        </w:rPr>
        <w:t xml:space="preserve"> and Para.</w:t>
      </w:r>
      <w:proofErr w:type="gramEnd"/>
      <w:r w:rsidRPr="00195E9D">
        <w:rPr>
          <w:i/>
        </w:rPr>
        <w:t xml:space="preserve"> </w:t>
      </w:r>
      <w:proofErr w:type="gramStart"/>
      <w:r w:rsidR="00782EB8">
        <w:rPr>
          <w:i/>
        </w:rPr>
        <w:t>5</w:t>
      </w:r>
      <w:r w:rsidRPr="00195E9D">
        <w:rPr>
          <w:i/>
        </w:rPr>
        <w:t xml:space="preserve"> of this report</w:t>
      </w:r>
      <w:r>
        <w:rPr>
          <w:i/>
        </w:rPr>
        <w:t>.</w:t>
      </w:r>
      <w:proofErr w:type="gramEnd"/>
    </w:p>
    <w:p w14:paraId="7D7B8E40" w14:textId="7B3E67FD" w:rsidR="007462F7" w:rsidRPr="00D13F73" w:rsidRDefault="00D13F73" w:rsidP="00D13F73">
      <w:pPr>
        <w:pStyle w:val="SingleTxtG"/>
        <w:pBdr>
          <w:top w:val="single" w:sz="4" w:space="1" w:color="auto"/>
        </w:pBdr>
        <w:spacing w:before="240" w:after="0"/>
        <w:jc w:val="center"/>
        <w:rPr>
          <w:u w:val="single"/>
        </w:rPr>
      </w:pPr>
      <w:r w:rsidRPr="00D13F73">
        <w:rPr>
          <w:u w:val="single"/>
        </w:rPr>
        <w:tab/>
      </w:r>
      <w:r w:rsidRPr="00D13F73">
        <w:rPr>
          <w:u w:val="single"/>
        </w:rPr>
        <w:tab/>
      </w:r>
      <w:r w:rsidRPr="00D13F73">
        <w:rPr>
          <w:u w:val="single"/>
        </w:rPr>
        <w:tab/>
      </w:r>
    </w:p>
    <w:p w14:paraId="4609A867" w14:textId="77777777" w:rsidR="003C7082" w:rsidRPr="003C7082" w:rsidRDefault="003C7082" w:rsidP="003539CE">
      <w:pPr>
        <w:pStyle w:val="SingleTxtG"/>
        <w:spacing w:line="240" w:lineRule="auto"/>
        <w:ind w:left="0" w:right="39"/>
        <w:rPr>
          <w:i/>
        </w:rPr>
      </w:pPr>
    </w:p>
    <w:sectPr w:rsidR="003C7082" w:rsidRPr="003C7082" w:rsidSect="00A264E1">
      <w:headerReference w:type="even" r:id="rId12"/>
      <w:headerReference w:type="default" r:id="rId13"/>
      <w:footerReference w:type="even" r:id="rId14"/>
      <w:footerReference w:type="default" r:id="rId15"/>
      <w:endnotePr>
        <w:numFmt w:val="decimal"/>
      </w:endnotePr>
      <w:pgSz w:w="11907" w:h="16839" w:code="9"/>
      <w:pgMar w:top="1699" w:right="1138" w:bottom="2275" w:left="1138" w:header="1138" w:footer="1440"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1BBD052" w15:done="0"/>
  <w15:commentEx w15:paraId="7AC56A10" w15:done="0"/>
  <w15:commentEx w15:paraId="776D99FC" w15:done="0"/>
  <w15:commentEx w15:paraId="22E93360" w15:done="0"/>
  <w15:commentEx w15:paraId="2C799B5A" w15:done="0"/>
  <w15:commentEx w15:paraId="3F0EA004" w15:done="0"/>
  <w15:commentEx w15:paraId="5EE5FBBA" w15:done="0"/>
  <w15:commentEx w15:paraId="2F3EE5E5" w15:done="0"/>
  <w15:commentEx w15:paraId="35A7ECA4" w15:done="0"/>
  <w15:commentEx w15:paraId="1F1E9A09" w15:done="0"/>
  <w15:commentEx w15:paraId="67BE0AB9" w15:done="0"/>
  <w15:commentEx w15:paraId="54156D4C" w15:done="0"/>
  <w15:commentEx w15:paraId="630D6B73" w15:done="0"/>
  <w15:commentEx w15:paraId="14E0149D" w15:done="0"/>
  <w15:commentEx w15:paraId="0E4FA450" w15:done="0"/>
  <w15:commentEx w15:paraId="66968892" w15:done="0"/>
  <w15:commentEx w15:paraId="380237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07BD4" w14:textId="77777777" w:rsidR="001375EF" w:rsidRDefault="001375EF"/>
  </w:endnote>
  <w:endnote w:type="continuationSeparator" w:id="0">
    <w:p w14:paraId="2404B51F" w14:textId="77777777" w:rsidR="001375EF" w:rsidRDefault="001375EF"/>
  </w:endnote>
  <w:endnote w:type="continuationNotice" w:id="1">
    <w:p w14:paraId="504F1407" w14:textId="77777777" w:rsidR="001375EF" w:rsidRDefault="001375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80D89" w14:textId="3074F937" w:rsidR="001375EF" w:rsidRPr="00A264E1" w:rsidRDefault="001375EF" w:rsidP="00A264E1">
    <w:pPr>
      <w:pStyle w:val="Footer"/>
      <w:tabs>
        <w:tab w:val="right" w:pos="9638"/>
      </w:tabs>
      <w:rPr>
        <w:sz w:val="18"/>
      </w:rPr>
    </w:pPr>
    <w:r>
      <w:rPr>
        <w:rStyle w:val="PageNumber"/>
      </w:rPr>
      <w:fldChar w:fldCharType="begin"/>
    </w:r>
    <w:r>
      <w:rPr>
        <w:rStyle w:val="PageNumber"/>
      </w:rPr>
      <w:instrText xml:space="preserve"> PAGE </w:instrText>
    </w:r>
    <w:r>
      <w:rPr>
        <w:rStyle w:val="PageNumber"/>
      </w:rPr>
      <w:fldChar w:fldCharType="separate"/>
    </w:r>
    <w:r w:rsidR="007418DA">
      <w:rPr>
        <w:rStyle w:val="PageNumber"/>
        <w:noProof/>
      </w:rPr>
      <w:t>16</w:t>
    </w:r>
    <w:r>
      <w:rPr>
        <w:rStyle w:val="PageNumber"/>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CCBF3" w14:textId="3F7C6206" w:rsidR="001375EF" w:rsidRPr="002F6ECE" w:rsidRDefault="001375EF" w:rsidP="00271195">
    <w:pPr>
      <w:pStyle w:val="Footer"/>
      <w:tabs>
        <w:tab w:val="right" w:pos="9638"/>
      </w:tabs>
      <w:rPr>
        <w:b/>
        <w:sz w:val="18"/>
      </w:rPr>
    </w:pPr>
    <w:r>
      <w:tab/>
    </w:r>
    <w:r>
      <w:rPr>
        <w:rStyle w:val="PageNumber"/>
      </w:rPr>
      <w:fldChar w:fldCharType="begin"/>
    </w:r>
    <w:r>
      <w:rPr>
        <w:rStyle w:val="PageNumber"/>
      </w:rPr>
      <w:instrText xml:space="preserve"> PAGE </w:instrText>
    </w:r>
    <w:r>
      <w:rPr>
        <w:rStyle w:val="PageNumber"/>
      </w:rPr>
      <w:fldChar w:fldCharType="separate"/>
    </w:r>
    <w:r w:rsidR="007418DA">
      <w:rPr>
        <w:rStyle w:val="PageNumber"/>
        <w:noProof/>
      </w:rPr>
      <w:t>15</w:t>
    </w:r>
    <w:r>
      <w:rPr>
        <w:rStyle w:val="PageNumber"/>
      </w:rPr>
      <w:fldChar w:fldCharType="end"/>
    </w:r>
  </w:p>
  <w:p w14:paraId="3B778FC8" w14:textId="77777777" w:rsidR="001375EF" w:rsidRDefault="00137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ABD5B" w14:textId="77777777" w:rsidR="001375EF" w:rsidRPr="000B175B" w:rsidRDefault="001375EF" w:rsidP="000B175B">
      <w:pPr>
        <w:tabs>
          <w:tab w:val="right" w:pos="2155"/>
        </w:tabs>
        <w:spacing w:after="80"/>
        <w:ind w:left="680"/>
        <w:rPr>
          <w:u w:val="single"/>
        </w:rPr>
      </w:pPr>
      <w:r>
        <w:rPr>
          <w:u w:val="single"/>
        </w:rPr>
        <w:tab/>
      </w:r>
    </w:p>
  </w:footnote>
  <w:footnote w:type="continuationSeparator" w:id="0">
    <w:p w14:paraId="0B78A261" w14:textId="77777777" w:rsidR="001375EF" w:rsidRPr="00FC68B7" w:rsidRDefault="001375EF" w:rsidP="00FC68B7">
      <w:pPr>
        <w:tabs>
          <w:tab w:val="left" w:pos="2155"/>
        </w:tabs>
        <w:spacing w:after="80"/>
        <w:ind w:left="680"/>
        <w:rPr>
          <w:u w:val="single"/>
        </w:rPr>
      </w:pPr>
      <w:r>
        <w:rPr>
          <w:u w:val="single"/>
        </w:rPr>
        <w:tab/>
      </w:r>
    </w:p>
  </w:footnote>
  <w:footnote w:type="continuationNotice" w:id="1">
    <w:p w14:paraId="6CDEEC51" w14:textId="77777777" w:rsidR="001375EF" w:rsidRDefault="001375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016F1" w14:textId="7CE3ECF3" w:rsidR="001375EF" w:rsidRPr="00256328" w:rsidRDefault="001375EF" w:rsidP="00271195">
    <w:pPr>
      <w:pStyle w:val="Header"/>
      <w:rPr>
        <w:lang w:val="fr-CH"/>
      </w:rPr>
    </w:pPr>
    <w:r>
      <w:rPr>
        <w:lang w:val="fr-CH"/>
      </w:rPr>
      <w:t>UN/SCETDG/49/INF.</w:t>
    </w:r>
    <w:r w:rsidR="007418DA">
      <w:rPr>
        <w:lang w:val="fr-CH"/>
      </w:rPr>
      <w:t>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9D402" w14:textId="7ADFACD2" w:rsidR="001375EF" w:rsidRPr="00256328" w:rsidRDefault="001375EF" w:rsidP="00271195">
    <w:pPr>
      <w:pStyle w:val="Header"/>
      <w:jc w:val="right"/>
      <w:rPr>
        <w:lang w:val="fr-CH"/>
      </w:rPr>
    </w:pPr>
    <w:r>
      <w:rPr>
        <w:lang w:val="fr-CH"/>
      </w:rPr>
      <w:t>UN/SCETDG/49/INF.</w:t>
    </w:r>
    <w:r w:rsidR="007418DA">
      <w:rPr>
        <w:lang w:val="fr-CH"/>
      </w:rPr>
      <w:t>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23F0F80"/>
    <w:multiLevelType w:val="hybridMultilevel"/>
    <w:tmpl w:val="B5C6E440"/>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C1F8BC24">
      <w:start w:val="2"/>
      <w:numFmt w:val="bullet"/>
      <w:lvlText w:val="-"/>
      <w:lvlJc w:val="left"/>
      <w:pPr>
        <w:ind w:left="2160" w:hanging="180"/>
      </w:pPr>
      <w:rPr>
        <w:rFonts w:ascii="Times New Roman" w:eastAsia="Times New Roman" w:hAnsi="Times New Roman" w:cs="Times New Roman" w:hint="default"/>
      </w:rPr>
    </w:lvl>
    <w:lvl w:ilvl="3" w:tplc="1E4CAB4C">
      <w:start w:val="1"/>
      <w:numFmt w:val="decimal"/>
      <w:lvlText w:val="%4."/>
      <w:lvlJc w:val="left"/>
      <w:pPr>
        <w:ind w:left="3084" w:hanging="564"/>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A9F1F5A"/>
    <w:multiLevelType w:val="hybridMultilevel"/>
    <w:tmpl w:val="DB48E9E0"/>
    <w:lvl w:ilvl="0" w:tplc="F752BB02">
      <w:start w:val="14"/>
      <w:numFmt w:val="decimal"/>
      <w:lvlText w:val="%1"/>
      <w:lvlJc w:val="left"/>
      <w:pPr>
        <w:ind w:left="4422" w:hanging="4298"/>
      </w:pPr>
      <w:rPr>
        <w:rFonts w:ascii="Calibri" w:eastAsia="Calibri" w:hAnsi="Calibri" w:hint="default"/>
        <w:b/>
        <w:bCs/>
        <w:spacing w:val="2"/>
        <w:sz w:val="19"/>
        <w:szCs w:val="19"/>
      </w:rPr>
    </w:lvl>
    <w:lvl w:ilvl="1" w:tplc="B27020A8">
      <w:start w:val="1"/>
      <w:numFmt w:val="bullet"/>
      <w:lvlText w:val="•"/>
      <w:lvlJc w:val="left"/>
      <w:pPr>
        <w:ind w:left="4915" w:hanging="4298"/>
      </w:pPr>
      <w:rPr>
        <w:rFonts w:hint="default"/>
      </w:rPr>
    </w:lvl>
    <w:lvl w:ilvl="2" w:tplc="2482152E">
      <w:start w:val="1"/>
      <w:numFmt w:val="bullet"/>
      <w:lvlText w:val="•"/>
      <w:lvlJc w:val="left"/>
      <w:pPr>
        <w:ind w:left="5408" w:hanging="4298"/>
      </w:pPr>
      <w:rPr>
        <w:rFonts w:hint="default"/>
      </w:rPr>
    </w:lvl>
    <w:lvl w:ilvl="3" w:tplc="EAF417B4">
      <w:start w:val="1"/>
      <w:numFmt w:val="bullet"/>
      <w:lvlText w:val="•"/>
      <w:lvlJc w:val="left"/>
      <w:pPr>
        <w:ind w:left="5901" w:hanging="4298"/>
      </w:pPr>
      <w:rPr>
        <w:rFonts w:hint="default"/>
      </w:rPr>
    </w:lvl>
    <w:lvl w:ilvl="4" w:tplc="985C9A92">
      <w:start w:val="1"/>
      <w:numFmt w:val="bullet"/>
      <w:lvlText w:val="•"/>
      <w:lvlJc w:val="left"/>
      <w:pPr>
        <w:ind w:left="6394" w:hanging="4298"/>
      </w:pPr>
      <w:rPr>
        <w:rFonts w:hint="default"/>
      </w:rPr>
    </w:lvl>
    <w:lvl w:ilvl="5" w:tplc="7BAC0AEC">
      <w:start w:val="1"/>
      <w:numFmt w:val="bullet"/>
      <w:lvlText w:val="•"/>
      <w:lvlJc w:val="left"/>
      <w:pPr>
        <w:ind w:left="6887" w:hanging="4298"/>
      </w:pPr>
      <w:rPr>
        <w:rFonts w:hint="default"/>
      </w:rPr>
    </w:lvl>
    <w:lvl w:ilvl="6" w:tplc="791A55E2">
      <w:start w:val="1"/>
      <w:numFmt w:val="bullet"/>
      <w:lvlText w:val="•"/>
      <w:lvlJc w:val="left"/>
      <w:pPr>
        <w:ind w:left="7380" w:hanging="4298"/>
      </w:pPr>
      <w:rPr>
        <w:rFonts w:hint="default"/>
      </w:rPr>
    </w:lvl>
    <w:lvl w:ilvl="7" w:tplc="1A4AE120">
      <w:start w:val="1"/>
      <w:numFmt w:val="bullet"/>
      <w:lvlText w:val="•"/>
      <w:lvlJc w:val="left"/>
      <w:pPr>
        <w:ind w:left="7873" w:hanging="4298"/>
      </w:pPr>
      <w:rPr>
        <w:rFonts w:hint="default"/>
      </w:rPr>
    </w:lvl>
    <w:lvl w:ilvl="8" w:tplc="354058EC">
      <w:start w:val="1"/>
      <w:numFmt w:val="bullet"/>
      <w:lvlText w:val="•"/>
      <w:lvlJc w:val="left"/>
      <w:pPr>
        <w:ind w:left="8366" w:hanging="4298"/>
      </w:pPr>
      <w:rPr>
        <w:rFonts w:hint="default"/>
      </w:rPr>
    </w:lvl>
  </w:abstractNum>
  <w:abstractNum w:abstractNumId="3">
    <w:nsid w:val="476C3E0D"/>
    <w:multiLevelType w:val="multilevel"/>
    <w:tmpl w:val="42FA0602"/>
    <w:lvl w:ilvl="0">
      <w:start w:val="1"/>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532B4DF9"/>
    <w:multiLevelType w:val="hybridMultilevel"/>
    <w:tmpl w:val="28CEACC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5">
    <w:nsid w:val="5D571B10"/>
    <w:multiLevelType w:val="hybridMultilevel"/>
    <w:tmpl w:val="BCA6AE8E"/>
    <w:lvl w:ilvl="0" w:tplc="F7F89222">
      <w:start w:val="6"/>
      <w:numFmt w:val="decimal"/>
      <w:lvlText w:val="%1"/>
      <w:lvlJc w:val="left"/>
      <w:pPr>
        <w:ind w:left="2439" w:hanging="2041"/>
      </w:pPr>
      <w:rPr>
        <w:rFonts w:ascii="Calibri" w:eastAsia="Calibri" w:hAnsi="Calibri" w:hint="default"/>
        <w:b/>
        <w:bCs/>
        <w:sz w:val="19"/>
        <w:szCs w:val="19"/>
      </w:rPr>
    </w:lvl>
    <w:lvl w:ilvl="1" w:tplc="ADD8EB56">
      <w:start w:val="1"/>
      <w:numFmt w:val="bullet"/>
      <w:lvlText w:val="•"/>
      <w:lvlJc w:val="left"/>
      <w:pPr>
        <w:ind w:left="2743" w:hanging="2041"/>
      </w:pPr>
      <w:rPr>
        <w:rFonts w:hint="default"/>
      </w:rPr>
    </w:lvl>
    <w:lvl w:ilvl="2" w:tplc="F74A6C70">
      <w:start w:val="1"/>
      <w:numFmt w:val="bullet"/>
      <w:lvlText w:val="•"/>
      <w:lvlJc w:val="left"/>
      <w:pPr>
        <w:ind w:left="3048" w:hanging="2041"/>
      </w:pPr>
      <w:rPr>
        <w:rFonts w:hint="default"/>
      </w:rPr>
    </w:lvl>
    <w:lvl w:ilvl="3" w:tplc="A69A1206">
      <w:start w:val="1"/>
      <w:numFmt w:val="bullet"/>
      <w:lvlText w:val="•"/>
      <w:lvlJc w:val="left"/>
      <w:pPr>
        <w:ind w:left="3353" w:hanging="2041"/>
      </w:pPr>
      <w:rPr>
        <w:rFonts w:hint="default"/>
      </w:rPr>
    </w:lvl>
    <w:lvl w:ilvl="4" w:tplc="EA0EC420">
      <w:start w:val="1"/>
      <w:numFmt w:val="bullet"/>
      <w:lvlText w:val="•"/>
      <w:lvlJc w:val="left"/>
      <w:pPr>
        <w:ind w:left="3657" w:hanging="2041"/>
      </w:pPr>
      <w:rPr>
        <w:rFonts w:hint="default"/>
      </w:rPr>
    </w:lvl>
    <w:lvl w:ilvl="5" w:tplc="AA2AA532">
      <w:start w:val="1"/>
      <w:numFmt w:val="bullet"/>
      <w:lvlText w:val="•"/>
      <w:lvlJc w:val="left"/>
      <w:pPr>
        <w:ind w:left="3962" w:hanging="2041"/>
      </w:pPr>
      <w:rPr>
        <w:rFonts w:hint="default"/>
      </w:rPr>
    </w:lvl>
    <w:lvl w:ilvl="6" w:tplc="12CC6FB6">
      <w:start w:val="1"/>
      <w:numFmt w:val="bullet"/>
      <w:lvlText w:val="•"/>
      <w:lvlJc w:val="left"/>
      <w:pPr>
        <w:ind w:left="4267" w:hanging="2041"/>
      </w:pPr>
      <w:rPr>
        <w:rFonts w:hint="default"/>
      </w:rPr>
    </w:lvl>
    <w:lvl w:ilvl="7" w:tplc="F52E6A7C">
      <w:start w:val="1"/>
      <w:numFmt w:val="bullet"/>
      <w:lvlText w:val="•"/>
      <w:lvlJc w:val="left"/>
      <w:pPr>
        <w:ind w:left="4571" w:hanging="2041"/>
      </w:pPr>
      <w:rPr>
        <w:rFonts w:hint="default"/>
      </w:rPr>
    </w:lvl>
    <w:lvl w:ilvl="8" w:tplc="987691A2">
      <w:start w:val="1"/>
      <w:numFmt w:val="bullet"/>
      <w:lvlText w:val="•"/>
      <w:lvlJc w:val="left"/>
      <w:pPr>
        <w:ind w:left="4876" w:hanging="2041"/>
      </w:pPr>
      <w:rPr>
        <w:rFonts w:hint="default"/>
      </w:rPr>
    </w:lvl>
  </w:abstractNum>
  <w:abstractNum w:abstractNumId="6">
    <w:nsid w:val="684570BB"/>
    <w:multiLevelType w:val="hybridMultilevel"/>
    <w:tmpl w:val="A3CC3182"/>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8862366"/>
    <w:multiLevelType w:val="hybridMultilevel"/>
    <w:tmpl w:val="523E6D94"/>
    <w:lvl w:ilvl="0" w:tplc="0E8EB3D0">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B8505076" w:tentative="1">
      <w:start w:val="1"/>
      <w:numFmt w:val="bullet"/>
      <w:lvlText w:val="o"/>
      <w:lvlJc w:val="left"/>
      <w:pPr>
        <w:tabs>
          <w:tab w:val="num" w:pos="1440"/>
        </w:tabs>
        <w:ind w:left="1440" w:hanging="360"/>
      </w:pPr>
      <w:rPr>
        <w:rFonts w:ascii="Courier New" w:hAnsi="Courier New" w:cs="Courier New" w:hint="default"/>
      </w:rPr>
    </w:lvl>
    <w:lvl w:ilvl="2" w:tplc="441E8610" w:tentative="1">
      <w:start w:val="1"/>
      <w:numFmt w:val="bullet"/>
      <w:lvlText w:val=""/>
      <w:lvlJc w:val="left"/>
      <w:pPr>
        <w:tabs>
          <w:tab w:val="num" w:pos="2160"/>
        </w:tabs>
        <w:ind w:left="2160" w:hanging="360"/>
      </w:pPr>
      <w:rPr>
        <w:rFonts w:ascii="Wingdings" w:hAnsi="Wingdings" w:hint="default"/>
      </w:rPr>
    </w:lvl>
    <w:lvl w:ilvl="3" w:tplc="A22CE570" w:tentative="1">
      <w:start w:val="1"/>
      <w:numFmt w:val="bullet"/>
      <w:lvlText w:val=""/>
      <w:lvlJc w:val="left"/>
      <w:pPr>
        <w:tabs>
          <w:tab w:val="num" w:pos="2880"/>
        </w:tabs>
        <w:ind w:left="2880" w:hanging="360"/>
      </w:pPr>
      <w:rPr>
        <w:rFonts w:ascii="Symbol" w:hAnsi="Symbol" w:hint="default"/>
      </w:rPr>
    </w:lvl>
    <w:lvl w:ilvl="4" w:tplc="AF68B53E" w:tentative="1">
      <w:start w:val="1"/>
      <w:numFmt w:val="bullet"/>
      <w:lvlText w:val="o"/>
      <w:lvlJc w:val="left"/>
      <w:pPr>
        <w:tabs>
          <w:tab w:val="num" w:pos="3600"/>
        </w:tabs>
        <w:ind w:left="3600" w:hanging="360"/>
      </w:pPr>
      <w:rPr>
        <w:rFonts w:ascii="Courier New" w:hAnsi="Courier New" w:cs="Courier New" w:hint="default"/>
      </w:rPr>
    </w:lvl>
    <w:lvl w:ilvl="5" w:tplc="A4586C5C" w:tentative="1">
      <w:start w:val="1"/>
      <w:numFmt w:val="bullet"/>
      <w:lvlText w:val=""/>
      <w:lvlJc w:val="left"/>
      <w:pPr>
        <w:tabs>
          <w:tab w:val="num" w:pos="4320"/>
        </w:tabs>
        <w:ind w:left="4320" w:hanging="360"/>
      </w:pPr>
      <w:rPr>
        <w:rFonts w:ascii="Wingdings" w:hAnsi="Wingdings" w:hint="default"/>
      </w:rPr>
    </w:lvl>
    <w:lvl w:ilvl="6" w:tplc="9AA64C7C" w:tentative="1">
      <w:start w:val="1"/>
      <w:numFmt w:val="bullet"/>
      <w:lvlText w:val=""/>
      <w:lvlJc w:val="left"/>
      <w:pPr>
        <w:tabs>
          <w:tab w:val="num" w:pos="5040"/>
        </w:tabs>
        <w:ind w:left="5040" w:hanging="360"/>
      </w:pPr>
      <w:rPr>
        <w:rFonts w:ascii="Symbol" w:hAnsi="Symbol" w:hint="default"/>
      </w:rPr>
    </w:lvl>
    <w:lvl w:ilvl="7" w:tplc="B2E47166" w:tentative="1">
      <w:start w:val="1"/>
      <w:numFmt w:val="bullet"/>
      <w:lvlText w:val="o"/>
      <w:lvlJc w:val="left"/>
      <w:pPr>
        <w:tabs>
          <w:tab w:val="num" w:pos="5760"/>
        </w:tabs>
        <w:ind w:left="5760" w:hanging="360"/>
      </w:pPr>
      <w:rPr>
        <w:rFonts w:ascii="Courier New" w:hAnsi="Courier New" w:cs="Courier New" w:hint="default"/>
      </w:rPr>
    </w:lvl>
    <w:lvl w:ilvl="8" w:tplc="E500B0B8" w:tentative="1">
      <w:start w:val="1"/>
      <w:numFmt w:val="bullet"/>
      <w:lvlText w:val=""/>
      <w:lvlJc w:val="left"/>
      <w:pPr>
        <w:tabs>
          <w:tab w:val="num" w:pos="6480"/>
        </w:tabs>
        <w:ind w:left="6480" w:hanging="360"/>
      </w:pPr>
      <w:rPr>
        <w:rFonts w:ascii="Wingdings" w:hAnsi="Wingdings" w:hint="default"/>
      </w:rPr>
    </w:lvl>
  </w:abstractNum>
  <w:abstractNum w:abstractNumId="8">
    <w:nsid w:val="6D093B50"/>
    <w:multiLevelType w:val="hybridMultilevel"/>
    <w:tmpl w:val="E3C233E0"/>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nsid w:val="7142307E"/>
    <w:multiLevelType w:val="hybridMultilevel"/>
    <w:tmpl w:val="40F449B6"/>
    <w:lvl w:ilvl="0" w:tplc="CD92DBCC">
      <w:start w:val="1"/>
      <w:numFmt w:val="lowerLetter"/>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1">
    <w:nsid w:val="74F8237D"/>
    <w:multiLevelType w:val="hybridMultilevel"/>
    <w:tmpl w:val="DA9AEAB2"/>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7"/>
  </w:num>
  <w:num w:numId="3">
    <w:abstractNumId w:val="9"/>
  </w:num>
  <w:num w:numId="4">
    <w:abstractNumId w:val="3"/>
  </w:num>
  <w:num w:numId="5">
    <w:abstractNumId w:val="6"/>
  </w:num>
  <w:num w:numId="6">
    <w:abstractNumId w:val="8"/>
  </w:num>
  <w:num w:numId="7">
    <w:abstractNumId w:val="11"/>
  </w:num>
  <w:num w:numId="8">
    <w:abstractNumId w:val="10"/>
  </w:num>
  <w:num w:numId="9">
    <w:abstractNumId w:val="1"/>
  </w:num>
  <w:num w:numId="10">
    <w:abstractNumId w:val="4"/>
  </w:num>
  <w:num w:numId="11">
    <w:abstractNumId w:val="2"/>
  </w:num>
  <w:num w:numId="12">
    <w:abstractNumId w:val="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ston, David">
    <w15:presenceInfo w15:providerId="None" w15:userId="Boston, 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AU" w:vendorID="64" w:dllVersion="0" w:nlCheck="1" w:checkStyle="0"/>
  <w:activeWritingStyle w:appName="MSWord" w:lang="fr-BE" w:vendorID="64" w:dllVersion="0" w:nlCheck="1" w:checkStyle="1"/>
  <w:activeWritingStyle w:appName="MSWord" w:lang="en-CA"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n-AU" w:vendorID="64" w:dllVersion="131078" w:nlCheck="1" w:checkStyle="1"/>
  <w:proofState w:spelling="clean" w:grammar="clean"/>
  <w:attachedTemplate r:id="rId1"/>
  <w:stylePaneFormatFilter w:val="3024" w:allStyles="0" w:customStyles="0" w:latentStyles="1" w:stylesInUse="0" w:headingStyles="1"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08CD"/>
    <w:rsid w:val="00001807"/>
    <w:rsid w:val="000018F6"/>
    <w:rsid w:val="00002EFA"/>
    <w:rsid w:val="00003332"/>
    <w:rsid w:val="00003376"/>
    <w:rsid w:val="000046A8"/>
    <w:rsid w:val="000049B7"/>
    <w:rsid w:val="00005385"/>
    <w:rsid w:val="00005B68"/>
    <w:rsid w:val="000060C5"/>
    <w:rsid w:val="00006206"/>
    <w:rsid w:val="00006846"/>
    <w:rsid w:val="000075A4"/>
    <w:rsid w:val="00007660"/>
    <w:rsid w:val="00007C57"/>
    <w:rsid w:val="00007F4F"/>
    <w:rsid w:val="00011265"/>
    <w:rsid w:val="000118AF"/>
    <w:rsid w:val="00011F18"/>
    <w:rsid w:val="0001235D"/>
    <w:rsid w:val="00012C27"/>
    <w:rsid w:val="00013612"/>
    <w:rsid w:val="00013CD7"/>
    <w:rsid w:val="00015308"/>
    <w:rsid w:val="00015902"/>
    <w:rsid w:val="00015952"/>
    <w:rsid w:val="00016063"/>
    <w:rsid w:val="000166DB"/>
    <w:rsid w:val="00016F07"/>
    <w:rsid w:val="00016F3E"/>
    <w:rsid w:val="00017DB1"/>
    <w:rsid w:val="000207CA"/>
    <w:rsid w:val="0002197C"/>
    <w:rsid w:val="00021C0D"/>
    <w:rsid w:val="000222FC"/>
    <w:rsid w:val="00022AFF"/>
    <w:rsid w:val="00022FD2"/>
    <w:rsid w:val="00023E13"/>
    <w:rsid w:val="00023ED6"/>
    <w:rsid w:val="000240D9"/>
    <w:rsid w:val="00024898"/>
    <w:rsid w:val="00024C20"/>
    <w:rsid w:val="00025C10"/>
    <w:rsid w:val="00025F35"/>
    <w:rsid w:val="00025F4C"/>
    <w:rsid w:val="0002606A"/>
    <w:rsid w:val="00027219"/>
    <w:rsid w:val="0003053F"/>
    <w:rsid w:val="000308FE"/>
    <w:rsid w:val="0003147F"/>
    <w:rsid w:val="0003176E"/>
    <w:rsid w:val="00032179"/>
    <w:rsid w:val="000321E6"/>
    <w:rsid w:val="00032BF5"/>
    <w:rsid w:val="00033A5E"/>
    <w:rsid w:val="00034258"/>
    <w:rsid w:val="0003447E"/>
    <w:rsid w:val="000347B7"/>
    <w:rsid w:val="00034899"/>
    <w:rsid w:val="00035025"/>
    <w:rsid w:val="0003574C"/>
    <w:rsid w:val="00035E9D"/>
    <w:rsid w:val="00036F7D"/>
    <w:rsid w:val="00040A6D"/>
    <w:rsid w:val="000422AF"/>
    <w:rsid w:val="000423C6"/>
    <w:rsid w:val="0004240C"/>
    <w:rsid w:val="000426AF"/>
    <w:rsid w:val="00042E81"/>
    <w:rsid w:val="00043384"/>
    <w:rsid w:val="00043798"/>
    <w:rsid w:val="00044485"/>
    <w:rsid w:val="0004698A"/>
    <w:rsid w:val="0004699A"/>
    <w:rsid w:val="000476C5"/>
    <w:rsid w:val="00047958"/>
    <w:rsid w:val="00050F6B"/>
    <w:rsid w:val="0005144A"/>
    <w:rsid w:val="000527F6"/>
    <w:rsid w:val="00052920"/>
    <w:rsid w:val="00052C00"/>
    <w:rsid w:val="00052F64"/>
    <w:rsid w:val="0005316D"/>
    <w:rsid w:val="000534A8"/>
    <w:rsid w:val="00053EE5"/>
    <w:rsid w:val="00054BC8"/>
    <w:rsid w:val="00055564"/>
    <w:rsid w:val="000557ED"/>
    <w:rsid w:val="000559A5"/>
    <w:rsid w:val="00055FE8"/>
    <w:rsid w:val="00056B14"/>
    <w:rsid w:val="00057483"/>
    <w:rsid w:val="00057960"/>
    <w:rsid w:val="000640DD"/>
    <w:rsid w:val="000641E2"/>
    <w:rsid w:val="000650C2"/>
    <w:rsid w:val="000653F4"/>
    <w:rsid w:val="00065C4E"/>
    <w:rsid w:val="00067115"/>
    <w:rsid w:val="0006784B"/>
    <w:rsid w:val="000704F4"/>
    <w:rsid w:val="00070DE3"/>
    <w:rsid w:val="00071D6B"/>
    <w:rsid w:val="00071F17"/>
    <w:rsid w:val="00072495"/>
    <w:rsid w:val="00072A70"/>
    <w:rsid w:val="00072C8C"/>
    <w:rsid w:val="0007325A"/>
    <w:rsid w:val="00073995"/>
    <w:rsid w:val="0007499B"/>
    <w:rsid w:val="00074C06"/>
    <w:rsid w:val="00074E5E"/>
    <w:rsid w:val="00074FAC"/>
    <w:rsid w:val="00075611"/>
    <w:rsid w:val="0007713F"/>
    <w:rsid w:val="000777DE"/>
    <w:rsid w:val="0007794B"/>
    <w:rsid w:val="00080C9D"/>
    <w:rsid w:val="00081798"/>
    <w:rsid w:val="00081DE6"/>
    <w:rsid w:val="0008207F"/>
    <w:rsid w:val="00083162"/>
    <w:rsid w:val="000837BD"/>
    <w:rsid w:val="00083806"/>
    <w:rsid w:val="00083A74"/>
    <w:rsid w:val="00083AAD"/>
    <w:rsid w:val="00083B90"/>
    <w:rsid w:val="00084D84"/>
    <w:rsid w:val="0008593D"/>
    <w:rsid w:val="00085FA3"/>
    <w:rsid w:val="000875ED"/>
    <w:rsid w:val="00087B6A"/>
    <w:rsid w:val="000901BC"/>
    <w:rsid w:val="000905E2"/>
    <w:rsid w:val="00090AF4"/>
    <w:rsid w:val="0009296B"/>
    <w:rsid w:val="00092CF5"/>
    <w:rsid w:val="000931C0"/>
    <w:rsid w:val="00093709"/>
    <w:rsid w:val="00093C92"/>
    <w:rsid w:val="00094053"/>
    <w:rsid w:val="000942C7"/>
    <w:rsid w:val="00094351"/>
    <w:rsid w:val="000951DC"/>
    <w:rsid w:val="00095258"/>
    <w:rsid w:val="000959D9"/>
    <w:rsid w:val="000964A5"/>
    <w:rsid w:val="000A1652"/>
    <w:rsid w:val="000A1758"/>
    <w:rsid w:val="000A22C6"/>
    <w:rsid w:val="000A27A1"/>
    <w:rsid w:val="000A2968"/>
    <w:rsid w:val="000A3F27"/>
    <w:rsid w:val="000A4125"/>
    <w:rsid w:val="000A43B1"/>
    <w:rsid w:val="000A50EB"/>
    <w:rsid w:val="000A5634"/>
    <w:rsid w:val="000A5931"/>
    <w:rsid w:val="000A6C18"/>
    <w:rsid w:val="000A751A"/>
    <w:rsid w:val="000B033D"/>
    <w:rsid w:val="000B07D5"/>
    <w:rsid w:val="000B12CA"/>
    <w:rsid w:val="000B175B"/>
    <w:rsid w:val="000B31FB"/>
    <w:rsid w:val="000B3A0F"/>
    <w:rsid w:val="000B4D7E"/>
    <w:rsid w:val="000B5214"/>
    <w:rsid w:val="000B5CF3"/>
    <w:rsid w:val="000B656F"/>
    <w:rsid w:val="000B6CAA"/>
    <w:rsid w:val="000B7A58"/>
    <w:rsid w:val="000B7ABC"/>
    <w:rsid w:val="000C06B4"/>
    <w:rsid w:val="000C1E1D"/>
    <w:rsid w:val="000C30BB"/>
    <w:rsid w:val="000C31A2"/>
    <w:rsid w:val="000C341F"/>
    <w:rsid w:val="000C3857"/>
    <w:rsid w:val="000C3B90"/>
    <w:rsid w:val="000C4A53"/>
    <w:rsid w:val="000C4AB5"/>
    <w:rsid w:val="000C588A"/>
    <w:rsid w:val="000C64FF"/>
    <w:rsid w:val="000C6DDF"/>
    <w:rsid w:val="000C732C"/>
    <w:rsid w:val="000D0AF2"/>
    <w:rsid w:val="000D13B5"/>
    <w:rsid w:val="000D1485"/>
    <w:rsid w:val="000D2798"/>
    <w:rsid w:val="000D394B"/>
    <w:rsid w:val="000D3A44"/>
    <w:rsid w:val="000D418C"/>
    <w:rsid w:val="000D6AA5"/>
    <w:rsid w:val="000D720E"/>
    <w:rsid w:val="000D752A"/>
    <w:rsid w:val="000D7580"/>
    <w:rsid w:val="000E0415"/>
    <w:rsid w:val="000E07EF"/>
    <w:rsid w:val="000E08BC"/>
    <w:rsid w:val="000E0AAA"/>
    <w:rsid w:val="000E0EE0"/>
    <w:rsid w:val="000E1531"/>
    <w:rsid w:val="000E2262"/>
    <w:rsid w:val="000E28BB"/>
    <w:rsid w:val="000E2FEC"/>
    <w:rsid w:val="000E41FF"/>
    <w:rsid w:val="000E5A44"/>
    <w:rsid w:val="000E60A4"/>
    <w:rsid w:val="000E701A"/>
    <w:rsid w:val="000F04A0"/>
    <w:rsid w:val="000F0840"/>
    <w:rsid w:val="000F0BFC"/>
    <w:rsid w:val="000F0E07"/>
    <w:rsid w:val="000F0F04"/>
    <w:rsid w:val="000F1C74"/>
    <w:rsid w:val="000F239C"/>
    <w:rsid w:val="000F2DB0"/>
    <w:rsid w:val="000F59F0"/>
    <w:rsid w:val="000F5C18"/>
    <w:rsid w:val="000F7431"/>
    <w:rsid w:val="000F7B95"/>
    <w:rsid w:val="0010027F"/>
    <w:rsid w:val="00102D15"/>
    <w:rsid w:val="00102F38"/>
    <w:rsid w:val="00103023"/>
    <w:rsid w:val="00104E35"/>
    <w:rsid w:val="00105DEF"/>
    <w:rsid w:val="00106169"/>
    <w:rsid w:val="00106ACD"/>
    <w:rsid w:val="00106F74"/>
    <w:rsid w:val="0010748A"/>
    <w:rsid w:val="00110639"/>
    <w:rsid w:val="00110B1B"/>
    <w:rsid w:val="0011107F"/>
    <w:rsid w:val="00111085"/>
    <w:rsid w:val="00111287"/>
    <w:rsid w:val="00111E9E"/>
    <w:rsid w:val="00114534"/>
    <w:rsid w:val="00114D5A"/>
    <w:rsid w:val="00115214"/>
    <w:rsid w:val="0011526D"/>
    <w:rsid w:val="0011529F"/>
    <w:rsid w:val="0011568E"/>
    <w:rsid w:val="001156AA"/>
    <w:rsid w:val="00115A2D"/>
    <w:rsid w:val="00115DBB"/>
    <w:rsid w:val="001165F3"/>
    <w:rsid w:val="00116F08"/>
    <w:rsid w:val="00117347"/>
    <w:rsid w:val="00120EEE"/>
    <w:rsid w:val="001220B8"/>
    <w:rsid w:val="00122348"/>
    <w:rsid w:val="001224E9"/>
    <w:rsid w:val="00124359"/>
    <w:rsid w:val="00124AAB"/>
    <w:rsid w:val="0012515D"/>
    <w:rsid w:val="001252E1"/>
    <w:rsid w:val="00125F67"/>
    <w:rsid w:val="001267AB"/>
    <w:rsid w:val="001268F8"/>
    <w:rsid w:val="00126C7B"/>
    <w:rsid w:val="00126EA1"/>
    <w:rsid w:val="00127730"/>
    <w:rsid w:val="001300BA"/>
    <w:rsid w:val="001300D9"/>
    <w:rsid w:val="00130689"/>
    <w:rsid w:val="001309A4"/>
    <w:rsid w:val="00130E4C"/>
    <w:rsid w:val="00131B62"/>
    <w:rsid w:val="0013209E"/>
    <w:rsid w:val="00132D92"/>
    <w:rsid w:val="00133AB5"/>
    <w:rsid w:val="00133C7A"/>
    <w:rsid w:val="00134142"/>
    <w:rsid w:val="001346C5"/>
    <w:rsid w:val="00135288"/>
    <w:rsid w:val="001358AC"/>
    <w:rsid w:val="00135A41"/>
    <w:rsid w:val="00135B22"/>
    <w:rsid w:val="00135DF0"/>
    <w:rsid w:val="0013624F"/>
    <w:rsid w:val="001366BF"/>
    <w:rsid w:val="0013673C"/>
    <w:rsid w:val="00136B2E"/>
    <w:rsid w:val="001373D4"/>
    <w:rsid w:val="00137508"/>
    <w:rsid w:val="00137553"/>
    <w:rsid w:val="001375EF"/>
    <w:rsid w:val="00137CB8"/>
    <w:rsid w:val="001400AC"/>
    <w:rsid w:val="00141D30"/>
    <w:rsid w:val="0014278E"/>
    <w:rsid w:val="0014286F"/>
    <w:rsid w:val="00143635"/>
    <w:rsid w:val="00144940"/>
    <w:rsid w:val="001451CC"/>
    <w:rsid w:val="00145C80"/>
    <w:rsid w:val="001462D0"/>
    <w:rsid w:val="0014748B"/>
    <w:rsid w:val="00147EC1"/>
    <w:rsid w:val="001504EE"/>
    <w:rsid w:val="00150B5E"/>
    <w:rsid w:val="0015114A"/>
    <w:rsid w:val="00152372"/>
    <w:rsid w:val="00153D51"/>
    <w:rsid w:val="00153FEE"/>
    <w:rsid w:val="001545BC"/>
    <w:rsid w:val="001548CB"/>
    <w:rsid w:val="00154DBF"/>
    <w:rsid w:val="00155E10"/>
    <w:rsid w:val="0015663F"/>
    <w:rsid w:val="001570C1"/>
    <w:rsid w:val="001611AD"/>
    <w:rsid w:val="0016197D"/>
    <w:rsid w:val="00162157"/>
    <w:rsid w:val="001627E7"/>
    <w:rsid w:val="0016300E"/>
    <w:rsid w:val="001632D0"/>
    <w:rsid w:val="0016496C"/>
    <w:rsid w:val="00164F81"/>
    <w:rsid w:val="00165EF6"/>
    <w:rsid w:val="00165FE4"/>
    <w:rsid w:val="0016689B"/>
    <w:rsid w:val="00166FCB"/>
    <w:rsid w:val="001676E4"/>
    <w:rsid w:val="0016771F"/>
    <w:rsid w:val="00170FB8"/>
    <w:rsid w:val="00171D19"/>
    <w:rsid w:val="0017248B"/>
    <w:rsid w:val="00172A5D"/>
    <w:rsid w:val="0017360B"/>
    <w:rsid w:val="0017370F"/>
    <w:rsid w:val="001738DF"/>
    <w:rsid w:val="00173C41"/>
    <w:rsid w:val="00173E97"/>
    <w:rsid w:val="00174656"/>
    <w:rsid w:val="00175555"/>
    <w:rsid w:val="0017740F"/>
    <w:rsid w:val="0017788D"/>
    <w:rsid w:val="00177BAC"/>
    <w:rsid w:val="00177CC0"/>
    <w:rsid w:val="001811F3"/>
    <w:rsid w:val="0018231A"/>
    <w:rsid w:val="00183165"/>
    <w:rsid w:val="001832CD"/>
    <w:rsid w:val="001832E3"/>
    <w:rsid w:val="001840B9"/>
    <w:rsid w:val="00185A05"/>
    <w:rsid w:val="00186CD8"/>
    <w:rsid w:val="001877B1"/>
    <w:rsid w:val="00187B09"/>
    <w:rsid w:val="001906C3"/>
    <w:rsid w:val="00190932"/>
    <w:rsid w:val="00191C1C"/>
    <w:rsid w:val="00192EC3"/>
    <w:rsid w:val="00193CE7"/>
    <w:rsid w:val="00194530"/>
    <w:rsid w:val="001945BD"/>
    <w:rsid w:val="00195E9D"/>
    <w:rsid w:val="00195F43"/>
    <w:rsid w:val="0019664D"/>
    <w:rsid w:val="00196744"/>
    <w:rsid w:val="0019739A"/>
    <w:rsid w:val="00197827"/>
    <w:rsid w:val="00197EB3"/>
    <w:rsid w:val="001A0A94"/>
    <w:rsid w:val="001A2D4F"/>
    <w:rsid w:val="001A33B0"/>
    <w:rsid w:val="001A34A2"/>
    <w:rsid w:val="001A3E00"/>
    <w:rsid w:val="001A40A0"/>
    <w:rsid w:val="001A5069"/>
    <w:rsid w:val="001A5F93"/>
    <w:rsid w:val="001A66E9"/>
    <w:rsid w:val="001A6A80"/>
    <w:rsid w:val="001A6CE6"/>
    <w:rsid w:val="001B0BC0"/>
    <w:rsid w:val="001B15F1"/>
    <w:rsid w:val="001B1B29"/>
    <w:rsid w:val="001B2FA1"/>
    <w:rsid w:val="001B412D"/>
    <w:rsid w:val="001B43B8"/>
    <w:rsid w:val="001B4B04"/>
    <w:rsid w:val="001B4E46"/>
    <w:rsid w:val="001B5AF6"/>
    <w:rsid w:val="001B649A"/>
    <w:rsid w:val="001B6CE0"/>
    <w:rsid w:val="001B7229"/>
    <w:rsid w:val="001B7425"/>
    <w:rsid w:val="001B7F2B"/>
    <w:rsid w:val="001C0BE5"/>
    <w:rsid w:val="001C2437"/>
    <w:rsid w:val="001C2651"/>
    <w:rsid w:val="001C43E4"/>
    <w:rsid w:val="001C5CEF"/>
    <w:rsid w:val="001C6663"/>
    <w:rsid w:val="001C6854"/>
    <w:rsid w:val="001C7895"/>
    <w:rsid w:val="001C7B1C"/>
    <w:rsid w:val="001D0218"/>
    <w:rsid w:val="001D0280"/>
    <w:rsid w:val="001D1186"/>
    <w:rsid w:val="001D18E8"/>
    <w:rsid w:val="001D2523"/>
    <w:rsid w:val="001D25CE"/>
    <w:rsid w:val="001D26DF"/>
    <w:rsid w:val="001D2AE3"/>
    <w:rsid w:val="001D2B91"/>
    <w:rsid w:val="001D3183"/>
    <w:rsid w:val="001D448B"/>
    <w:rsid w:val="001D59B2"/>
    <w:rsid w:val="001D5ABC"/>
    <w:rsid w:val="001D6EAC"/>
    <w:rsid w:val="001D79BA"/>
    <w:rsid w:val="001E01E5"/>
    <w:rsid w:val="001E0EC3"/>
    <w:rsid w:val="001E13B2"/>
    <w:rsid w:val="001E2427"/>
    <w:rsid w:val="001E2993"/>
    <w:rsid w:val="001E2A42"/>
    <w:rsid w:val="001E4105"/>
    <w:rsid w:val="001E428B"/>
    <w:rsid w:val="001E4813"/>
    <w:rsid w:val="001E4AC6"/>
    <w:rsid w:val="001E4EAF"/>
    <w:rsid w:val="001E5352"/>
    <w:rsid w:val="001E575F"/>
    <w:rsid w:val="001E5F90"/>
    <w:rsid w:val="001E609E"/>
    <w:rsid w:val="001E6D67"/>
    <w:rsid w:val="001E7A4B"/>
    <w:rsid w:val="001F1516"/>
    <w:rsid w:val="001F1552"/>
    <w:rsid w:val="001F1EAB"/>
    <w:rsid w:val="001F26F9"/>
    <w:rsid w:val="001F31F1"/>
    <w:rsid w:val="001F3234"/>
    <w:rsid w:val="001F35CB"/>
    <w:rsid w:val="001F640D"/>
    <w:rsid w:val="001F6778"/>
    <w:rsid w:val="001F6DE2"/>
    <w:rsid w:val="001F73AB"/>
    <w:rsid w:val="001F7EF0"/>
    <w:rsid w:val="00200A42"/>
    <w:rsid w:val="00200AD8"/>
    <w:rsid w:val="00202418"/>
    <w:rsid w:val="00202AF2"/>
    <w:rsid w:val="00202B94"/>
    <w:rsid w:val="00203188"/>
    <w:rsid w:val="00203867"/>
    <w:rsid w:val="00203F20"/>
    <w:rsid w:val="0020484A"/>
    <w:rsid w:val="002058F4"/>
    <w:rsid w:val="00206A72"/>
    <w:rsid w:val="00206E5E"/>
    <w:rsid w:val="0020735F"/>
    <w:rsid w:val="00211221"/>
    <w:rsid w:val="00211528"/>
    <w:rsid w:val="00211E0B"/>
    <w:rsid w:val="002126A7"/>
    <w:rsid w:val="00212E6E"/>
    <w:rsid w:val="00213069"/>
    <w:rsid w:val="00213EB1"/>
    <w:rsid w:val="0021531D"/>
    <w:rsid w:val="00215462"/>
    <w:rsid w:val="00216A13"/>
    <w:rsid w:val="00216B65"/>
    <w:rsid w:val="00216DAE"/>
    <w:rsid w:val="00217D1D"/>
    <w:rsid w:val="002200BC"/>
    <w:rsid w:val="0022045D"/>
    <w:rsid w:val="00220B8E"/>
    <w:rsid w:val="00221B29"/>
    <w:rsid w:val="00222DA8"/>
    <w:rsid w:val="00222EB0"/>
    <w:rsid w:val="00224360"/>
    <w:rsid w:val="00225C15"/>
    <w:rsid w:val="00225CED"/>
    <w:rsid w:val="00227E2D"/>
    <w:rsid w:val="00227F84"/>
    <w:rsid w:val="00230FAA"/>
    <w:rsid w:val="00231C93"/>
    <w:rsid w:val="00232809"/>
    <w:rsid w:val="00232E70"/>
    <w:rsid w:val="0023403C"/>
    <w:rsid w:val="0023495F"/>
    <w:rsid w:val="00235B86"/>
    <w:rsid w:val="00235C2A"/>
    <w:rsid w:val="0023698C"/>
    <w:rsid w:val="00237F31"/>
    <w:rsid w:val="002405A7"/>
    <w:rsid w:val="00240C33"/>
    <w:rsid w:val="00240D71"/>
    <w:rsid w:val="00241101"/>
    <w:rsid w:val="00241970"/>
    <w:rsid w:val="002434D5"/>
    <w:rsid w:val="0024371C"/>
    <w:rsid w:val="00245A64"/>
    <w:rsid w:val="0024638D"/>
    <w:rsid w:val="00246803"/>
    <w:rsid w:val="00246F3E"/>
    <w:rsid w:val="00247070"/>
    <w:rsid w:val="002472E6"/>
    <w:rsid w:val="002476D8"/>
    <w:rsid w:val="00251126"/>
    <w:rsid w:val="00251238"/>
    <w:rsid w:val="00253ADD"/>
    <w:rsid w:val="00253FC2"/>
    <w:rsid w:val="00254B5B"/>
    <w:rsid w:val="00255C05"/>
    <w:rsid w:val="002562B8"/>
    <w:rsid w:val="00256328"/>
    <w:rsid w:val="00256F9D"/>
    <w:rsid w:val="00260DAB"/>
    <w:rsid w:val="0026133D"/>
    <w:rsid w:val="0026141F"/>
    <w:rsid w:val="002618E7"/>
    <w:rsid w:val="00262480"/>
    <w:rsid w:val="00262E3A"/>
    <w:rsid w:val="00263068"/>
    <w:rsid w:val="002631E7"/>
    <w:rsid w:val="00263A97"/>
    <w:rsid w:val="0026460E"/>
    <w:rsid w:val="00264B24"/>
    <w:rsid w:val="00264F7E"/>
    <w:rsid w:val="0026575B"/>
    <w:rsid w:val="00265D10"/>
    <w:rsid w:val="00266044"/>
    <w:rsid w:val="00266B47"/>
    <w:rsid w:val="00267430"/>
    <w:rsid w:val="002676AE"/>
    <w:rsid w:val="00267DB2"/>
    <w:rsid w:val="00267F1A"/>
    <w:rsid w:val="00270621"/>
    <w:rsid w:val="00271195"/>
    <w:rsid w:val="002711EB"/>
    <w:rsid w:val="00272644"/>
    <w:rsid w:val="00275328"/>
    <w:rsid w:val="002756BF"/>
    <w:rsid w:val="00275706"/>
    <w:rsid w:val="00275D0C"/>
    <w:rsid w:val="00275E83"/>
    <w:rsid w:val="002769E0"/>
    <w:rsid w:val="00276D78"/>
    <w:rsid w:val="00276FF5"/>
    <w:rsid w:val="002775FB"/>
    <w:rsid w:val="00277624"/>
    <w:rsid w:val="0027798F"/>
    <w:rsid w:val="00277D58"/>
    <w:rsid w:val="00280144"/>
    <w:rsid w:val="00280C9A"/>
    <w:rsid w:val="00280F6A"/>
    <w:rsid w:val="002820B1"/>
    <w:rsid w:val="002828B1"/>
    <w:rsid w:val="0028394B"/>
    <w:rsid w:val="00283ACD"/>
    <w:rsid w:val="00283CA8"/>
    <w:rsid w:val="0028411C"/>
    <w:rsid w:val="00285CD3"/>
    <w:rsid w:val="00286477"/>
    <w:rsid w:val="002873FB"/>
    <w:rsid w:val="00287767"/>
    <w:rsid w:val="00287864"/>
    <w:rsid w:val="00287AC8"/>
    <w:rsid w:val="00287C0E"/>
    <w:rsid w:val="002908AC"/>
    <w:rsid w:val="00291560"/>
    <w:rsid w:val="00291611"/>
    <w:rsid w:val="002928CD"/>
    <w:rsid w:val="00293470"/>
    <w:rsid w:val="0029372B"/>
    <w:rsid w:val="002937D0"/>
    <w:rsid w:val="00294431"/>
    <w:rsid w:val="00294703"/>
    <w:rsid w:val="00295088"/>
    <w:rsid w:val="0029649E"/>
    <w:rsid w:val="0029653B"/>
    <w:rsid w:val="002965EA"/>
    <w:rsid w:val="002A00F7"/>
    <w:rsid w:val="002A023E"/>
    <w:rsid w:val="002A0447"/>
    <w:rsid w:val="002A0877"/>
    <w:rsid w:val="002A1180"/>
    <w:rsid w:val="002A1295"/>
    <w:rsid w:val="002A1A5C"/>
    <w:rsid w:val="002A21B2"/>
    <w:rsid w:val="002A28A8"/>
    <w:rsid w:val="002A2ECD"/>
    <w:rsid w:val="002A35C6"/>
    <w:rsid w:val="002A3904"/>
    <w:rsid w:val="002A3B9D"/>
    <w:rsid w:val="002A40DB"/>
    <w:rsid w:val="002A50DD"/>
    <w:rsid w:val="002A552D"/>
    <w:rsid w:val="002A6607"/>
    <w:rsid w:val="002B03F3"/>
    <w:rsid w:val="002B0957"/>
    <w:rsid w:val="002B0A9B"/>
    <w:rsid w:val="002B1290"/>
    <w:rsid w:val="002B12B6"/>
    <w:rsid w:val="002B1B72"/>
    <w:rsid w:val="002B1C3B"/>
    <w:rsid w:val="002B20E7"/>
    <w:rsid w:val="002B2253"/>
    <w:rsid w:val="002B245D"/>
    <w:rsid w:val="002B2983"/>
    <w:rsid w:val="002B34DF"/>
    <w:rsid w:val="002B3B17"/>
    <w:rsid w:val="002B4232"/>
    <w:rsid w:val="002B4D46"/>
    <w:rsid w:val="002B56D9"/>
    <w:rsid w:val="002B648F"/>
    <w:rsid w:val="002B72B9"/>
    <w:rsid w:val="002B7516"/>
    <w:rsid w:val="002B783E"/>
    <w:rsid w:val="002B7D62"/>
    <w:rsid w:val="002C06DF"/>
    <w:rsid w:val="002C196E"/>
    <w:rsid w:val="002C33FF"/>
    <w:rsid w:val="002C34C6"/>
    <w:rsid w:val="002C3AB6"/>
    <w:rsid w:val="002C3E39"/>
    <w:rsid w:val="002C4580"/>
    <w:rsid w:val="002C69E8"/>
    <w:rsid w:val="002C7357"/>
    <w:rsid w:val="002C7CE5"/>
    <w:rsid w:val="002D05B5"/>
    <w:rsid w:val="002D0A72"/>
    <w:rsid w:val="002D0B06"/>
    <w:rsid w:val="002D3126"/>
    <w:rsid w:val="002D32C2"/>
    <w:rsid w:val="002D3E65"/>
    <w:rsid w:val="002D441E"/>
    <w:rsid w:val="002D4757"/>
    <w:rsid w:val="002D6039"/>
    <w:rsid w:val="002D6C5D"/>
    <w:rsid w:val="002D6F61"/>
    <w:rsid w:val="002D70EE"/>
    <w:rsid w:val="002D7A23"/>
    <w:rsid w:val="002E1A64"/>
    <w:rsid w:val="002E2891"/>
    <w:rsid w:val="002E3A4D"/>
    <w:rsid w:val="002E3A7A"/>
    <w:rsid w:val="002E3C63"/>
    <w:rsid w:val="002E42C4"/>
    <w:rsid w:val="002E45A0"/>
    <w:rsid w:val="002E69D4"/>
    <w:rsid w:val="002E6BDF"/>
    <w:rsid w:val="002E742A"/>
    <w:rsid w:val="002E7FEA"/>
    <w:rsid w:val="002F00F1"/>
    <w:rsid w:val="002F044D"/>
    <w:rsid w:val="002F0B18"/>
    <w:rsid w:val="002F2B2E"/>
    <w:rsid w:val="002F2FFF"/>
    <w:rsid w:val="002F3388"/>
    <w:rsid w:val="002F36D2"/>
    <w:rsid w:val="002F3B10"/>
    <w:rsid w:val="002F3EDE"/>
    <w:rsid w:val="002F4B93"/>
    <w:rsid w:val="002F5000"/>
    <w:rsid w:val="002F5570"/>
    <w:rsid w:val="002F5674"/>
    <w:rsid w:val="002F6148"/>
    <w:rsid w:val="002F62AC"/>
    <w:rsid w:val="002F6404"/>
    <w:rsid w:val="002F6E0F"/>
    <w:rsid w:val="002F71DD"/>
    <w:rsid w:val="002F777C"/>
    <w:rsid w:val="003005AD"/>
    <w:rsid w:val="00300739"/>
    <w:rsid w:val="0030114A"/>
    <w:rsid w:val="00302DD8"/>
    <w:rsid w:val="00302FC2"/>
    <w:rsid w:val="00303F5F"/>
    <w:rsid w:val="003045B2"/>
    <w:rsid w:val="00304701"/>
    <w:rsid w:val="003050A7"/>
    <w:rsid w:val="003052AE"/>
    <w:rsid w:val="0030539D"/>
    <w:rsid w:val="00305B25"/>
    <w:rsid w:val="003071BE"/>
    <w:rsid w:val="00307B72"/>
    <w:rsid w:val="0031078E"/>
    <w:rsid w:val="003107FA"/>
    <w:rsid w:val="00311728"/>
    <w:rsid w:val="00311C15"/>
    <w:rsid w:val="00312F82"/>
    <w:rsid w:val="00313290"/>
    <w:rsid w:val="003135B5"/>
    <w:rsid w:val="00315F4D"/>
    <w:rsid w:val="003160CC"/>
    <w:rsid w:val="0031661E"/>
    <w:rsid w:val="00317109"/>
    <w:rsid w:val="003178EA"/>
    <w:rsid w:val="0032099D"/>
    <w:rsid w:val="00320BFF"/>
    <w:rsid w:val="00320E1A"/>
    <w:rsid w:val="003212D7"/>
    <w:rsid w:val="003215FD"/>
    <w:rsid w:val="00322850"/>
    <w:rsid w:val="003229D8"/>
    <w:rsid w:val="00322B44"/>
    <w:rsid w:val="00324A00"/>
    <w:rsid w:val="00325707"/>
    <w:rsid w:val="00326949"/>
    <w:rsid w:val="00326FDB"/>
    <w:rsid w:val="00327B03"/>
    <w:rsid w:val="00327D89"/>
    <w:rsid w:val="003307F1"/>
    <w:rsid w:val="00330A10"/>
    <w:rsid w:val="00330D86"/>
    <w:rsid w:val="00330E4D"/>
    <w:rsid w:val="00331822"/>
    <w:rsid w:val="003328B9"/>
    <w:rsid w:val="00332DBC"/>
    <w:rsid w:val="00334664"/>
    <w:rsid w:val="00334930"/>
    <w:rsid w:val="00334D6A"/>
    <w:rsid w:val="00334E6B"/>
    <w:rsid w:val="00335A14"/>
    <w:rsid w:val="003360E3"/>
    <w:rsid w:val="00336DD9"/>
    <w:rsid w:val="00336FD2"/>
    <w:rsid w:val="0033740F"/>
    <w:rsid w:val="0033745A"/>
    <w:rsid w:val="00337893"/>
    <w:rsid w:val="003401AD"/>
    <w:rsid w:val="0034151C"/>
    <w:rsid w:val="003425C2"/>
    <w:rsid w:val="00342F91"/>
    <w:rsid w:val="003448B0"/>
    <w:rsid w:val="0034513E"/>
    <w:rsid w:val="00345D32"/>
    <w:rsid w:val="00345F31"/>
    <w:rsid w:val="0034615C"/>
    <w:rsid w:val="00346755"/>
    <w:rsid w:val="00346B5E"/>
    <w:rsid w:val="00346D33"/>
    <w:rsid w:val="0034753B"/>
    <w:rsid w:val="00350879"/>
    <w:rsid w:val="00350956"/>
    <w:rsid w:val="003522AC"/>
    <w:rsid w:val="00353040"/>
    <w:rsid w:val="003539CE"/>
    <w:rsid w:val="00353CF4"/>
    <w:rsid w:val="0035560F"/>
    <w:rsid w:val="00356018"/>
    <w:rsid w:val="003569B5"/>
    <w:rsid w:val="00357848"/>
    <w:rsid w:val="003610D5"/>
    <w:rsid w:val="00361552"/>
    <w:rsid w:val="00362B3E"/>
    <w:rsid w:val="00362E9F"/>
    <w:rsid w:val="003633AF"/>
    <w:rsid w:val="0036347F"/>
    <w:rsid w:val="003639E4"/>
    <w:rsid w:val="00363C49"/>
    <w:rsid w:val="00364BCF"/>
    <w:rsid w:val="00365502"/>
    <w:rsid w:val="00366922"/>
    <w:rsid w:val="003700D2"/>
    <w:rsid w:val="00370AB6"/>
    <w:rsid w:val="00372440"/>
    <w:rsid w:val="00372524"/>
    <w:rsid w:val="003747AC"/>
    <w:rsid w:val="00374F72"/>
    <w:rsid w:val="00374FCB"/>
    <w:rsid w:val="00375851"/>
    <w:rsid w:val="003760B0"/>
    <w:rsid w:val="0037641A"/>
    <w:rsid w:val="003774A3"/>
    <w:rsid w:val="003776C6"/>
    <w:rsid w:val="00377DAA"/>
    <w:rsid w:val="003811A4"/>
    <w:rsid w:val="00381C62"/>
    <w:rsid w:val="00382159"/>
    <w:rsid w:val="00382AB7"/>
    <w:rsid w:val="00383000"/>
    <w:rsid w:val="00383F18"/>
    <w:rsid w:val="003843EA"/>
    <w:rsid w:val="00384563"/>
    <w:rsid w:val="0038481B"/>
    <w:rsid w:val="00384CF4"/>
    <w:rsid w:val="0038565C"/>
    <w:rsid w:val="0038623D"/>
    <w:rsid w:val="00386D55"/>
    <w:rsid w:val="003873BA"/>
    <w:rsid w:val="00387C11"/>
    <w:rsid w:val="00387DA0"/>
    <w:rsid w:val="00390CDD"/>
    <w:rsid w:val="00391605"/>
    <w:rsid w:val="0039199C"/>
    <w:rsid w:val="00391E28"/>
    <w:rsid w:val="00392253"/>
    <w:rsid w:val="0039277A"/>
    <w:rsid w:val="0039281C"/>
    <w:rsid w:val="00393BC1"/>
    <w:rsid w:val="00394911"/>
    <w:rsid w:val="003953CC"/>
    <w:rsid w:val="0039544A"/>
    <w:rsid w:val="00395E17"/>
    <w:rsid w:val="00396491"/>
    <w:rsid w:val="003966EF"/>
    <w:rsid w:val="00397075"/>
    <w:rsid w:val="003972E0"/>
    <w:rsid w:val="00397740"/>
    <w:rsid w:val="003A25AC"/>
    <w:rsid w:val="003A2B2B"/>
    <w:rsid w:val="003A3A35"/>
    <w:rsid w:val="003A3B4B"/>
    <w:rsid w:val="003A407F"/>
    <w:rsid w:val="003A464A"/>
    <w:rsid w:val="003A4AF5"/>
    <w:rsid w:val="003A51B5"/>
    <w:rsid w:val="003A6F6E"/>
    <w:rsid w:val="003A748E"/>
    <w:rsid w:val="003A7EF2"/>
    <w:rsid w:val="003A7F0D"/>
    <w:rsid w:val="003B01B2"/>
    <w:rsid w:val="003B01B7"/>
    <w:rsid w:val="003B128F"/>
    <w:rsid w:val="003B17EB"/>
    <w:rsid w:val="003B3E94"/>
    <w:rsid w:val="003B3F0D"/>
    <w:rsid w:val="003B4525"/>
    <w:rsid w:val="003B6508"/>
    <w:rsid w:val="003B6657"/>
    <w:rsid w:val="003B71EC"/>
    <w:rsid w:val="003B733B"/>
    <w:rsid w:val="003B7E4C"/>
    <w:rsid w:val="003C0287"/>
    <w:rsid w:val="003C0F84"/>
    <w:rsid w:val="003C2CC4"/>
    <w:rsid w:val="003C2FDD"/>
    <w:rsid w:val="003C31F9"/>
    <w:rsid w:val="003C322E"/>
    <w:rsid w:val="003C3580"/>
    <w:rsid w:val="003C3936"/>
    <w:rsid w:val="003C415B"/>
    <w:rsid w:val="003C45C3"/>
    <w:rsid w:val="003C485B"/>
    <w:rsid w:val="003C6C3A"/>
    <w:rsid w:val="003C7044"/>
    <w:rsid w:val="003C7082"/>
    <w:rsid w:val="003C747B"/>
    <w:rsid w:val="003C7CEF"/>
    <w:rsid w:val="003D035E"/>
    <w:rsid w:val="003D1D4B"/>
    <w:rsid w:val="003D2065"/>
    <w:rsid w:val="003D2487"/>
    <w:rsid w:val="003D2A4A"/>
    <w:rsid w:val="003D2AA1"/>
    <w:rsid w:val="003D33B2"/>
    <w:rsid w:val="003D4420"/>
    <w:rsid w:val="003D4B23"/>
    <w:rsid w:val="003D4F8E"/>
    <w:rsid w:val="003D5235"/>
    <w:rsid w:val="003D56F4"/>
    <w:rsid w:val="003D5AB8"/>
    <w:rsid w:val="003D5BA1"/>
    <w:rsid w:val="003D6289"/>
    <w:rsid w:val="003D661E"/>
    <w:rsid w:val="003D6A11"/>
    <w:rsid w:val="003E0850"/>
    <w:rsid w:val="003E1411"/>
    <w:rsid w:val="003E2062"/>
    <w:rsid w:val="003E23A6"/>
    <w:rsid w:val="003E26A1"/>
    <w:rsid w:val="003E2BB1"/>
    <w:rsid w:val="003E2DCB"/>
    <w:rsid w:val="003E360D"/>
    <w:rsid w:val="003E3829"/>
    <w:rsid w:val="003E3A66"/>
    <w:rsid w:val="003E3F7F"/>
    <w:rsid w:val="003E43CC"/>
    <w:rsid w:val="003E4D34"/>
    <w:rsid w:val="003E631C"/>
    <w:rsid w:val="003E6473"/>
    <w:rsid w:val="003E6A6E"/>
    <w:rsid w:val="003E7507"/>
    <w:rsid w:val="003F0448"/>
    <w:rsid w:val="003F0907"/>
    <w:rsid w:val="003F0969"/>
    <w:rsid w:val="003F16FD"/>
    <w:rsid w:val="003F1ED3"/>
    <w:rsid w:val="003F27BF"/>
    <w:rsid w:val="003F32D9"/>
    <w:rsid w:val="003F3ECA"/>
    <w:rsid w:val="003F4BFC"/>
    <w:rsid w:val="003F5C47"/>
    <w:rsid w:val="003F5E9C"/>
    <w:rsid w:val="003F6285"/>
    <w:rsid w:val="003F6406"/>
    <w:rsid w:val="003F6500"/>
    <w:rsid w:val="003F7DF9"/>
    <w:rsid w:val="004000B9"/>
    <w:rsid w:val="0040099B"/>
    <w:rsid w:val="00401728"/>
    <w:rsid w:val="00401977"/>
    <w:rsid w:val="004020C3"/>
    <w:rsid w:val="00402817"/>
    <w:rsid w:val="00403098"/>
    <w:rsid w:val="00403AC1"/>
    <w:rsid w:val="00403B38"/>
    <w:rsid w:val="00403F06"/>
    <w:rsid w:val="00403FCB"/>
    <w:rsid w:val="00404482"/>
    <w:rsid w:val="00404E45"/>
    <w:rsid w:val="004056A6"/>
    <w:rsid w:val="004064DF"/>
    <w:rsid w:val="00407150"/>
    <w:rsid w:val="004103B7"/>
    <w:rsid w:val="00410845"/>
    <w:rsid w:val="00411E71"/>
    <w:rsid w:val="0041245D"/>
    <w:rsid w:val="00412DC4"/>
    <w:rsid w:val="004143A7"/>
    <w:rsid w:val="00414F51"/>
    <w:rsid w:val="0041688C"/>
    <w:rsid w:val="004177D9"/>
    <w:rsid w:val="00417830"/>
    <w:rsid w:val="00420CED"/>
    <w:rsid w:val="00421BE5"/>
    <w:rsid w:val="00422461"/>
    <w:rsid w:val="004234E6"/>
    <w:rsid w:val="004243C3"/>
    <w:rsid w:val="004248ED"/>
    <w:rsid w:val="00424A40"/>
    <w:rsid w:val="00425645"/>
    <w:rsid w:val="00425E0E"/>
    <w:rsid w:val="0042616B"/>
    <w:rsid w:val="00426B11"/>
    <w:rsid w:val="004276FE"/>
    <w:rsid w:val="00427E01"/>
    <w:rsid w:val="00430EA0"/>
    <w:rsid w:val="00430F4D"/>
    <w:rsid w:val="004317BC"/>
    <w:rsid w:val="0043235B"/>
    <w:rsid w:val="004325CB"/>
    <w:rsid w:val="00432F25"/>
    <w:rsid w:val="00433AE8"/>
    <w:rsid w:val="004346DE"/>
    <w:rsid w:val="004352FF"/>
    <w:rsid w:val="004354D4"/>
    <w:rsid w:val="00435F14"/>
    <w:rsid w:val="00436F5A"/>
    <w:rsid w:val="00437071"/>
    <w:rsid w:val="0043790E"/>
    <w:rsid w:val="00440802"/>
    <w:rsid w:val="00440D10"/>
    <w:rsid w:val="00442C3F"/>
    <w:rsid w:val="00443B43"/>
    <w:rsid w:val="00443B75"/>
    <w:rsid w:val="00443D83"/>
    <w:rsid w:val="0044444C"/>
    <w:rsid w:val="00444D93"/>
    <w:rsid w:val="004457F9"/>
    <w:rsid w:val="00446617"/>
    <w:rsid w:val="00446DE4"/>
    <w:rsid w:val="00446E64"/>
    <w:rsid w:val="00447ACD"/>
    <w:rsid w:val="0045008F"/>
    <w:rsid w:val="004501A7"/>
    <w:rsid w:val="004502C4"/>
    <w:rsid w:val="004506EB"/>
    <w:rsid w:val="0045083F"/>
    <w:rsid w:val="00451BCB"/>
    <w:rsid w:val="00453AB5"/>
    <w:rsid w:val="00454210"/>
    <w:rsid w:val="00455103"/>
    <w:rsid w:val="00455DC8"/>
    <w:rsid w:val="00456400"/>
    <w:rsid w:val="004574C2"/>
    <w:rsid w:val="004578AC"/>
    <w:rsid w:val="00457CB9"/>
    <w:rsid w:val="00457DF1"/>
    <w:rsid w:val="00460803"/>
    <w:rsid w:val="00461377"/>
    <w:rsid w:val="004616E1"/>
    <w:rsid w:val="004634D3"/>
    <w:rsid w:val="00463F60"/>
    <w:rsid w:val="00464217"/>
    <w:rsid w:val="004651D3"/>
    <w:rsid w:val="004659D7"/>
    <w:rsid w:val="00465A58"/>
    <w:rsid w:val="00466823"/>
    <w:rsid w:val="00466E68"/>
    <w:rsid w:val="0046712A"/>
    <w:rsid w:val="004708EC"/>
    <w:rsid w:val="00470AB6"/>
    <w:rsid w:val="00471193"/>
    <w:rsid w:val="004713AF"/>
    <w:rsid w:val="00471657"/>
    <w:rsid w:val="00472793"/>
    <w:rsid w:val="00472F34"/>
    <w:rsid w:val="00473987"/>
    <w:rsid w:val="00473AAC"/>
    <w:rsid w:val="00474450"/>
    <w:rsid w:val="004756E4"/>
    <w:rsid w:val="00475B46"/>
    <w:rsid w:val="00477113"/>
    <w:rsid w:val="0047798C"/>
    <w:rsid w:val="00477A02"/>
    <w:rsid w:val="00477A04"/>
    <w:rsid w:val="00477A54"/>
    <w:rsid w:val="0048028F"/>
    <w:rsid w:val="00480E77"/>
    <w:rsid w:val="00481232"/>
    <w:rsid w:val="0048195B"/>
    <w:rsid w:val="00482392"/>
    <w:rsid w:val="00482B84"/>
    <w:rsid w:val="00483368"/>
    <w:rsid w:val="00483744"/>
    <w:rsid w:val="00484F4E"/>
    <w:rsid w:val="0048567A"/>
    <w:rsid w:val="00485727"/>
    <w:rsid w:val="00485815"/>
    <w:rsid w:val="004858F7"/>
    <w:rsid w:val="004864BA"/>
    <w:rsid w:val="004871BD"/>
    <w:rsid w:val="004909F0"/>
    <w:rsid w:val="00491098"/>
    <w:rsid w:val="004911C7"/>
    <w:rsid w:val="00492039"/>
    <w:rsid w:val="00492DD0"/>
    <w:rsid w:val="00492FCE"/>
    <w:rsid w:val="004936EA"/>
    <w:rsid w:val="004940A7"/>
    <w:rsid w:val="004947F3"/>
    <w:rsid w:val="004956DC"/>
    <w:rsid w:val="004964DE"/>
    <w:rsid w:val="004978F9"/>
    <w:rsid w:val="004A0F33"/>
    <w:rsid w:val="004A1C61"/>
    <w:rsid w:val="004A1CA9"/>
    <w:rsid w:val="004A1E99"/>
    <w:rsid w:val="004A1F1B"/>
    <w:rsid w:val="004A2051"/>
    <w:rsid w:val="004A27DC"/>
    <w:rsid w:val="004A40CC"/>
    <w:rsid w:val="004A41CA"/>
    <w:rsid w:val="004A550F"/>
    <w:rsid w:val="004A5F3E"/>
    <w:rsid w:val="004A6A8F"/>
    <w:rsid w:val="004A6BA0"/>
    <w:rsid w:val="004A6CC5"/>
    <w:rsid w:val="004A7FFD"/>
    <w:rsid w:val="004B0A33"/>
    <w:rsid w:val="004B1385"/>
    <w:rsid w:val="004B24B2"/>
    <w:rsid w:val="004B2682"/>
    <w:rsid w:val="004B340C"/>
    <w:rsid w:val="004B354B"/>
    <w:rsid w:val="004B3699"/>
    <w:rsid w:val="004B3DF9"/>
    <w:rsid w:val="004B40B2"/>
    <w:rsid w:val="004B454B"/>
    <w:rsid w:val="004B5A54"/>
    <w:rsid w:val="004B6427"/>
    <w:rsid w:val="004B6C04"/>
    <w:rsid w:val="004B6D8C"/>
    <w:rsid w:val="004B752D"/>
    <w:rsid w:val="004B7864"/>
    <w:rsid w:val="004B7BBF"/>
    <w:rsid w:val="004C09D5"/>
    <w:rsid w:val="004C0C62"/>
    <w:rsid w:val="004C0F93"/>
    <w:rsid w:val="004C11E3"/>
    <w:rsid w:val="004C2C79"/>
    <w:rsid w:val="004C3424"/>
    <w:rsid w:val="004C415D"/>
    <w:rsid w:val="004C49BC"/>
    <w:rsid w:val="004C5203"/>
    <w:rsid w:val="004C59CD"/>
    <w:rsid w:val="004C5B06"/>
    <w:rsid w:val="004C5B30"/>
    <w:rsid w:val="004C5B66"/>
    <w:rsid w:val="004C62F8"/>
    <w:rsid w:val="004C6E49"/>
    <w:rsid w:val="004C7138"/>
    <w:rsid w:val="004C7717"/>
    <w:rsid w:val="004C7EF1"/>
    <w:rsid w:val="004D0446"/>
    <w:rsid w:val="004D2AEB"/>
    <w:rsid w:val="004D2CE9"/>
    <w:rsid w:val="004D407B"/>
    <w:rsid w:val="004D49C5"/>
    <w:rsid w:val="004D4B60"/>
    <w:rsid w:val="004D4C22"/>
    <w:rsid w:val="004D5843"/>
    <w:rsid w:val="004D6405"/>
    <w:rsid w:val="004D794B"/>
    <w:rsid w:val="004E0E90"/>
    <w:rsid w:val="004E15DB"/>
    <w:rsid w:val="004E22B2"/>
    <w:rsid w:val="004E2631"/>
    <w:rsid w:val="004E3C76"/>
    <w:rsid w:val="004E444A"/>
    <w:rsid w:val="004E4655"/>
    <w:rsid w:val="004E509D"/>
    <w:rsid w:val="004E58EB"/>
    <w:rsid w:val="004E5951"/>
    <w:rsid w:val="004E6A74"/>
    <w:rsid w:val="004E7481"/>
    <w:rsid w:val="004E773A"/>
    <w:rsid w:val="004F0787"/>
    <w:rsid w:val="004F1453"/>
    <w:rsid w:val="004F1A52"/>
    <w:rsid w:val="004F1D03"/>
    <w:rsid w:val="004F239F"/>
    <w:rsid w:val="004F2442"/>
    <w:rsid w:val="004F3283"/>
    <w:rsid w:val="004F3B94"/>
    <w:rsid w:val="004F4545"/>
    <w:rsid w:val="004F46ED"/>
    <w:rsid w:val="004F6664"/>
    <w:rsid w:val="004F6E38"/>
    <w:rsid w:val="004F721F"/>
    <w:rsid w:val="004F7FF4"/>
    <w:rsid w:val="005004E3"/>
    <w:rsid w:val="005006DD"/>
    <w:rsid w:val="00500FFD"/>
    <w:rsid w:val="00501C4A"/>
    <w:rsid w:val="0050220D"/>
    <w:rsid w:val="0050256E"/>
    <w:rsid w:val="005028E8"/>
    <w:rsid w:val="00503228"/>
    <w:rsid w:val="0050349D"/>
    <w:rsid w:val="00504730"/>
    <w:rsid w:val="00504925"/>
    <w:rsid w:val="00504DF2"/>
    <w:rsid w:val="00505384"/>
    <w:rsid w:val="0050568D"/>
    <w:rsid w:val="00505A1C"/>
    <w:rsid w:val="00506524"/>
    <w:rsid w:val="00507A2B"/>
    <w:rsid w:val="005107DB"/>
    <w:rsid w:val="0051084B"/>
    <w:rsid w:val="00511A6C"/>
    <w:rsid w:val="00512263"/>
    <w:rsid w:val="00512303"/>
    <w:rsid w:val="00512AD1"/>
    <w:rsid w:val="0051374C"/>
    <w:rsid w:val="00514043"/>
    <w:rsid w:val="00514B42"/>
    <w:rsid w:val="00514D9F"/>
    <w:rsid w:val="00515E13"/>
    <w:rsid w:val="00515F6E"/>
    <w:rsid w:val="00515F74"/>
    <w:rsid w:val="00516EAC"/>
    <w:rsid w:val="00517366"/>
    <w:rsid w:val="005176DA"/>
    <w:rsid w:val="00517920"/>
    <w:rsid w:val="00517FC8"/>
    <w:rsid w:val="005200F1"/>
    <w:rsid w:val="005207C6"/>
    <w:rsid w:val="0052085B"/>
    <w:rsid w:val="005219A4"/>
    <w:rsid w:val="00523241"/>
    <w:rsid w:val="00523F9B"/>
    <w:rsid w:val="005244A3"/>
    <w:rsid w:val="0052475E"/>
    <w:rsid w:val="00524C9E"/>
    <w:rsid w:val="00524D57"/>
    <w:rsid w:val="00525E41"/>
    <w:rsid w:val="00525EC1"/>
    <w:rsid w:val="00525FDE"/>
    <w:rsid w:val="00526BDB"/>
    <w:rsid w:val="005276AF"/>
    <w:rsid w:val="00527824"/>
    <w:rsid w:val="005303FA"/>
    <w:rsid w:val="0053255D"/>
    <w:rsid w:val="0053290B"/>
    <w:rsid w:val="00535AC4"/>
    <w:rsid w:val="00535CFA"/>
    <w:rsid w:val="00536099"/>
    <w:rsid w:val="00537C14"/>
    <w:rsid w:val="00537F5F"/>
    <w:rsid w:val="00540F13"/>
    <w:rsid w:val="005420F2"/>
    <w:rsid w:val="005423B8"/>
    <w:rsid w:val="00542C13"/>
    <w:rsid w:val="005438FB"/>
    <w:rsid w:val="00544D30"/>
    <w:rsid w:val="005451F6"/>
    <w:rsid w:val="005454DE"/>
    <w:rsid w:val="0054730B"/>
    <w:rsid w:val="005500A8"/>
    <w:rsid w:val="00550D15"/>
    <w:rsid w:val="00550DEE"/>
    <w:rsid w:val="0055125F"/>
    <w:rsid w:val="005516E9"/>
    <w:rsid w:val="00551CF2"/>
    <w:rsid w:val="005521F9"/>
    <w:rsid w:val="005526EF"/>
    <w:rsid w:val="00552D98"/>
    <w:rsid w:val="00553057"/>
    <w:rsid w:val="00553C18"/>
    <w:rsid w:val="00553F12"/>
    <w:rsid w:val="00555F45"/>
    <w:rsid w:val="0055616D"/>
    <w:rsid w:val="00556ED3"/>
    <w:rsid w:val="0055703D"/>
    <w:rsid w:val="005578BA"/>
    <w:rsid w:val="00557BBE"/>
    <w:rsid w:val="00557D2E"/>
    <w:rsid w:val="005604D9"/>
    <w:rsid w:val="00560974"/>
    <w:rsid w:val="00560E44"/>
    <w:rsid w:val="0056146F"/>
    <w:rsid w:val="005615CE"/>
    <w:rsid w:val="00561F2C"/>
    <w:rsid w:val="00563962"/>
    <w:rsid w:val="00564A8C"/>
    <w:rsid w:val="00564EF0"/>
    <w:rsid w:val="005666E1"/>
    <w:rsid w:val="00567492"/>
    <w:rsid w:val="00567FB2"/>
    <w:rsid w:val="00570A1E"/>
    <w:rsid w:val="00570B91"/>
    <w:rsid w:val="00571105"/>
    <w:rsid w:val="00571B2E"/>
    <w:rsid w:val="00571C58"/>
    <w:rsid w:val="00571CB6"/>
    <w:rsid w:val="00572319"/>
    <w:rsid w:val="00572E52"/>
    <w:rsid w:val="00573B20"/>
    <w:rsid w:val="00573E7F"/>
    <w:rsid w:val="00574049"/>
    <w:rsid w:val="00574503"/>
    <w:rsid w:val="00575487"/>
    <w:rsid w:val="00575F87"/>
    <w:rsid w:val="00576094"/>
    <w:rsid w:val="0057614B"/>
    <w:rsid w:val="005762CE"/>
    <w:rsid w:val="0057655D"/>
    <w:rsid w:val="005767B2"/>
    <w:rsid w:val="005778D3"/>
    <w:rsid w:val="00577C7B"/>
    <w:rsid w:val="00580705"/>
    <w:rsid w:val="00580BEA"/>
    <w:rsid w:val="00580D1A"/>
    <w:rsid w:val="00580D41"/>
    <w:rsid w:val="0058171E"/>
    <w:rsid w:val="00582493"/>
    <w:rsid w:val="00582BF3"/>
    <w:rsid w:val="00582D92"/>
    <w:rsid w:val="0058324C"/>
    <w:rsid w:val="005837DD"/>
    <w:rsid w:val="00583DC1"/>
    <w:rsid w:val="00584A7A"/>
    <w:rsid w:val="00585094"/>
    <w:rsid w:val="005850E1"/>
    <w:rsid w:val="005857B9"/>
    <w:rsid w:val="005859C2"/>
    <w:rsid w:val="00585C8C"/>
    <w:rsid w:val="00586719"/>
    <w:rsid w:val="005868AE"/>
    <w:rsid w:val="005903E6"/>
    <w:rsid w:val="00590A62"/>
    <w:rsid w:val="00591F06"/>
    <w:rsid w:val="005928D8"/>
    <w:rsid w:val="00592B8C"/>
    <w:rsid w:val="00592E3F"/>
    <w:rsid w:val="0059319D"/>
    <w:rsid w:val="005931DD"/>
    <w:rsid w:val="005935CA"/>
    <w:rsid w:val="00593850"/>
    <w:rsid w:val="0059485B"/>
    <w:rsid w:val="00595789"/>
    <w:rsid w:val="00595A0F"/>
    <w:rsid w:val="00595C5B"/>
    <w:rsid w:val="00596388"/>
    <w:rsid w:val="005964D7"/>
    <w:rsid w:val="005966E1"/>
    <w:rsid w:val="00596B6E"/>
    <w:rsid w:val="00596C8D"/>
    <w:rsid w:val="005A1ED5"/>
    <w:rsid w:val="005A33F8"/>
    <w:rsid w:val="005A3513"/>
    <w:rsid w:val="005A3AC6"/>
    <w:rsid w:val="005A41D4"/>
    <w:rsid w:val="005A4ED3"/>
    <w:rsid w:val="005A4EE0"/>
    <w:rsid w:val="005A5DFC"/>
    <w:rsid w:val="005A5DFF"/>
    <w:rsid w:val="005A6006"/>
    <w:rsid w:val="005A67D8"/>
    <w:rsid w:val="005A6862"/>
    <w:rsid w:val="005A7B0A"/>
    <w:rsid w:val="005B0336"/>
    <w:rsid w:val="005B10BD"/>
    <w:rsid w:val="005B12DD"/>
    <w:rsid w:val="005B1C35"/>
    <w:rsid w:val="005B29EA"/>
    <w:rsid w:val="005B3C23"/>
    <w:rsid w:val="005B3DB3"/>
    <w:rsid w:val="005B46D0"/>
    <w:rsid w:val="005B4756"/>
    <w:rsid w:val="005B675E"/>
    <w:rsid w:val="005B6FE1"/>
    <w:rsid w:val="005B7593"/>
    <w:rsid w:val="005B7997"/>
    <w:rsid w:val="005C0498"/>
    <w:rsid w:val="005C0505"/>
    <w:rsid w:val="005C0715"/>
    <w:rsid w:val="005C09E5"/>
    <w:rsid w:val="005C2076"/>
    <w:rsid w:val="005C4347"/>
    <w:rsid w:val="005C4762"/>
    <w:rsid w:val="005C5832"/>
    <w:rsid w:val="005C5E81"/>
    <w:rsid w:val="005C601B"/>
    <w:rsid w:val="005C6DEB"/>
    <w:rsid w:val="005C7215"/>
    <w:rsid w:val="005C75E8"/>
    <w:rsid w:val="005C78E7"/>
    <w:rsid w:val="005C7C10"/>
    <w:rsid w:val="005C7DC6"/>
    <w:rsid w:val="005D01BA"/>
    <w:rsid w:val="005D02A1"/>
    <w:rsid w:val="005D0B36"/>
    <w:rsid w:val="005D0D1A"/>
    <w:rsid w:val="005D2095"/>
    <w:rsid w:val="005D2112"/>
    <w:rsid w:val="005D243B"/>
    <w:rsid w:val="005D3180"/>
    <w:rsid w:val="005D5DE3"/>
    <w:rsid w:val="005D79D1"/>
    <w:rsid w:val="005E0310"/>
    <w:rsid w:val="005E0699"/>
    <w:rsid w:val="005E0D24"/>
    <w:rsid w:val="005E20EC"/>
    <w:rsid w:val="005E2FC0"/>
    <w:rsid w:val="005E31B1"/>
    <w:rsid w:val="005E3584"/>
    <w:rsid w:val="005E4B3F"/>
    <w:rsid w:val="005E5CA9"/>
    <w:rsid w:val="005E5D82"/>
    <w:rsid w:val="005E7144"/>
    <w:rsid w:val="005E7B4B"/>
    <w:rsid w:val="005F02A0"/>
    <w:rsid w:val="005F1130"/>
    <w:rsid w:val="005F245B"/>
    <w:rsid w:val="005F3501"/>
    <w:rsid w:val="005F37BA"/>
    <w:rsid w:val="005F4509"/>
    <w:rsid w:val="005F52C5"/>
    <w:rsid w:val="005F57B5"/>
    <w:rsid w:val="005F5939"/>
    <w:rsid w:val="005F7882"/>
    <w:rsid w:val="006001FD"/>
    <w:rsid w:val="006004AF"/>
    <w:rsid w:val="00600FF1"/>
    <w:rsid w:val="006012B0"/>
    <w:rsid w:val="00601B5D"/>
    <w:rsid w:val="0060280F"/>
    <w:rsid w:val="00603776"/>
    <w:rsid w:val="00603EDB"/>
    <w:rsid w:val="006043DD"/>
    <w:rsid w:val="006045CC"/>
    <w:rsid w:val="00604DEA"/>
    <w:rsid w:val="0060525C"/>
    <w:rsid w:val="00605FE2"/>
    <w:rsid w:val="00606802"/>
    <w:rsid w:val="0060788F"/>
    <w:rsid w:val="00610339"/>
    <w:rsid w:val="00610971"/>
    <w:rsid w:val="00610DCD"/>
    <w:rsid w:val="00611875"/>
    <w:rsid w:val="00611FB1"/>
    <w:rsid w:val="00611FC4"/>
    <w:rsid w:val="00612AA4"/>
    <w:rsid w:val="00613135"/>
    <w:rsid w:val="006138FB"/>
    <w:rsid w:val="00614391"/>
    <w:rsid w:val="0061473F"/>
    <w:rsid w:val="00615181"/>
    <w:rsid w:val="00615884"/>
    <w:rsid w:val="00615FE1"/>
    <w:rsid w:val="00616A58"/>
    <w:rsid w:val="006171B4"/>
    <w:rsid w:val="006176FB"/>
    <w:rsid w:val="00620417"/>
    <w:rsid w:val="00621169"/>
    <w:rsid w:val="00622F6D"/>
    <w:rsid w:val="00623686"/>
    <w:rsid w:val="00623E10"/>
    <w:rsid w:val="00623E8D"/>
    <w:rsid w:val="006247CC"/>
    <w:rsid w:val="00624A20"/>
    <w:rsid w:val="00627E4D"/>
    <w:rsid w:val="00627ED0"/>
    <w:rsid w:val="0063035F"/>
    <w:rsid w:val="00630858"/>
    <w:rsid w:val="006308F0"/>
    <w:rsid w:val="00631A12"/>
    <w:rsid w:val="00631B9F"/>
    <w:rsid w:val="00632424"/>
    <w:rsid w:val="00632601"/>
    <w:rsid w:val="0063390F"/>
    <w:rsid w:val="00633F2A"/>
    <w:rsid w:val="006343AA"/>
    <w:rsid w:val="0063496E"/>
    <w:rsid w:val="006357DB"/>
    <w:rsid w:val="00636483"/>
    <w:rsid w:val="00636796"/>
    <w:rsid w:val="00637ED5"/>
    <w:rsid w:val="00640B26"/>
    <w:rsid w:val="00641275"/>
    <w:rsid w:val="00641419"/>
    <w:rsid w:val="00641B53"/>
    <w:rsid w:val="00642E69"/>
    <w:rsid w:val="00643D3B"/>
    <w:rsid w:val="006445B3"/>
    <w:rsid w:val="0064551B"/>
    <w:rsid w:val="00646A69"/>
    <w:rsid w:val="006478EE"/>
    <w:rsid w:val="0064798F"/>
    <w:rsid w:val="00647AF8"/>
    <w:rsid w:val="00647B02"/>
    <w:rsid w:val="00647B5D"/>
    <w:rsid w:val="00651C2F"/>
    <w:rsid w:val="00651EB1"/>
    <w:rsid w:val="00652520"/>
    <w:rsid w:val="006528FC"/>
    <w:rsid w:val="0065309E"/>
    <w:rsid w:val="00653244"/>
    <w:rsid w:val="0065365D"/>
    <w:rsid w:val="00653986"/>
    <w:rsid w:val="00654A33"/>
    <w:rsid w:val="00654E02"/>
    <w:rsid w:val="006553C5"/>
    <w:rsid w:val="00655740"/>
    <w:rsid w:val="00655A9F"/>
    <w:rsid w:val="006563B9"/>
    <w:rsid w:val="00656547"/>
    <w:rsid w:val="00656E73"/>
    <w:rsid w:val="006570EB"/>
    <w:rsid w:val="0066034F"/>
    <w:rsid w:val="00660586"/>
    <w:rsid w:val="00661573"/>
    <w:rsid w:val="00661718"/>
    <w:rsid w:val="00661EA8"/>
    <w:rsid w:val="006628B7"/>
    <w:rsid w:val="00662F43"/>
    <w:rsid w:val="006632E0"/>
    <w:rsid w:val="00663FC3"/>
    <w:rsid w:val="0066427F"/>
    <w:rsid w:val="00665173"/>
    <w:rsid w:val="00665595"/>
    <w:rsid w:val="00665DA9"/>
    <w:rsid w:val="0066702F"/>
    <w:rsid w:val="00667177"/>
    <w:rsid w:val="00667602"/>
    <w:rsid w:val="006703B0"/>
    <w:rsid w:val="00670C58"/>
    <w:rsid w:val="00670FF8"/>
    <w:rsid w:val="00671FA7"/>
    <w:rsid w:val="006720B6"/>
    <w:rsid w:val="006722C5"/>
    <w:rsid w:val="00673B80"/>
    <w:rsid w:val="00676524"/>
    <w:rsid w:val="00680BD2"/>
    <w:rsid w:val="00680C7A"/>
    <w:rsid w:val="00680EFA"/>
    <w:rsid w:val="00681288"/>
    <w:rsid w:val="00681947"/>
    <w:rsid w:val="00681A21"/>
    <w:rsid w:val="00681A7E"/>
    <w:rsid w:val="006825F0"/>
    <w:rsid w:val="0068282A"/>
    <w:rsid w:val="00682898"/>
    <w:rsid w:val="00682B87"/>
    <w:rsid w:val="00682C19"/>
    <w:rsid w:val="00682F77"/>
    <w:rsid w:val="006837B9"/>
    <w:rsid w:val="006849D8"/>
    <w:rsid w:val="00685CE0"/>
    <w:rsid w:val="00686A42"/>
    <w:rsid w:val="00687ACB"/>
    <w:rsid w:val="00687EFF"/>
    <w:rsid w:val="00690061"/>
    <w:rsid w:val="0069104F"/>
    <w:rsid w:val="0069137B"/>
    <w:rsid w:val="00691984"/>
    <w:rsid w:val="00692391"/>
    <w:rsid w:val="00692C91"/>
    <w:rsid w:val="00692F41"/>
    <w:rsid w:val="0069317A"/>
    <w:rsid w:val="0069524B"/>
    <w:rsid w:val="0069548A"/>
    <w:rsid w:val="00695A9B"/>
    <w:rsid w:val="00695B78"/>
    <w:rsid w:val="00696AF9"/>
    <w:rsid w:val="00696DF7"/>
    <w:rsid w:val="00696F16"/>
    <w:rsid w:val="006978C9"/>
    <w:rsid w:val="00697B82"/>
    <w:rsid w:val="006A3AFE"/>
    <w:rsid w:val="006A475E"/>
    <w:rsid w:val="006A4A5B"/>
    <w:rsid w:val="006A4E93"/>
    <w:rsid w:val="006A518A"/>
    <w:rsid w:val="006A5220"/>
    <w:rsid w:val="006A52CE"/>
    <w:rsid w:val="006A55CF"/>
    <w:rsid w:val="006A5690"/>
    <w:rsid w:val="006A5BF5"/>
    <w:rsid w:val="006A5DEA"/>
    <w:rsid w:val="006A6A66"/>
    <w:rsid w:val="006A7392"/>
    <w:rsid w:val="006B024C"/>
    <w:rsid w:val="006B0369"/>
    <w:rsid w:val="006B0BD7"/>
    <w:rsid w:val="006B1398"/>
    <w:rsid w:val="006B15E4"/>
    <w:rsid w:val="006B1BAB"/>
    <w:rsid w:val="006B2460"/>
    <w:rsid w:val="006B2519"/>
    <w:rsid w:val="006B2623"/>
    <w:rsid w:val="006B30D0"/>
    <w:rsid w:val="006B3254"/>
    <w:rsid w:val="006B49E9"/>
    <w:rsid w:val="006B4ADA"/>
    <w:rsid w:val="006B5FF6"/>
    <w:rsid w:val="006B668F"/>
    <w:rsid w:val="006B6785"/>
    <w:rsid w:val="006B6EBE"/>
    <w:rsid w:val="006B6EF7"/>
    <w:rsid w:val="006B7726"/>
    <w:rsid w:val="006B7A7D"/>
    <w:rsid w:val="006C0434"/>
    <w:rsid w:val="006C089F"/>
    <w:rsid w:val="006C0976"/>
    <w:rsid w:val="006C09E3"/>
    <w:rsid w:val="006C1D10"/>
    <w:rsid w:val="006C1DA9"/>
    <w:rsid w:val="006C2BA1"/>
    <w:rsid w:val="006C2C76"/>
    <w:rsid w:val="006C36CD"/>
    <w:rsid w:val="006C4445"/>
    <w:rsid w:val="006C487B"/>
    <w:rsid w:val="006C4909"/>
    <w:rsid w:val="006C4991"/>
    <w:rsid w:val="006C5D3C"/>
    <w:rsid w:val="006C68B4"/>
    <w:rsid w:val="006C7C6E"/>
    <w:rsid w:val="006D0A4C"/>
    <w:rsid w:val="006D17FC"/>
    <w:rsid w:val="006D1914"/>
    <w:rsid w:val="006D26C0"/>
    <w:rsid w:val="006D2C6D"/>
    <w:rsid w:val="006D2D94"/>
    <w:rsid w:val="006D3B86"/>
    <w:rsid w:val="006D51CC"/>
    <w:rsid w:val="006D5316"/>
    <w:rsid w:val="006D5374"/>
    <w:rsid w:val="006D5429"/>
    <w:rsid w:val="006D55BE"/>
    <w:rsid w:val="006D593B"/>
    <w:rsid w:val="006D595E"/>
    <w:rsid w:val="006D5CD3"/>
    <w:rsid w:val="006D5CDB"/>
    <w:rsid w:val="006D6B90"/>
    <w:rsid w:val="006D749D"/>
    <w:rsid w:val="006D74E4"/>
    <w:rsid w:val="006D7937"/>
    <w:rsid w:val="006D7FAC"/>
    <w:rsid w:val="006E0244"/>
    <w:rsid w:val="006E0290"/>
    <w:rsid w:val="006E1575"/>
    <w:rsid w:val="006E1F70"/>
    <w:rsid w:val="006E2304"/>
    <w:rsid w:val="006E259C"/>
    <w:rsid w:val="006E27A5"/>
    <w:rsid w:val="006E29C9"/>
    <w:rsid w:val="006E2F22"/>
    <w:rsid w:val="006E3A82"/>
    <w:rsid w:val="006E3E85"/>
    <w:rsid w:val="006E425B"/>
    <w:rsid w:val="006E550F"/>
    <w:rsid w:val="006E564B"/>
    <w:rsid w:val="006E594A"/>
    <w:rsid w:val="006E5D4A"/>
    <w:rsid w:val="006E6291"/>
    <w:rsid w:val="006E63A4"/>
    <w:rsid w:val="006E6624"/>
    <w:rsid w:val="006E6FDF"/>
    <w:rsid w:val="006F0009"/>
    <w:rsid w:val="006F0949"/>
    <w:rsid w:val="006F12BE"/>
    <w:rsid w:val="006F15A6"/>
    <w:rsid w:val="006F1800"/>
    <w:rsid w:val="006F1A86"/>
    <w:rsid w:val="006F1EFF"/>
    <w:rsid w:val="006F2C5A"/>
    <w:rsid w:val="006F380B"/>
    <w:rsid w:val="006F4AFF"/>
    <w:rsid w:val="006F55B7"/>
    <w:rsid w:val="006F5B4C"/>
    <w:rsid w:val="006F5F05"/>
    <w:rsid w:val="006F5F42"/>
    <w:rsid w:val="006F631D"/>
    <w:rsid w:val="006F75A4"/>
    <w:rsid w:val="00700B62"/>
    <w:rsid w:val="0070101E"/>
    <w:rsid w:val="0070107C"/>
    <w:rsid w:val="007011DE"/>
    <w:rsid w:val="00701402"/>
    <w:rsid w:val="00701DB9"/>
    <w:rsid w:val="00702FC5"/>
    <w:rsid w:val="00703256"/>
    <w:rsid w:val="00704592"/>
    <w:rsid w:val="00705486"/>
    <w:rsid w:val="0070557D"/>
    <w:rsid w:val="00705631"/>
    <w:rsid w:val="007068AF"/>
    <w:rsid w:val="00707378"/>
    <w:rsid w:val="00707B86"/>
    <w:rsid w:val="00707FA5"/>
    <w:rsid w:val="00710B0D"/>
    <w:rsid w:val="00711043"/>
    <w:rsid w:val="00711831"/>
    <w:rsid w:val="0071422A"/>
    <w:rsid w:val="00715679"/>
    <w:rsid w:val="00715AF9"/>
    <w:rsid w:val="00715DA2"/>
    <w:rsid w:val="00715FD7"/>
    <w:rsid w:val="007167A4"/>
    <w:rsid w:val="00716B53"/>
    <w:rsid w:val="007203A8"/>
    <w:rsid w:val="007218CD"/>
    <w:rsid w:val="00723014"/>
    <w:rsid w:val="00723729"/>
    <w:rsid w:val="00723E01"/>
    <w:rsid w:val="0072414C"/>
    <w:rsid w:val="007241DE"/>
    <w:rsid w:val="00724462"/>
    <w:rsid w:val="00724CC1"/>
    <w:rsid w:val="007254F4"/>
    <w:rsid w:val="0072593A"/>
    <w:rsid w:val="0072594A"/>
    <w:rsid w:val="0072632A"/>
    <w:rsid w:val="00726336"/>
    <w:rsid w:val="0072652C"/>
    <w:rsid w:val="00726833"/>
    <w:rsid w:val="00727E54"/>
    <w:rsid w:val="00727F7B"/>
    <w:rsid w:val="0073078C"/>
    <w:rsid w:val="00730ACA"/>
    <w:rsid w:val="00730ED0"/>
    <w:rsid w:val="0073129A"/>
    <w:rsid w:val="00731523"/>
    <w:rsid w:val="00731642"/>
    <w:rsid w:val="0073213F"/>
    <w:rsid w:val="00732865"/>
    <w:rsid w:val="00732DC8"/>
    <w:rsid w:val="00732F77"/>
    <w:rsid w:val="00733AAE"/>
    <w:rsid w:val="00734607"/>
    <w:rsid w:val="00734999"/>
    <w:rsid w:val="007351E9"/>
    <w:rsid w:val="00735AB2"/>
    <w:rsid w:val="00735B63"/>
    <w:rsid w:val="00736920"/>
    <w:rsid w:val="007369EE"/>
    <w:rsid w:val="00736D0E"/>
    <w:rsid w:val="0073759A"/>
    <w:rsid w:val="007411CD"/>
    <w:rsid w:val="0074164C"/>
    <w:rsid w:val="007418DA"/>
    <w:rsid w:val="007424B4"/>
    <w:rsid w:val="00742A11"/>
    <w:rsid w:val="00743568"/>
    <w:rsid w:val="00743CB6"/>
    <w:rsid w:val="00743EA5"/>
    <w:rsid w:val="00745ABD"/>
    <w:rsid w:val="007462F7"/>
    <w:rsid w:val="0074713C"/>
    <w:rsid w:val="00747431"/>
    <w:rsid w:val="007478B5"/>
    <w:rsid w:val="007479AC"/>
    <w:rsid w:val="00747C2B"/>
    <w:rsid w:val="00747CE3"/>
    <w:rsid w:val="0075002D"/>
    <w:rsid w:val="00750533"/>
    <w:rsid w:val="00750DFE"/>
    <w:rsid w:val="00751816"/>
    <w:rsid w:val="0075204D"/>
    <w:rsid w:val="00752324"/>
    <w:rsid w:val="00752B7A"/>
    <w:rsid w:val="00753280"/>
    <w:rsid w:val="007536AA"/>
    <w:rsid w:val="007536DC"/>
    <w:rsid w:val="00753A55"/>
    <w:rsid w:val="00754367"/>
    <w:rsid w:val="0075483C"/>
    <w:rsid w:val="00754B15"/>
    <w:rsid w:val="00755CE3"/>
    <w:rsid w:val="00756860"/>
    <w:rsid w:val="0076100F"/>
    <w:rsid w:val="007618E9"/>
    <w:rsid w:val="00761D7B"/>
    <w:rsid w:val="00763C7A"/>
    <w:rsid w:val="007640FD"/>
    <w:rsid w:val="00764416"/>
    <w:rsid w:val="00764793"/>
    <w:rsid w:val="00765411"/>
    <w:rsid w:val="0076544D"/>
    <w:rsid w:val="00765F16"/>
    <w:rsid w:val="00766E56"/>
    <w:rsid w:val="00766F6C"/>
    <w:rsid w:val="007707E4"/>
    <w:rsid w:val="007713E6"/>
    <w:rsid w:val="00771810"/>
    <w:rsid w:val="00771D8B"/>
    <w:rsid w:val="00771E4E"/>
    <w:rsid w:val="00771FEF"/>
    <w:rsid w:val="007722CE"/>
    <w:rsid w:val="00772712"/>
    <w:rsid w:val="0077271F"/>
    <w:rsid w:val="00772BD6"/>
    <w:rsid w:val="00773288"/>
    <w:rsid w:val="007734F1"/>
    <w:rsid w:val="007755CB"/>
    <w:rsid w:val="007758BA"/>
    <w:rsid w:val="00776110"/>
    <w:rsid w:val="007800D0"/>
    <w:rsid w:val="00781273"/>
    <w:rsid w:val="00781873"/>
    <w:rsid w:val="0078246D"/>
    <w:rsid w:val="00782EB8"/>
    <w:rsid w:val="007832D8"/>
    <w:rsid w:val="007832E5"/>
    <w:rsid w:val="00783A6B"/>
    <w:rsid w:val="00783C66"/>
    <w:rsid w:val="00784AF8"/>
    <w:rsid w:val="00784EDB"/>
    <w:rsid w:val="007863EF"/>
    <w:rsid w:val="00786E97"/>
    <w:rsid w:val="007878B1"/>
    <w:rsid w:val="00787996"/>
    <w:rsid w:val="00790CB7"/>
    <w:rsid w:val="007920B3"/>
    <w:rsid w:val="00792C85"/>
    <w:rsid w:val="00792E1C"/>
    <w:rsid w:val="00792E78"/>
    <w:rsid w:val="00794CED"/>
    <w:rsid w:val="00795E3F"/>
    <w:rsid w:val="00796631"/>
    <w:rsid w:val="00796E0D"/>
    <w:rsid w:val="00797003"/>
    <w:rsid w:val="00797039"/>
    <w:rsid w:val="0079728A"/>
    <w:rsid w:val="007A13C4"/>
    <w:rsid w:val="007A15B8"/>
    <w:rsid w:val="007A16E3"/>
    <w:rsid w:val="007A1923"/>
    <w:rsid w:val="007A238E"/>
    <w:rsid w:val="007A2A1B"/>
    <w:rsid w:val="007A2D29"/>
    <w:rsid w:val="007A2F64"/>
    <w:rsid w:val="007A33DC"/>
    <w:rsid w:val="007A33E9"/>
    <w:rsid w:val="007A41F9"/>
    <w:rsid w:val="007A4A1E"/>
    <w:rsid w:val="007A4A60"/>
    <w:rsid w:val="007A4A84"/>
    <w:rsid w:val="007A58A8"/>
    <w:rsid w:val="007A5A33"/>
    <w:rsid w:val="007A67F0"/>
    <w:rsid w:val="007A694A"/>
    <w:rsid w:val="007A72CE"/>
    <w:rsid w:val="007A7480"/>
    <w:rsid w:val="007B01FE"/>
    <w:rsid w:val="007B1F70"/>
    <w:rsid w:val="007B2AA1"/>
    <w:rsid w:val="007B325C"/>
    <w:rsid w:val="007B468D"/>
    <w:rsid w:val="007B5103"/>
    <w:rsid w:val="007B5B35"/>
    <w:rsid w:val="007B634A"/>
    <w:rsid w:val="007B64E5"/>
    <w:rsid w:val="007B6BA5"/>
    <w:rsid w:val="007B6D49"/>
    <w:rsid w:val="007B6E35"/>
    <w:rsid w:val="007B7355"/>
    <w:rsid w:val="007B7728"/>
    <w:rsid w:val="007B7E53"/>
    <w:rsid w:val="007C0F0D"/>
    <w:rsid w:val="007C120F"/>
    <w:rsid w:val="007C1BDF"/>
    <w:rsid w:val="007C239A"/>
    <w:rsid w:val="007C2F6B"/>
    <w:rsid w:val="007C3384"/>
    <w:rsid w:val="007C3390"/>
    <w:rsid w:val="007C3D77"/>
    <w:rsid w:val="007C4344"/>
    <w:rsid w:val="007C43CB"/>
    <w:rsid w:val="007C4482"/>
    <w:rsid w:val="007C494C"/>
    <w:rsid w:val="007C4F4B"/>
    <w:rsid w:val="007C587C"/>
    <w:rsid w:val="007C60D9"/>
    <w:rsid w:val="007D03EF"/>
    <w:rsid w:val="007D0466"/>
    <w:rsid w:val="007D1315"/>
    <w:rsid w:val="007D13F8"/>
    <w:rsid w:val="007D2D31"/>
    <w:rsid w:val="007D3ADF"/>
    <w:rsid w:val="007D3B5F"/>
    <w:rsid w:val="007D3B95"/>
    <w:rsid w:val="007D3FD6"/>
    <w:rsid w:val="007D4ADB"/>
    <w:rsid w:val="007D4D12"/>
    <w:rsid w:val="007D4DE2"/>
    <w:rsid w:val="007D5C68"/>
    <w:rsid w:val="007D66A4"/>
    <w:rsid w:val="007D6D03"/>
    <w:rsid w:val="007D712E"/>
    <w:rsid w:val="007D729D"/>
    <w:rsid w:val="007D73F1"/>
    <w:rsid w:val="007D7475"/>
    <w:rsid w:val="007D760F"/>
    <w:rsid w:val="007E0778"/>
    <w:rsid w:val="007E1D14"/>
    <w:rsid w:val="007E2133"/>
    <w:rsid w:val="007E3475"/>
    <w:rsid w:val="007E3CA3"/>
    <w:rsid w:val="007E3F61"/>
    <w:rsid w:val="007E5CD2"/>
    <w:rsid w:val="007E6069"/>
    <w:rsid w:val="007E7803"/>
    <w:rsid w:val="007F0A09"/>
    <w:rsid w:val="007F0B83"/>
    <w:rsid w:val="007F1137"/>
    <w:rsid w:val="007F11A7"/>
    <w:rsid w:val="007F1411"/>
    <w:rsid w:val="007F1447"/>
    <w:rsid w:val="007F1533"/>
    <w:rsid w:val="007F17A6"/>
    <w:rsid w:val="007F272B"/>
    <w:rsid w:val="007F3B45"/>
    <w:rsid w:val="007F4693"/>
    <w:rsid w:val="007F4CBD"/>
    <w:rsid w:val="007F4FCD"/>
    <w:rsid w:val="007F509C"/>
    <w:rsid w:val="007F60C4"/>
    <w:rsid w:val="007F6611"/>
    <w:rsid w:val="007F684E"/>
    <w:rsid w:val="007F7710"/>
    <w:rsid w:val="007F7B2E"/>
    <w:rsid w:val="007F7CDB"/>
    <w:rsid w:val="008001C7"/>
    <w:rsid w:val="00800654"/>
    <w:rsid w:val="008009C6"/>
    <w:rsid w:val="00800B6D"/>
    <w:rsid w:val="00800BE4"/>
    <w:rsid w:val="008017CA"/>
    <w:rsid w:val="00802309"/>
    <w:rsid w:val="00802654"/>
    <w:rsid w:val="008028C9"/>
    <w:rsid w:val="008038B2"/>
    <w:rsid w:val="00803D3D"/>
    <w:rsid w:val="00804062"/>
    <w:rsid w:val="00804D76"/>
    <w:rsid w:val="008054C1"/>
    <w:rsid w:val="00805AD1"/>
    <w:rsid w:val="00805C53"/>
    <w:rsid w:val="00806458"/>
    <w:rsid w:val="00806E2D"/>
    <w:rsid w:val="00806F4D"/>
    <w:rsid w:val="00807417"/>
    <w:rsid w:val="00807665"/>
    <w:rsid w:val="0080795E"/>
    <w:rsid w:val="00807F7C"/>
    <w:rsid w:val="00810C70"/>
    <w:rsid w:val="00811058"/>
    <w:rsid w:val="008110B3"/>
    <w:rsid w:val="00811326"/>
    <w:rsid w:val="00811392"/>
    <w:rsid w:val="008117A1"/>
    <w:rsid w:val="00811940"/>
    <w:rsid w:val="00811D4E"/>
    <w:rsid w:val="00812277"/>
    <w:rsid w:val="00812757"/>
    <w:rsid w:val="00812C0A"/>
    <w:rsid w:val="008132C0"/>
    <w:rsid w:val="00813639"/>
    <w:rsid w:val="0081424B"/>
    <w:rsid w:val="008147B2"/>
    <w:rsid w:val="008152E7"/>
    <w:rsid w:val="00815906"/>
    <w:rsid w:val="008175E9"/>
    <w:rsid w:val="008202DE"/>
    <w:rsid w:val="00820C5A"/>
    <w:rsid w:val="00821639"/>
    <w:rsid w:val="0082207E"/>
    <w:rsid w:val="0082239D"/>
    <w:rsid w:val="008227D6"/>
    <w:rsid w:val="00822CB8"/>
    <w:rsid w:val="008234B4"/>
    <w:rsid w:val="00823DBE"/>
    <w:rsid w:val="0082410A"/>
    <w:rsid w:val="008242D7"/>
    <w:rsid w:val="00825788"/>
    <w:rsid w:val="00825DF5"/>
    <w:rsid w:val="0082628C"/>
    <w:rsid w:val="0082634C"/>
    <w:rsid w:val="00827342"/>
    <w:rsid w:val="00827E05"/>
    <w:rsid w:val="00830A1C"/>
    <w:rsid w:val="008311A3"/>
    <w:rsid w:val="00831673"/>
    <w:rsid w:val="00831764"/>
    <w:rsid w:val="008318DB"/>
    <w:rsid w:val="00832EF2"/>
    <w:rsid w:val="0083314B"/>
    <w:rsid w:val="00833418"/>
    <w:rsid w:val="008334B6"/>
    <w:rsid w:val="0083374F"/>
    <w:rsid w:val="00833934"/>
    <w:rsid w:val="00836A49"/>
    <w:rsid w:val="00836AB0"/>
    <w:rsid w:val="00836EDC"/>
    <w:rsid w:val="00837370"/>
    <w:rsid w:val="008413B4"/>
    <w:rsid w:val="0084417C"/>
    <w:rsid w:val="00844CDD"/>
    <w:rsid w:val="0084518D"/>
    <w:rsid w:val="008458A8"/>
    <w:rsid w:val="008458C0"/>
    <w:rsid w:val="0084599B"/>
    <w:rsid w:val="00845A1E"/>
    <w:rsid w:val="00845CD7"/>
    <w:rsid w:val="0084734F"/>
    <w:rsid w:val="00847830"/>
    <w:rsid w:val="00847D06"/>
    <w:rsid w:val="008501C6"/>
    <w:rsid w:val="00850952"/>
    <w:rsid w:val="00850CE7"/>
    <w:rsid w:val="00850D77"/>
    <w:rsid w:val="008513B5"/>
    <w:rsid w:val="008517BE"/>
    <w:rsid w:val="00852524"/>
    <w:rsid w:val="00852AC7"/>
    <w:rsid w:val="00852F2F"/>
    <w:rsid w:val="00853116"/>
    <w:rsid w:val="008535A5"/>
    <w:rsid w:val="008537AA"/>
    <w:rsid w:val="00854D72"/>
    <w:rsid w:val="0085524D"/>
    <w:rsid w:val="008552BE"/>
    <w:rsid w:val="00855B49"/>
    <w:rsid w:val="008562A8"/>
    <w:rsid w:val="00856775"/>
    <w:rsid w:val="00856CFD"/>
    <w:rsid w:val="00856D75"/>
    <w:rsid w:val="00856E40"/>
    <w:rsid w:val="008577F2"/>
    <w:rsid w:val="00860739"/>
    <w:rsid w:val="008609E0"/>
    <w:rsid w:val="00860D23"/>
    <w:rsid w:val="008629EB"/>
    <w:rsid w:val="008637F8"/>
    <w:rsid w:val="0086423F"/>
    <w:rsid w:val="008646DB"/>
    <w:rsid w:val="00864AE0"/>
    <w:rsid w:val="00866021"/>
    <w:rsid w:val="008666A3"/>
    <w:rsid w:val="00867C36"/>
    <w:rsid w:val="0087043F"/>
    <w:rsid w:val="00870845"/>
    <w:rsid w:val="00871657"/>
    <w:rsid w:val="00871C9E"/>
    <w:rsid w:val="00871F08"/>
    <w:rsid w:val="00871FD5"/>
    <w:rsid w:val="00872C11"/>
    <w:rsid w:val="00873981"/>
    <w:rsid w:val="00876122"/>
    <w:rsid w:val="00876554"/>
    <w:rsid w:val="00876710"/>
    <w:rsid w:val="008805A6"/>
    <w:rsid w:val="008818DF"/>
    <w:rsid w:val="00881E9C"/>
    <w:rsid w:val="008823B5"/>
    <w:rsid w:val="00882A1F"/>
    <w:rsid w:val="00884634"/>
    <w:rsid w:val="00884D20"/>
    <w:rsid w:val="0088516B"/>
    <w:rsid w:val="00885733"/>
    <w:rsid w:val="00886885"/>
    <w:rsid w:val="00891DAC"/>
    <w:rsid w:val="00891FAD"/>
    <w:rsid w:val="00892032"/>
    <w:rsid w:val="00893354"/>
    <w:rsid w:val="00893453"/>
    <w:rsid w:val="00893AFD"/>
    <w:rsid w:val="008950CF"/>
    <w:rsid w:val="00895498"/>
    <w:rsid w:val="00895592"/>
    <w:rsid w:val="00896DCB"/>
    <w:rsid w:val="00896DE7"/>
    <w:rsid w:val="008976E4"/>
    <w:rsid w:val="00897849"/>
    <w:rsid w:val="008979A0"/>
    <w:rsid w:val="008979B1"/>
    <w:rsid w:val="008A071D"/>
    <w:rsid w:val="008A0A0F"/>
    <w:rsid w:val="008A1287"/>
    <w:rsid w:val="008A1544"/>
    <w:rsid w:val="008A1718"/>
    <w:rsid w:val="008A3A54"/>
    <w:rsid w:val="008A49B7"/>
    <w:rsid w:val="008A49CF"/>
    <w:rsid w:val="008A55C4"/>
    <w:rsid w:val="008A5FC7"/>
    <w:rsid w:val="008A6823"/>
    <w:rsid w:val="008A6B25"/>
    <w:rsid w:val="008A6C4F"/>
    <w:rsid w:val="008B01F9"/>
    <w:rsid w:val="008B099A"/>
    <w:rsid w:val="008B0C6E"/>
    <w:rsid w:val="008B1310"/>
    <w:rsid w:val="008B1417"/>
    <w:rsid w:val="008B236B"/>
    <w:rsid w:val="008B2386"/>
    <w:rsid w:val="008B2B23"/>
    <w:rsid w:val="008B2DEB"/>
    <w:rsid w:val="008B3806"/>
    <w:rsid w:val="008B3C11"/>
    <w:rsid w:val="008B4628"/>
    <w:rsid w:val="008B46EF"/>
    <w:rsid w:val="008B4A3E"/>
    <w:rsid w:val="008B5312"/>
    <w:rsid w:val="008B56AB"/>
    <w:rsid w:val="008B5F26"/>
    <w:rsid w:val="008B6BB9"/>
    <w:rsid w:val="008B7888"/>
    <w:rsid w:val="008B7B9A"/>
    <w:rsid w:val="008C25F7"/>
    <w:rsid w:val="008C323F"/>
    <w:rsid w:val="008C3283"/>
    <w:rsid w:val="008C346D"/>
    <w:rsid w:val="008C39E5"/>
    <w:rsid w:val="008C5304"/>
    <w:rsid w:val="008C5591"/>
    <w:rsid w:val="008C5707"/>
    <w:rsid w:val="008C580E"/>
    <w:rsid w:val="008C7438"/>
    <w:rsid w:val="008C7A72"/>
    <w:rsid w:val="008C7ABF"/>
    <w:rsid w:val="008C7B2E"/>
    <w:rsid w:val="008C7C99"/>
    <w:rsid w:val="008D05EB"/>
    <w:rsid w:val="008D0734"/>
    <w:rsid w:val="008D1641"/>
    <w:rsid w:val="008D1F1E"/>
    <w:rsid w:val="008D2F45"/>
    <w:rsid w:val="008D46E0"/>
    <w:rsid w:val="008D49BB"/>
    <w:rsid w:val="008D4A4D"/>
    <w:rsid w:val="008D54CD"/>
    <w:rsid w:val="008D5DF3"/>
    <w:rsid w:val="008D74B7"/>
    <w:rsid w:val="008E09AC"/>
    <w:rsid w:val="008E0A4F"/>
    <w:rsid w:val="008E0E46"/>
    <w:rsid w:val="008E2540"/>
    <w:rsid w:val="008E2A18"/>
    <w:rsid w:val="008E2BF7"/>
    <w:rsid w:val="008E3266"/>
    <w:rsid w:val="008E3D2D"/>
    <w:rsid w:val="008E491B"/>
    <w:rsid w:val="008E50B1"/>
    <w:rsid w:val="008E53B7"/>
    <w:rsid w:val="008E55DF"/>
    <w:rsid w:val="008E633D"/>
    <w:rsid w:val="008E66EB"/>
    <w:rsid w:val="008E7DAB"/>
    <w:rsid w:val="008F0B73"/>
    <w:rsid w:val="008F0E8A"/>
    <w:rsid w:val="008F26FA"/>
    <w:rsid w:val="008F4AB2"/>
    <w:rsid w:val="008F4F12"/>
    <w:rsid w:val="008F52E2"/>
    <w:rsid w:val="008F5476"/>
    <w:rsid w:val="008F61D8"/>
    <w:rsid w:val="008F6303"/>
    <w:rsid w:val="008F6D90"/>
    <w:rsid w:val="008F72BF"/>
    <w:rsid w:val="008F7DD3"/>
    <w:rsid w:val="00900806"/>
    <w:rsid w:val="00900910"/>
    <w:rsid w:val="009009B9"/>
    <w:rsid w:val="00900AA2"/>
    <w:rsid w:val="0090191B"/>
    <w:rsid w:val="0090220B"/>
    <w:rsid w:val="009022D4"/>
    <w:rsid w:val="00902530"/>
    <w:rsid w:val="009029D5"/>
    <w:rsid w:val="00903205"/>
    <w:rsid w:val="00903311"/>
    <w:rsid w:val="00903E58"/>
    <w:rsid w:val="00904B8D"/>
    <w:rsid w:val="00905333"/>
    <w:rsid w:val="009057B7"/>
    <w:rsid w:val="00905FB0"/>
    <w:rsid w:val="009063F3"/>
    <w:rsid w:val="00906E93"/>
    <w:rsid w:val="00907709"/>
    <w:rsid w:val="00907AD2"/>
    <w:rsid w:val="00910340"/>
    <w:rsid w:val="009104B2"/>
    <w:rsid w:val="009105B2"/>
    <w:rsid w:val="0091085A"/>
    <w:rsid w:val="009108DD"/>
    <w:rsid w:val="009111BA"/>
    <w:rsid w:val="009111C7"/>
    <w:rsid w:val="009115A0"/>
    <w:rsid w:val="00913ABC"/>
    <w:rsid w:val="009148EC"/>
    <w:rsid w:val="009161E0"/>
    <w:rsid w:val="00916F35"/>
    <w:rsid w:val="0091700B"/>
    <w:rsid w:val="00917EDB"/>
    <w:rsid w:val="00920916"/>
    <w:rsid w:val="00921B66"/>
    <w:rsid w:val="00921EBD"/>
    <w:rsid w:val="00922876"/>
    <w:rsid w:val="0092321B"/>
    <w:rsid w:val="00923979"/>
    <w:rsid w:val="009248B6"/>
    <w:rsid w:val="009248C3"/>
    <w:rsid w:val="00924F95"/>
    <w:rsid w:val="00925353"/>
    <w:rsid w:val="00926493"/>
    <w:rsid w:val="009267D0"/>
    <w:rsid w:val="009278F5"/>
    <w:rsid w:val="00931870"/>
    <w:rsid w:val="00931D20"/>
    <w:rsid w:val="00931F22"/>
    <w:rsid w:val="009321EA"/>
    <w:rsid w:val="00932509"/>
    <w:rsid w:val="009326F6"/>
    <w:rsid w:val="009333D2"/>
    <w:rsid w:val="009333F8"/>
    <w:rsid w:val="00935635"/>
    <w:rsid w:val="00935B43"/>
    <w:rsid w:val="00935D23"/>
    <w:rsid w:val="0093690F"/>
    <w:rsid w:val="009371CA"/>
    <w:rsid w:val="009400E2"/>
    <w:rsid w:val="009402C2"/>
    <w:rsid w:val="0094030F"/>
    <w:rsid w:val="009405AD"/>
    <w:rsid w:val="00940685"/>
    <w:rsid w:val="0094076B"/>
    <w:rsid w:val="0094153B"/>
    <w:rsid w:val="009415F2"/>
    <w:rsid w:val="00941B05"/>
    <w:rsid w:val="009423DA"/>
    <w:rsid w:val="0094387C"/>
    <w:rsid w:val="00944445"/>
    <w:rsid w:val="00944D5C"/>
    <w:rsid w:val="00944E91"/>
    <w:rsid w:val="00945348"/>
    <w:rsid w:val="00945763"/>
    <w:rsid w:val="00945A1C"/>
    <w:rsid w:val="00946098"/>
    <w:rsid w:val="0094623A"/>
    <w:rsid w:val="009465B7"/>
    <w:rsid w:val="009466A5"/>
    <w:rsid w:val="00946979"/>
    <w:rsid w:val="00946BC6"/>
    <w:rsid w:val="00946FED"/>
    <w:rsid w:val="0095076E"/>
    <w:rsid w:val="00950D47"/>
    <w:rsid w:val="00951741"/>
    <w:rsid w:val="00951D3D"/>
    <w:rsid w:val="00952B42"/>
    <w:rsid w:val="009536C0"/>
    <w:rsid w:val="00953776"/>
    <w:rsid w:val="0095442E"/>
    <w:rsid w:val="0095517F"/>
    <w:rsid w:val="009553DE"/>
    <w:rsid w:val="009568BC"/>
    <w:rsid w:val="00956D9E"/>
    <w:rsid w:val="00956DC4"/>
    <w:rsid w:val="00960F16"/>
    <w:rsid w:val="009619F2"/>
    <w:rsid w:val="00961D54"/>
    <w:rsid w:val="00962360"/>
    <w:rsid w:val="009625FD"/>
    <w:rsid w:val="00963555"/>
    <w:rsid w:val="00963CBA"/>
    <w:rsid w:val="00963F3A"/>
    <w:rsid w:val="00964768"/>
    <w:rsid w:val="009647D9"/>
    <w:rsid w:val="00965292"/>
    <w:rsid w:val="00965457"/>
    <w:rsid w:val="00965E22"/>
    <w:rsid w:val="00965FB2"/>
    <w:rsid w:val="00966A45"/>
    <w:rsid w:val="00966A6D"/>
    <w:rsid w:val="00966C41"/>
    <w:rsid w:val="009672F9"/>
    <w:rsid w:val="0096741A"/>
    <w:rsid w:val="00967447"/>
    <w:rsid w:val="00967C51"/>
    <w:rsid w:val="009714E0"/>
    <w:rsid w:val="009715FC"/>
    <w:rsid w:val="00971C5D"/>
    <w:rsid w:val="00971CA2"/>
    <w:rsid w:val="00974A5D"/>
    <w:rsid w:val="00974A8D"/>
    <w:rsid w:val="00975111"/>
    <w:rsid w:val="0097575B"/>
    <w:rsid w:val="00975A6A"/>
    <w:rsid w:val="0097636B"/>
    <w:rsid w:val="00977178"/>
    <w:rsid w:val="009772DC"/>
    <w:rsid w:val="00977375"/>
    <w:rsid w:val="0097794A"/>
    <w:rsid w:val="00980605"/>
    <w:rsid w:val="009812FE"/>
    <w:rsid w:val="00981CD3"/>
    <w:rsid w:val="00982DE4"/>
    <w:rsid w:val="009845DD"/>
    <w:rsid w:val="00986393"/>
    <w:rsid w:val="0098658D"/>
    <w:rsid w:val="00986A1A"/>
    <w:rsid w:val="00987734"/>
    <w:rsid w:val="00987A71"/>
    <w:rsid w:val="0099001C"/>
    <w:rsid w:val="00990393"/>
    <w:rsid w:val="00990ACE"/>
    <w:rsid w:val="00990EAC"/>
    <w:rsid w:val="00991261"/>
    <w:rsid w:val="009925FB"/>
    <w:rsid w:val="00994A75"/>
    <w:rsid w:val="00995386"/>
    <w:rsid w:val="00996136"/>
    <w:rsid w:val="009966CB"/>
    <w:rsid w:val="00996F66"/>
    <w:rsid w:val="009A0348"/>
    <w:rsid w:val="009A0350"/>
    <w:rsid w:val="009A06C5"/>
    <w:rsid w:val="009A0DAB"/>
    <w:rsid w:val="009A1C35"/>
    <w:rsid w:val="009A20E4"/>
    <w:rsid w:val="009A2287"/>
    <w:rsid w:val="009A34AF"/>
    <w:rsid w:val="009A3BA9"/>
    <w:rsid w:val="009A3DEF"/>
    <w:rsid w:val="009A41BE"/>
    <w:rsid w:val="009A57F2"/>
    <w:rsid w:val="009A600E"/>
    <w:rsid w:val="009A6041"/>
    <w:rsid w:val="009A604D"/>
    <w:rsid w:val="009A690D"/>
    <w:rsid w:val="009A69E0"/>
    <w:rsid w:val="009A7649"/>
    <w:rsid w:val="009B2010"/>
    <w:rsid w:val="009B4ACF"/>
    <w:rsid w:val="009B4AF9"/>
    <w:rsid w:val="009B5439"/>
    <w:rsid w:val="009B5CF8"/>
    <w:rsid w:val="009B7D78"/>
    <w:rsid w:val="009C0B17"/>
    <w:rsid w:val="009C135E"/>
    <w:rsid w:val="009C13EC"/>
    <w:rsid w:val="009C1D40"/>
    <w:rsid w:val="009C2117"/>
    <w:rsid w:val="009C249A"/>
    <w:rsid w:val="009C3067"/>
    <w:rsid w:val="009C33C1"/>
    <w:rsid w:val="009C4B2E"/>
    <w:rsid w:val="009C4F40"/>
    <w:rsid w:val="009C5063"/>
    <w:rsid w:val="009C65E9"/>
    <w:rsid w:val="009C6EF8"/>
    <w:rsid w:val="009C6F26"/>
    <w:rsid w:val="009C6FFE"/>
    <w:rsid w:val="009D09AD"/>
    <w:rsid w:val="009D0F3E"/>
    <w:rsid w:val="009D15FD"/>
    <w:rsid w:val="009D1720"/>
    <w:rsid w:val="009D2525"/>
    <w:rsid w:val="009D446F"/>
    <w:rsid w:val="009D4F54"/>
    <w:rsid w:val="009D507E"/>
    <w:rsid w:val="009D5098"/>
    <w:rsid w:val="009D559D"/>
    <w:rsid w:val="009D576B"/>
    <w:rsid w:val="009D609A"/>
    <w:rsid w:val="009D7022"/>
    <w:rsid w:val="009D79CE"/>
    <w:rsid w:val="009E26C6"/>
    <w:rsid w:val="009E2FFD"/>
    <w:rsid w:val="009E328F"/>
    <w:rsid w:val="009E388C"/>
    <w:rsid w:val="009E484B"/>
    <w:rsid w:val="009E485E"/>
    <w:rsid w:val="009E4FF5"/>
    <w:rsid w:val="009E556C"/>
    <w:rsid w:val="009E6300"/>
    <w:rsid w:val="009E7479"/>
    <w:rsid w:val="009E7D45"/>
    <w:rsid w:val="009F049D"/>
    <w:rsid w:val="009F0834"/>
    <w:rsid w:val="009F160E"/>
    <w:rsid w:val="009F24D1"/>
    <w:rsid w:val="009F2C19"/>
    <w:rsid w:val="009F3247"/>
    <w:rsid w:val="009F3A17"/>
    <w:rsid w:val="009F5BBE"/>
    <w:rsid w:val="009F6B5F"/>
    <w:rsid w:val="009F6B60"/>
    <w:rsid w:val="009F73B2"/>
    <w:rsid w:val="00A008CE"/>
    <w:rsid w:val="00A03C9C"/>
    <w:rsid w:val="00A04358"/>
    <w:rsid w:val="00A049FF"/>
    <w:rsid w:val="00A04E7E"/>
    <w:rsid w:val="00A05B27"/>
    <w:rsid w:val="00A05F4D"/>
    <w:rsid w:val="00A05FDE"/>
    <w:rsid w:val="00A06332"/>
    <w:rsid w:val="00A1139D"/>
    <w:rsid w:val="00A11A71"/>
    <w:rsid w:val="00A11C1F"/>
    <w:rsid w:val="00A12282"/>
    <w:rsid w:val="00A12338"/>
    <w:rsid w:val="00A13323"/>
    <w:rsid w:val="00A13B84"/>
    <w:rsid w:val="00A1427D"/>
    <w:rsid w:val="00A1451D"/>
    <w:rsid w:val="00A14970"/>
    <w:rsid w:val="00A14E7D"/>
    <w:rsid w:val="00A14ED0"/>
    <w:rsid w:val="00A1540E"/>
    <w:rsid w:val="00A1616D"/>
    <w:rsid w:val="00A16B21"/>
    <w:rsid w:val="00A16C2C"/>
    <w:rsid w:val="00A16DC0"/>
    <w:rsid w:val="00A174A8"/>
    <w:rsid w:val="00A17786"/>
    <w:rsid w:val="00A20A1A"/>
    <w:rsid w:val="00A20EF4"/>
    <w:rsid w:val="00A21A51"/>
    <w:rsid w:val="00A21D5D"/>
    <w:rsid w:val="00A22463"/>
    <w:rsid w:val="00A2427A"/>
    <w:rsid w:val="00A248AA"/>
    <w:rsid w:val="00A24952"/>
    <w:rsid w:val="00A24A2C"/>
    <w:rsid w:val="00A2533B"/>
    <w:rsid w:val="00A2579F"/>
    <w:rsid w:val="00A26482"/>
    <w:rsid w:val="00A264E1"/>
    <w:rsid w:val="00A267D7"/>
    <w:rsid w:val="00A27160"/>
    <w:rsid w:val="00A278B9"/>
    <w:rsid w:val="00A278F3"/>
    <w:rsid w:val="00A27A1B"/>
    <w:rsid w:val="00A27C21"/>
    <w:rsid w:val="00A27E16"/>
    <w:rsid w:val="00A300B8"/>
    <w:rsid w:val="00A30569"/>
    <w:rsid w:val="00A30B03"/>
    <w:rsid w:val="00A30BF2"/>
    <w:rsid w:val="00A30CF0"/>
    <w:rsid w:val="00A31429"/>
    <w:rsid w:val="00A32D15"/>
    <w:rsid w:val="00A33628"/>
    <w:rsid w:val="00A35A85"/>
    <w:rsid w:val="00A37C0A"/>
    <w:rsid w:val="00A40DF5"/>
    <w:rsid w:val="00A42B33"/>
    <w:rsid w:val="00A45144"/>
    <w:rsid w:val="00A460CD"/>
    <w:rsid w:val="00A50AA8"/>
    <w:rsid w:val="00A50B4A"/>
    <w:rsid w:val="00A51831"/>
    <w:rsid w:val="00A51BA2"/>
    <w:rsid w:val="00A51CA7"/>
    <w:rsid w:val="00A5213B"/>
    <w:rsid w:val="00A53292"/>
    <w:rsid w:val="00A53A03"/>
    <w:rsid w:val="00A5457C"/>
    <w:rsid w:val="00A54922"/>
    <w:rsid w:val="00A55437"/>
    <w:rsid w:val="00A55441"/>
    <w:rsid w:val="00A562ED"/>
    <w:rsid w:val="00A56853"/>
    <w:rsid w:val="00A5697D"/>
    <w:rsid w:val="00A569A8"/>
    <w:rsid w:val="00A56DDF"/>
    <w:rsid w:val="00A57B5A"/>
    <w:rsid w:val="00A60009"/>
    <w:rsid w:val="00A6053F"/>
    <w:rsid w:val="00A622F3"/>
    <w:rsid w:val="00A62541"/>
    <w:rsid w:val="00A63229"/>
    <w:rsid w:val="00A63260"/>
    <w:rsid w:val="00A63991"/>
    <w:rsid w:val="00A63BC5"/>
    <w:rsid w:val="00A64C51"/>
    <w:rsid w:val="00A66D27"/>
    <w:rsid w:val="00A67845"/>
    <w:rsid w:val="00A6788E"/>
    <w:rsid w:val="00A71789"/>
    <w:rsid w:val="00A71CE2"/>
    <w:rsid w:val="00A72F22"/>
    <w:rsid w:val="00A72F4D"/>
    <w:rsid w:val="00A73927"/>
    <w:rsid w:val="00A74063"/>
    <w:rsid w:val="00A748A6"/>
    <w:rsid w:val="00A7498D"/>
    <w:rsid w:val="00A74ECA"/>
    <w:rsid w:val="00A750CC"/>
    <w:rsid w:val="00A7549C"/>
    <w:rsid w:val="00A75CF8"/>
    <w:rsid w:val="00A764C1"/>
    <w:rsid w:val="00A77A1C"/>
    <w:rsid w:val="00A805EB"/>
    <w:rsid w:val="00A82BB2"/>
    <w:rsid w:val="00A82F13"/>
    <w:rsid w:val="00A8307B"/>
    <w:rsid w:val="00A830B4"/>
    <w:rsid w:val="00A849CC"/>
    <w:rsid w:val="00A852D2"/>
    <w:rsid w:val="00A854F1"/>
    <w:rsid w:val="00A85F44"/>
    <w:rsid w:val="00A86238"/>
    <w:rsid w:val="00A86D37"/>
    <w:rsid w:val="00A878BE"/>
    <w:rsid w:val="00A879A4"/>
    <w:rsid w:val="00A87DA0"/>
    <w:rsid w:val="00A87FF5"/>
    <w:rsid w:val="00A90075"/>
    <w:rsid w:val="00A91146"/>
    <w:rsid w:val="00A939BF"/>
    <w:rsid w:val="00A93A15"/>
    <w:rsid w:val="00A949C4"/>
    <w:rsid w:val="00A94DEC"/>
    <w:rsid w:val="00A955F8"/>
    <w:rsid w:val="00A966F4"/>
    <w:rsid w:val="00A96D2F"/>
    <w:rsid w:val="00A96E00"/>
    <w:rsid w:val="00A96FB6"/>
    <w:rsid w:val="00A97A23"/>
    <w:rsid w:val="00AA05C4"/>
    <w:rsid w:val="00AA0A92"/>
    <w:rsid w:val="00AA23A4"/>
    <w:rsid w:val="00AA24CC"/>
    <w:rsid w:val="00AA252F"/>
    <w:rsid w:val="00AA3746"/>
    <w:rsid w:val="00AA3C99"/>
    <w:rsid w:val="00AA5917"/>
    <w:rsid w:val="00AA5EF3"/>
    <w:rsid w:val="00AA6563"/>
    <w:rsid w:val="00AA686A"/>
    <w:rsid w:val="00AA6D8E"/>
    <w:rsid w:val="00AA7BCA"/>
    <w:rsid w:val="00AB01B7"/>
    <w:rsid w:val="00AB0A61"/>
    <w:rsid w:val="00AB0D9F"/>
    <w:rsid w:val="00AB1574"/>
    <w:rsid w:val="00AB42E1"/>
    <w:rsid w:val="00AB5057"/>
    <w:rsid w:val="00AB5D6E"/>
    <w:rsid w:val="00AB5FF8"/>
    <w:rsid w:val="00AB71B5"/>
    <w:rsid w:val="00AB75CD"/>
    <w:rsid w:val="00AC0759"/>
    <w:rsid w:val="00AC1C49"/>
    <w:rsid w:val="00AC1CBF"/>
    <w:rsid w:val="00AC2287"/>
    <w:rsid w:val="00AC2447"/>
    <w:rsid w:val="00AC302B"/>
    <w:rsid w:val="00AC36A7"/>
    <w:rsid w:val="00AC39F4"/>
    <w:rsid w:val="00AC3A83"/>
    <w:rsid w:val="00AC3AA1"/>
    <w:rsid w:val="00AC425F"/>
    <w:rsid w:val="00AC5359"/>
    <w:rsid w:val="00AC53C7"/>
    <w:rsid w:val="00AC5ABC"/>
    <w:rsid w:val="00AC683D"/>
    <w:rsid w:val="00AC7BA7"/>
    <w:rsid w:val="00AD0EE2"/>
    <w:rsid w:val="00AD0FC7"/>
    <w:rsid w:val="00AD201C"/>
    <w:rsid w:val="00AD23A4"/>
    <w:rsid w:val="00AD257C"/>
    <w:rsid w:val="00AD2A82"/>
    <w:rsid w:val="00AD2D71"/>
    <w:rsid w:val="00AD4805"/>
    <w:rsid w:val="00AD4D61"/>
    <w:rsid w:val="00AD5B61"/>
    <w:rsid w:val="00AD7C47"/>
    <w:rsid w:val="00AE1E2D"/>
    <w:rsid w:val="00AE1E62"/>
    <w:rsid w:val="00AE277D"/>
    <w:rsid w:val="00AE30F1"/>
    <w:rsid w:val="00AE466B"/>
    <w:rsid w:val="00AE4EDB"/>
    <w:rsid w:val="00AE52B5"/>
    <w:rsid w:val="00AE59F2"/>
    <w:rsid w:val="00AE5F27"/>
    <w:rsid w:val="00AE60C4"/>
    <w:rsid w:val="00AE6107"/>
    <w:rsid w:val="00AE6AD0"/>
    <w:rsid w:val="00AE6E6E"/>
    <w:rsid w:val="00AE728F"/>
    <w:rsid w:val="00AE752F"/>
    <w:rsid w:val="00AE7C60"/>
    <w:rsid w:val="00AF0693"/>
    <w:rsid w:val="00AF1671"/>
    <w:rsid w:val="00AF209F"/>
    <w:rsid w:val="00AF30D8"/>
    <w:rsid w:val="00AF33E9"/>
    <w:rsid w:val="00AF35B2"/>
    <w:rsid w:val="00AF38CA"/>
    <w:rsid w:val="00AF4799"/>
    <w:rsid w:val="00AF51E4"/>
    <w:rsid w:val="00AF520A"/>
    <w:rsid w:val="00AF5599"/>
    <w:rsid w:val="00AF5B84"/>
    <w:rsid w:val="00B00422"/>
    <w:rsid w:val="00B01D60"/>
    <w:rsid w:val="00B02FF7"/>
    <w:rsid w:val="00B03A91"/>
    <w:rsid w:val="00B03DA2"/>
    <w:rsid w:val="00B055A3"/>
    <w:rsid w:val="00B05B49"/>
    <w:rsid w:val="00B05B51"/>
    <w:rsid w:val="00B0606E"/>
    <w:rsid w:val="00B1088B"/>
    <w:rsid w:val="00B109BD"/>
    <w:rsid w:val="00B114B7"/>
    <w:rsid w:val="00B11AA4"/>
    <w:rsid w:val="00B11B4B"/>
    <w:rsid w:val="00B11B76"/>
    <w:rsid w:val="00B11D31"/>
    <w:rsid w:val="00B123EE"/>
    <w:rsid w:val="00B13096"/>
    <w:rsid w:val="00B13694"/>
    <w:rsid w:val="00B1474F"/>
    <w:rsid w:val="00B14904"/>
    <w:rsid w:val="00B15767"/>
    <w:rsid w:val="00B15B2C"/>
    <w:rsid w:val="00B1630D"/>
    <w:rsid w:val="00B16AD0"/>
    <w:rsid w:val="00B17170"/>
    <w:rsid w:val="00B17CEC"/>
    <w:rsid w:val="00B2182D"/>
    <w:rsid w:val="00B22A5E"/>
    <w:rsid w:val="00B23043"/>
    <w:rsid w:val="00B231A1"/>
    <w:rsid w:val="00B23E6D"/>
    <w:rsid w:val="00B24231"/>
    <w:rsid w:val="00B25217"/>
    <w:rsid w:val="00B26EBE"/>
    <w:rsid w:val="00B26F71"/>
    <w:rsid w:val="00B27728"/>
    <w:rsid w:val="00B30179"/>
    <w:rsid w:val="00B31ED9"/>
    <w:rsid w:val="00B3228C"/>
    <w:rsid w:val="00B32BED"/>
    <w:rsid w:val="00B334FD"/>
    <w:rsid w:val="00B33D93"/>
    <w:rsid w:val="00B33EC0"/>
    <w:rsid w:val="00B34835"/>
    <w:rsid w:val="00B34F84"/>
    <w:rsid w:val="00B34FB8"/>
    <w:rsid w:val="00B354CC"/>
    <w:rsid w:val="00B356B8"/>
    <w:rsid w:val="00B358FD"/>
    <w:rsid w:val="00B36282"/>
    <w:rsid w:val="00B373DB"/>
    <w:rsid w:val="00B374EF"/>
    <w:rsid w:val="00B37626"/>
    <w:rsid w:val="00B37A59"/>
    <w:rsid w:val="00B37B66"/>
    <w:rsid w:val="00B37D68"/>
    <w:rsid w:val="00B41C48"/>
    <w:rsid w:val="00B420FA"/>
    <w:rsid w:val="00B42421"/>
    <w:rsid w:val="00B42AAC"/>
    <w:rsid w:val="00B4306D"/>
    <w:rsid w:val="00B43C1D"/>
    <w:rsid w:val="00B444FB"/>
    <w:rsid w:val="00B453E3"/>
    <w:rsid w:val="00B459EB"/>
    <w:rsid w:val="00B46050"/>
    <w:rsid w:val="00B47034"/>
    <w:rsid w:val="00B47AC1"/>
    <w:rsid w:val="00B50F1A"/>
    <w:rsid w:val="00B526C0"/>
    <w:rsid w:val="00B52889"/>
    <w:rsid w:val="00B52A3E"/>
    <w:rsid w:val="00B5388E"/>
    <w:rsid w:val="00B5394A"/>
    <w:rsid w:val="00B53A16"/>
    <w:rsid w:val="00B54D7F"/>
    <w:rsid w:val="00B56644"/>
    <w:rsid w:val="00B567BF"/>
    <w:rsid w:val="00B567C0"/>
    <w:rsid w:val="00B56AF4"/>
    <w:rsid w:val="00B56BC9"/>
    <w:rsid w:val="00B57152"/>
    <w:rsid w:val="00B57536"/>
    <w:rsid w:val="00B6092F"/>
    <w:rsid w:val="00B60F55"/>
    <w:rsid w:val="00B61223"/>
    <w:rsid w:val="00B61CC3"/>
    <w:rsid w:val="00B629A5"/>
    <w:rsid w:val="00B630AA"/>
    <w:rsid w:val="00B638A5"/>
    <w:rsid w:val="00B63B7C"/>
    <w:rsid w:val="00B63E6A"/>
    <w:rsid w:val="00B6419C"/>
    <w:rsid w:val="00B64249"/>
    <w:rsid w:val="00B6505E"/>
    <w:rsid w:val="00B655F2"/>
    <w:rsid w:val="00B6571F"/>
    <w:rsid w:val="00B65CED"/>
    <w:rsid w:val="00B66DE8"/>
    <w:rsid w:val="00B67187"/>
    <w:rsid w:val="00B67ABE"/>
    <w:rsid w:val="00B67CB3"/>
    <w:rsid w:val="00B67EDA"/>
    <w:rsid w:val="00B70D8F"/>
    <w:rsid w:val="00B712CD"/>
    <w:rsid w:val="00B71340"/>
    <w:rsid w:val="00B71985"/>
    <w:rsid w:val="00B72447"/>
    <w:rsid w:val="00B72E78"/>
    <w:rsid w:val="00B73367"/>
    <w:rsid w:val="00B73936"/>
    <w:rsid w:val="00B748C9"/>
    <w:rsid w:val="00B74A20"/>
    <w:rsid w:val="00B74B92"/>
    <w:rsid w:val="00B74BA7"/>
    <w:rsid w:val="00B74BC4"/>
    <w:rsid w:val="00B7702F"/>
    <w:rsid w:val="00B774A0"/>
    <w:rsid w:val="00B8059D"/>
    <w:rsid w:val="00B80982"/>
    <w:rsid w:val="00B80B14"/>
    <w:rsid w:val="00B81183"/>
    <w:rsid w:val="00B816A5"/>
    <w:rsid w:val="00B81E12"/>
    <w:rsid w:val="00B8252C"/>
    <w:rsid w:val="00B8280B"/>
    <w:rsid w:val="00B8300F"/>
    <w:rsid w:val="00B83EA9"/>
    <w:rsid w:val="00B8421F"/>
    <w:rsid w:val="00B845F2"/>
    <w:rsid w:val="00B84681"/>
    <w:rsid w:val="00B854D7"/>
    <w:rsid w:val="00B864C6"/>
    <w:rsid w:val="00B87EC3"/>
    <w:rsid w:val="00B90314"/>
    <w:rsid w:val="00B912F5"/>
    <w:rsid w:val="00B91C2E"/>
    <w:rsid w:val="00B91D48"/>
    <w:rsid w:val="00B95268"/>
    <w:rsid w:val="00B95359"/>
    <w:rsid w:val="00B95526"/>
    <w:rsid w:val="00B955CE"/>
    <w:rsid w:val="00B95B80"/>
    <w:rsid w:val="00B95E32"/>
    <w:rsid w:val="00B96082"/>
    <w:rsid w:val="00B9689A"/>
    <w:rsid w:val="00B970B8"/>
    <w:rsid w:val="00B97225"/>
    <w:rsid w:val="00BA02B9"/>
    <w:rsid w:val="00BA0C15"/>
    <w:rsid w:val="00BA0EA4"/>
    <w:rsid w:val="00BA1B64"/>
    <w:rsid w:val="00BA2174"/>
    <w:rsid w:val="00BA31D8"/>
    <w:rsid w:val="00BA39DA"/>
    <w:rsid w:val="00BA4379"/>
    <w:rsid w:val="00BA46C3"/>
    <w:rsid w:val="00BA4736"/>
    <w:rsid w:val="00BA5660"/>
    <w:rsid w:val="00BA5D94"/>
    <w:rsid w:val="00BA6971"/>
    <w:rsid w:val="00BA6AB8"/>
    <w:rsid w:val="00BA714A"/>
    <w:rsid w:val="00BA7D5A"/>
    <w:rsid w:val="00BB01A6"/>
    <w:rsid w:val="00BB119E"/>
    <w:rsid w:val="00BB11D8"/>
    <w:rsid w:val="00BB221E"/>
    <w:rsid w:val="00BB2543"/>
    <w:rsid w:val="00BB2914"/>
    <w:rsid w:val="00BB2D83"/>
    <w:rsid w:val="00BB2E41"/>
    <w:rsid w:val="00BB4E92"/>
    <w:rsid w:val="00BB5656"/>
    <w:rsid w:val="00BB664D"/>
    <w:rsid w:val="00BB692B"/>
    <w:rsid w:val="00BB6E52"/>
    <w:rsid w:val="00BB6F01"/>
    <w:rsid w:val="00BB70B8"/>
    <w:rsid w:val="00BC1700"/>
    <w:rsid w:val="00BC34D6"/>
    <w:rsid w:val="00BC4349"/>
    <w:rsid w:val="00BC4D46"/>
    <w:rsid w:val="00BC4D5E"/>
    <w:rsid w:val="00BC5DEC"/>
    <w:rsid w:val="00BC60D1"/>
    <w:rsid w:val="00BC60FF"/>
    <w:rsid w:val="00BC6913"/>
    <w:rsid w:val="00BC74E9"/>
    <w:rsid w:val="00BC75C0"/>
    <w:rsid w:val="00BD0BB7"/>
    <w:rsid w:val="00BD14E2"/>
    <w:rsid w:val="00BD1515"/>
    <w:rsid w:val="00BD1ACD"/>
    <w:rsid w:val="00BD1B64"/>
    <w:rsid w:val="00BD2146"/>
    <w:rsid w:val="00BD21BF"/>
    <w:rsid w:val="00BD2748"/>
    <w:rsid w:val="00BD2D6F"/>
    <w:rsid w:val="00BD3A7D"/>
    <w:rsid w:val="00BD3B1C"/>
    <w:rsid w:val="00BD4BEA"/>
    <w:rsid w:val="00BD4EDF"/>
    <w:rsid w:val="00BD63AC"/>
    <w:rsid w:val="00BD747D"/>
    <w:rsid w:val="00BD7C7B"/>
    <w:rsid w:val="00BD7CBB"/>
    <w:rsid w:val="00BE0AE3"/>
    <w:rsid w:val="00BE0F14"/>
    <w:rsid w:val="00BE19F8"/>
    <w:rsid w:val="00BE2390"/>
    <w:rsid w:val="00BE3001"/>
    <w:rsid w:val="00BE4462"/>
    <w:rsid w:val="00BE4F74"/>
    <w:rsid w:val="00BE618E"/>
    <w:rsid w:val="00BE73ED"/>
    <w:rsid w:val="00BE7982"/>
    <w:rsid w:val="00BE79C8"/>
    <w:rsid w:val="00BE7E42"/>
    <w:rsid w:val="00BF0631"/>
    <w:rsid w:val="00BF0E23"/>
    <w:rsid w:val="00BF1466"/>
    <w:rsid w:val="00BF237D"/>
    <w:rsid w:val="00BF37AA"/>
    <w:rsid w:val="00BF41DD"/>
    <w:rsid w:val="00BF49BD"/>
    <w:rsid w:val="00BF548D"/>
    <w:rsid w:val="00BF559F"/>
    <w:rsid w:val="00C01440"/>
    <w:rsid w:val="00C0185A"/>
    <w:rsid w:val="00C0199D"/>
    <w:rsid w:val="00C0225E"/>
    <w:rsid w:val="00C03542"/>
    <w:rsid w:val="00C036E0"/>
    <w:rsid w:val="00C04153"/>
    <w:rsid w:val="00C0451A"/>
    <w:rsid w:val="00C04C7D"/>
    <w:rsid w:val="00C04EFB"/>
    <w:rsid w:val="00C05999"/>
    <w:rsid w:val="00C059D6"/>
    <w:rsid w:val="00C05DD2"/>
    <w:rsid w:val="00C06628"/>
    <w:rsid w:val="00C066BC"/>
    <w:rsid w:val="00C0670C"/>
    <w:rsid w:val="00C07276"/>
    <w:rsid w:val="00C10E48"/>
    <w:rsid w:val="00C113F4"/>
    <w:rsid w:val="00C1178D"/>
    <w:rsid w:val="00C11ED2"/>
    <w:rsid w:val="00C12347"/>
    <w:rsid w:val="00C129B8"/>
    <w:rsid w:val="00C12C7C"/>
    <w:rsid w:val="00C13A33"/>
    <w:rsid w:val="00C13AEF"/>
    <w:rsid w:val="00C143B4"/>
    <w:rsid w:val="00C14737"/>
    <w:rsid w:val="00C14D26"/>
    <w:rsid w:val="00C15AEC"/>
    <w:rsid w:val="00C1613C"/>
    <w:rsid w:val="00C16D56"/>
    <w:rsid w:val="00C172A8"/>
    <w:rsid w:val="00C17699"/>
    <w:rsid w:val="00C20CE6"/>
    <w:rsid w:val="00C2138C"/>
    <w:rsid w:val="00C21B08"/>
    <w:rsid w:val="00C2346D"/>
    <w:rsid w:val="00C234AF"/>
    <w:rsid w:val="00C24A7D"/>
    <w:rsid w:val="00C2531D"/>
    <w:rsid w:val="00C260FE"/>
    <w:rsid w:val="00C26146"/>
    <w:rsid w:val="00C2626D"/>
    <w:rsid w:val="00C26518"/>
    <w:rsid w:val="00C27434"/>
    <w:rsid w:val="00C27779"/>
    <w:rsid w:val="00C27822"/>
    <w:rsid w:val="00C27F1E"/>
    <w:rsid w:val="00C309A6"/>
    <w:rsid w:val="00C3120B"/>
    <w:rsid w:val="00C3184B"/>
    <w:rsid w:val="00C31B61"/>
    <w:rsid w:val="00C325B7"/>
    <w:rsid w:val="00C32A91"/>
    <w:rsid w:val="00C33D34"/>
    <w:rsid w:val="00C34A4C"/>
    <w:rsid w:val="00C34CA3"/>
    <w:rsid w:val="00C3691B"/>
    <w:rsid w:val="00C36CBD"/>
    <w:rsid w:val="00C37CE0"/>
    <w:rsid w:val="00C40740"/>
    <w:rsid w:val="00C407EE"/>
    <w:rsid w:val="00C40C26"/>
    <w:rsid w:val="00C41189"/>
    <w:rsid w:val="00C41327"/>
    <w:rsid w:val="00C41335"/>
    <w:rsid w:val="00C416E5"/>
    <w:rsid w:val="00C41A28"/>
    <w:rsid w:val="00C440F9"/>
    <w:rsid w:val="00C4424E"/>
    <w:rsid w:val="00C4494C"/>
    <w:rsid w:val="00C45639"/>
    <w:rsid w:val="00C463DD"/>
    <w:rsid w:val="00C46B8B"/>
    <w:rsid w:val="00C4764F"/>
    <w:rsid w:val="00C5010C"/>
    <w:rsid w:val="00C50A7B"/>
    <w:rsid w:val="00C5152D"/>
    <w:rsid w:val="00C5192B"/>
    <w:rsid w:val="00C5285E"/>
    <w:rsid w:val="00C52B14"/>
    <w:rsid w:val="00C52ECE"/>
    <w:rsid w:val="00C5334C"/>
    <w:rsid w:val="00C5378D"/>
    <w:rsid w:val="00C53F8A"/>
    <w:rsid w:val="00C56738"/>
    <w:rsid w:val="00C567A1"/>
    <w:rsid w:val="00C57704"/>
    <w:rsid w:val="00C577DE"/>
    <w:rsid w:val="00C579DC"/>
    <w:rsid w:val="00C603B9"/>
    <w:rsid w:val="00C609E3"/>
    <w:rsid w:val="00C61374"/>
    <w:rsid w:val="00C619CD"/>
    <w:rsid w:val="00C62878"/>
    <w:rsid w:val="00C63FA6"/>
    <w:rsid w:val="00C645B7"/>
    <w:rsid w:val="00C6567A"/>
    <w:rsid w:val="00C65812"/>
    <w:rsid w:val="00C660E4"/>
    <w:rsid w:val="00C67661"/>
    <w:rsid w:val="00C70B5E"/>
    <w:rsid w:val="00C70D56"/>
    <w:rsid w:val="00C710A6"/>
    <w:rsid w:val="00C717ED"/>
    <w:rsid w:val="00C71E62"/>
    <w:rsid w:val="00C71FD3"/>
    <w:rsid w:val="00C7369C"/>
    <w:rsid w:val="00C73C64"/>
    <w:rsid w:val="00C745C3"/>
    <w:rsid w:val="00C74C91"/>
    <w:rsid w:val="00C755F8"/>
    <w:rsid w:val="00C756ED"/>
    <w:rsid w:val="00C75AEC"/>
    <w:rsid w:val="00C75EBE"/>
    <w:rsid w:val="00C7644A"/>
    <w:rsid w:val="00C764FE"/>
    <w:rsid w:val="00C7752F"/>
    <w:rsid w:val="00C7757F"/>
    <w:rsid w:val="00C77C40"/>
    <w:rsid w:val="00C81A02"/>
    <w:rsid w:val="00C81CFA"/>
    <w:rsid w:val="00C825EB"/>
    <w:rsid w:val="00C826B7"/>
    <w:rsid w:val="00C83696"/>
    <w:rsid w:val="00C83E93"/>
    <w:rsid w:val="00C83FD1"/>
    <w:rsid w:val="00C8436C"/>
    <w:rsid w:val="00C8515A"/>
    <w:rsid w:val="00C8585C"/>
    <w:rsid w:val="00C85AFF"/>
    <w:rsid w:val="00C90AC5"/>
    <w:rsid w:val="00C91EC5"/>
    <w:rsid w:val="00C92F94"/>
    <w:rsid w:val="00C93747"/>
    <w:rsid w:val="00C93E98"/>
    <w:rsid w:val="00C94465"/>
    <w:rsid w:val="00C9465C"/>
    <w:rsid w:val="00C949C4"/>
    <w:rsid w:val="00C94A03"/>
    <w:rsid w:val="00C95739"/>
    <w:rsid w:val="00C95A41"/>
    <w:rsid w:val="00C95C7F"/>
    <w:rsid w:val="00C9627A"/>
    <w:rsid w:val="00C9787A"/>
    <w:rsid w:val="00CA075E"/>
    <w:rsid w:val="00CA138E"/>
    <w:rsid w:val="00CA1606"/>
    <w:rsid w:val="00CA1A87"/>
    <w:rsid w:val="00CA1CB0"/>
    <w:rsid w:val="00CA25B7"/>
    <w:rsid w:val="00CA261B"/>
    <w:rsid w:val="00CA27AE"/>
    <w:rsid w:val="00CA2FD4"/>
    <w:rsid w:val="00CA38A1"/>
    <w:rsid w:val="00CA470B"/>
    <w:rsid w:val="00CA4B0E"/>
    <w:rsid w:val="00CA5B67"/>
    <w:rsid w:val="00CA5CEB"/>
    <w:rsid w:val="00CA606A"/>
    <w:rsid w:val="00CA69F2"/>
    <w:rsid w:val="00CA749B"/>
    <w:rsid w:val="00CA77B2"/>
    <w:rsid w:val="00CA7A5F"/>
    <w:rsid w:val="00CB039C"/>
    <w:rsid w:val="00CB0748"/>
    <w:rsid w:val="00CB08DB"/>
    <w:rsid w:val="00CB0A55"/>
    <w:rsid w:val="00CB1BBF"/>
    <w:rsid w:val="00CB1BDD"/>
    <w:rsid w:val="00CB1DE8"/>
    <w:rsid w:val="00CB3050"/>
    <w:rsid w:val="00CB3C2E"/>
    <w:rsid w:val="00CB3CAA"/>
    <w:rsid w:val="00CB508F"/>
    <w:rsid w:val="00CB575B"/>
    <w:rsid w:val="00CB6D08"/>
    <w:rsid w:val="00CB74AC"/>
    <w:rsid w:val="00CB7A85"/>
    <w:rsid w:val="00CC010A"/>
    <w:rsid w:val="00CC0774"/>
    <w:rsid w:val="00CC15B5"/>
    <w:rsid w:val="00CC176D"/>
    <w:rsid w:val="00CC1959"/>
    <w:rsid w:val="00CC2EDC"/>
    <w:rsid w:val="00CC3435"/>
    <w:rsid w:val="00CC3AF8"/>
    <w:rsid w:val="00CC429C"/>
    <w:rsid w:val="00CC43E8"/>
    <w:rsid w:val="00CC43FD"/>
    <w:rsid w:val="00CC515F"/>
    <w:rsid w:val="00CC6323"/>
    <w:rsid w:val="00CC6C8A"/>
    <w:rsid w:val="00CC7C4C"/>
    <w:rsid w:val="00CD0265"/>
    <w:rsid w:val="00CD03B4"/>
    <w:rsid w:val="00CD0AB7"/>
    <w:rsid w:val="00CD1551"/>
    <w:rsid w:val="00CD1709"/>
    <w:rsid w:val="00CD17B9"/>
    <w:rsid w:val="00CD1C1A"/>
    <w:rsid w:val="00CD22D2"/>
    <w:rsid w:val="00CD25DB"/>
    <w:rsid w:val="00CD2617"/>
    <w:rsid w:val="00CD3210"/>
    <w:rsid w:val="00CD33BD"/>
    <w:rsid w:val="00CD3427"/>
    <w:rsid w:val="00CD433E"/>
    <w:rsid w:val="00CD4407"/>
    <w:rsid w:val="00CD455E"/>
    <w:rsid w:val="00CD61EB"/>
    <w:rsid w:val="00CD64C5"/>
    <w:rsid w:val="00CD68BA"/>
    <w:rsid w:val="00CE097F"/>
    <w:rsid w:val="00CE0D48"/>
    <w:rsid w:val="00CE0E00"/>
    <w:rsid w:val="00CE0F64"/>
    <w:rsid w:val="00CE0F6D"/>
    <w:rsid w:val="00CE10D9"/>
    <w:rsid w:val="00CE142D"/>
    <w:rsid w:val="00CE22EA"/>
    <w:rsid w:val="00CE2463"/>
    <w:rsid w:val="00CE2732"/>
    <w:rsid w:val="00CE2BC5"/>
    <w:rsid w:val="00CE3368"/>
    <w:rsid w:val="00CE459A"/>
    <w:rsid w:val="00CE4A8F"/>
    <w:rsid w:val="00CE5878"/>
    <w:rsid w:val="00CE6E1B"/>
    <w:rsid w:val="00CE6F70"/>
    <w:rsid w:val="00CE79F6"/>
    <w:rsid w:val="00CF06CB"/>
    <w:rsid w:val="00CF1156"/>
    <w:rsid w:val="00CF1ADF"/>
    <w:rsid w:val="00CF1B91"/>
    <w:rsid w:val="00CF1F73"/>
    <w:rsid w:val="00CF229E"/>
    <w:rsid w:val="00CF24ED"/>
    <w:rsid w:val="00CF30E8"/>
    <w:rsid w:val="00CF353C"/>
    <w:rsid w:val="00CF3CC0"/>
    <w:rsid w:val="00CF41EA"/>
    <w:rsid w:val="00CF5A3A"/>
    <w:rsid w:val="00CF5B31"/>
    <w:rsid w:val="00CF5B7A"/>
    <w:rsid w:val="00CF5F97"/>
    <w:rsid w:val="00CF621D"/>
    <w:rsid w:val="00CF69C2"/>
    <w:rsid w:val="00CF6B8D"/>
    <w:rsid w:val="00CF7174"/>
    <w:rsid w:val="00CF784B"/>
    <w:rsid w:val="00CF7F48"/>
    <w:rsid w:val="00D00622"/>
    <w:rsid w:val="00D0087F"/>
    <w:rsid w:val="00D0099B"/>
    <w:rsid w:val="00D01403"/>
    <w:rsid w:val="00D01ADC"/>
    <w:rsid w:val="00D02166"/>
    <w:rsid w:val="00D02762"/>
    <w:rsid w:val="00D03CE2"/>
    <w:rsid w:val="00D04235"/>
    <w:rsid w:val="00D0729D"/>
    <w:rsid w:val="00D079E6"/>
    <w:rsid w:val="00D106E2"/>
    <w:rsid w:val="00D118C7"/>
    <w:rsid w:val="00D118F1"/>
    <w:rsid w:val="00D12966"/>
    <w:rsid w:val="00D13318"/>
    <w:rsid w:val="00D13F73"/>
    <w:rsid w:val="00D1518A"/>
    <w:rsid w:val="00D1553E"/>
    <w:rsid w:val="00D161D8"/>
    <w:rsid w:val="00D16357"/>
    <w:rsid w:val="00D17005"/>
    <w:rsid w:val="00D17803"/>
    <w:rsid w:val="00D2031B"/>
    <w:rsid w:val="00D20FEE"/>
    <w:rsid w:val="00D21DD5"/>
    <w:rsid w:val="00D222E2"/>
    <w:rsid w:val="00D22506"/>
    <w:rsid w:val="00D228C0"/>
    <w:rsid w:val="00D23B41"/>
    <w:rsid w:val="00D23D71"/>
    <w:rsid w:val="00D25139"/>
    <w:rsid w:val="00D25F0B"/>
    <w:rsid w:val="00D25FE2"/>
    <w:rsid w:val="00D26789"/>
    <w:rsid w:val="00D27527"/>
    <w:rsid w:val="00D2776F"/>
    <w:rsid w:val="00D27ED8"/>
    <w:rsid w:val="00D3070E"/>
    <w:rsid w:val="00D30C58"/>
    <w:rsid w:val="00D30CCF"/>
    <w:rsid w:val="00D3141C"/>
    <w:rsid w:val="00D317BB"/>
    <w:rsid w:val="00D3202F"/>
    <w:rsid w:val="00D32502"/>
    <w:rsid w:val="00D32B1B"/>
    <w:rsid w:val="00D33063"/>
    <w:rsid w:val="00D330B8"/>
    <w:rsid w:val="00D3317E"/>
    <w:rsid w:val="00D3319A"/>
    <w:rsid w:val="00D3344B"/>
    <w:rsid w:val="00D33B98"/>
    <w:rsid w:val="00D34370"/>
    <w:rsid w:val="00D343D3"/>
    <w:rsid w:val="00D3468A"/>
    <w:rsid w:val="00D34728"/>
    <w:rsid w:val="00D34FBB"/>
    <w:rsid w:val="00D35071"/>
    <w:rsid w:val="00D359FA"/>
    <w:rsid w:val="00D35D6F"/>
    <w:rsid w:val="00D36665"/>
    <w:rsid w:val="00D37E26"/>
    <w:rsid w:val="00D4137D"/>
    <w:rsid w:val="00D41990"/>
    <w:rsid w:val="00D41FEB"/>
    <w:rsid w:val="00D42198"/>
    <w:rsid w:val="00D42684"/>
    <w:rsid w:val="00D43252"/>
    <w:rsid w:val="00D432F3"/>
    <w:rsid w:val="00D4351A"/>
    <w:rsid w:val="00D44D36"/>
    <w:rsid w:val="00D44EAE"/>
    <w:rsid w:val="00D4609C"/>
    <w:rsid w:val="00D462D3"/>
    <w:rsid w:val="00D46947"/>
    <w:rsid w:val="00D470C3"/>
    <w:rsid w:val="00D47B29"/>
    <w:rsid w:val="00D50371"/>
    <w:rsid w:val="00D510C8"/>
    <w:rsid w:val="00D513B0"/>
    <w:rsid w:val="00D51587"/>
    <w:rsid w:val="00D515DB"/>
    <w:rsid w:val="00D52777"/>
    <w:rsid w:val="00D53BDE"/>
    <w:rsid w:val="00D53C29"/>
    <w:rsid w:val="00D55087"/>
    <w:rsid w:val="00D55BD6"/>
    <w:rsid w:val="00D56696"/>
    <w:rsid w:val="00D56868"/>
    <w:rsid w:val="00D569FD"/>
    <w:rsid w:val="00D56BB2"/>
    <w:rsid w:val="00D57D92"/>
    <w:rsid w:val="00D57FDE"/>
    <w:rsid w:val="00D60168"/>
    <w:rsid w:val="00D6070D"/>
    <w:rsid w:val="00D60B57"/>
    <w:rsid w:val="00D62015"/>
    <w:rsid w:val="00D6203B"/>
    <w:rsid w:val="00D63232"/>
    <w:rsid w:val="00D63430"/>
    <w:rsid w:val="00D636D2"/>
    <w:rsid w:val="00D64415"/>
    <w:rsid w:val="00D65523"/>
    <w:rsid w:val="00D657FD"/>
    <w:rsid w:val="00D66CAB"/>
    <w:rsid w:val="00D67675"/>
    <w:rsid w:val="00D700E0"/>
    <w:rsid w:val="00D701AF"/>
    <w:rsid w:val="00D701DA"/>
    <w:rsid w:val="00D703A3"/>
    <w:rsid w:val="00D70A16"/>
    <w:rsid w:val="00D7124C"/>
    <w:rsid w:val="00D719D2"/>
    <w:rsid w:val="00D71C2B"/>
    <w:rsid w:val="00D7221B"/>
    <w:rsid w:val="00D7476B"/>
    <w:rsid w:val="00D74C0E"/>
    <w:rsid w:val="00D7551C"/>
    <w:rsid w:val="00D75864"/>
    <w:rsid w:val="00D768FB"/>
    <w:rsid w:val="00D8004E"/>
    <w:rsid w:val="00D8025B"/>
    <w:rsid w:val="00D8066B"/>
    <w:rsid w:val="00D8161F"/>
    <w:rsid w:val="00D822C3"/>
    <w:rsid w:val="00D830E3"/>
    <w:rsid w:val="00D83402"/>
    <w:rsid w:val="00D83412"/>
    <w:rsid w:val="00D8520F"/>
    <w:rsid w:val="00D85317"/>
    <w:rsid w:val="00D8668D"/>
    <w:rsid w:val="00D86D6D"/>
    <w:rsid w:val="00D8703E"/>
    <w:rsid w:val="00D87150"/>
    <w:rsid w:val="00D877F7"/>
    <w:rsid w:val="00D87AA8"/>
    <w:rsid w:val="00D87E7B"/>
    <w:rsid w:val="00D9009F"/>
    <w:rsid w:val="00D90360"/>
    <w:rsid w:val="00D90BBE"/>
    <w:rsid w:val="00D924D8"/>
    <w:rsid w:val="00D925E5"/>
    <w:rsid w:val="00D93506"/>
    <w:rsid w:val="00D944A7"/>
    <w:rsid w:val="00D957A0"/>
    <w:rsid w:val="00D95A67"/>
    <w:rsid w:val="00D96143"/>
    <w:rsid w:val="00D969F6"/>
    <w:rsid w:val="00D96FFC"/>
    <w:rsid w:val="00D9716E"/>
    <w:rsid w:val="00D9744A"/>
    <w:rsid w:val="00D978C6"/>
    <w:rsid w:val="00D978F3"/>
    <w:rsid w:val="00D97D1C"/>
    <w:rsid w:val="00D97FCE"/>
    <w:rsid w:val="00DA0136"/>
    <w:rsid w:val="00DA05BA"/>
    <w:rsid w:val="00DA0AE3"/>
    <w:rsid w:val="00DA162D"/>
    <w:rsid w:val="00DA1A60"/>
    <w:rsid w:val="00DA2039"/>
    <w:rsid w:val="00DA28D2"/>
    <w:rsid w:val="00DA2BC9"/>
    <w:rsid w:val="00DA2DEE"/>
    <w:rsid w:val="00DA3AEC"/>
    <w:rsid w:val="00DA460C"/>
    <w:rsid w:val="00DA62A5"/>
    <w:rsid w:val="00DA67AD"/>
    <w:rsid w:val="00DA6901"/>
    <w:rsid w:val="00DA741C"/>
    <w:rsid w:val="00DB0179"/>
    <w:rsid w:val="00DB209B"/>
    <w:rsid w:val="00DB2A09"/>
    <w:rsid w:val="00DB3038"/>
    <w:rsid w:val="00DB338F"/>
    <w:rsid w:val="00DB4928"/>
    <w:rsid w:val="00DB501B"/>
    <w:rsid w:val="00DB525A"/>
    <w:rsid w:val="00DB5D0F"/>
    <w:rsid w:val="00DB70DB"/>
    <w:rsid w:val="00DB70DF"/>
    <w:rsid w:val="00DB7925"/>
    <w:rsid w:val="00DB7963"/>
    <w:rsid w:val="00DC069C"/>
    <w:rsid w:val="00DC0946"/>
    <w:rsid w:val="00DC0AB9"/>
    <w:rsid w:val="00DC14C8"/>
    <w:rsid w:val="00DC1626"/>
    <w:rsid w:val="00DC1A84"/>
    <w:rsid w:val="00DC1FA3"/>
    <w:rsid w:val="00DC27B5"/>
    <w:rsid w:val="00DC2C31"/>
    <w:rsid w:val="00DC3242"/>
    <w:rsid w:val="00DC3B59"/>
    <w:rsid w:val="00DC3BDF"/>
    <w:rsid w:val="00DC4AC2"/>
    <w:rsid w:val="00DC4B1E"/>
    <w:rsid w:val="00DC56A2"/>
    <w:rsid w:val="00DC6510"/>
    <w:rsid w:val="00DC69A4"/>
    <w:rsid w:val="00DC6BEB"/>
    <w:rsid w:val="00DC6D81"/>
    <w:rsid w:val="00DC6DF1"/>
    <w:rsid w:val="00DC762A"/>
    <w:rsid w:val="00DC78E1"/>
    <w:rsid w:val="00DC7B11"/>
    <w:rsid w:val="00DD020F"/>
    <w:rsid w:val="00DD078D"/>
    <w:rsid w:val="00DD2128"/>
    <w:rsid w:val="00DD2768"/>
    <w:rsid w:val="00DD3B4A"/>
    <w:rsid w:val="00DD4269"/>
    <w:rsid w:val="00DD49A9"/>
    <w:rsid w:val="00DD49F8"/>
    <w:rsid w:val="00DD4BEF"/>
    <w:rsid w:val="00DD55EC"/>
    <w:rsid w:val="00DD5BEB"/>
    <w:rsid w:val="00DD5C2F"/>
    <w:rsid w:val="00DD67D8"/>
    <w:rsid w:val="00DD7517"/>
    <w:rsid w:val="00DE0100"/>
    <w:rsid w:val="00DE04CE"/>
    <w:rsid w:val="00DE05F4"/>
    <w:rsid w:val="00DE083B"/>
    <w:rsid w:val="00DE2E3F"/>
    <w:rsid w:val="00DE30B4"/>
    <w:rsid w:val="00DE33BE"/>
    <w:rsid w:val="00DE370D"/>
    <w:rsid w:val="00DE3870"/>
    <w:rsid w:val="00DE3A0C"/>
    <w:rsid w:val="00DE3B26"/>
    <w:rsid w:val="00DE415E"/>
    <w:rsid w:val="00DE42A7"/>
    <w:rsid w:val="00DE46BB"/>
    <w:rsid w:val="00DE4B7D"/>
    <w:rsid w:val="00DE5AC6"/>
    <w:rsid w:val="00DE5F68"/>
    <w:rsid w:val="00DE6322"/>
    <w:rsid w:val="00DE649A"/>
    <w:rsid w:val="00DE6DAD"/>
    <w:rsid w:val="00DE7779"/>
    <w:rsid w:val="00DE78DA"/>
    <w:rsid w:val="00DE7924"/>
    <w:rsid w:val="00DE7F82"/>
    <w:rsid w:val="00DF0EFD"/>
    <w:rsid w:val="00DF12F7"/>
    <w:rsid w:val="00DF1353"/>
    <w:rsid w:val="00DF14C3"/>
    <w:rsid w:val="00DF1EDC"/>
    <w:rsid w:val="00DF21B8"/>
    <w:rsid w:val="00DF21B9"/>
    <w:rsid w:val="00DF2955"/>
    <w:rsid w:val="00DF2B73"/>
    <w:rsid w:val="00DF420B"/>
    <w:rsid w:val="00DF540A"/>
    <w:rsid w:val="00DF7264"/>
    <w:rsid w:val="00DF7DEB"/>
    <w:rsid w:val="00E0010A"/>
    <w:rsid w:val="00E00682"/>
    <w:rsid w:val="00E0097A"/>
    <w:rsid w:val="00E01975"/>
    <w:rsid w:val="00E01E01"/>
    <w:rsid w:val="00E0285B"/>
    <w:rsid w:val="00E02A97"/>
    <w:rsid w:val="00E02C81"/>
    <w:rsid w:val="00E02E18"/>
    <w:rsid w:val="00E04484"/>
    <w:rsid w:val="00E044D8"/>
    <w:rsid w:val="00E0465A"/>
    <w:rsid w:val="00E04809"/>
    <w:rsid w:val="00E056EC"/>
    <w:rsid w:val="00E0636A"/>
    <w:rsid w:val="00E06978"/>
    <w:rsid w:val="00E06FF1"/>
    <w:rsid w:val="00E07641"/>
    <w:rsid w:val="00E11176"/>
    <w:rsid w:val="00E11A51"/>
    <w:rsid w:val="00E125B9"/>
    <w:rsid w:val="00E130AB"/>
    <w:rsid w:val="00E13738"/>
    <w:rsid w:val="00E140FE"/>
    <w:rsid w:val="00E14AC8"/>
    <w:rsid w:val="00E1581B"/>
    <w:rsid w:val="00E15C5C"/>
    <w:rsid w:val="00E16607"/>
    <w:rsid w:val="00E175E4"/>
    <w:rsid w:val="00E17C35"/>
    <w:rsid w:val="00E201CB"/>
    <w:rsid w:val="00E20691"/>
    <w:rsid w:val="00E21BF5"/>
    <w:rsid w:val="00E22F81"/>
    <w:rsid w:val="00E23106"/>
    <w:rsid w:val="00E23862"/>
    <w:rsid w:val="00E24F07"/>
    <w:rsid w:val="00E25A11"/>
    <w:rsid w:val="00E25EE6"/>
    <w:rsid w:val="00E2667E"/>
    <w:rsid w:val="00E26A58"/>
    <w:rsid w:val="00E270F0"/>
    <w:rsid w:val="00E30980"/>
    <w:rsid w:val="00E32949"/>
    <w:rsid w:val="00E33293"/>
    <w:rsid w:val="00E339EF"/>
    <w:rsid w:val="00E33F64"/>
    <w:rsid w:val="00E34232"/>
    <w:rsid w:val="00E34BE2"/>
    <w:rsid w:val="00E356E0"/>
    <w:rsid w:val="00E357EC"/>
    <w:rsid w:val="00E360FB"/>
    <w:rsid w:val="00E36D1A"/>
    <w:rsid w:val="00E40030"/>
    <w:rsid w:val="00E40560"/>
    <w:rsid w:val="00E405AF"/>
    <w:rsid w:val="00E40862"/>
    <w:rsid w:val="00E40D63"/>
    <w:rsid w:val="00E40F44"/>
    <w:rsid w:val="00E410E2"/>
    <w:rsid w:val="00E412B1"/>
    <w:rsid w:val="00E4169B"/>
    <w:rsid w:val="00E41868"/>
    <w:rsid w:val="00E41B9F"/>
    <w:rsid w:val="00E41C37"/>
    <w:rsid w:val="00E42025"/>
    <w:rsid w:val="00E42212"/>
    <w:rsid w:val="00E42808"/>
    <w:rsid w:val="00E42C3D"/>
    <w:rsid w:val="00E434BC"/>
    <w:rsid w:val="00E44987"/>
    <w:rsid w:val="00E44CE2"/>
    <w:rsid w:val="00E45052"/>
    <w:rsid w:val="00E4658C"/>
    <w:rsid w:val="00E465CE"/>
    <w:rsid w:val="00E46C1E"/>
    <w:rsid w:val="00E46EA3"/>
    <w:rsid w:val="00E46FC7"/>
    <w:rsid w:val="00E47071"/>
    <w:rsid w:val="00E470C5"/>
    <w:rsid w:val="00E50872"/>
    <w:rsid w:val="00E50874"/>
    <w:rsid w:val="00E53D5A"/>
    <w:rsid w:val="00E548F1"/>
    <w:rsid w:val="00E54EC5"/>
    <w:rsid w:val="00E55E2B"/>
    <w:rsid w:val="00E5676A"/>
    <w:rsid w:val="00E56E85"/>
    <w:rsid w:val="00E57611"/>
    <w:rsid w:val="00E60339"/>
    <w:rsid w:val="00E608C7"/>
    <w:rsid w:val="00E6216C"/>
    <w:rsid w:val="00E63D7B"/>
    <w:rsid w:val="00E64E7F"/>
    <w:rsid w:val="00E65CB4"/>
    <w:rsid w:val="00E70820"/>
    <w:rsid w:val="00E7260F"/>
    <w:rsid w:val="00E7286F"/>
    <w:rsid w:val="00E72E45"/>
    <w:rsid w:val="00E73200"/>
    <w:rsid w:val="00E735C6"/>
    <w:rsid w:val="00E73E01"/>
    <w:rsid w:val="00E7441D"/>
    <w:rsid w:val="00E74A11"/>
    <w:rsid w:val="00E75220"/>
    <w:rsid w:val="00E75E93"/>
    <w:rsid w:val="00E76D3A"/>
    <w:rsid w:val="00E770B7"/>
    <w:rsid w:val="00E7723A"/>
    <w:rsid w:val="00E7733E"/>
    <w:rsid w:val="00E77BD1"/>
    <w:rsid w:val="00E80E1A"/>
    <w:rsid w:val="00E8135F"/>
    <w:rsid w:val="00E81981"/>
    <w:rsid w:val="00E81ECA"/>
    <w:rsid w:val="00E829B3"/>
    <w:rsid w:val="00E82E8E"/>
    <w:rsid w:val="00E836F4"/>
    <w:rsid w:val="00E83AE9"/>
    <w:rsid w:val="00E842A9"/>
    <w:rsid w:val="00E84DA9"/>
    <w:rsid w:val="00E85888"/>
    <w:rsid w:val="00E870F4"/>
    <w:rsid w:val="00E8736B"/>
    <w:rsid w:val="00E87372"/>
    <w:rsid w:val="00E87402"/>
    <w:rsid w:val="00E87921"/>
    <w:rsid w:val="00E879C5"/>
    <w:rsid w:val="00E87AE4"/>
    <w:rsid w:val="00E87CF4"/>
    <w:rsid w:val="00E90D7B"/>
    <w:rsid w:val="00E917A6"/>
    <w:rsid w:val="00E92155"/>
    <w:rsid w:val="00E92815"/>
    <w:rsid w:val="00E92D02"/>
    <w:rsid w:val="00E92EF5"/>
    <w:rsid w:val="00E94BBE"/>
    <w:rsid w:val="00E95106"/>
    <w:rsid w:val="00E95267"/>
    <w:rsid w:val="00E95938"/>
    <w:rsid w:val="00E96630"/>
    <w:rsid w:val="00E968DC"/>
    <w:rsid w:val="00E96BC7"/>
    <w:rsid w:val="00E96FBD"/>
    <w:rsid w:val="00E971F6"/>
    <w:rsid w:val="00E9765E"/>
    <w:rsid w:val="00EA0818"/>
    <w:rsid w:val="00EA22C2"/>
    <w:rsid w:val="00EA264E"/>
    <w:rsid w:val="00EA2880"/>
    <w:rsid w:val="00EA297F"/>
    <w:rsid w:val="00EA2CE6"/>
    <w:rsid w:val="00EA33D3"/>
    <w:rsid w:val="00EA4E49"/>
    <w:rsid w:val="00EA5109"/>
    <w:rsid w:val="00EA5114"/>
    <w:rsid w:val="00EA55A6"/>
    <w:rsid w:val="00EA5669"/>
    <w:rsid w:val="00EA5690"/>
    <w:rsid w:val="00EA585B"/>
    <w:rsid w:val="00EA680A"/>
    <w:rsid w:val="00EA7995"/>
    <w:rsid w:val="00EA79EB"/>
    <w:rsid w:val="00EA7D9C"/>
    <w:rsid w:val="00EB08F5"/>
    <w:rsid w:val="00EB0D14"/>
    <w:rsid w:val="00EB1330"/>
    <w:rsid w:val="00EB31E8"/>
    <w:rsid w:val="00EB3B8B"/>
    <w:rsid w:val="00EB46DC"/>
    <w:rsid w:val="00EB4CB8"/>
    <w:rsid w:val="00EB7CBF"/>
    <w:rsid w:val="00EC0B24"/>
    <w:rsid w:val="00EC0EA2"/>
    <w:rsid w:val="00EC27AF"/>
    <w:rsid w:val="00EC28EE"/>
    <w:rsid w:val="00EC32E8"/>
    <w:rsid w:val="00EC3D7E"/>
    <w:rsid w:val="00EC43DD"/>
    <w:rsid w:val="00EC4720"/>
    <w:rsid w:val="00EC512C"/>
    <w:rsid w:val="00EC56E5"/>
    <w:rsid w:val="00EC5A8A"/>
    <w:rsid w:val="00EC61B3"/>
    <w:rsid w:val="00EC7524"/>
    <w:rsid w:val="00EC7F9A"/>
    <w:rsid w:val="00ED090C"/>
    <w:rsid w:val="00ED0BE3"/>
    <w:rsid w:val="00ED0D85"/>
    <w:rsid w:val="00ED21B3"/>
    <w:rsid w:val="00ED226E"/>
    <w:rsid w:val="00ED2660"/>
    <w:rsid w:val="00ED2755"/>
    <w:rsid w:val="00ED2817"/>
    <w:rsid w:val="00ED2C3F"/>
    <w:rsid w:val="00ED33B5"/>
    <w:rsid w:val="00ED3A94"/>
    <w:rsid w:val="00ED3C73"/>
    <w:rsid w:val="00ED3CDE"/>
    <w:rsid w:val="00ED4A34"/>
    <w:rsid w:val="00ED4CB8"/>
    <w:rsid w:val="00ED5556"/>
    <w:rsid w:val="00ED5940"/>
    <w:rsid w:val="00ED63EC"/>
    <w:rsid w:val="00ED692D"/>
    <w:rsid w:val="00ED6DD8"/>
    <w:rsid w:val="00ED7A2A"/>
    <w:rsid w:val="00ED7E78"/>
    <w:rsid w:val="00EE05E1"/>
    <w:rsid w:val="00EE0764"/>
    <w:rsid w:val="00EE0856"/>
    <w:rsid w:val="00EE2307"/>
    <w:rsid w:val="00EE2BEC"/>
    <w:rsid w:val="00EE38AD"/>
    <w:rsid w:val="00EE4C7C"/>
    <w:rsid w:val="00EE4E6A"/>
    <w:rsid w:val="00EE5177"/>
    <w:rsid w:val="00EE6645"/>
    <w:rsid w:val="00EE6D04"/>
    <w:rsid w:val="00EE71E0"/>
    <w:rsid w:val="00EE7CDE"/>
    <w:rsid w:val="00EF11B2"/>
    <w:rsid w:val="00EF13F9"/>
    <w:rsid w:val="00EF1D7F"/>
    <w:rsid w:val="00EF1E6C"/>
    <w:rsid w:val="00EF248C"/>
    <w:rsid w:val="00EF381F"/>
    <w:rsid w:val="00EF3B06"/>
    <w:rsid w:val="00EF4097"/>
    <w:rsid w:val="00EF460D"/>
    <w:rsid w:val="00EF5A75"/>
    <w:rsid w:val="00EF5F9B"/>
    <w:rsid w:val="00F0058A"/>
    <w:rsid w:val="00F005E0"/>
    <w:rsid w:val="00F00B64"/>
    <w:rsid w:val="00F01639"/>
    <w:rsid w:val="00F0435C"/>
    <w:rsid w:val="00F0444A"/>
    <w:rsid w:val="00F04D58"/>
    <w:rsid w:val="00F05945"/>
    <w:rsid w:val="00F06485"/>
    <w:rsid w:val="00F065D0"/>
    <w:rsid w:val="00F06BE8"/>
    <w:rsid w:val="00F073BE"/>
    <w:rsid w:val="00F10A3F"/>
    <w:rsid w:val="00F10CCD"/>
    <w:rsid w:val="00F10EF9"/>
    <w:rsid w:val="00F1146B"/>
    <w:rsid w:val="00F11678"/>
    <w:rsid w:val="00F11A73"/>
    <w:rsid w:val="00F12DEC"/>
    <w:rsid w:val="00F13FE3"/>
    <w:rsid w:val="00F1420D"/>
    <w:rsid w:val="00F143F9"/>
    <w:rsid w:val="00F14C89"/>
    <w:rsid w:val="00F15680"/>
    <w:rsid w:val="00F15D1C"/>
    <w:rsid w:val="00F16629"/>
    <w:rsid w:val="00F171BD"/>
    <w:rsid w:val="00F174DD"/>
    <w:rsid w:val="00F205F9"/>
    <w:rsid w:val="00F217F9"/>
    <w:rsid w:val="00F21F79"/>
    <w:rsid w:val="00F223D8"/>
    <w:rsid w:val="00F22775"/>
    <w:rsid w:val="00F23283"/>
    <w:rsid w:val="00F24CDF"/>
    <w:rsid w:val="00F252B6"/>
    <w:rsid w:val="00F258A9"/>
    <w:rsid w:val="00F25E65"/>
    <w:rsid w:val="00F27965"/>
    <w:rsid w:val="00F27B6B"/>
    <w:rsid w:val="00F30C8A"/>
    <w:rsid w:val="00F30D70"/>
    <w:rsid w:val="00F30E6B"/>
    <w:rsid w:val="00F3177A"/>
    <w:rsid w:val="00F322D1"/>
    <w:rsid w:val="00F32538"/>
    <w:rsid w:val="00F32732"/>
    <w:rsid w:val="00F33533"/>
    <w:rsid w:val="00F33C91"/>
    <w:rsid w:val="00F352C4"/>
    <w:rsid w:val="00F35321"/>
    <w:rsid w:val="00F360AE"/>
    <w:rsid w:val="00F36420"/>
    <w:rsid w:val="00F37701"/>
    <w:rsid w:val="00F377B8"/>
    <w:rsid w:val="00F37E50"/>
    <w:rsid w:val="00F37E57"/>
    <w:rsid w:val="00F40A38"/>
    <w:rsid w:val="00F40C38"/>
    <w:rsid w:val="00F429AF"/>
    <w:rsid w:val="00F42BDC"/>
    <w:rsid w:val="00F43AE6"/>
    <w:rsid w:val="00F44270"/>
    <w:rsid w:val="00F44359"/>
    <w:rsid w:val="00F4484A"/>
    <w:rsid w:val="00F454E4"/>
    <w:rsid w:val="00F4559F"/>
    <w:rsid w:val="00F45F48"/>
    <w:rsid w:val="00F46A0F"/>
    <w:rsid w:val="00F50A81"/>
    <w:rsid w:val="00F50CAE"/>
    <w:rsid w:val="00F52631"/>
    <w:rsid w:val="00F52906"/>
    <w:rsid w:val="00F52CEF"/>
    <w:rsid w:val="00F53EDA"/>
    <w:rsid w:val="00F540EC"/>
    <w:rsid w:val="00F548FE"/>
    <w:rsid w:val="00F550C4"/>
    <w:rsid w:val="00F563A3"/>
    <w:rsid w:val="00F565FA"/>
    <w:rsid w:val="00F56BFE"/>
    <w:rsid w:val="00F570B4"/>
    <w:rsid w:val="00F57507"/>
    <w:rsid w:val="00F577FD"/>
    <w:rsid w:val="00F60D6B"/>
    <w:rsid w:val="00F6288F"/>
    <w:rsid w:val="00F629D4"/>
    <w:rsid w:val="00F6413C"/>
    <w:rsid w:val="00F6552C"/>
    <w:rsid w:val="00F65661"/>
    <w:rsid w:val="00F6585F"/>
    <w:rsid w:val="00F65B19"/>
    <w:rsid w:val="00F66348"/>
    <w:rsid w:val="00F66352"/>
    <w:rsid w:val="00F6649F"/>
    <w:rsid w:val="00F67585"/>
    <w:rsid w:val="00F67F55"/>
    <w:rsid w:val="00F70B99"/>
    <w:rsid w:val="00F7144A"/>
    <w:rsid w:val="00F7150A"/>
    <w:rsid w:val="00F719A2"/>
    <w:rsid w:val="00F71EC3"/>
    <w:rsid w:val="00F72947"/>
    <w:rsid w:val="00F72CBB"/>
    <w:rsid w:val="00F74096"/>
    <w:rsid w:val="00F75FD6"/>
    <w:rsid w:val="00F77135"/>
    <w:rsid w:val="00F77201"/>
    <w:rsid w:val="00F7753D"/>
    <w:rsid w:val="00F77750"/>
    <w:rsid w:val="00F8076E"/>
    <w:rsid w:val="00F81214"/>
    <w:rsid w:val="00F81DC2"/>
    <w:rsid w:val="00F82149"/>
    <w:rsid w:val="00F825BD"/>
    <w:rsid w:val="00F825F4"/>
    <w:rsid w:val="00F82753"/>
    <w:rsid w:val="00F83478"/>
    <w:rsid w:val="00F85CBE"/>
    <w:rsid w:val="00F85F34"/>
    <w:rsid w:val="00F86B18"/>
    <w:rsid w:val="00F90627"/>
    <w:rsid w:val="00F91CEF"/>
    <w:rsid w:val="00F92200"/>
    <w:rsid w:val="00F92489"/>
    <w:rsid w:val="00F9292F"/>
    <w:rsid w:val="00F938DA"/>
    <w:rsid w:val="00F939B1"/>
    <w:rsid w:val="00F9421C"/>
    <w:rsid w:val="00F94B03"/>
    <w:rsid w:val="00F94F83"/>
    <w:rsid w:val="00F954E9"/>
    <w:rsid w:val="00F95732"/>
    <w:rsid w:val="00F95CC2"/>
    <w:rsid w:val="00F9616E"/>
    <w:rsid w:val="00F967C0"/>
    <w:rsid w:val="00F97063"/>
    <w:rsid w:val="00F976C6"/>
    <w:rsid w:val="00F97805"/>
    <w:rsid w:val="00F97C1C"/>
    <w:rsid w:val="00F97F7A"/>
    <w:rsid w:val="00FA06F7"/>
    <w:rsid w:val="00FA08FB"/>
    <w:rsid w:val="00FA1B9E"/>
    <w:rsid w:val="00FA1FC3"/>
    <w:rsid w:val="00FA244C"/>
    <w:rsid w:val="00FA3372"/>
    <w:rsid w:val="00FA3CF2"/>
    <w:rsid w:val="00FA4204"/>
    <w:rsid w:val="00FA4CDF"/>
    <w:rsid w:val="00FA4ED9"/>
    <w:rsid w:val="00FA547D"/>
    <w:rsid w:val="00FA56E8"/>
    <w:rsid w:val="00FA5B1C"/>
    <w:rsid w:val="00FA5CA3"/>
    <w:rsid w:val="00FA5EE1"/>
    <w:rsid w:val="00FA6F49"/>
    <w:rsid w:val="00FA6F8B"/>
    <w:rsid w:val="00FA7D07"/>
    <w:rsid w:val="00FB0A8C"/>
    <w:rsid w:val="00FB0C97"/>
    <w:rsid w:val="00FB171A"/>
    <w:rsid w:val="00FB17E3"/>
    <w:rsid w:val="00FB1817"/>
    <w:rsid w:val="00FB1D58"/>
    <w:rsid w:val="00FB22FC"/>
    <w:rsid w:val="00FB2A4E"/>
    <w:rsid w:val="00FB2EE6"/>
    <w:rsid w:val="00FB3427"/>
    <w:rsid w:val="00FB3859"/>
    <w:rsid w:val="00FB41A0"/>
    <w:rsid w:val="00FB602E"/>
    <w:rsid w:val="00FB6291"/>
    <w:rsid w:val="00FB6C2C"/>
    <w:rsid w:val="00FB7132"/>
    <w:rsid w:val="00FB73CF"/>
    <w:rsid w:val="00FB796A"/>
    <w:rsid w:val="00FC0DD1"/>
    <w:rsid w:val="00FC1813"/>
    <w:rsid w:val="00FC24D4"/>
    <w:rsid w:val="00FC2D89"/>
    <w:rsid w:val="00FC3302"/>
    <w:rsid w:val="00FC37BD"/>
    <w:rsid w:val="00FC3865"/>
    <w:rsid w:val="00FC40AB"/>
    <w:rsid w:val="00FC5E00"/>
    <w:rsid w:val="00FC5EE5"/>
    <w:rsid w:val="00FC62F6"/>
    <w:rsid w:val="00FC6680"/>
    <w:rsid w:val="00FC68B7"/>
    <w:rsid w:val="00FC6AC7"/>
    <w:rsid w:val="00FC6F14"/>
    <w:rsid w:val="00FC7106"/>
    <w:rsid w:val="00FC7470"/>
    <w:rsid w:val="00FD0D44"/>
    <w:rsid w:val="00FD0E1B"/>
    <w:rsid w:val="00FD13A8"/>
    <w:rsid w:val="00FD150E"/>
    <w:rsid w:val="00FD162E"/>
    <w:rsid w:val="00FD2B74"/>
    <w:rsid w:val="00FD2DAC"/>
    <w:rsid w:val="00FD3CD5"/>
    <w:rsid w:val="00FD3F13"/>
    <w:rsid w:val="00FD4B95"/>
    <w:rsid w:val="00FD4CDA"/>
    <w:rsid w:val="00FD536D"/>
    <w:rsid w:val="00FD5B61"/>
    <w:rsid w:val="00FD5D29"/>
    <w:rsid w:val="00FD6028"/>
    <w:rsid w:val="00FD6E9D"/>
    <w:rsid w:val="00FD771D"/>
    <w:rsid w:val="00FD7BF6"/>
    <w:rsid w:val="00FE13F7"/>
    <w:rsid w:val="00FE223B"/>
    <w:rsid w:val="00FE2337"/>
    <w:rsid w:val="00FE2488"/>
    <w:rsid w:val="00FE2AF2"/>
    <w:rsid w:val="00FE3156"/>
    <w:rsid w:val="00FE3370"/>
    <w:rsid w:val="00FE36EC"/>
    <w:rsid w:val="00FE4460"/>
    <w:rsid w:val="00FE4A7F"/>
    <w:rsid w:val="00FE4C15"/>
    <w:rsid w:val="00FE5C3C"/>
    <w:rsid w:val="00FE6866"/>
    <w:rsid w:val="00FF0158"/>
    <w:rsid w:val="00FF0197"/>
    <w:rsid w:val="00FF0563"/>
    <w:rsid w:val="00FF104B"/>
    <w:rsid w:val="00FF1CE8"/>
    <w:rsid w:val="00FF2577"/>
    <w:rsid w:val="00FF27EF"/>
    <w:rsid w:val="00FF347E"/>
    <w:rsid w:val="00FF3AE9"/>
    <w:rsid w:val="00FF3FC6"/>
    <w:rsid w:val="00FF44DA"/>
    <w:rsid w:val="00FF4C06"/>
    <w:rsid w:val="00FF5C6D"/>
    <w:rsid w:val="00FF6403"/>
    <w:rsid w:val="00FF67EF"/>
    <w:rsid w:val="00FF7F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04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3F"/>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DF21B8"/>
    <w:rPr>
      <w:rFonts w:ascii="Times New Roman" w:hAnsi="Times New Roman"/>
      <w:b w:val="0"/>
      <w:i w:val="0"/>
      <w:color w:val="0070C0"/>
      <w:sz w:val="20"/>
      <w:u w:val="words"/>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link w:val="BodyTextChar"/>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link w:val="BodyTextIndentChar"/>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customStyle="1" w:styleId="Points">
    <w:name w:val="Points"/>
    <w:basedOn w:val="BodyText"/>
    <w:rsid w:val="00110639"/>
    <w:pPr>
      <w:numPr>
        <w:numId w:val="3"/>
      </w:numPr>
      <w:tabs>
        <w:tab w:val="clear" w:pos="570"/>
        <w:tab w:val="clear" w:pos="1418"/>
        <w:tab w:val="clear" w:pos="1985"/>
        <w:tab w:val="clear" w:pos="2552"/>
        <w:tab w:val="clear" w:pos="3119"/>
        <w:tab w:val="clear" w:pos="3686"/>
        <w:tab w:val="clear" w:pos="4253"/>
        <w:tab w:val="clear" w:pos="4820"/>
      </w:tabs>
      <w:spacing w:line="280" w:lineRule="atLeast"/>
      <w:ind w:left="0" w:firstLine="567"/>
    </w:pPr>
    <w:rPr>
      <w:rFonts w:eastAsia="Calibri"/>
      <w:sz w:val="24"/>
      <w:lang w:val="en-AU" w:eastAsia="en-AU"/>
    </w:rPr>
  </w:style>
  <w:style w:type="paragraph" w:customStyle="1" w:styleId="Dotpoints">
    <w:name w:val="Dot points"/>
    <w:basedOn w:val="Points"/>
    <w:rsid w:val="00110639"/>
    <w:pPr>
      <w:tabs>
        <w:tab w:val="num" w:pos="570"/>
      </w:tabs>
      <w:spacing w:before="60" w:after="60" w:line="280" w:lineRule="exact"/>
      <w:ind w:left="570" w:hanging="570"/>
    </w:pPr>
  </w:style>
  <w:style w:type="character" w:customStyle="1" w:styleId="FootnoteTextChar">
    <w:name w:val="Footnote Text Char"/>
    <w:aliases w:val="5_G Char"/>
    <w:link w:val="FootnoteText"/>
    <w:semiHidden/>
    <w:locked/>
    <w:rsid w:val="00110639"/>
    <w:rPr>
      <w:sz w:val="18"/>
      <w:lang w:val="en-GB" w:eastAsia="en-US" w:bidi="ar-SA"/>
    </w:rPr>
  </w:style>
  <w:style w:type="paragraph" w:customStyle="1" w:styleId="Tablecaption">
    <w:name w:val="Table caption"/>
    <w:basedOn w:val="BodyText"/>
    <w:rsid w:val="00C07276"/>
    <w:pPr>
      <w:tabs>
        <w:tab w:val="clear" w:pos="1418"/>
        <w:tab w:val="clear" w:pos="1985"/>
        <w:tab w:val="clear" w:pos="2552"/>
        <w:tab w:val="clear" w:pos="3119"/>
        <w:tab w:val="clear" w:pos="3686"/>
        <w:tab w:val="clear" w:pos="4253"/>
        <w:tab w:val="clear" w:pos="4820"/>
      </w:tabs>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6C09E3"/>
    <w:pPr>
      <w:tabs>
        <w:tab w:val="clear" w:pos="1418"/>
        <w:tab w:val="clear" w:pos="1985"/>
        <w:tab w:val="clear" w:pos="2552"/>
        <w:tab w:val="clear" w:pos="3119"/>
        <w:tab w:val="clear" w:pos="3686"/>
        <w:tab w:val="clear" w:pos="4253"/>
        <w:tab w:val="clear" w:pos="4820"/>
      </w:tabs>
      <w:spacing w:before="120" w:after="120" w:line="280" w:lineRule="atLeast"/>
      <w:ind w:left="567" w:right="522" w:firstLine="567"/>
    </w:pPr>
    <w:rPr>
      <w:rFonts w:ascii="Arial" w:eastAsia="Calibri" w:hAnsi="Arial" w:cs="Arial"/>
      <w:sz w:val="20"/>
      <w:lang w:val="en-AU" w:eastAsia="en-AU"/>
    </w:rPr>
  </w:style>
  <w:style w:type="character" w:customStyle="1" w:styleId="QuoteChar">
    <w:name w:val="Quote Char"/>
    <w:link w:val="Quote"/>
    <w:locked/>
    <w:rsid w:val="006C09E3"/>
    <w:rPr>
      <w:rFonts w:ascii="Arial" w:eastAsia="Calibri" w:hAnsi="Arial" w:cs="Arial"/>
      <w:lang w:val="en-AU" w:eastAsia="en-AU" w:bidi="ar-SA"/>
    </w:rPr>
  </w:style>
  <w:style w:type="paragraph" w:styleId="ListParagraph">
    <w:name w:val="List Paragraph"/>
    <w:basedOn w:val="Normal"/>
    <w:uiPriority w:val="34"/>
    <w:qFormat/>
    <w:rsid w:val="00950D47"/>
    <w:pPr>
      <w:suppressAutoHyphens w:val="0"/>
      <w:spacing w:after="200" w:line="276" w:lineRule="auto"/>
      <w:ind w:left="720"/>
      <w:contextualSpacing/>
    </w:pPr>
    <w:rPr>
      <w:rFonts w:ascii="Calibri" w:eastAsia="Calibri" w:hAnsi="Calibri"/>
      <w:sz w:val="22"/>
      <w:szCs w:val="22"/>
      <w:lang w:val="en-US"/>
    </w:rPr>
  </w:style>
  <w:style w:type="paragraph" w:styleId="BalloonText">
    <w:name w:val="Balloon Text"/>
    <w:basedOn w:val="Normal"/>
    <w:semiHidden/>
    <w:rsid w:val="00BE3001"/>
    <w:rPr>
      <w:rFonts w:ascii="Tahoma" w:hAnsi="Tahoma" w:cs="Tahoma"/>
      <w:sz w:val="16"/>
      <w:szCs w:val="16"/>
    </w:rPr>
  </w:style>
  <w:style w:type="character" w:styleId="CommentReference">
    <w:name w:val="annotation reference"/>
    <w:rsid w:val="00792E1C"/>
    <w:rPr>
      <w:sz w:val="16"/>
      <w:szCs w:val="16"/>
    </w:rPr>
  </w:style>
  <w:style w:type="paragraph" w:styleId="CommentText">
    <w:name w:val="annotation text"/>
    <w:basedOn w:val="Normal"/>
    <w:link w:val="CommentTextChar"/>
    <w:semiHidden/>
    <w:rsid w:val="00792E1C"/>
  </w:style>
  <w:style w:type="paragraph" w:styleId="CommentSubject">
    <w:name w:val="annotation subject"/>
    <w:basedOn w:val="CommentText"/>
    <w:next w:val="CommentText"/>
    <w:semiHidden/>
    <w:rsid w:val="00792E1C"/>
    <w:rPr>
      <w:b/>
      <w:bCs/>
    </w:rPr>
  </w:style>
  <w:style w:type="paragraph" w:customStyle="1" w:styleId="DocList">
    <w:name w:val="DocList"/>
    <w:basedOn w:val="SingleTxtG"/>
    <w:rsid w:val="00A2579F"/>
    <w:pPr>
      <w:spacing w:after="240"/>
      <w:ind w:left="3701" w:right="1138" w:hanging="2002"/>
      <w:jc w:val="left"/>
    </w:pPr>
    <w:rPr>
      <w:i/>
    </w:rPr>
  </w:style>
  <w:style w:type="character" w:customStyle="1" w:styleId="SingleTxtGZchnZchn">
    <w:name w:val="_ Single Txt_G Zchn Zchn"/>
    <w:link w:val="SingleTxtG"/>
    <w:rsid w:val="004F6664"/>
    <w:rPr>
      <w:lang w:val="en-GB" w:eastAsia="en-US" w:bidi="ar-SA"/>
    </w:rPr>
  </w:style>
  <w:style w:type="character" w:customStyle="1" w:styleId="SingleTxtGChar">
    <w:name w:val="_ Single Txt_G Char"/>
    <w:qFormat/>
    <w:locked/>
    <w:rsid w:val="00FA1FC3"/>
    <w:rPr>
      <w:lang w:val="en-GB" w:eastAsia="en-US" w:bidi="ar-SA"/>
    </w:rPr>
  </w:style>
  <w:style w:type="paragraph" w:customStyle="1" w:styleId="Body1">
    <w:name w:val="Body 1"/>
    <w:rsid w:val="0070557D"/>
    <w:pPr>
      <w:spacing w:after="200" w:line="276" w:lineRule="auto"/>
      <w:outlineLvl w:val="0"/>
    </w:pPr>
    <w:rPr>
      <w:rFonts w:ascii="Helvetica" w:eastAsia="Arial Unicode MS" w:hAnsi="Helvetica"/>
      <w:color w:val="000000"/>
      <w:sz w:val="22"/>
      <w:u w:color="000000"/>
    </w:rPr>
  </w:style>
  <w:style w:type="paragraph" w:customStyle="1" w:styleId="ManualHeading4">
    <w:name w:val="Manual Heading 4"/>
    <w:basedOn w:val="Normal"/>
    <w:next w:val="Normal"/>
    <w:rsid w:val="0034615C"/>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styleId="Revision">
    <w:name w:val="Revision"/>
    <w:hidden/>
    <w:uiPriority w:val="99"/>
    <w:semiHidden/>
    <w:rsid w:val="003C2FDD"/>
    <w:rPr>
      <w:lang w:val="en-GB"/>
    </w:rPr>
  </w:style>
  <w:style w:type="character" w:customStyle="1" w:styleId="FooterChar">
    <w:name w:val="Footer Char"/>
    <w:aliases w:val="3_G Char"/>
    <w:link w:val="Footer"/>
    <w:uiPriority w:val="99"/>
    <w:rsid w:val="00BC60D1"/>
    <w:rPr>
      <w:sz w:val="16"/>
      <w:lang w:val="en-GB"/>
    </w:rPr>
  </w:style>
  <w:style w:type="paragraph" w:customStyle="1" w:styleId="ManualHeading1">
    <w:name w:val="Manual Heading 1"/>
    <w:basedOn w:val="Normal"/>
    <w:next w:val="Normal"/>
    <w:rsid w:val="00E11A51"/>
    <w:pPr>
      <w:keepNext/>
      <w:keepLines/>
      <w:numPr>
        <w:ilvl w:val="12"/>
      </w:numPr>
      <w:suppressAutoHyphens w:val="0"/>
      <w:autoSpaceDE w:val="0"/>
      <w:autoSpaceDN w:val="0"/>
      <w:adjustRightInd w:val="0"/>
      <w:spacing w:line="240" w:lineRule="auto"/>
      <w:jc w:val="center"/>
    </w:pPr>
    <w:rPr>
      <w:b/>
      <w:sz w:val="26"/>
      <w:szCs w:val="26"/>
      <w:lang w:eastAsia="fr-FR"/>
    </w:rPr>
  </w:style>
  <w:style w:type="character" w:customStyle="1" w:styleId="H1GChar">
    <w:name w:val="_ H_1_G Char"/>
    <w:link w:val="H1G"/>
    <w:rsid w:val="007351E9"/>
    <w:rPr>
      <w:b/>
      <w:sz w:val="24"/>
      <w:lang w:val="en-GB"/>
    </w:rPr>
  </w:style>
  <w:style w:type="table" w:customStyle="1" w:styleId="TableGrid0">
    <w:name w:val="TableGrid"/>
    <w:rsid w:val="00D4268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ManualBodyText">
    <w:name w:val="Manual Body Text"/>
    <w:basedOn w:val="BodyText"/>
    <w:rsid w:val="0003053F"/>
    <w:pPr>
      <w:numPr>
        <w:ilvl w:val="12"/>
      </w:numPr>
      <w:tabs>
        <w:tab w:val="clear" w:pos="1985"/>
        <w:tab w:val="clear" w:pos="2552"/>
        <w:tab w:val="clear" w:pos="3119"/>
        <w:tab w:val="clear" w:pos="3686"/>
        <w:tab w:val="clear" w:pos="4253"/>
        <w:tab w:val="clear" w:pos="4820"/>
      </w:tabs>
      <w:autoSpaceDE w:val="0"/>
      <w:autoSpaceDN w:val="0"/>
      <w:adjustRightInd w:val="0"/>
    </w:pPr>
    <w:rPr>
      <w:szCs w:val="22"/>
      <w:lang w:eastAsia="fr-FR"/>
    </w:rPr>
  </w:style>
  <w:style w:type="character" w:customStyle="1" w:styleId="SingleTxtGCar">
    <w:name w:val="_ Single Txt_G Car"/>
    <w:locked/>
    <w:rsid w:val="00195E9D"/>
    <w:rPr>
      <w:lang w:eastAsia="en-US"/>
    </w:rPr>
  </w:style>
  <w:style w:type="character" w:customStyle="1" w:styleId="HeaderChar">
    <w:name w:val="Header Char"/>
    <w:aliases w:val="6_G Char"/>
    <w:link w:val="Header"/>
    <w:uiPriority w:val="99"/>
    <w:rsid w:val="00256328"/>
    <w:rPr>
      <w:b/>
      <w:sz w:val="18"/>
      <w:lang w:val="en-GB"/>
    </w:rPr>
  </w:style>
  <w:style w:type="character" w:customStyle="1" w:styleId="BodyTextChar">
    <w:name w:val="Body Text Char"/>
    <w:basedOn w:val="DefaultParagraphFont"/>
    <w:link w:val="BodyText"/>
    <w:rsid w:val="00DF21B8"/>
    <w:rPr>
      <w:sz w:val="22"/>
      <w:lang w:val="en-GB"/>
    </w:rPr>
  </w:style>
  <w:style w:type="character" w:customStyle="1" w:styleId="BodyTextIndentChar">
    <w:name w:val="Body Text Indent Char"/>
    <w:basedOn w:val="DefaultParagraphFont"/>
    <w:link w:val="BodyTextIndent"/>
    <w:rsid w:val="00DF21B8"/>
    <w:rPr>
      <w:sz w:val="22"/>
      <w:lang w:val="en-GB"/>
    </w:rPr>
  </w:style>
  <w:style w:type="character" w:customStyle="1" w:styleId="FootnoteTextChar1">
    <w:name w:val="Footnote Text Char1"/>
    <w:aliases w:val="5_G Char1"/>
    <w:locked/>
    <w:rsid w:val="005C6DEB"/>
    <w:rPr>
      <w:sz w:val="18"/>
      <w:lang w:val="fr-CH" w:eastAsia="en-US" w:bidi="ar-SA"/>
    </w:rPr>
  </w:style>
  <w:style w:type="character" w:customStyle="1" w:styleId="CommentTextChar">
    <w:name w:val="Comment Text Char"/>
    <w:basedOn w:val="DefaultParagraphFont"/>
    <w:link w:val="CommentText"/>
    <w:semiHidden/>
    <w:rsid w:val="00FD771D"/>
    <w:rPr>
      <w:lang w:val="en-GB"/>
    </w:rPr>
  </w:style>
  <w:style w:type="paragraph" w:customStyle="1" w:styleId="bodytext0">
    <w:name w:val="bodytext"/>
    <w:basedOn w:val="Normal"/>
    <w:rsid w:val="005966E1"/>
    <w:pPr>
      <w:suppressAutoHyphens w:val="0"/>
      <w:spacing w:before="100" w:beforeAutospacing="1" w:after="100" w:afterAutospacing="1" w:line="240" w:lineRule="auto"/>
    </w:pPr>
    <w:rPr>
      <w:sz w:val="24"/>
      <w:szCs w:val="24"/>
      <w:lang w:val="en-US"/>
    </w:rPr>
  </w:style>
  <w:style w:type="character" w:customStyle="1" w:styleId="EndnoteTextChar">
    <w:name w:val="Endnote Text Char"/>
    <w:aliases w:val="2_G Char"/>
    <w:basedOn w:val="DefaultParagraphFont"/>
    <w:link w:val="EndnoteText"/>
    <w:rsid w:val="00DB525A"/>
    <w:rPr>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3F"/>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DF21B8"/>
    <w:rPr>
      <w:rFonts w:ascii="Times New Roman" w:hAnsi="Times New Roman"/>
      <w:b w:val="0"/>
      <w:i w:val="0"/>
      <w:color w:val="0070C0"/>
      <w:sz w:val="20"/>
      <w:u w:val="words"/>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link w:val="BodyTextChar"/>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link w:val="BodyTextIndentChar"/>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customStyle="1" w:styleId="Points">
    <w:name w:val="Points"/>
    <w:basedOn w:val="BodyText"/>
    <w:rsid w:val="00110639"/>
    <w:pPr>
      <w:numPr>
        <w:numId w:val="3"/>
      </w:numPr>
      <w:tabs>
        <w:tab w:val="clear" w:pos="570"/>
        <w:tab w:val="clear" w:pos="1418"/>
        <w:tab w:val="clear" w:pos="1985"/>
        <w:tab w:val="clear" w:pos="2552"/>
        <w:tab w:val="clear" w:pos="3119"/>
        <w:tab w:val="clear" w:pos="3686"/>
        <w:tab w:val="clear" w:pos="4253"/>
        <w:tab w:val="clear" w:pos="4820"/>
      </w:tabs>
      <w:spacing w:line="280" w:lineRule="atLeast"/>
      <w:ind w:left="0" w:firstLine="567"/>
    </w:pPr>
    <w:rPr>
      <w:rFonts w:eastAsia="Calibri"/>
      <w:sz w:val="24"/>
      <w:lang w:val="en-AU" w:eastAsia="en-AU"/>
    </w:rPr>
  </w:style>
  <w:style w:type="paragraph" w:customStyle="1" w:styleId="Dotpoints">
    <w:name w:val="Dot points"/>
    <w:basedOn w:val="Points"/>
    <w:rsid w:val="00110639"/>
    <w:pPr>
      <w:tabs>
        <w:tab w:val="num" w:pos="570"/>
      </w:tabs>
      <w:spacing w:before="60" w:after="60" w:line="280" w:lineRule="exact"/>
      <w:ind w:left="570" w:hanging="570"/>
    </w:pPr>
  </w:style>
  <w:style w:type="character" w:customStyle="1" w:styleId="FootnoteTextChar">
    <w:name w:val="Footnote Text Char"/>
    <w:aliases w:val="5_G Char"/>
    <w:link w:val="FootnoteText"/>
    <w:semiHidden/>
    <w:locked/>
    <w:rsid w:val="00110639"/>
    <w:rPr>
      <w:sz w:val="18"/>
      <w:lang w:val="en-GB" w:eastAsia="en-US" w:bidi="ar-SA"/>
    </w:rPr>
  </w:style>
  <w:style w:type="paragraph" w:customStyle="1" w:styleId="Tablecaption">
    <w:name w:val="Table caption"/>
    <w:basedOn w:val="BodyText"/>
    <w:rsid w:val="00C07276"/>
    <w:pPr>
      <w:tabs>
        <w:tab w:val="clear" w:pos="1418"/>
        <w:tab w:val="clear" w:pos="1985"/>
        <w:tab w:val="clear" w:pos="2552"/>
        <w:tab w:val="clear" w:pos="3119"/>
        <w:tab w:val="clear" w:pos="3686"/>
        <w:tab w:val="clear" w:pos="4253"/>
        <w:tab w:val="clear" w:pos="4820"/>
      </w:tabs>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6C09E3"/>
    <w:pPr>
      <w:tabs>
        <w:tab w:val="clear" w:pos="1418"/>
        <w:tab w:val="clear" w:pos="1985"/>
        <w:tab w:val="clear" w:pos="2552"/>
        <w:tab w:val="clear" w:pos="3119"/>
        <w:tab w:val="clear" w:pos="3686"/>
        <w:tab w:val="clear" w:pos="4253"/>
        <w:tab w:val="clear" w:pos="4820"/>
      </w:tabs>
      <w:spacing w:before="120" w:after="120" w:line="280" w:lineRule="atLeast"/>
      <w:ind w:left="567" w:right="522" w:firstLine="567"/>
    </w:pPr>
    <w:rPr>
      <w:rFonts w:ascii="Arial" w:eastAsia="Calibri" w:hAnsi="Arial" w:cs="Arial"/>
      <w:sz w:val="20"/>
      <w:lang w:val="en-AU" w:eastAsia="en-AU"/>
    </w:rPr>
  </w:style>
  <w:style w:type="character" w:customStyle="1" w:styleId="QuoteChar">
    <w:name w:val="Quote Char"/>
    <w:link w:val="Quote"/>
    <w:locked/>
    <w:rsid w:val="006C09E3"/>
    <w:rPr>
      <w:rFonts w:ascii="Arial" w:eastAsia="Calibri" w:hAnsi="Arial" w:cs="Arial"/>
      <w:lang w:val="en-AU" w:eastAsia="en-AU" w:bidi="ar-SA"/>
    </w:rPr>
  </w:style>
  <w:style w:type="paragraph" w:styleId="ListParagraph">
    <w:name w:val="List Paragraph"/>
    <w:basedOn w:val="Normal"/>
    <w:uiPriority w:val="34"/>
    <w:qFormat/>
    <w:rsid w:val="00950D47"/>
    <w:pPr>
      <w:suppressAutoHyphens w:val="0"/>
      <w:spacing w:after="200" w:line="276" w:lineRule="auto"/>
      <w:ind w:left="720"/>
      <w:contextualSpacing/>
    </w:pPr>
    <w:rPr>
      <w:rFonts w:ascii="Calibri" w:eastAsia="Calibri" w:hAnsi="Calibri"/>
      <w:sz w:val="22"/>
      <w:szCs w:val="22"/>
      <w:lang w:val="en-US"/>
    </w:rPr>
  </w:style>
  <w:style w:type="paragraph" w:styleId="BalloonText">
    <w:name w:val="Balloon Text"/>
    <w:basedOn w:val="Normal"/>
    <w:semiHidden/>
    <w:rsid w:val="00BE3001"/>
    <w:rPr>
      <w:rFonts w:ascii="Tahoma" w:hAnsi="Tahoma" w:cs="Tahoma"/>
      <w:sz w:val="16"/>
      <w:szCs w:val="16"/>
    </w:rPr>
  </w:style>
  <w:style w:type="character" w:styleId="CommentReference">
    <w:name w:val="annotation reference"/>
    <w:rsid w:val="00792E1C"/>
    <w:rPr>
      <w:sz w:val="16"/>
      <w:szCs w:val="16"/>
    </w:rPr>
  </w:style>
  <w:style w:type="paragraph" w:styleId="CommentText">
    <w:name w:val="annotation text"/>
    <w:basedOn w:val="Normal"/>
    <w:link w:val="CommentTextChar"/>
    <w:semiHidden/>
    <w:rsid w:val="00792E1C"/>
  </w:style>
  <w:style w:type="paragraph" w:styleId="CommentSubject">
    <w:name w:val="annotation subject"/>
    <w:basedOn w:val="CommentText"/>
    <w:next w:val="CommentText"/>
    <w:semiHidden/>
    <w:rsid w:val="00792E1C"/>
    <w:rPr>
      <w:b/>
      <w:bCs/>
    </w:rPr>
  </w:style>
  <w:style w:type="paragraph" w:customStyle="1" w:styleId="DocList">
    <w:name w:val="DocList"/>
    <w:basedOn w:val="SingleTxtG"/>
    <w:rsid w:val="00A2579F"/>
    <w:pPr>
      <w:spacing w:after="240"/>
      <w:ind w:left="3701" w:right="1138" w:hanging="2002"/>
      <w:jc w:val="left"/>
    </w:pPr>
    <w:rPr>
      <w:i/>
    </w:rPr>
  </w:style>
  <w:style w:type="character" w:customStyle="1" w:styleId="SingleTxtGZchnZchn">
    <w:name w:val="_ Single Txt_G Zchn Zchn"/>
    <w:link w:val="SingleTxtG"/>
    <w:rsid w:val="004F6664"/>
    <w:rPr>
      <w:lang w:val="en-GB" w:eastAsia="en-US" w:bidi="ar-SA"/>
    </w:rPr>
  </w:style>
  <w:style w:type="character" w:customStyle="1" w:styleId="SingleTxtGChar">
    <w:name w:val="_ Single Txt_G Char"/>
    <w:qFormat/>
    <w:locked/>
    <w:rsid w:val="00FA1FC3"/>
    <w:rPr>
      <w:lang w:val="en-GB" w:eastAsia="en-US" w:bidi="ar-SA"/>
    </w:rPr>
  </w:style>
  <w:style w:type="paragraph" w:customStyle="1" w:styleId="Body1">
    <w:name w:val="Body 1"/>
    <w:rsid w:val="0070557D"/>
    <w:pPr>
      <w:spacing w:after="200" w:line="276" w:lineRule="auto"/>
      <w:outlineLvl w:val="0"/>
    </w:pPr>
    <w:rPr>
      <w:rFonts w:ascii="Helvetica" w:eastAsia="Arial Unicode MS" w:hAnsi="Helvetica"/>
      <w:color w:val="000000"/>
      <w:sz w:val="22"/>
      <w:u w:color="000000"/>
    </w:rPr>
  </w:style>
  <w:style w:type="paragraph" w:customStyle="1" w:styleId="ManualHeading4">
    <w:name w:val="Manual Heading 4"/>
    <w:basedOn w:val="Normal"/>
    <w:next w:val="Normal"/>
    <w:rsid w:val="0034615C"/>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styleId="Revision">
    <w:name w:val="Revision"/>
    <w:hidden/>
    <w:uiPriority w:val="99"/>
    <w:semiHidden/>
    <w:rsid w:val="003C2FDD"/>
    <w:rPr>
      <w:lang w:val="en-GB"/>
    </w:rPr>
  </w:style>
  <w:style w:type="character" w:customStyle="1" w:styleId="FooterChar">
    <w:name w:val="Footer Char"/>
    <w:aliases w:val="3_G Char"/>
    <w:link w:val="Footer"/>
    <w:uiPriority w:val="99"/>
    <w:rsid w:val="00BC60D1"/>
    <w:rPr>
      <w:sz w:val="16"/>
      <w:lang w:val="en-GB"/>
    </w:rPr>
  </w:style>
  <w:style w:type="paragraph" w:customStyle="1" w:styleId="ManualHeading1">
    <w:name w:val="Manual Heading 1"/>
    <w:basedOn w:val="Normal"/>
    <w:next w:val="Normal"/>
    <w:rsid w:val="00E11A51"/>
    <w:pPr>
      <w:keepNext/>
      <w:keepLines/>
      <w:numPr>
        <w:ilvl w:val="12"/>
      </w:numPr>
      <w:suppressAutoHyphens w:val="0"/>
      <w:autoSpaceDE w:val="0"/>
      <w:autoSpaceDN w:val="0"/>
      <w:adjustRightInd w:val="0"/>
      <w:spacing w:line="240" w:lineRule="auto"/>
      <w:jc w:val="center"/>
    </w:pPr>
    <w:rPr>
      <w:b/>
      <w:sz w:val="26"/>
      <w:szCs w:val="26"/>
      <w:lang w:eastAsia="fr-FR"/>
    </w:rPr>
  </w:style>
  <w:style w:type="character" w:customStyle="1" w:styleId="H1GChar">
    <w:name w:val="_ H_1_G Char"/>
    <w:link w:val="H1G"/>
    <w:rsid w:val="007351E9"/>
    <w:rPr>
      <w:b/>
      <w:sz w:val="24"/>
      <w:lang w:val="en-GB"/>
    </w:rPr>
  </w:style>
  <w:style w:type="table" w:customStyle="1" w:styleId="TableGrid0">
    <w:name w:val="TableGrid"/>
    <w:rsid w:val="00D4268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ManualBodyText">
    <w:name w:val="Manual Body Text"/>
    <w:basedOn w:val="BodyText"/>
    <w:rsid w:val="0003053F"/>
    <w:pPr>
      <w:numPr>
        <w:ilvl w:val="12"/>
      </w:numPr>
      <w:tabs>
        <w:tab w:val="clear" w:pos="1985"/>
        <w:tab w:val="clear" w:pos="2552"/>
        <w:tab w:val="clear" w:pos="3119"/>
        <w:tab w:val="clear" w:pos="3686"/>
        <w:tab w:val="clear" w:pos="4253"/>
        <w:tab w:val="clear" w:pos="4820"/>
      </w:tabs>
      <w:autoSpaceDE w:val="0"/>
      <w:autoSpaceDN w:val="0"/>
      <w:adjustRightInd w:val="0"/>
    </w:pPr>
    <w:rPr>
      <w:szCs w:val="22"/>
      <w:lang w:eastAsia="fr-FR"/>
    </w:rPr>
  </w:style>
  <w:style w:type="character" w:customStyle="1" w:styleId="SingleTxtGCar">
    <w:name w:val="_ Single Txt_G Car"/>
    <w:locked/>
    <w:rsid w:val="00195E9D"/>
    <w:rPr>
      <w:lang w:eastAsia="en-US"/>
    </w:rPr>
  </w:style>
  <w:style w:type="character" w:customStyle="1" w:styleId="HeaderChar">
    <w:name w:val="Header Char"/>
    <w:aliases w:val="6_G Char"/>
    <w:link w:val="Header"/>
    <w:uiPriority w:val="99"/>
    <w:rsid w:val="00256328"/>
    <w:rPr>
      <w:b/>
      <w:sz w:val="18"/>
      <w:lang w:val="en-GB"/>
    </w:rPr>
  </w:style>
  <w:style w:type="character" w:customStyle="1" w:styleId="BodyTextChar">
    <w:name w:val="Body Text Char"/>
    <w:basedOn w:val="DefaultParagraphFont"/>
    <w:link w:val="BodyText"/>
    <w:rsid w:val="00DF21B8"/>
    <w:rPr>
      <w:sz w:val="22"/>
      <w:lang w:val="en-GB"/>
    </w:rPr>
  </w:style>
  <w:style w:type="character" w:customStyle="1" w:styleId="BodyTextIndentChar">
    <w:name w:val="Body Text Indent Char"/>
    <w:basedOn w:val="DefaultParagraphFont"/>
    <w:link w:val="BodyTextIndent"/>
    <w:rsid w:val="00DF21B8"/>
    <w:rPr>
      <w:sz w:val="22"/>
      <w:lang w:val="en-GB"/>
    </w:rPr>
  </w:style>
  <w:style w:type="character" w:customStyle="1" w:styleId="FootnoteTextChar1">
    <w:name w:val="Footnote Text Char1"/>
    <w:aliases w:val="5_G Char1"/>
    <w:locked/>
    <w:rsid w:val="005C6DEB"/>
    <w:rPr>
      <w:sz w:val="18"/>
      <w:lang w:val="fr-CH" w:eastAsia="en-US" w:bidi="ar-SA"/>
    </w:rPr>
  </w:style>
  <w:style w:type="character" w:customStyle="1" w:styleId="CommentTextChar">
    <w:name w:val="Comment Text Char"/>
    <w:basedOn w:val="DefaultParagraphFont"/>
    <w:link w:val="CommentText"/>
    <w:semiHidden/>
    <w:rsid w:val="00FD771D"/>
    <w:rPr>
      <w:lang w:val="en-GB"/>
    </w:rPr>
  </w:style>
  <w:style w:type="paragraph" w:customStyle="1" w:styleId="bodytext0">
    <w:name w:val="bodytext"/>
    <w:basedOn w:val="Normal"/>
    <w:rsid w:val="005966E1"/>
    <w:pPr>
      <w:suppressAutoHyphens w:val="0"/>
      <w:spacing w:before="100" w:beforeAutospacing="1" w:after="100" w:afterAutospacing="1" w:line="240" w:lineRule="auto"/>
    </w:pPr>
    <w:rPr>
      <w:sz w:val="24"/>
      <w:szCs w:val="24"/>
      <w:lang w:val="en-US"/>
    </w:rPr>
  </w:style>
  <w:style w:type="character" w:customStyle="1" w:styleId="EndnoteTextChar">
    <w:name w:val="Endnote Text Char"/>
    <w:aliases w:val="2_G Char"/>
    <w:basedOn w:val="DefaultParagraphFont"/>
    <w:link w:val="EndnoteText"/>
    <w:rsid w:val="00DB525A"/>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62065">
      <w:bodyDiv w:val="1"/>
      <w:marLeft w:val="0"/>
      <w:marRight w:val="0"/>
      <w:marTop w:val="0"/>
      <w:marBottom w:val="0"/>
      <w:divBdr>
        <w:top w:val="none" w:sz="0" w:space="0" w:color="auto"/>
        <w:left w:val="none" w:sz="0" w:space="0" w:color="auto"/>
        <w:bottom w:val="none" w:sz="0" w:space="0" w:color="auto"/>
        <w:right w:val="none" w:sz="0" w:space="0" w:color="auto"/>
      </w:divBdr>
    </w:div>
    <w:div w:id="85810839">
      <w:bodyDiv w:val="1"/>
      <w:marLeft w:val="0"/>
      <w:marRight w:val="0"/>
      <w:marTop w:val="0"/>
      <w:marBottom w:val="0"/>
      <w:divBdr>
        <w:top w:val="none" w:sz="0" w:space="0" w:color="auto"/>
        <w:left w:val="none" w:sz="0" w:space="0" w:color="auto"/>
        <w:bottom w:val="none" w:sz="0" w:space="0" w:color="auto"/>
        <w:right w:val="none" w:sz="0" w:space="0" w:color="auto"/>
      </w:divBdr>
    </w:div>
    <w:div w:id="225532580">
      <w:bodyDiv w:val="1"/>
      <w:marLeft w:val="0"/>
      <w:marRight w:val="0"/>
      <w:marTop w:val="0"/>
      <w:marBottom w:val="0"/>
      <w:divBdr>
        <w:top w:val="none" w:sz="0" w:space="0" w:color="auto"/>
        <w:left w:val="none" w:sz="0" w:space="0" w:color="auto"/>
        <w:bottom w:val="none" w:sz="0" w:space="0" w:color="auto"/>
        <w:right w:val="none" w:sz="0" w:space="0" w:color="auto"/>
      </w:divBdr>
    </w:div>
    <w:div w:id="279067591">
      <w:bodyDiv w:val="1"/>
      <w:marLeft w:val="0"/>
      <w:marRight w:val="0"/>
      <w:marTop w:val="0"/>
      <w:marBottom w:val="0"/>
      <w:divBdr>
        <w:top w:val="none" w:sz="0" w:space="0" w:color="auto"/>
        <w:left w:val="none" w:sz="0" w:space="0" w:color="auto"/>
        <w:bottom w:val="none" w:sz="0" w:space="0" w:color="auto"/>
        <w:right w:val="none" w:sz="0" w:space="0" w:color="auto"/>
      </w:divBdr>
    </w:div>
    <w:div w:id="287276571">
      <w:bodyDiv w:val="1"/>
      <w:marLeft w:val="0"/>
      <w:marRight w:val="0"/>
      <w:marTop w:val="0"/>
      <w:marBottom w:val="0"/>
      <w:divBdr>
        <w:top w:val="none" w:sz="0" w:space="0" w:color="auto"/>
        <w:left w:val="none" w:sz="0" w:space="0" w:color="auto"/>
        <w:bottom w:val="none" w:sz="0" w:space="0" w:color="auto"/>
        <w:right w:val="none" w:sz="0" w:space="0" w:color="auto"/>
      </w:divBdr>
    </w:div>
    <w:div w:id="308444243">
      <w:bodyDiv w:val="1"/>
      <w:marLeft w:val="0"/>
      <w:marRight w:val="0"/>
      <w:marTop w:val="0"/>
      <w:marBottom w:val="0"/>
      <w:divBdr>
        <w:top w:val="none" w:sz="0" w:space="0" w:color="auto"/>
        <w:left w:val="none" w:sz="0" w:space="0" w:color="auto"/>
        <w:bottom w:val="none" w:sz="0" w:space="0" w:color="auto"/>
        <w:right w:val="none" w:sz="0" w:space="0" w:color="auto"/>
      </w:divBdr>
    </w:div>
    <w:div w:id="606429443">
      <w:bodyDiv w:val="1"/>
      <w:marLeft w:val="0"/>
      <w:marRight w:val="0"/>
      <w:marTop w:val="0"/>
      <w:marBottom w:val="0"/>
      <w:divBdr>
        <w:top w:val="none" w:sz="0" w:space="0" w:color="auto"/>
        <w:left w:val="none" w:sz="0" w:space="0" w:color="auto"/>
        <w:bottom w:val="none" w:sz="0" w:space="0" w:color="auto"/>
        <w:right w:val="none" w:sz="0" w:space="0" w:color="auto"/>
      </w:divBdr>
    </w:div>
    <w:div w:id="638267732">
      <w:bodyDiv w:val="1"/>
      <w:marLeft w:val="0"/>
      <w:marRight w:val="0"/>
      <w:marTop w:val="0"/>
      <w:marBottom w:val="0"/>
      <w:divBdr>
        <w:top w:val="none" w:sz="0" w:space="0" w:color="auto"/>
        <w:left w:val="none" w:sz="0" w:space="0" w:color="auto"/>
        <w:bottom w:val="none" w:sz="0" w:space="0" w:color="auto"/>
        <w:right w:val="none" w:sz="0" w:space="0" w:color="auto"/>
      </w:divBdr>
    </w:div>
    <w:div w:id="664818686">
      <w:bodyDiv w:val="1"/>
      <w:marLeft w:val="0"/>
      <w:marRight w:val="0"/>
      <w:marTop w:val="0"/>
      <w:marBottom w:val="0"/>
      <w:divBdr>
        <w:top w:val="none" w:sz="0" w:space="0" w:color="auto"/>
        <w:left w:val="none" w:sz="0" w:space="0" w:color="auto"/>
        <w:bottom w:val="none" w:sz="0" w:space="0" w:color="auto"/>
        <w:right w:val="none" w:sz="0" w:space="0" w:color="auto"/>
      </w:divBdr>
    </w:div>
    <w:div w:id="827210884">
      <w:bodyDiv w:val="1"/>
      <w:marLeft w:val="0"/>
      <w:marRight w:val="0"/>
      <w:marTop w:val="0"/>
      <w:marBottom w:val="0"/>
      <w:divBdr>
        <w:top w:val="none" w:sz="0" w:space="0" w:color="auto"/>
        <w:left w:val="none" w:sz="0" w:space="0" w:color="auto"/>
        <w:bottom w:val="none" w:sz="0" w:space="0" w:color="auto"/>
        <w:right w:val="none" w:sz="0" w:space="0" w:color="auto"/>
      </w:divBdr>
    </w:div>
    <w:div w:id="864757086">
      <w:bodyDiv w:val="1"/>
      <w:marLeft w:val="0"/>
      <w:marRight w:val="0"/>
      <w:marTop w:val="0"/>
      <w:marBottom w:val="0"/>
      <w:divBdr>
        <w:top w:val="none" w:sz="0" w:space="0" w:color="auto"/>
        <w:left w:val="none" w:sz="0" w:space="0" w:color="auto"/>
        <w:bottom w:val="none" w:sz="0" w:space="0" w:color="auto"/>
        <w:right w:val="none" w:sz="0" w:space="0" w:color="auto"/>
      </w:divBdr>
    </w:div>
    <w:div w:id="885027597">
      <w:bodyDiv w:val="1"/>
      <w:marLeft w:val="0"/>
      <w:marRight w:val="0"/>
      <w:marTop w:val="0"/>
      <w:marBottom w:val="0"/>
      <w:divBdr>
        <w:top w:val="none" w:sz="0" w:space="0" w:color="auto"/>
        <w:left w:val="none" w:sz="0" w:space="0" w:color="auto"/>
        <w:bottom w:val="none" w:sz="0" w:space="0" w:color="auto"/>
        <w:right w:val="none" w:sz="0" w:space="0" w:color="auto"/>
      </w:divBdr>
    </w:div>
    <w:div w:id="1058430706">
      <w:bodyDiv w:val="1"/>
      <w:marLeft w:val="0"/>
      <w:marRight w:val="0"/>
      <w:marTop w:val="0"/>
      <w:marBottom w:val="0"/>
      <w:divBdr>
        <w:top w:val="none" w:sz="0" w:space="0" w:color="auto"/>
        <w:left w:val="none" w:sz="0" w:space="0" w:color="auto"/>
        <w:bottom w:val="none" w:sz="0" w:space="0" w:color="auto"/>
        <w:right w:val="none" w:sz="0" w:space="0" w:color="auto"/>
      </w:divBdr>
    </w:div>
    <w:div w:id="1128086440">
      <w:bodyDiv w:val="1"/>
      <w:marLeft w:val="0"/>
      <w:marRight w:val="0"/>
      <w:marTop w:val="0"/>
      <w:marBottom w:val="0"/>
      <w:divBdr>
        <w:top w:val="none" w:sz="0" w:space="0" w:color="auto"/>
        <w:left w:val="none" w:sz="0" w:space="0" w:color="auto"/>
        <w:bottom w:val="none" w:sz="0" w:space="0" w:color="auto"/>
        <w:right w:val="none" w:sz="0" w:space="0" w:color="auto"/>
      </w:divBdr>
    </w:div>
    <w:div w:id="1142773874">
      <w:bodyDiv w:val="1"/>
      <w:marLeft w:val="0"/>
      <w:marRight w:val="0"/>
      <w:marTop w:val="0"/>
      <w:marBottom w:val="0"/>
      <w:divBdr>
        <w:top w:val="none" w:sz="0" w:space="0" w:color="auto"/>
        <w:left w:val="none" w:sz="0" w:space="0" w:color="auto"/>
        <w:bottom w:val="none" w:sz="0" w:space="0" w:color="auto"/>
        <w:right w:val="none" w:sz="0" w:space="0" w:color="auto"/>
      </w:divBdr>
    </w:div>
    <w:div w:id="1179927638">
      <w:bodyDiv w:val="1"/>
      <w:marLeft w:val="0"/>
      <w:marRight w:val="0"/>
      <w:marTop w:val="0"/>
      <w:marBottom w:val="0"/>
      <w:divBdr>
        <w:top w:val="none" w:sz="0" w:space="0" w:color="auto"/>
        <w:left w:val="none" w:sz="0" w:space="0" w:color="auto"/>
        <w:bottom w:val="none" w:sz="0" w:space="0" w:color="auto"/>
        <w:right w:val="none" w:sz="0" w:space="0" w:color="auto"/>
      </w:divBdr>
    </w:div>
    <w:div w:id="1194154861">
      <w:bodyDiv w:val="1"/>
      <w:marLeft w:val="0"/>
      <w:marRight w:val="0"/>
      <w:marTop w:val="0"/>
      <w:marBottom w:val="0"/>
      <w:divBdr>
        <w:top w:val="none" w:sz="0" w:space="0" w:color="auto"/>
        <w:left w:val="none" w:sz="0" w:space="0" w:color="auto"/>
        <w:bottom w:val="none" w:sz="0" w:space="0" w:color="auto"/>
        <w:right w:val="none" w:sz="0" w:space="0" w:color="auto"/>
      </w:divBdr>
    </w:div>
    <w:div w:id="1196850300">
      <w:bodyDiv w:val="1"/>
      <w:marLeft w:val="0"/>
      <w:marRight w:val="0"/>
      <w:marTop w:val="0"/>
      <w:marBottom w:val="0"/>
      <w:divBdr>
        <w:top w:val="none" w:sz="0" w:space="0" w:color="auto"/>
        <w:left w:val="none" w:sz="0" w:space="0" w:color="auto"/>
        <w:bottom w:val="none" w:sz="0" w:space="0" w:color="auto"/>
        <w:right w:val="none" w:sz="0" w:space="0" w:color="auto"/>
      </w:divBdr>
    </w:div>
    <w:div w:id="1217737524">
      <w:bodyDiv w:val="1"/>
      <w:marLeft w:val="0"/>
      <w:marRight w:val="0"/>
      <w:marTop w:val="0"/>
      <w:marBottom w:val="0"/>
      <w:divBdr>
        <w:top w:val="none" w:sz="0" w:space="0" w:color="auto"/>
        <w:left w:val="none" w:sz="0" w:space="0" w:color="auto"/>
        <w:bottom w:val="none" w:sz="0" w:space="0" w:color="auto"/>
        <w:right w:val="none" w:sz="0" w:space="0" w:color="auto"/>
      </w:divBdr>
    </w:div>
    <w:div w:id="1233464398">
      <w:bodyDiv w:val="1"/>
      <w:marLeft w:val="0"/>
      <w:marRight w:val="0"/>
      <w:marTop w:val="0"/>
      <w:marBottom w:val="0"/>
      <w:divBdr>
        <w:top w:val="none" w:sz="0" w:space="0" w:color="auto"/>
        <w:left w:val="none" w:sz="0" w:space="0" w:color="auto"/>
        <w:bottom w:val="none" w:sz="0" w:space="0" w:color="auto"/>
        <w:right w:val="none" w:sz="0" w:space="0" w:color="auto"/>
      </w:divBdr>
    </w:div>
    <w:div w:id="1321614425">
      <w:bodyDiv w:val="1"/>
      <w:marLeft w:val="0"/>
      <w:marRight w:val="0"/>
      <w:marTop w:val="0"/>
      <w:marBottom w:val="0"/>
      <w:divBdr>
        <w:top w:val="none" w:sz="0" w:space="0" w:color="auto"/>
        <w:left w:val="none" w:sz="0" w:space="0" w:color="auto"/>
        <w:bottom w:val="none" w:sz="0" w:space="0" w:color="auto"/>
        <w:right w:val="none" w:sz="0" w:space="0" w:color="auto"/>
      </w:divBdr>
    </w:div>
    <w:div w:id="1455782932">
      <w:bodyDiv w:val="1"/>
      <w:marLeft w:val="0"/>
      <w:marRight w:val="0"/>
      <w:marTop w:val="0"/>
      <w:marBottom w:val="0"/>
      <w:divBdr>
        <w:top w:val="none" w:sz="0" w:space="0" w:color="auto"/>
        <w:left w:val="none" w:sz="0" w:space="0" w:color="auto"/>
        <w:bottom w:val="none" w:sz="0" w:space="0" w:color="auto"/>
        <w:right w:val="none" w:sz="0" w:space="0" w:color="auto"/>
      </w:divBdr>
    </w:div>
    <w:div w:id="1474440928">
      <w:bodyDiv w:val="1"/>
      <w:marLeft w:val="0"/>
      <w:marRight w:val="0"/>
      <w:marTop w:val="0"/>
      <w:marBottom w:val="0"/>
      <w:divBdr>
        <w:top w:val="none" w:sz="0" w:space="0" w:color="auto"/>
        <w:left w:val="none" w:sz="0" w:space="0" w:color="auto"/>
        <w:bottom w:val="none" w:sz="0" w:space="0" w:color="auto"/>
        <w:right w:val="none" w:sz="0" w:space="0" w:color="auto"/>
      </w:divBdr>
    </w:div>
    <w:div w:id="1539708695">
      <w:bodyDiv w:val="1"/>
      <w:marLeft w:val="0"/>
      <w:marRight w:val="0"/>
      <w:marTop w:val="0"/>
      <w:marBottom w:val="0"/>
      <w:divBdr>
        <w:top w:val="none" w:sz="0" w:space="0" w:color="auto"/>
        <w:left w:val="none" w:sz="0" w:space="0" w:color="auto"/>
        <w:bottom w:val="none" w:sz="0" w:space="0" w:color="auto"/>
        <w:right w:val="none" w:sz="0" w:space="0" w:color="auto"/>
      </w:divBdr>
    </w:div>
    <w:div w:id="1572538477">
      <w:bodyDiv w:val="1"/>
      <w:marLeft w:val="0"/>
      <w:marRight w:val="0"/>
      <w:marTop w:val="0"/>
      <w:marBottom w:val="0"/>
      <w:divBdr>
        <w:top w:val="none" w:sz="0" w:space="0" w:color="auto"/>
        <w:left w:val="none" w:sz="0" w:space="0" w:color="auto"/>
        <w:bottom w:val="none" w:sz="0" w:space="0" w:color="auto"/>
        <w:right w:val="none" w:sz="0" w:space="0" w:color="auto"/>
      </w:divBdr>
    </w:div>
    <w:div w:id="1789934716">
      <w:bodyDiv w:val="1"/>
      <w:marLeft w:val="0"/>
      <w:marRight w:val="0"/>
      <w:marTop w:val="0"/>
      <w:marBottom w:val="0"/>
      <w:divBdr>
        <w:top w:val="none" w:sz="0" w:space="0" w:color="auto"/>
        <w:left w:val="none" w:sz="0" w:space="0" w:color="auto"/>
        <w:bottom w:val="none" w:sz="0" w:space="0" w:color="auto"/>
        <w:right w:val="none" w:sz="0" w:space="0" w:color="auto"/>
      </w:divBdr>
    </w:div>
    <w:div w:id="185572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rtis.gilbert@atf.gov" TargetMode="External"/><Relationship Id="rId79"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hilip.smith@hse.gov.uk" TargetMode="External"/><Relationship Id="rId78"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katrin.knoebel@bam.de"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F6286B-7599-4DEA-B538-44A3427F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18</TotalTime>
  <Pages>16</Pages>
  <Words>5852</Words>
  <Characters>33358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UN/SCETDG/47/INF.WGR</vt:lpstr>
    </vt:vector>
  </TitlesOfParts>
  <Company>CSD</Company>
  <LinksUpToDate>false</LinksUpToDate>
  <CharactersWithSpaces>39132</CharactersWithSpaces>
  <SharedDoc>false</SharedDoc>
  <HLinks>
    <vt:vector size="198" baseType="variant">
      <vt:variant>
        <vt:i4>6357053</vt:i4>
      </vt:variant>
      <vt:variant>
        <vt:i4>96</vt:i4>
      </vt:variant>
      <vt:variant>
        <vt:i4>0</vt:i4>
      </vt:variant>
      <vt:variant>
        <vt:i4>5</vt:i4>
      </vt:variant>
      <vt:variant>
        <vt:lpwstr>../../../../../undocs/AC10/C3/2014/INF/UN-SCETDG-45-INF08a5e-UN-SCEGHS-27-INF05a5e.doc</vt:lpwstr>
      </vt:variant>
      <vt:variant>
        <vt:lpwstr/>
      </vt:variant>
      <vt:variant>
        <vt:i4>6357053</vt:i4>
      </vt:variant>
      <vt:variant>
        <vt:i4>93</vt:i4>
      </vt:variant>
      <vt:variant>
        <vt:i4>0</vt:i4>
      </vt:variant>
      <vt:variant>
        <vt:i4>5</vt:i4>
      </vt:variant>
      <vt:variant>
        <vt:lpwstr>../../../../../undocs/AC10/C3/2014/INF/UN-SCETDG-45-INF08a4e-UN-SCEGHS-27-INF05a4e.doc</vt:lpwstr>
      </vt:variant>
      <vt:variant>
        <vt:lpwstr/>
      </vt:variant>
      <vt:variant>
        <vt:i4>6357053</vt:i4>
      </vt:variant>
      <vt:variant>
        <vt:i4>90</vt:i4>
      </vt:variant>
      <vt:variant>
        <vt:i4>0</vt:i4>
      </vt:variant>
      <vt:variant>
        <vt:i4>5</vt:i4>
      </vt:variant>
      <vt:variant>
        <vt:lpwstr>../../../../../undocs/AC10/C3/2014/INF/UN-SCETDG-45-INF08a3e-UN-SCEGHS-27-INF05a3e.doc</vt:lpwstr>
      </vt:variant>
      <vt:variant>
        <vt:lpwstr/>
      </vt:variant>
      <vt:variant>
        <vt:i4>6357053</vt:i4>
      </vt:variant>
      <vt:variant>
        <vt:i4>87</vt:i4>
      </vt:variant>
      <vt:variant>
        <vt:i4>0</vt:i4>
      </vt:variant>
      <vt:variant>
        <vt:i4>5</vt:i4>
      </vt:variant>
      <vt:variant>
        <vt:lpwstr>../../../../../undocs/AC10/C3/2014/INF/UN-SCETDG-45-INF08a2e-UN-SCEGHS-27-INF05a2e.doc</vt:lpwstr>
      </vt:variant>
      <vt:variant>
        <vt:lpwstr/>
      </vt:variant>
      <vt:variant>
        <vt:i4>6357053</vt:i4>
      </vt:variant>
      <vt:variant>
        <vt:i4>84</vt:i4>
      </vt:variant>
      <vt:variant>
        <vt:i4>0</vt:i4>
      </vt:variant>
      <vt:variant>
        <vt:i4>5</vt:i4>
      </vt:variant>
      <vt:variant>
        <vt:lpwstr>../../../../../undocs/AC10/C3/2014/INF/UN-SCETDG-45-INF08a1e-UN-SCEGHS-27-INF05a1e.doc</vt:lpwstr>
      </vt:variant>
      <vt:variant>
        <vt:lpwstr/>
      </vt:variant>
      <vt:variant>
        <vt:i4>6357053</vt:i4>
      </vt:variant>
      <vt:variant>
        <vt:i4>81</vt:i4>
      </vt:variant>
      <vt:variant>
        <vt:i4>0</vt:i4>
      </vt:variant>
      <vt:variant>
        <vt:i4>5</vt:i4>
      </vt:variant>
      <vt:variant>
        <vt:lpwstr>../../../../../undocs/AC10/C3/2014/INF/UN-SCETDG-45-INF08e-UN-SCEGHS-27-INF05e.doc</vt:lpwstr>
      </vt:variant>
      <vt:variant>
        <vt:lpwstr/>
      </vt:variant>
      <vt:variant>
        <vt:i4>6553667</vt:i4>
      </vt:variant>
      <vt:variant>
        <vt:i4>78</vt:i4>
      </vt:variant>
      <vt:variant>
        <vt:i4>0</vt:i4>
      </vt:variant>
      <vt:variant>
        <vt:i4>5</vt:i4>
      </vt:variant>
      <vt:variant>
        <vt:lpwstr>../../../../../undocs/AC10/C3/2014/INF/UN-SCETDG-46-INF44e_UN-SCEGHS-28-INF19e.doc</vt:lpwstr>
      </vt:variant>
      <vt:variant>
        <vt:lpwstr/>
      </vt:variant>
      <vt:variant>
        <vt:i4>2883704</vt:i4>
      </vt:variant>
      <vt:variant>
        <vt:i4>75</vt:i4>
      </vt:variant>
      <vt:variant>
        <vt:i4>0</vt:i4>
      </vt:variant>
      <vt:variant>
        <vt:i4>5</vt:i4>
      </vt:variant>
      <vt:variant>
        <vt:lpwstr>../../../../../undocs/AC10/C3/2015/INF/UN-SCETDG-47-INF31-UN-SCEGHS-29-INF.9e.docx</vt:lpwstr>
      </vt:variant>
      <vt:variant>
        <vt:lpwstr/>
      </vt:variant>
      <vt:variant>
        <vt:i4>6422586</vt:i4>
      </vt:variant>
      <vt:variant>
        <vt:i4>72</vt:i4>
      </vt:variant>
      <vt:variant>
        <vt:i4>0</vt:i4>
      </vt:variant>
      <vt:variant>
        <vt:i4>5</vt:i4>
      </vt:variant>
      <vt:variant>
        <vt:lpwstr>../../../../../undocs/AC10/C3/2015/INF/UN-SCETDG-47-INF21e-UN-SCEGHS-29-INF07e.doc</vt:lpwstr>
      </vt:variant>
      <vt:variant>
        <vt:lpwstr/>
      </vt:variant>
      <vt:variant>
        <vt:i4>6291518</vt:i4>
      </vt:variant>
      <vt:variant>
        <vt:i4>69</vt:i4>
      </vt:variant>
      <vt:variant>
        <vt:i4>0</vt:i4>
      </vt:variant>
      <vt:variant>
        <vt:i4>5</vt:i4>
      </vt:variant>
      <vt:variant>
        <vt:lpwstr>../../../../../undocs/AC10/C3/2015/INF/UN-SCETDG-47-INF06e-UN-SCEGHS-29-INF04e.doc</vt:lpwstr>
      </vt:variant>
      <vt:variant>
        <vt:lpwstr/>
      </vt:variant>
      <vt:variant>
        <vt:i4>3932273</vt:i4>
      </vt:variant>
      <vt:variant>
        <vt:i4>66</vt:i4>
      </vt:variant>
      <vt:variant>
        <vt:i4>0</vt:i4>
      </vt:variant>
      <vt:variant>
        <vt:i4>5</vt:i4>
      </vt:variant>
      <vt:variant>
        <vt:lpwstr>../../../../../undocs/AC10/C3/2014/ST-SG-AC.10-C.3-2014-61-ST-SG-AC.10-C.4-2014-8e.doc</vt:lpwstr>
      </vt:variant>
      <vt:variant>
        <vt:lpwstr/>
      </vt:variant>
      <vt:variant>
        <vt:i4>7209002</vt:i4>
      </vt:variant>
      <vt:variant>
        <vt:i4>63</vt:i4>
      </vt:variant>
      <vt:variant>
        <vt:i4>0</vt:i4>
      </vt:variant>
      <vt:variant>
        <vt:i4>5</vt:i4>
      </vt:variant>
      <vt:variant>
        <vt:lpwstr>../../../../../undocs/AC10/C3/2015/INF/UN-SCETDG-47-INF50e.docx</vt:lpwstr>
      </vt:variant>
      <vt:variant>
        <vt:lpwstr/>
      </vt:variant>
      <vt:variant>
        <vt:i4>7274539</vt:i4>
      </vt:variant>
      <vt:variant>
        <vt:i4>60</vt:i4>
      </vt:variant>
      <vt:variant>
        <vt:i4>0</vt:i4>
      </vt:variant>
      <vt:variant>
        <vt:i4>5</vt:i4>
      </vt:variant>
      <vt:variant>
        <vt:lpwstr>../../../../../undocs/AC10/C3/2015/INF/UN-SCETDG-47-INF41e.docx</vt:lpwstr>
      </vt:variant>
      <vt:variant>
        <vt:lpwstr/>
      </vt:variant>
      <vt:variant>
        <vt:i4>6881315</vt:i4>
      </vt:variant>
      <vt:variant>
        <vt:i4>57</vt:i4>
      </vt:variant>
      <vt:variant>
        <vt:i4>0</vt:i4>
      </vt:variant>
      <vt:variant>
        <vt:i4>5</vt:i4>
      </vt:variant>
      <vt:variant>
        <vt:lpwstr>../../../../../undocs/AC10/C3/2015/INF/UN-SCETDG-47-INF29e.doc</vt:lpwstr>
      </vt:variant>
      <vt:variant>
        <vt:lpwstr/>
      </vt:variant>
      <vt:variant>
        <vt:i4>7012387</vt:i4>
      </vt:variant>
      <vt:variant>
        <vt:i4>54</vt:i4>
      </vt:variant>
      <vt:variant>
        <vt:i4>0</vt:i4>
      </vt:variant>
      <vt:variant>
        <vt:i4>5</vt:i4>
      </vt:variant>
      <vt:variant>
        <vt:lpwstr>../../../../../undocs/AC10/C3/2015/INF/UN-SCETDG-47-INF09e.doc</vt:lpwstr>
      </vt:variant>
      <vt:variant>
        <vt:lpwstr/>
      </vt:variant>
      <vt:variant>
        <vt:i4>7012386</vt:i4>
      </vt:variant>
      <vt:variant>
        <vt:i4>51</vt:i4>
      </vt:variant>
      <vt:variant>
        <vt:i4>0</vt:i4>
      </vt:variant>
      <vt:variant>
        <vt:i4>5</vt:i4>
      </vt:variant>
      <vt:variant>
        <vt:lpwstr>../../../../../undocs/AC10/C3/2015/INF/UN-SCETDG-47-INF08e.doc</vt:lpwstr>
      </vt:variant>
      <vt:variant>
        <vt:lpwstr/>
      </vt:variant>
      <vt:variant>
        <vt:i4>2293872</vt:i4>
      </vt:variant>
      <vt:variant>
        <vt:i4>48</vt:i4>
      </vt:variant>
      <vt:variant>
        <vt:i4>0</vt:i4>
      </vt:variant>
      <vt:variant>
        <vt:i4>5</vt:i4>
      </vt:variant>
      <vt:variant>
        <vt:lpwstr>../../../../../undocs/AC10/C3/2015/ST-SG-AC.10-C.3-2015-13e.doc</vt:lpwstr>
      </vt:variant>
      <vt:variant>
        <vt:lpwstr/>
      </vt:variant>
      <vt:variant>
        <vt:i4>2097264</vt:i4>
      </vt:variant>
      <vt:variant>
        <vt:i4>45</vt:i4>
      </vt:variant>
      <vt:variant>
        <vt:i4>0</vt:i4>
      </vt:variant>
      <vt:variant>
        <vt:i4>5</vt:i4>
      </vt:variant>
      <vt:variant>
        <vt:lpwstr>../../../../../undocs/AC10/C3/2015/ST-SG-AC.10-C.3-2015-10e.doc</vt:lpwstr>
      </vt:variant>
      <vt:variant>
        <vt:lpwstr/>
      </vt:variant>
      <vt:variant>
        <vt:i4>6422583</vt:i4>
      </vt:variant>
      <vt:variant>
        <vt:i4>42</vt:i4>
      </vt:variant>
      <vt:variant>
        <vt:i4>0</vt:i4>
      </vt:variant>
      <vt:variant>
        <vt:i4>5</vt:i4>
      </vt:variant>
      <vt:variant>
        <vt:lpwstr>../../../../../undocs/AC10/C3/2015/INF/UN-SCETDG-47-INF23e-UN-SCEGHS-29-INF08e.doc</vt:lpwstr>
      </vt:variant>
      <vt:variant>
        <vt:lpwstr/>
      </vt:variant>
      <vt:variant>
        <vt:i4>7274537</vt:i4>
      </vt:variant>
      <vt:variant>
        <vt:i4>39</vt:i4>
      </vt:variant>
      <vt:variant>
        <vt:i4>0</vt:i4>
      </vt:variant>
      <vt:variant>
        <vt:i4>5</vt:i4>
      </vt:variant>
      <vt:variant>
        <vt:lpwstr>../../../../../undocs/AC10/C3/2015/ST-SG-AC.10-C.3-2015-27e-ST-SG-AC.10-C.4-2015-6e.doc</vt:lpwstr>
      </vt:variant>
      <vt:variant>
        <vt:lpwstr/>
      </vt:variant>
      <vt:variant>
        <vt:i4>6815778</vt:i4>
      </vt:variant>
      <vt:variant>
        <vt:i4>36</vt:i4>
      </vt:variant>
      <vt:variant>
        <vt:i4>0</vt:i4>
      </vt:variant>
      <vt:variant>
        <vt:i4>5</vt:i4>
      </vt:variant>
      <vt:variant>
        <vt:lpwstr>../../../../../undocs/AC10/C3/2015/INF/UN-SCETDG-47-INF38e.docx</vt:lpwstr>
      </vt:variant>
      <vt:variant>
        <vt:lpwstr/>
      </vt:variant>
      <vt:variant>
        <vt:i4>7274541</vt:i4>
      </vt:variant>
      <vt:variant>
        <vt:i4>33</vt:i4>
      </vt:variant>
      <vt:variant>
        <vt:i4>0</vt:i4>
      </vt:variant>
      <vt:variant>
        <vt:i4>5</vt:i4>
      </vt:variant>
      <vt:variant>
        <vt:lpwstr>../../../../../undocs/AC10/C3/2015/INF/UN-SCETDG-47-INF47e.docx</vt:lpwstr>
      </vt:variant>
      <vt:variant>
        <vt:lpwstr/>
      </vt:variant>
      <vt:variant>
        <vt:i4>2556024</vt:i4>
      </vt:variant>
      <vt:variant>
        <vt:i4>30</vt:i4>
      </vt:variant>
      <vt:variant>
        <vt:i4>0</vt:i4>
      </vt:variant>
      <vt:variant>
        <vt:i4>5</vt:i4>
      </vt:variant>
      <vt:variant>
        <vt:lpwstr>../../../../../undocs/AC10/C3/2014/ST-SG-AC.10-C.3-2014-86e.doc</vt:lpwstr>
      </vt:variant>
      <vt:variant>
        <vt:lpwstr/>
      </vt:variant>
      <vt:variant>
        <vt:i4>6815789</vt:i4>
      </vt:variant>
      <vt:variant>
        <vt:i4>27</vt:i4>
      </vt:variant>
      <vt:variant>
        <vt:i4>0</vt:i4>
      </vt:variant>
      <vt:variant>
        <vt:i4>5</vt:i4>
      </vt:variant>
      <vt:variant>
        <vt:lpwstr>../../../../../undocs/AC10/C3/2015/INF/UN-SCETDG-47-INF37e.docx</vt:lpwstr>
      </vt:variant>
      <vt:variant>
        <vt:lpwstr/>
      </vt:variant>
      <vt:variant>
        <vt:i4>2490483</vt:i4>
      </vt:variant>
      <vt:variant>
        <vt:i4>24</vt:i4>
      </vt:variant>
      <vt:variant>
        <vt:i4>0</vt:i4>
      </vt:variant>
      <vt:variant>
        <vt:i4>5</vt:i4>
      </vt:variant>
      <vt:variant>
        <vt:lpwstr>../../../../../undocs/AC10/C3/2015/ST-SG-AC.10-C.3-2015-26e.doc</vt:lpwstr>
      </vt:variant>
      <vt:variant>
        <vt:lpwstr/>
      </vt:variant>
      <vt:variant>
        <vt:i4>7274538</vt:i4>
      </vt:variant>
      <vt:variant>
        <vt:i4>21</vt:i4>
      </vt:variant>
      <vt:variant>
        <vt:i4>0</vt:i4>
      </vt:variant>
      <vt:variant>
        <vt:i4>5</vt:i4>
      </vt:variant>
      <vt:variant>
        <vt:lpwstr>../../../../../undocs/AC10/C3/2015/INF/UN-SCETDG-47-INF40e.docx</vt:lpwstr>
      </vt:variant>
      <vt:variant>
        <vt:lpwstr/>
      </vt:variant>
      <vt:variant>
        <vt:i4>7012393</vt:i4>
      </vt:variant>
      <vt:variant>
        <vt:i4>18</vt:i4>
      </vt:variant>
      <vt:variant>
        <vt:i4>0</vt:i4>
      </vt:variant>
      <vt:variant>
        <vt:i4>5</vt:i4>
      </vt:variant>
      <vt:variant>
        <vt:lpwstr>../../../../../undocs/AC10/C3/2015/INF/UN-SCETDG-47-INF03e.doc</vt:lpwstr>
      </vt:variant>
      <vt:variant>
        <vt:lpwstr/>
      </vt:variant>
      <vt:variant>
        <vt:i4>3342389</vt:i4>
      </vt:variant>
      <vt:variant>
        <vt:i4>15</vt:i4>
      </vt:variant>
      <vt:variant>
        <vt:i4>0</vt:i4>
      </vt:variant>
      <vt:variant>
        <vt:i4>5</vt:i4>
      </vt:variant>
      <vt:variant>
        <vt:lpwstr>../../../../../undocs/AC10/C3/2015/ST-SG-AC.10-C.3-2015-4e.doc</vt:lpwstr>
      </vt:variant>
      <vt:variant>
        <vt:lpwstr/>
      </vt:variant>
      <vt:variant>
        <vt:i4>3342387</vt:i4>
      </vt:variant>
      <vt:variant>
        <vt:i4>12</vt:i4>
      </vt:variant>
      <vt:variant>
        <vt:i4>0</vt:i4>
      </vt:variant>
      <vt:variant>
        <vt:i4>5</vt:i4>
      </vt:variant>
      <vt:variant>
        <vt:lpwstr>../../../../../undocs/AC10/C3/2015/ST-SG-AC.10-C.3-2015-2e.doc</vt:lpwstr>
      </vt:variant>
      <vt:variant>
        <vt:lpwstr/>
      </vt:variant>
      <vt:variant>
        <vt:i4>6946858</vt:i4>
      </vt:variant>
      <vt:variant>
        <vt:i4>9</vt:i4>
      </vt:variant>
      <vt:variant>
        <vt:i4>0</vt:i4>
      </vt:variant>
      <vt:variant>
        <vt:i4>5</vt:i4>
      </vt:variant>
      <vt:variant>
        <vt:lpwstr>../../../../../undocs/AC10/C3/2015/INF/UN-SCETDG-47-INF10e.doc</vt:lpwstr>
      </vt:variant>
      <vt:variant>
        <vt:lpwstr/>
      </vt:variant>
      <vt:variant>
        <vt:i4>6881314</vt:i4>
      </vt:variant>
      <vt:variant>
        <vt:i4>6</vt:i4>
      </vt:variant>
      <vt:variant>
        <vt:i4>0</vt:i4>
      </vt:variant>
      <vt:variant>
        <vt:i4>5</vt:i4>
      </vt:variant>
      <vt:variant>
        <vt:lpwstr>../../../../../undocs/AC10/C3/2015/INF/UN-SCETDG-47-INF28e.doc</vt:lpwstr>
      </vt:variant>
      <vt:variant>
        <vt:lpwstr/>
      </vt:variant>
      <vt:variant>
        <vt:i4>2228336</vt:i4>
      </vt:variant>
      <vt:variant>
        <vt:i4>3</vt:i4>
      </vt:variant>
      <vt:variant>
        <vt:i4>0</vt:i4>
      </vt:variant>
      <vt:variant>
        <vt:i4>5</vt:i4>
      </vt:variant>
      <vt:variant>
        <vt:lpwstr>../../../../../undocs/AC10/C3/2015/ST-SG-AC.10-C.3-2015-12e.doc</vt:lpwstr>
      </vt:variant>
      <vt:variant>
        <vt:lpwstr/>
      </vt:variant>
      <vt:variant>
        <vt:i4>2293879</vt:i4>
      </vt:variant>
      <vt:variant>
        <vt:i4>0</vt:i4>
      </vt:variant>
      <vt:variant>
        <vt:i4>0</vt:i4>
      </vt:variant>
      <vt:variant>
        <vt:i4>5</vt:i4>
      </vt:variant>
      <vt:variant>
        <vt:lpwstr>../../../../../undocs/AC10/C3/2014/ST-SG-AC.10-C.3-2014-72e.doc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UN/SCETDG/47/INF.WGR</dc:title>
  <dc:creator>dboston@ime.org</dc:creator>
  <cp:lastModifiedBy>Laurence Berthet</cp:lastModifiedBy>
  <cp:revision>4</cp:revision>
  <cp:lastPrinted>2016-12-02T13:27:00Z</cp:lastPrinted>
  <dcterms:created xsi:type="dcterms:W3CDTF">2016-12-02T13:02:00Z</dcterms:created>
  <dcterms:modified xsi:type="dcterms:W3CDTF">2016-12-02T13:28:00Z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