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B10A45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2F2F86" w:rsidRDefault="00446DE4" w:rsidP="000216C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2F2F86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B10A45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B10A45">
              <w:rPr>
                <w:b/>
                <w:sz w:val="40"/>
                <w:szCs w:val="40"/>
              </w:rPr>
              <w:t>UN/SCETDG/</w:t>
            </w:r>
            <w:r w:rsidR="00E63DE8" w:rsidRPr="00B10A45">
              <w:rPr>
                <w:b/>
                <w:sz w:val="40"/>
                <w:szCs w:val="40"/>
              </w:rPr>
              <w:t>50</w:t>
            </w:r>
            <w:r w:rsidRPr="00B10A45">
              <w:rPr>
                <w:b/>
                <w:sz w:val="40"/>
                <w:szCs w:val="40"/>
              </w:rPr>
              <w:t>/INF.</w:t>
            </w:r>
            <w:r w:rsidR="00B10A45" w:rsidRPr="00B10A45">
              <w:rPr>
                <w:b/>
                <w:sz w:val="40"/>
                <w:szCs w:val="40"/>
              </w:rPr>
              <w:t>36</w:t>
            </w:r>
          </w:p>
          <w:p w:rsidR="00FC215C" w:rsidRPr="00B10A45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B10A45">
              <w:rPr>
                <w:b/>
                <w:sz w:val="40"/>
                <w:szCs w:val="40"/>
              </w:rPr>
              <w:t>UN/SCEGHS/</w:t>
            </w:r>
            <w:r w:rsidR="00E63DE8" w:rsidRPr="00B10A45">
              <w:rPr>
                <w:b/>
                <w:sz w:val="40"/>
                <w:szCs w:val="40"/>
              </w:rPr>
              <w:t>32</w:t>
            </w:r>
            <w:r w:rsidRPr="00B10A45">
              <w:rPr>
                <w:b/>
                <w:sz w:val="40"/>
                <w:szCs w:val="40"/>
              </w:rPr>
              <w:t>/INF.</w:t>
            </w:r>
            <w:r w:rsidR="00B10A45" w:rsidRPr="00B10A45">
              <w:rPr>
                <w:b/>
                <w:sz w:val="40"/>
                <w:szCs w:val="40"/>
              </w:rPr>
              <w:t>21</w:t>
            </w:r>
          </w:p>
          <w:p w:rsidR="000216CC" w:rsidRPr="00B10A45" w:rsidRDefault="000216CC" w:rsidP="00497711">
            <w:pPr>
              <w:jc w:val="right"/>
            </w:pPr>
          </w:p>
        </w:tc>
      </w:tr>
    </w:tbl>
    <w:p w:rsidR="000019B8" w:rsidRPr="00B10A45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2F2F86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2F2F86" w:rsidRDefault="00645A0B" w:rsidP="00551496">
            <w:pPr>
              <w:tabs>
                <w:tab w:val="right" w:pos="9214"/>
              </w:tabs>
            </w:pPr>
            <w:r w:rsidRPr="00B10A45">
              <w:rPr>
                <w:b/>
                <w:sz w:val="24"/>
                <w:szCs w:val="24"/>
              </w:rPr>
              <w:t>Committee of Experts on the Transport of Dangerous Goods</w:t>
            </w:r>
            <w:r w:rsidRPr="00B10A45">
              <w:rPr>
                <w:b/>
                <w:sz w:val="24"/>
                <w:szCs w:val="24"/>
              </w:rPr>
              <w:tab/>
            </w:r>
            <w:r w:rsidRPr="00B10A4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B10A45">
              <w:rPr>
                <w:b/>
                <w:sz w:val="24"/>
                <w:szCs w:val="24"/>
              </w:rPr>
              <w:br/>
              <w:t>and Labelling of Chemicals</w:t>
            </w:r>
            <w:r w:rsidRPr="00B10A45">
              <w:rPr>
                <w:b/>
              </w:rPr>
              <w:tab/>
            </w:r>
            <w:r w:rsidR="00551496">
              <w:rPr>
                <w:b/>
                <w:sz w:val="18"/>
                <w:szCs w:val="24"/>
              </w:rPr>
              <w:t>23</w:t>
            </w:r>
            <w:r w:rsidR="00955109" w:rsidRPr="00B10A45">
              <w:rPr>
                <w:b/>
                <w:sz w:val="18"/>
                <w:szCs w:val="24"/>
              </w:rPr>
              <w:t xml:space="preserve"> </w:t>
            </w:r>
            <w:r w:rsidR="00050544" w:rsidRPr="00B10A45">
              <w:rPr>
                <w:b/>
                <w:sz w:val="18"/>
                <w:szCs w:val="24"/>
              </w:rPr>
              <w:t xml:space="preserve">November </w:t>
            </w:r>
            <w:r w:rsidR="00F64C95" w:rsidRPr="00B10A45">
              <w:rPr>
                <w:b/>
                <w:sz w:val="18"/>
                <w:szCs w:val="24"/>
              </w:rPr>
              <w:t>2016</w:t>
            </w:r>
          </w:p>
        </w:tc>
      </w:tr>
      <w:tr w:rsidR="00645A0B" w:rsidRPr="002F2F86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F2F86" w:rsidRDefault="00645A0B" w:rsidP="00165735">
            <w:pPr>
              <w:spacing w:before="120"/>
              <w:rPr>
                <w:b/>
              </w:rPr>
            </w:pPr>
            <w:r w:rsidRPr="002F2F86">
              <w:rPr>
                <w:b/>
              </w:rPr>
              <w:t xml:space="preserve">Sub-Committee of Experts on the </w:t>
            </w:r>
            <w:r w:rsidRPr="002F2F86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F2F86" w:rsidRDefault="00645A0B" w:rsidP="00165735">
            <w:pPr>
              <w:spacing w:before="120"/>
              <w:rPr>
                <w:b/>
              </w:rPr>
            </w:pPr>
            <w:r w:rsidRPr="002F2F86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2F2F86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F2F86" w:rsidRDefault="00E63DE8" w:rsidP="00F64C95">
            <w:pPr>
              <w:spacing w:before="120"/>
              <w:ind w:left="34" w:hanging="34"/>
              <w:rPr>
                <w:b/>
              </w:rPr>
            </w:pPr>
            <w:r w:rsidRPr="002F2F86">
              <w:rPr>
                <w:b/>
              </w:rPr>
              <w:t>Fiftieth</w:t>
            </w:r>
            <w:r w:rsidR="00645A0B" w:rsidRPr="002F2F86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F2F86" w:rsidRDefault="00E63DE8" w:rsidP="00E63DE8">
            <w:pPr>
              <w:spacing w:before="120"/>
              <w:ind w:left="34" w:hanging="34"/>
              <w:rPr>
                <w:b/>
              </w:rPr>
            </w:pPr>
            <w:r w:rsidRPr="002F2F86">
              <w:rPr>
                <w:b/>
              </w:rPr>
              <w:t xml:space="preserve">Thirty-second session </w:t>
            </w:r>
          </w:p>
        </w:tc>
      </w:tr>
      <w:tr w:rsidR="00645A0B" w:rsidRPr="002F2F86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2F2F86" w:rsidRDefault="00645A0B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2F2F86">
              <w:rPr>
                <w:bCs/>
              </w:rPr>
              <w:t xml:space="preserve">Geneva, </w:t>
            </w:r>
            <w:r w:rsidR="00E63DE8" w:rsidRPr="002F2F86">
              <w:rPr>
                <w:bCs/>
              </w:rPr>
              <w:t xml:space="preserve">28 </w:t>
            </w:r>
            <w:r w:rsidRPr="002F2F86">
              <w:t xml:space="preserve">– </w:t>
            </w:r>
            <w:r w:rsidR="00F64C95" w:rsidRPr="002F2F86">
              <w:t>6</w:t>
            </w:r>
            <w:r w:rsidR="00904EBC" w:rsidRPr="002F2F86">
              <w:t xml:space="preserve"> </w:t>
            </w:r>
            <w:r w:rsidR="00E63DE8" w:rsidRPr="002F2F86">
              <w:t xml:space="preserve">December </w:t>
            </w:r>
            <w:r w:rsidR="00F64C95" w:rsidRPr="002F2F86">
              <w:t>2016</w:t>
            </w:r>
          </w:p>
          <w:p w:rsidR="00850459" w:rsidRPr="002F2F86" w:rsidRDefault="00850459" w:rsidP="00EA48C4">
            <w:pPr>
              <w:spacing w:before="40"/>
              <w:ind w:left="34" w:hanging="34"/>
            </w:pPr>
            <w:r w:rsidRPr="002F2F86">
              <w:t>Item 7 (g) of the provisional agenda</w:t>
            </w:r>
          </w:p>
          <w:p w:rsidR="00645A0B" w:rsidRPr="002F2F86" w:rsidRDefault="00850459" w:rsidP="00850459">
            <w:pPr>
              <w:spacing w:before="40"/>
              <w:rPr>
                <w:b/>
                <w:bCs/>
              </w:rPr>
            </w:pPr>
            <w:r w:rsidRPr="002F2F86">
              <w:rPr>
                <w:b/>
              </w:rPr>
              <w:t>Issues relating to the Globally Harmonized System of Classification and Labelling of Chemicals: use of the Manual of Tests and Criteria in the context of the GHS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E63DE8" w:rsidRPr="002F2F86" w:rsidRDefault="00E63DE8" w:rsidP="00E63DE8">
            <w:pPr>
              <w:jc w:val="both"/>
            </w:pPr>
            <w:r w:rsidRPr="002F2F86">
              <w:t>Geneva, 7– 9 (morning) December  2016</w:t>
            </w:r>
          </w:p>
          <w:p w:rsidR="00850459" w:rsidRPr="002F2F86" w:rsidRDefault="00850459" w:rsidP="00165735">
            <w:pPr>
              <w:spacing w:before="40"/>
            </w:pPr>
            <w:r w:rsidRPr="002F2F86">
              <w:t>Item 2 (b) of the provisional agenda</w:t>
            </w:r>
          </w:p>
          <w:p w:rsidR="00645A0B" w:rsidRPr="002F2F86" w:rsidRDefault="00850459" w:rsidP="00165735">
            <w:pPr>
              <w:spacing w:before="40"/>
              <w:rPr>
                <w:b/>
                <w:bCs/>
              </w:rPr>
            </w:pPr>
            <w:r w:rsidRPr="002F2F86">
              <w:rPr>
                <w:b/>
              </w:rPr>
              <w:t xml:space="preserve">Classification criteria and related hazard communication: work of the TDG Sub-Committee on matters of interest to the GHS Sub-Committee </w:t>
            </w:r>
          </w:p>
        </w:tc>
      </w:tr>
    </w:tbl>
    <w:p w:rsidR="008B65FB" w:rsidRPr="002F2F86" w:rsidRDefault="008B65FB" w:rsidP="008B65FB">
      <w:pPr>
        <w:pStyle w:val="HChG"/>
        <w:rPr>
          <w:lang w:val="en-GB"/>
        </w:rPr>
      </w:pPr>
      <w:r w:rsidRPr="002F2F86">
        <w:rPr>
          <w:rFonts w:eastAsia="MS Mincho"/>
          <w:lang w:val="en-GB" w:eastAsia="ja-JP"/>
        </w:rPr>
        <w:tab/>
      </w:r>
      <w:r w:rsidRPr="002F2F86">
        <w:rPr>
          <w:rFonts w:eastAsia="MS Mincho"/>
          <w:lang w:val="en-GB" w:eastAsia="ja-JP"/>
        </w:rPr>
        <w:tab/>
      </w:r>
      <w:r w:rsidR="00C57BA7" w:rsidRPr="002F2F86">
        <w:rPr>
          <w:rFonts w:eastAsia="MS Mincho"/>
          <w:lang w:val="en-GB" w:eastAsia="ja-JP"/>
        </w:rPr>
        <w:t>Proposed corrections to the 6th revised edition of the Manual of Tests and Criteria</w:t>
      </w:r>
    </w:p>
    <w:p w:rsidR="008B65FB" w:rsidRPr="002F2F86" w:rsidRDefault="008B65FB" w:rsidP="008B65FB">
      <w:pPr>
        <w:pStyle w:val="H1G"/>
        <w:rPr>
          <w:rFonts w:eastAsia="MS Mincho"/>
        </w:rPr>
      </w:pPr>
      <w:r w:rsidRPr="002F2F86">
        <w:rPr>
          <w:rFonts w:eastAsia="MS Mincho"/>
        </w:rPr>
        <w:tab/>
      </w:r>
      <w:r w:rsidRPr="002F2F86">
        <w:rPr>
          <w:rFonts w:eastAsia="MS Mincho"/>
        </w:rPr>
        <w:tab/>
      </w:r>
      <w:r w:rsidR="00C57BA7" w:rsidRPr="002F2F86">
        <w:rPr>
          <w:rFonts w:eastAsia="MS Mincho"/>
        </w:rPr>
        <w:t>Note</w:t>
      </w:r>
      <w:r w:rsidRPr="002F2F86">
        <w:rPr>
          <w:rFonts w:eastAsia="MS Mincho"/>
        </w:rPr>
        <w:t xml:space="preserve"> by </w:t>
      </w:r>
      <w:r w:rsidR="00C57BA7" w:rsidRPr="002F2F86">
        <w:rPr>
          <w:rFonts w:eastAsia="MS Mincho"/>
        </w:rPr>
        <w:t>the</w:t>
      </w:r>
      <w:r w:rsidR="00C34C65">
        <w:rPr>
          <w:rFonts w:eastAsia="MS Mincho"/>
        </w:rPr>
        <w:t xml:space="preserve"> S</w:t>
      </w:r>
      <w:r w:rsidR="00C57BA7" w:rsidRPr="002F2F86">
        <w:rPr>
          <w:rFonts w:eastAsia="MS Mincho"/>
        </w:rPr>
        <w:t>ecretariat</w:t>
      </w:r>
    </w:p>
    <w:p w:rsidR="004114B9" w:rsidRPr="002F2F86" w:rsidRDefault="004114B9" w:rsidP="00050544">
      <w:pPr>
        <w:pStyle w:val="SingleTxtG"/>
        <w:rPr>
          <w:rFonts w:eastAsia="MS Mincho"/>
          <w:lang w:val="en-GB"/>
        </w:rPr>
      </w:pPr>
      <w:r w:rsidRPr="002F2F86">
        <w:rPr>
          <w:rFonts w:eastAsia="MS Mincho"/>
          <w:lang w:val="en-GB"/>
        </w:rPr>
        <w:t xml:space="preserve">The secretariat invites the sub-committee to consider the corrections below </w:t>
      </w:r>
      <w:r w:rsidR="00050544" w:rsidRPr="002F2F86">
        <w:rPr>
          <w:rFonts w:eastAsia="MS Mincho"/>
          <w:lang w:val="en-GB"/>
        </w:rPr>
        <w:t>for inclusion in a forthcoming corrigendum to the 6th revised edition of the Manual of Tests and Criteria.</w:t>
      </w:r>
    </w:p>
    <w:p w:rsidR="00C57BA7" w:rsidRPr="002F2F86" w:rsidRDefault="008B65FB" w:rsidP="004114B9">
      <w:pPr>
        <w:pStyle w:val="H23G"/>
      </w:pPr>
      <w:r w:rsidRPr="002F2F86">
        <w:tab/>
      </w:r>
      <w:r w:rsidR="00FF154C" w:rsidRPr="002F2F86">
        <w:tab/>
        <w:t>1.</w:t>
      </w:r>
      <w:r w:rsidRPr="002F2F86">
        <w:tab/>
      </w:r>
      <w:r w:rsidR="00C57BA7" w:rsidRPr="002F2F86">
        <w:t>Section 1, Table 1.2, for test series 3, under “test code”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“3 (c)” read “3 (c)(i)”</w:t>
      </w:r>
    </w:p>
    <w:p w:rsidR="00C57BA7" w:rsidRPr="002F2F86" w:rsidRDefault="00C57BA7" w:rsidP="00C57BA7">
      <w:pPr>
        <w:pStyle w:val="H23G"/>
      </w:pPr>
      <w:r w:rsidRPr="002F2F86">
        <w:tab/>
      </w:r>
      <w:r w:rsidR="00FF154C" w:rsidRPr="002F2F86">
        <w:tab/>
        <w:t>2.</w:t>
      </w:r>
      <w:r w:rsidRPr="002F2F86">
        <w:tab/>
        <w:t>Table of contents of Part I, “Test 3 (c) (i</w:t>
      </w:r>
      <w:r w:rsidR="00551496">
        <w:t>i</w:t>
      </w:r>
      <w:r w:rsidRPr="002F2F86">
        <w:t xml:space="preserve">)” 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“13.6.1” read “13.6.2”</w:t>
      </w:r>
    </w:p>
    <w:p w:rsidR="00C57BA7" w:rsidRPr="002F2F86" w:rsidRDefault="00C57BA7" w:rsidP="00C57BA7">
      <w:pPr>
        <w:pStyle w:val="H23G"/>
      </w:pPr>
      <w:r w:rsidRPr="002F2F86">
        <w:tab/>
      </w:r>
      <w:r w:rsidR="00FF154C" w:rsidRPr="002F2F86">
        <w:tab/>
        <w:t>3.</w:t>
      </w:r>
      <w:r w:rsidRPr="002F2F86">
        <w:tab/>
        <w:t>Section 10, figure 10.3</w:t>
      </w:r>
      <w:r w:rsidRPr="002F2F86">
        <w:tab/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 xml:space="preserve">Replace the line leading </w:t>
      </w:r>
      <w:r w:rsidR="00551496">
        <w:rPr>
          <w:lang w:val="en-GB"/>
        </w:rPr>
        <w:t xml:space="preserve">from box 24 </w:t>
      </w:r>
      <w:r w:rsidRPr="002F2F86">
        <w:rPr>
          <w:lang w:val="en-GB"/>
        </w:rPr>
        <w:t xml:space="preserve">to box 19 with an arrow, i.e,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984"/>
      </w:tblGrid>
      <w:tr w:rsidR="00977822" w:rsidRPr="002F2F86" w:rsidTr="00977822">
        <w:tc>
          <w:tcPr>
            <w:tcW w:w="1418" w:type="dxa"/>
          </w:tcPr>
          <w:p w:rsidR="00977822" w:rsidRPr="002F2F86" w:rsidRDefault="00977822" w:rsidP="00977822">
            <w:pPr>
              <w:pStyle w:val="SingleTxtG"/>
              <w:ind w:left="0"/>
              <w:jc w:val="left"/>
              <w:rPr>
                <w:noProof/>
                <w:lang w:val="en-GB"/>
              </w:rPr>
            </w:pPr>
            <w:r>
              <w:rPr>
                <w:lang w:val="en-GB"/>
              </w:rPr>
              <w:t>F</w:t>
            </w:r>
            <w:r w:rsidRPr="002F2F86">
              <w:rPr>
                <w:lang w:val="en-GB"/>
              </w:rPr>
              <w:t>or</w:t>
            </w:r>
          </w:p>
        </w:tc>
        <w:tc>
          <w:tcPr>
            <w:tcW w:w="2126" w:type="dxa"/>
          </w:tcPr>
          <w:p w:rsidR="00977822" w:rsidRPr="002F2F86" w:rsidRDefault="00927993" w:rsidP="00102F94">
            <w:pPr>
              <w:pStyle w:val="SingleTxtG"/>
              <w:ind w:left="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96519</wp:posOffset>
                      </wp:positionV>
                      <wp:extent cx="590550" cy="0"/>
                      <wp:effectExtent l="0" t="0" r="19050" b="19050"/>
                      <wp:wrapNone/>
                      <wp:docPr id="4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0.55pt;margin-top:7.6pt;width:46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977822" w:rsidRPr="002F2F86" w:rsidRDefault="00977822" w:rsidP="00102F94">
            <w:pPr>
              <w:pStyle w:val="SingleTxtG"/>
              <w:ind w:left="0" w:right="0"/>
              <w:jc w:val="center"/>
              <w:rPr>
                <w:lang w:val="en-GB"/>
              </w:rPr>
            </w:pPr>
            <w:r w:rsidRPr="002F2F86">
              <w:rPr>
                <w:lang w:val="en-GB" w:eastAsia="zh-CN"/>
              </w:rPr>
              <w:t>read</w:t>
            </w:r>
          </w:p>
        </w:tc>
        <w:tc>
          <w:tcPr>
            <w:tcW w:w="1984" w:type="dxa"/>
          </w:tcPr>
          <w:p w:rsidR="00977822" w:rsidRPr="002F2F86" w:rsidRDefault="00927993" w:rsidP="00102F94">
            <w:pPr>
              <w:pStyle w:val="SingleTxtG"/>
              <w:ind w:left="0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96519</wp:posOffset>
                      </wp:positionV>
                      <wp:extent cx="523875" cy="0"/>
                      <wp:effectExtent l="0" t="76200" r="28575" b="95250"/>
                      <wp:wrapNone/>
                      <wp:docPr id="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9.55pt;margin-top:7.6pt;width:4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C57BA7" w:rsidRPr="002F2F86" w:rsidRDefault="00C57BA7" w:rsidP="00C57BA7">
      <w:pPr>
        <w:pStyle w:val="H23G"/>
      </w:pPr>
      <w:r w:rsidRPr="002F2F86">
        <w:tab/>
      </w:r>
      <w:r w:rsidR="00FF154C" w:rsidRPr="002F2F86">
        <w:tab/>
        <w:t>4.</w:t>
      </w:r>
      <w:r w:rsidRPr="002F2F86">
        <w:tab/>
        <w:t>Section 10, figure 10.8, item 6 (box 32)</w:t>
      </w:r>
      <w:r w:rsidRPr="002F2F86">
        <w:tab/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“Is there nevertheless a small hazard in the event of ignition or initiation?” read “Would the hazard hinder fire-fighting in the immediate vicinity?”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5.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Sub-section 13.4, table under paragraph 13.4.6.5.2, heading of column 2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“in assembly 2” read “in assembly 3”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6.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Sub-section 13.</w:t>
      </w:r>
      <w:r w:rsidR="00551496">
        <w:rPr>
          <w:b/>
          <w:lang w:val="en-GB"/>
        </w:rPr>
        <w:t>5</w:t>
      </w:r>
      <w:r w:rsidR="00C57BA7" w:rsidRPr="002F2F86">
        <w:rPr>
          <w:b/>
          <w:lang w:val="en-GB"/>
        </w:rPr>
        <w:t>, paragraph 13.5.1.3.4, paragraph number and heading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 xml:space="preserve">For “13.5.1.3.4 Test criteria and method of assessing results” read “13.5.1.4 </w:t>
      </w:r>
      <w:r w:rsidRPr="00551496">
        <w:rPr>
          <w:i/>
          <w:lang w:val="en-GB"/>
        </w:rPr>
        <w:t>Test criteria and method of assessing results</w:t>
      </w:r>
      <w:r w:rsidRPr="002F2F86">
        <w:rPr>
          <w:lang w:val="en-GB"/>
        </w:rPr>
        <w:t>”</w:t>
      </w:r>
    </w:p>
    <w:p w:rsidR="00C57BA7" w:rsidRPr="002F2F86" w:rsidRDefault="00FF154C" w:rsidP="002F2F86">
      <w:pPr>
        <w:pStyle w:val="SingleTxtG"/>
        <w:keepNext/>
        <w:keepLines/>
        <w:rPr>
          <w:b/>
          <w:lang w:val="en-GB"/>
        </w:rPr>
      </w:pPr>
      <w:r w:rsidRPr="002F2F86">
        <w:rPr>
          <w:b/>
          <w:lang w:val="en-GB"/>
        </w:rPr>
        <w:lastRenderedPageBreak/>
        <w:t>7.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Sub-section 13.6, paragraph 13.6.1.3.2, third sentence</w:t>
      </w:r>
    </w:p>
    <w:p w:rsidR="00C57BA7" w:rsidRPr="002F2F86" w:rsidRDefault="00C57BA7" w:rsidP="002F2F86">
      <w:pPr>
        <w:pStyle w:val="SingleTxtG"/>
        <w:keepNext/>
        <w:keepLines/>
        <w:rPr>
          <w:lang w:val="en-GB"/>
        </w:rPr>
      </w:pPr>
      <w:r w:rsidRPr="002F2F86">
        <w:rPr>
          <w:lang w:val="en-GB"/>
        </w:rPr>
        <w:t>For “procedure given in should” read “procedure given in 13.6.1.3.3 should”</w:t>
      </w:r>
    </w:p>
    <w:p w:rsidR="00C57BA7" w:rsidRPr="002F2F86" w:rsidRDefault="00C57BA7" w:rsidP="00C57BA7">
      <w:pPr>
        <w:pStyle w:val="SingleTxtG"/>
        <w:ind w:hanging="1134"/>
        <w:rPr>
          <w:i/>
          <w:lang w:val="en-GB"/>
        </w:rPr>
      </w:pPr>
      <w:r w:rsidRPr="002F2F86">
        <w:rPr>
          <w:i/>
          <w:lang w:val="en-GB"/>
        </w:rPr>
        <w:tab/>
        <w:t>(The correction does not apply to the French and Spanish versions)</w:t>
      </w:r>
    </w:p>
    <w:p w:rsidR="006079DC" w:rsidRPr="002F2F86" w:rsidRDefault="006079DC" w:rsidP="006079DC">
      <w:pPr>
        <w:pStyle w:val="H23G"/>
      </w:pPr>
      <w:r w:rsidRPr="002F2F86">
        <w:rPr>
          <w:i/>
        </w:rPr>
        <w:tab/>
      </w:r>
      <w:r w:rsidR="00FF154C" w:rsidRPr="002F2F86">
        <w:rPr>
          <w:i/>
        </w:rPr>
        <w:tab/>
      </w:r>
      <w:r w:rsidR="00FF154C" w:rsidRPr="002F2F86">
        <w:t>8</w:t>
      </w:r>
      <w:r w:rsidR="00FF154C" w:rsidRPr="002F2F86">
        <w:rPr>
          <w:i/>
        </w:rPr>
        <w:t>.</w:t>
      </w:r>
      <w:r w:rsidRPr="002F2F86">
        <w:rPr>
          <w:i/>
        </w:rPr>
        <w:tab/>
      </w:r>
      <w:r w:rsidRPr="002F2F86">
        <w:t>Section 16.7, paragraph 16.7.1.4 (b)</w:t>
      </w:r>
    </w:p>
    <w:p w:rsidR="006079DC" w:rsidRPr="002F2F86" w:rsidRDefault="006079DC" w:rsidP="006079DC">
      <w:pPr>
        <w:pStyle w:val="SingleTxtG"/>
        <w:keepNext/>
        <w:keepLines/>
        <w:rPr>
          <w:lang w:val="en-GB"/>
        </w:rPr>
      </w:pPr>
      <w:r w:rsidRPr="002F2F86">
        <w:rPr>
          <w:lang w:val="en-GB"/>
        </w:rPr>
        <w:t>For “80 ± 3 g/m²” read “80 ± 10 g/m²”</w:t>
      </w:r>
    </w:p>
    <w:p w:rsidR="002F2F86" w:rsidRPr="002F2F86" w:rsidRDefault="002F2F86" w:rsidP="002F2F86">
      <w:pPr>
        <w:pStyle w:val="SingleTxtG"/>
        <w:ind w:hanging="1134"/>
        <w:rPr>
          <w:i/>
          <w:lang w:val="en-GB"/>
        </w:rPr>
      </w:pPr>
      <w:r w:rsidRPr="002F2F86">
        <w:rPr>
          <w:i/>
          <w:lang w:val="en-GB"/>
        </w:rPr>
        <w:tab/>
      </w:r>
      <w:r w:rsidRPr="002F2F86">
        <w:rPr>
          <w:i/>
          <w:iCs/>
          <w:color w:val="000000"/>
          <w:lang w:val="en-GB" w:eastAsia="zh-CN"/>
        </w:rPr>
        <w:t>(For the English version, correction already included in ST/SG/AC.10/11/Rev.6/Corr.1)</w:t>
      </w:r>
    </w:p>
    <w:p w:rsidR="00C57BA7" w:rsidRPr="002F2F86" w:rsidRDefault="00FF154C" w:rsidP="00BC07F1">
      <w:pPr>
        <w:pStyle w:val="SingleTxtG"/>
        <w:keepNext/>
        <w:keepLines/>
        <w:rPr>
          <w:b/>
          <w:lang w:val="en-GB"/>
        </w:rPr>
      </w:pPr>
      <w:r w:rsidRPr="002F2F86">
        <w:rPr>
          <w:b/>
          <w:lang w:val="en-GB"/>
        </w:rPr>
        <w:t>9.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17, table 17.1, third column</w:t>
      </w:r>
    </w:p>
    <w:p w:rsidR="00C57BA7" w:rsidRPr="002F2F86" w:rsidRDefault="00C57BA7" w:rsidP="00BC07F1">
      <w:pPr>
        <w:pStyle w:val="SingleTxtG"/>
        <w:keepNext/>
        <w:keepLines/>
        <w:rPr>
          <w:lang w:val="en-GB"/>
        </w:rPr>
      </w:pPr>
      <w:r w:rsidRPr="002F2F86">
        <w:rPr>
          <w:lang w:val="en-GB"/>
        </w:rPr>
        <w:t>In the section number for 7 (k), for “17.13.2” read “17.13.1”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10.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Sub-section 18.6, paragraph 18.6.1.1</w:t>
      </w:r>
    </w:p>
    <w:p w:rsidR="00C57BA7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Replace “of a candidate ammonium nitrate emulsion, suspension or gel, intermediate for blasting explosives” with “of a candidate for “ammonium nitrate emulsion, suspension or gel, intermediate for blasting explosives”</w:t>
      </w:r>
    </w:p>
    <w:p w:rsidR="00551496" w:rsidRPr="002F2F86" w:rsidRDefault="007A1091" w:rsidP="00551496">
      <w:pPr>
        <w:pStyle w:val="SingleTxtG"/>
        <w:rPr>
          <w:b/>
          <w:lang w:val="en-GB"/>
        </w:rPr>
      </w:pPr>
      <w:r>
        <w:rPr>
          <w:b/>
          <w:lang w:val="en-GB"/>
        </w:rPr>
        <w:t>11</w:t>
      </w:r>
      <w:r w:rsidR="00551496" w:rsidRPr="002F2F86">
        <w:rPr>
          <w:b/>
          <w:lang w:val="en-GB"/>
        </w:rPr>
        <w:t>.</w:t>
      </w:r>
      <w:r w:rsidR="00551496" w:rsidRPr="002F2F86">
        <w:rPr>
          <w:b/>
          <w:lang w:val="en-GB"/>
        </w:rPr>
        <w:tab/>
        <w:t xml:space="preserve">Sub-section 18.6, paragraph </w:t>
      </w:r>
      <w:r w:rsidR="00551496" w:rsidRPr="002F2F86">
        <w:rPr>
          <w:b/>
          <w:color w:val="000000"/>
          <w:sz w:val="18"/>
          <w:szCs w:val="18"/>
          <w:lang w:val="en-GB"/>
        </w:rPr>
        <w:t>18.6.1.2.3, last but one sentence</w:t>
      </w:r>
    </w:p>
    <w:p w:rsidR="00551496" w:rsidRPr="002F2F86" w:rsidRDefault="00551496" w:rsidP="00551496">
      <w:pPr>
        <w:pStyle w:val="SingleTxtG"/>
        <w:rPr>
          <w:lang w:val="en-GB"/>
        </w:rPr>
      </w:pPr>
      <w:r w:rsidRPr="002F2F86">
        <w:rPr>
          <w:lang w:val="en-GB"/>
        </w:rPr>
        <w:t>For “any draughts does” read “any draught does”</w:t>
      </w:r>
    </w:p>
    <w:p w:rsidR="00C57BA7" w:rsidRPr="002F2F86" w:rsidRDefault="007A1091" w:rsidP="00C57BA7">
      <w:pPr>
        <w:pStyle w:val="SingleTxtG"/>
        <w:rPr>
          <w:b/>
          <w:lang w:val="en-GB"/>
        </w:rPr>
      </w:pPr>
      <w:r>
        <w:rPr>
          <w:b/>
          <w:lang w:val="en-GB"/>
        </w:rPr>
        <w:t>12</w:t>
      </w:r>
      <w:r w:rsidR="00FF154C" w:rsidRPr="002F2F86">
        <w:rPr>
          <w:b/>
          <w:lang w:val="en-GB"/>
        </w:rPr>
        <w:t>.</w:t>
      </w:r>
      <w:r w:rsidR="00FF154C"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20, paragraph 20.2.6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“see section 32.5.2” read “see section 33.3”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13.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20, figure 20.1 (b)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“12.1 Significative” read “12.1 Not low”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14.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25, paragraph 25.4.1.3.5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At the end of the first sentence, delete “mm”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15.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31, paragraph 31.1.3, definition of “aerosol”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 xml:space="preserve">For “made of metal glass” read “made of metal, glass” 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16.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 xml:space="preserve">Section 33, paragraph </w:t>
      </w:r>
      <w:r w:rsidR="00C57BA7" w:rsidRPr="002F2F86">
        <w:rPr>
          <w:rStyle w:val="SingleTxtGCar"/>
          <w:b/>
        </w:rPr>
        <w:t>33.2.1.4.4.1</w:t>
      </w:r>
    </w:p>
    <w:p w:rsidR="00C57BA7" w:rsidRPr="002F2F86" w:rsidRDefault="00C57BA7" w:rsidP="00C57BA7">
      <w:pPr>
        <w:pStyle w:val="SingleTxtG"/>
        <w:rPr>
          <w:rStyle w:val="SingleTxtGCar"/>
        </w:rPr>
      </w:pPr>
      <w:r w:rsidRPr="002F2F86">
        <w:rPr>
          <w:rStyle w:val="SingleTxtGCar"/>
        </w:rPr>
        <w:t>For “33.2.1.3.4.2” read “33.2.1.4.3.2”.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17.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35, paragraph 35.4.3.2 (b)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In the second sentence, for “35.3.3.2 (a)” read “34.3.3.2 (a)”</w:t>
      </w:r>
    </w:p>
    <w:p w:rsidR="006C552E" w:rsidRPr="002F2F86" w:rsidRDefault="00FF154C" w:rsidP="006C552E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18.</w:t>
      </w:r>
      <w:r w:rsidRPr="002F2F86">
        <w:rPr>
          <w:b/>
          <w:lang w:val="en-GB"/>
        </w:rPr>
        <w:tab/>
      </w:r>
      <w:r w:rsidR="006C552E" w:rsidRPr="002F2F86">
        <w:rPr>
          <w:b/>
          <w:lang w:val="en-GB"/>
        </w:rPr>
        <w:t>Section 38, paragraph 38.3.2.3, definition of mass loss</w:t>
      </w:r>
    </w:p>
    <w:p w:rsidR="006C552E" w:rsidRPr="002F2F86" w:rsidRDefault="006C552E" w:rsidP="006C552E">
      <w:pPr>
        <w:pStyle w:val="SingleTxtG"/>
        <w:rPr>
          <w:rStyle w:val="SingleTxtGCar"/>
        </w:rPr>
      </w:pPr>
      <w:r w:rsidRPr="002F2F86">
        <w:rPr>
          <w:rStyle w:val="SingleTxtGCar"/>
        </w:rPr>
        <w:t>For “Table 38.3.2.2 below” read “Table 38.3.1 below”</w:t>
      </w:r>
    </w:p>
    <w:p w:rsidR="006C552E" w:rsidRPr="002F2F86" w:rsidRDefault="00FF154C" w:rsidP="006C552E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19.</w:t>
      </w:r>
      <w:r w:rsidRPr="002F2F86">
        <w:rPr>
          <w:b/>
          <w:lang w:val="en-GB"/>
        </w:rPr>
        <w:tab/>
      </w:r>
      <w:r w:rsidR="006C552E" w:rsidRPr="002F2F86">
        <w:rPr>
          <w:b/>
          <w:lang w:val="en-GB"/>
        </w:rPr>
        <w:t>Section 38, paragraph 38.3.3 (c)</w:t>
      </w:r>
    </w:p>
    <w:p w:rsidR="006C552E" w:rsidRPr="002F2F86" w:rsidRDefault="006C552E" w:rsidP="006C552E">
      <w:pPr>
        <w:pStyle w:val="SingleTxtG"/>
        <w:rPr>
          <w:lang w:val="en-GB"/>
        </w:rPr>
      </w:pPr>
      <w:r w:rsidRPr="002F2F86">
        <w:rPr>
          <w:lang w:val="en-GB"/>
        </w:rPr>
        <w:t>In the French text, delete the last paragraph («Dans le cas des piles prismatiques, …»)</w:t>
      </w:r>
    </w:p>
    <w:p w:rsidR="006C552E" w:rsidRPr="002F2F86" w:rsidRDefault="006C552E" w:rsidP="006C552E">
      <w:pPr>
        <w:pStyle w:val="SingleTxtG"/>
        <w:ind w:hanging="1134"/>
        <w:rPr>
          <w:i/>
          <w:lang w:val="en-GB"/>
        </w:rPr>
      </w:pPr>
      <w:r w:rsidRPr="002F2F86">
        <w:rPr>
          <w:i/>
          <w:lang w:val="en-GB"/>
        </w:rPr>
        <w:tab/>
        <w:t>(The correction only applies to the French version)</w:t>
      </w:r>
    </w:p>
    <w:p w:rsidR="006C552E" w:rsidRPr="002F2F86" w:rsidRDefault="006C552E" w:rsidP="002F2F86">
      <w:pPr>
        <w:pStyle w:val="H23G"/>
      </w:pPr>
      <w:r w:rsidRPr="002F2F86">
        <w:lastRenderedPageBreak/>
        <w:tab/>
      </w:r>
      <w:r w:rsidRPr="002F2F86">
        <w:tab/>
      </w:r>
      <w:r w:rsidR="00FF154C" w:rsidRPr="002F2F86">
        <w:t>20.</w:t>
      </w:r>
      <w:r w:rsidR="00FF154C" w:rsidRPr="002F2F86">
        <w:tab/>
      </w:r>
      <w:r w:rsidRPr="002F2F86">
        <w:t>Section 38.3, paragraph 38.3.4.4.2, Figure 38.3.4.2</w:t>
      </w:r>
    </w:p>
    <w:p w:rsidR="006C552E" w:rsidRPr="002F2F86" w:rsidRDefault="006C552E" w:rsidP="002F2F86">
      <w:pPr>
        <w:pStyle w:val="SingleTxtG"/>
        <w:keepNext/>
        <w:keepLines/>
        <w:rPr>
          <w:lang w:val="en-GB"/>
        </w:rPr>
      </w:pPr>
      <w:r w:rsidRPr="002F2F86">
        <w:rPr>
          <w:lang w:val="en-GB"/>
        </w:rPr>
        <w:t xml:space="preserve">Replace the existing figure with the following (the legend of the axis remains unchanged) </w:t>
      </w:r>
    </w:p>
    <w:p w:rsidR="006C552E" w:rsidRPr="002F2F86" w:rsidRDefault="00927993" w:rsidP="006C552E">
      <w:pPr>
        <w:pStyle w:val="SingleTxtG"/>
        <w:keepNext/>
        <w:keepLines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592830" cy="2614295"/>
            <wp:effectExtent l="0" t="0" r="7620" b="0"/>
            <wp:docPr id="2" name="Picture 1" descr="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2E" w:rsidRPr="002F2F86" w:rsidRDefault="006C552E" w:rsidP="006C552E">
      <w:pPr>
        <w:pStyle w:val="SingleTxtG"/>
        <w:ind w:hanging="1134"/>
        <w:rPr>
          <w:i/>
          <w:lang w:val="en-GB"/>
        </w:rPr>
      </w:pPr>
      <w:r w:rsidRPr="002F2F86">
        <w:rPr>
          <w:i/>
          <w:lang w:val="en-GB"/>
        </w:rPr>
        <w:tab/>
      </w:r>
      <w:r w:rsidR="00FF154C" w:rsidRPr="002F2F86">
        <w:rPr>
          <w:i/>
          <w:iCs/>
          <w:color w:val="000000"/>
          <w:lang w:val="en-GB" w:eastAsia="zh-CN"/>
        </w:rPr>
        <w:t>(</w:t>
      </w:r>
      <w:r w:rsidR="002F2F86" w:rsidRPr="002F2F86">
        <w:rPr>
          <w:i/>
          <w:iCs/>
          <w:color w:val="000000"/>
          <w:lang w:val="en-GB" w:eastAsia="zh-CN"/>
        </w:rPr>
        <w:t>For the English version, c</w:t>
      </w:r>
      <w:r w:rsidR="00FF154C" w:rsidRPr="002F2F86">
        <w:rPr>
          <w:i/>
          <w:iCs/>
          <w:color w:val="000000"/>
          <w:lang w:val="en-GB" w:eastAsia="zh-CN"/>
        </w:rPr>
        <w:t xml:space="preserve">orrection </w:t>
      </w:r>
      <w:r w:rsidR="002F2F86" w:rsidRPr="002F2F86">
        <w:rPr>
          <w:i/>
          <w:iCs/>
          <w:color w:val="000000"/>
          <w:lang w:val="en-GB" w:eastAsia="zh-CN"/>
        </w:rPr>
        <w:t>a</w:t>
      </w:r>
      <w:r w:rsidR="00FF154C" w:rsidRPr="002F2F86">
        <w:rPr>
          <w:i/>
          <w:iCs/>
          <w:color w:val="000000"/>
          <w:lang w:val="en-GB" w:eastAsia="zh-CN"/>
        </w:rPr>
        <w:t>lready included in ST/SG/AC.10/11/Rev.6/Corr.1)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21.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51, paragraph 51.4.4.2 (g)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In the formula, for “A</w:t>
      </w:r>
      <w:r w:rsidRPr="002F2F86">
        <w:rPr>
          <w:vertAlign w:val="subscript"/>
          <w:lang w:val="en-GB"/>
        </w:rPr>
        <w:t>10r</w:t>
      </w:r>
      <w:r w:rsidRPr="002F2F86">
        <w:rPr>
          <w:lang w:val="en-GB"/>
        </w:rPr>
        <w:t>” read “A</w:t>
      </w:r>
      <w:r w:rsidRPr="002F2F86">
        <w:rPr>
          <w:vertAlign w:val="subscript"/>
          <w:lang w:val="en-GB"/>
        </w:rPr>
        <w:t>10t</w:t>
      </w:r>
      <w:r w:rsidRPr="002F2F86">
        <w:rPr>
          <w:lang w:val="en-GB"/>
        </w:rPr>
        <w:t>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22.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51, paragraph 51.4.6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In the last formula, for “A</w:t>
      </w:r>
      <w:r w:rsidRPr="002F2F86">
        <w:rPr>
          <w:vertAlign w:val="subscript"/>
          <w:lang w:val="en-GB"/>
        </w:rPr>
        <w:t>t</w:t>
      </w:r>
      <w:r w:rsidRPr="002F2F86">
        <w:rPr>
          <w:lang w:val="en-GB"/>
        </w:rPr>
        <w:t>” read “A</w:t>
      </w:r>
      <w:r w:rsidRPr="002F2F86">
        <w:rPr>
          <w:vertAlign w:val="subscript"/>
          <w:lang w:val="en-GB"/>
        </w:rPr>
        <w:t>c</w:t>
      </w:r>
      <w:r w:rsidRPr="002F2F86">
        <w:rPr>
          <w:lang w:val="en-GB"/>
        </w:rPr>
        <w:t>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23.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Appendix 8, table</w:t>
      </w:r>
    </w:p>
    <w:p w:rsidR="006079DC" w:rsidRPr="002F2F86" w:rsidRDefault="00C57BA7" w:rsidP="006079DC">
      <w:pPr>
        <w:pStyle w:val="SingleTxtG"/>
        <w:rPr>
          <w:lang w:val="en-GB"/>
        </w:rPr>
      </w:pPr>
      <w:r w:rsidRPr="002F2F86">
        <w:rPr>
          <w:lang w:val="en-GB"/>
        </w:rPr>
        <w:t>In the third cell, under the heading “Case” for “calibration tests ¤” read “calibration tests*”</w:t>
      </w:r>
    </w:p>
    <w:p w:rsidR="006C552E" w:rsidRPr="002F2F86" w:rsidRDefault="006C552E" w:rsidP="006C552E">
      <w:pPr>
        <w:pStyle w:val="SingleTxtG"/>
        <w:spacing w:before="240" w:after="0"/>
        <w:jc w:val="center"/>
        <w:rPr>
          <w:u w:val="single"/>
          <w:lang w:val="en-GB"/>
        </w:rPr>
      </w:pPr>
      <w:r w:rsidRPr="002F2F86">
        <w:rPr>
          <w:u w:val="single"/>
          <w:lang w:val="en-GB"/>
        </w:rPr>
        <w:tab/>
      </w:r>
      <w:r w:rsidRPr="002F2F86">
        <w:rPr>
          <w:u w:val="single"/>
          <w:lang w:val="en-GB"/>
        </w:rPr>
        <w:tab/>
      </w:r>
      <w:r w:rsidRPr="002F2F86">
        <w:rPr>
          <w:u w:val="single"/>
          <w:lang w:val="en-GB"/>
        </w:rPr>
        <w:tab/>
      </w:r>
    </w:p>
    <w:sectPr w:rsidR="006C552E" w:rsidRPr="002F2F86" w:rsidSect="00497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4" w:rsidRDefault="001A02A4"/>
  </w:endnote>
  <w:endnote w:type="continuationSeparator" w:id="0">
    <w:p w:rsidR="001A02A4" w:rsidRDefault="001A02A4"/>
  </w:endnote>
  <w:endnote w:type="continuationNotice" w:id="1">
    <w:p w:rsidR="001A02A4" w:rsidRDefault="001A0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927993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927993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927993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4" w:rsidRPr="000B175B" w:rsidRDefault="001A02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02A4" w:rsidRPr="00FC68B7" w:rsidRDefault="001A02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02A4" w:rsidRDefault="001A02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B" w:rsidRPr="00B10A45" w:rsidRDefault="00DE236F">
    <w:pPr>
      <w:pStyle w:val="Header"/>
      <w:rPr>
        <w:lang w:val="nl-NL"/>
      </w:rPr>
    </w:pPr>
    <w:r w:rsidRPr="00B10A45">
      <w:rPr>
        <w:lang w:val="nl-NL"/>
      </w:rPr>
      <w:t>UN/SCETDG/</w:t>
    </w:r>
    <w:r w:rsidR="005D1BB4" w:rsidRPr="00B10A45">
      <w:rPr>
        <w:lang w:val="nl-NL"/>
      </w:rPr>
      <w:t>50</w:t>
    </w:r>
    <w:r w:rsidRPr="00B10A45">
      <w:rPr>
        <w:lang w:val="nl-NL"/>
      </w:rPr>
      <w:t>/INF.</w:t>
    </w:r>
    <w:r w:rsidR="00B10A45" w:rsidRPr="00B10A45">
      <w:rPr>
        <w:lang w:val="nl-NL"/>
      </w:rPr>
      <w:t>36</w:t>
    </w:r>
  </w:p>
  <w:p w:rsidR="00DE236F" w:rsidRPr="00B5392B" w:rsidRDefault="00DE236F">
    <w:pPr>
      <w:pStyle w:val="Header"/>
      <w:rPr>
        <w:lang w:val="nl-NL"/>
      </w:rPr>
    </w:pPr>
    <w:r w:rsidRPr="00B10A45">
      <w:rPr>
        <w:lang w:val="nl-NL"/>
      </w:rPr>
      <w:t>UN/SCEGHS/</w:t>
    </w:r>
    <w:r w:rsidR="005D1BB4" w:rsidRPr="00B10A45">
      <w:rPr>
        <w:lang w:val="nl-NL"/>
      </w:rPr>
      <w:t>32</w:t>
    </w:r>
    <w:r w:rsidRPr="00B10A45">
      <w:rPr>
        <w:lang w:val="nl-NL"/>
      </w:rPr>
      <w:t>/INF.</w:t>
    </w:r>
    <w:r w:rsidR="00B10A45" w:rsidRPr="00B10A45">
      <w:rPr>
        <w:lang w:val="nl-NL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DE236F" w:rsidP="000216CC">
    <w:pPr>
      <w:pStyle w:val="Header"/>
      <w:jc w:val="right"/>
    </w:pPr>
    <w:r w:rsidRPr="00B10A45">
      <w:t>UN/SCETDG/</w:t>
    </w:r>
    <w:r w:rsidR="007A1091">
      <w:t>50</w:t>
    </w:r>
    <w:r w:rsidRPr="00B10A45">
      <w:t>/INF.</w:t>
    </w:r>
    <w:r w:rsidR="00B10A45" w:rsidRPr="00B10A45">
      <w:t>36</w:t>
    </w:r>
    <w:r w:rsidRPr="00B10A45">
      <w:br/>
      <w:t>UN/SCEGHS/</w:t>
    </w:r>
    <w:r w:rsidR="007A1091">
      <w:t>32</w:t>
    </w:r>
    <w:r w:rsidRPr="00B10A45">
      <w:t>/INF.</w:t>
    </w:r>
    <w:r w:rsidR="00B10A45" w:rsidRPr="00B10A45"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Default="00DE236F" w:rsidP="00796F36">
    <w:pPr>
      <w:pStyle w:val="Header"/>
      <w:pBdr>
        <w:bottom w:val="none" w:sz="0" w:space="0" w:color="auto"/>
      </w:pBdr>
    </w:pPr>
  </w:p>
  <w:p w:rsidR="00DE236F" w:rsidRDefault="00DE23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5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1"/>
  </w:num>
  <w:num w:numId="13">
    <w:abstractNumId w:val="10"/>
  </w:num>
  <w:num w:numId="14">
    <w:abstractNumId w:val="21"/>
  </w:num>
  <w:num w:numId="15">
    <w:abstractNumId w:val="24"/>
  </w:num>
  <w:num w:numId="16">
    <w:abstractNumId w:val="16"/>
  </w:num>
  <w:num w:numId="17">
    <w:abstractNumId w:val="19"/>
  </w:num>
  <w:num w:numId="18">
    <w:abstractNumId w:val="23"/>
  </w:num>
  <w:num w:numId="19">
    <w:abstractNumId w:val="15"/>
  </w:num>
  <w:num w:numId="20">
    <w:abstractNumId w:val="22"/>
  </w:num>
  <w:num w:numId="21">
    <w:abstractNumId w:val="14"/>
  </w:num>
  <w:num w:numId="22">
    <w:abstractNumId w:val="18"/>
  </w:num>
  <w:num w:numId="23">
    <w:abstractNumId w:val="25"/>
  </w:num>
  <w:num w:numId="24">
    <w:abstractNumId w:val="13"/>
  </w:num>
  <w:num w:numId="25">
    <w:abstractNumId w:val="17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19B8"/>
    <w:rsid w:val="00006FAE"/>
    <w:rsid w:val="000133C5"/>
    <w:rsid w:val="00017D24"/>
    <w:rsid w:val="000216CC"/>
    <w:rsid w:val="00043180"/>
    <w:rsid w:val="000504CE"/>
    <w:rsid w:val="00050544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633FB"/>
    <w:rsid w:val="00163A1B"/>
    <w:rsid w:val="00165735"/>
    <w:rsid w:val="00167786"/>
    <w:rsid w:val="00181019"/>
    <w:rsid w:val="001835BF"/>
    <w:rsid w:val="00184B86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2F86"/>
    <w:rsid w:val="002F68FD"/>
    <w:rsid w:val="003107FA"/>
    <w:rsid w:val="00313482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72F06"/>
    <w:rsid w:val="00391647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3EC6"/>
    <w:rsid w:val="00406CD4"/>
    <w:rsid w:val="004114B9"/>
    <w:rsid w:val="00430086"/>
    <w:rsid w:val="00430918"/>
    <w:rsid w:val="004325CB"/>
    <w:rsid w:val="00437F3F"/>
    <w:rsid w:val="00446DE4"/>
    <w:rsid w:val="00452D10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B2C9D"/>
    <w:rsid w:val="004B5939"/>
    <w:rsid w:val="004B73D6"/>
    <w:rsid w:val="004C39D0"/>
    <w:rsid w:val="004C4F1A"/>
    <w:rsid w:val="004C6D6D"/>
    <w:rsid w:val="004E0C5D"/>
    <w:rsid w:val="004E3B17"/>
    <w:rsid w:val="004F4240"/>
    <w:rsid w:val="004F77CD"/>
    <w:rsid w:val="00507CF1"/>
    <w:rsid w:val="00522177"/>
    <w:rsid w:val="00527910"/>
    <w:rsid w:val="005420F2"/>
    <w:rsid w:val="00542505"/>
    <w:rsid w:val="005475D4"/>
    <w:rsid w:val="00551496"/>
    <w:rsid w:val="00555CDB"/>
    <w:rsid w:val="00561B6D"/>
    <w:rsid w:val="00562D45"/>
    <w:rsid w:val="0056615B"/>
    <w:rsid w:val="00567DFB"/>
    <w:rsid w:val="00571DAA"/>
    <w:rsid w:val="0058129D"/>
    <w:rsid w:val="00590144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2DC3"/>
    <w:rsid w:val="005E5946"/>
    <w:rsid w:val="005F3A39"/>
    <w:rsid w:val="005F5C2F"/>
    <w:rsid w:val="005F7BB1"/>
    <w:rsid w:val="00602490"/>
    <w:rsid w:val="00603E3C"/>
    <w:rsid w:val="006079D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5D73"/>
    <w:rsid w:val="00670CF0"/>
    <w:rsid w:val="00675F87"/>
    <w:rsid w:val="00690CD6"/>
    <w:rsid w:val="006A3932"/>
    <w:rsid w:val="006A63E3"/>
    <w:rsid w:val="006A7392"/>
    <w:rsid w:val="006B1C55"/>
    <w:rsid w:val="006C0D34"/>
    <w:rsid w:val="006C251B"/>
    <w:rsid w:val="006C2F7E"/>
    <w:rsid w:val="006C552E"/>
    <w:rsid w:val="006D3560"/>
    <w:rsid w:val="006E3B65"/>
    <w:rsid w:val="006E564B"/>
    <w:rsid w:val="007025C0"/>
    <w:rsid w:val="00707F04"/>
    <w:rsid w:val="00711637"/>
    <w:rsid w:val="00714F4F"/>
    <w:rsid w:val="0072632A"/>
    <w:rsid w:val="0073506B"/>
    <w:rsid w:val="00735D04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A1091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57FF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0459"/>
    <w:rsid w:val="0086107D"/>
    <w:rsid w:val="00864251"/>
    <w:rsid w:val="00871FD5"/>
    <w:rsid w:val="00881213"/>
    <w:rsid w:val="008979B1"/>
    <w:rsid w:val="008A0B75"/>
    <w:rsid w:val="008A1542"/>
    <w:rsid w:val="008A6B25"/>
    <w:rsid w:val="008A6C4F"/>
    <w:rsid w:val="008A7679"/>
    <w:rsid w:val="008A7AB3"/>
    <w:rsid w:val="008B2D8B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23019"/>
    <w:rsid w:val="00924B63"/>
    <w:rsid w:val="00927993"/>
    <w:rsid w:val="009363B6"/>
    <w:rsid w:val="00940F46"/>
    <w:rsid w:val="00941ECC"/>
    <w:rsid w:val="00945A5D"/>
    <w:rsid w:val="00946A0D"/>
    <w:rsid w:val="00955109"/>
    <w:rsid w:val="00963B67"/>
    <w:rsid w:val="00963CBA"/>
    <w:rsid w:val="009701ED"/>
    <w:rsid w:val="00977822"/>
    <w:rsid w:val="00984471"/>
    <w:rsid w:val="00985F37"/>
    <w:rsid w:val="009879EA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4FC5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A45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A30BD"/>
    <w:rsid w:val="00BB176D"/>
    <w:rsid w:val="00BB3B28"/>
    <w:rsid w:val="00BC07F1"/>
    <w:rsid w:val="00BC74E9"/>
    <w:rsid w:val="00BE1FF8"/>
    <w:rsid w:val="00BE50CA"/>
    <w:rsid w:val="00BE618E"/>
    <w:rsid w:val="00C0263F"/>
    <w:rsid w:val="00C03B44"/>
    <w:rsid w:val="00C13A85"/>
    <w:rsid w:val="00C17E74"/>
    <w:rsid w:val="00C218A4"/>
    <w:rsid w:val="00C3090B"/>
    <w:rsid w:val="00C34C65"/>
    <w:rsid w:val="00C36D37"/>
    <w:rsid w:val="00C463DD"/>
    <w:rsid w:val="00C46D5B"/>
    <w:rsid w:val="00C537D5"/>
    <w:rsid w:val="00C57BA7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154C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Straight Arrow Connector 1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C57BA7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C57BA7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5E2E-9F03-4E6D-B9B7-2F07F3C7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</cp:revision>
  <cp:lastPrinted>2016-11-21T16:23:00Z</cp:lastPrinted>
  <dcterms:created xsi:type="dcterms:W3CDTF">2016-11-23T13:06:00Z</dcterms:created>
  <dcterms:modified xsi:type="dcterms:W3CDTF">2016-11-23T13:06:00Z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