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662ABF" w:rsidRPr="0078022A" w:rsidTr="008B2E94">
        <w:trPr>
          <w:cantSplit/>
          <w:trHeight w:hRule="exact" w:val="993"/>
        </w:trPr>
        <w:tc>
          <w:tcPr>
            <w:tcW w:w="9639" w:type="dxa"/>
            <w:tcBorders>
              <w:bottom w:val="single" w:sz="4" w:space="0" w:color="auto"/>
            </w:tcBorders>
            <w:shd w:val="clear" w:color="auto" w:fill="FFFFFF"/>
            <w:vAlign w:val="bottom"/>
          </w:tcPr>
          <w:p w:rsidR="009E7B0D" w:rsidRPr="00EB4381" w:rsidRDefault="00EB4381" w:rsidP="009E7B0D">
            <w:pPr>
              <w:jc w:val="right"/>
              <w:rPr>
                <w:b/>
                <w:sz w:val="40"/>
                <w:szCs w:val="40"/>
                <w:lang w:val="fr-CA"/>
              </w:rPr>
            </w:pPr>
            <w:r w:rsidRPr="00EB4381">
              <w:rPr>
                <w:b/>
                <w:sz w:val="40"/>
                <w:szCs w:val="40"/>
                <w:lang w:val="fr-CA"/>
              </w:rPr>
              <w:t>UN/SCETDG/50</w:t>
            </w:r>
            <w:r w:rsidR="009E7B0D" w:rsidRPr="00EB4381">
              <w:rPr>
                <w:b/>
                <w:sz w:val="40"/>
                <w:szCs w:val="40"/>
                <w:lang w:val="fr-CA"/>
              </w:rPr>
              <w:t>/INF.</w:t>
            </w:r>
            <w:r w:rsidRPr="00EB4381">
              <w:rPr>
                <w:b/>
                <w:sz w:val="40"/>
                <w:szCs w:val="40"/>
                <w:lang w:val="fr-CA"/>
              </w:rPr>
              <w:t>11</w:t>
            </w:r>
          </w:p>
          <w:p w:rsidR="00280D2B" w:rsidRPr="0078022A" w:rsidRDefault="00EB4381" w:rsidP="00EB4381">
            <w:pPr>
              <w:spacing w:after="240"/>
              <w:jc w:val="right"/>
              <w:rPr>
                <w:b/>
                <w:color w:val="000000" w:themeColor="text1"/>
                <w:sz w:val="40"/>
                <w:szCs w:val="40"/>
                <w:highlight w:val="yellow"/>
                <w:lang w:val="fr-CA"/>
              </w:rPr>
            </w:pPr>
            <w:r w:rsidRPr="00EB4381">
              <w:rPr>
                <w:b/>
                <w:sz w:val="40"/>
                <w:szCs w:val="40"/>
                <w:lang w:val="fr-CA"/>
              </w:rPr>
              <w:t>UN/SCEGHS/32</w:t>
            </w:r>
            <w:r w:rsidR="009E7B0D" w:rsidRPr="00EB4381">
              <w:rPr>
                <w:b/>
                <w:sz w:val="40"/>
                <w:szCs w:val="40"/>
                <w:lang w:val="fr-CA"/>
              </w:rPr>
              <w:t>/INF.</w:t>
            </w:r>
            <w:r w:rsidRPr="00EB4381">
              <w:rPr>
                <w:b/>
                <w:sz w:val="40"/>
                <w:szCs w:val="40"/>
                <w:lang w:val="fr-CA"/>
              </w:rPr>
              <w:t>8</w:t>
            </w:r>
          </w:p>
        </w:tc>
      </w:tr>
    </w:tbl>
    <w:tbl>
      <w:tblPr>
        <w:tblW w:w="9645" w:type="dxa"/>
        <w:tblInd w:w="108" w:type="dxa"/>
        <w:tblLayout w:type="fixed"/>
        <w:tblLook w:val="04A0" w:firstRow="1" w:lastRow="0" w:firstColumn="1" w:lastColumn="0" w:noHBand="0" w:noVBand="1"/>
      </w:tblPr>
      <w:tblGrid>
        <w:gridCol w:w="4536"/>
        <w:gridCol w:w="5109"/>
      </w:tblGrid>
      <w:tr w:rsidR="008A5A78" w:rsidRPr="009E7B0D" w:rsidTr="008B2E94">
        <w:tc>
          <w:tcPr>
            <w:tcW w:w="9645" w:type="dxa"/>
            <w:gridSpan w:val="2"/>
            <w:tcMar>
              <w:top w:w="142" w:type="dxa"/>
              <w:left w:w="108" w:type="dxa"/>
              <w:bottom w:w="142" w:type="dxa"/>
              <w:right w:w="108" w:type="dxa"/>
            </w:tcMar>
          </w:tcPr>
          <w:p w:rsidR="008A5A78" w:rsidRPr="000B4919" w:rsidRDefault="008A5A78" w:rsidP="00EB4381">
            <w:pPr>
              <w:tabs>
                <w:tab w:val="right" w:pos="9214"/>
              </w:tabs>
            </w:pPr>
            <w:r w:rsidRPr="000B4919">
              <w:rPr>
                <w:b/>
                <w:sz w:val="24"/>
                <w:szCs w:val="24"/>
              </w:rPr>
              <w:t>Committee of Experts on the Transport of Dangerous Goods</w:t>
            </w:r>
            <w:r w:rsidRPr="000B4919">
              <w:rPr>
                <w:b/>
                <w:sz w:val="24"/>
                <w:szCs w:val="24"/>
              </w:rPr>
              <w:tab/>
            </w:r>
            <w:r w:rsidRPr="000B4919">
              <w:rPr>
                <w:b/>
                <w:sz w:val="24"/>
                <w:szCs w:val="24"/>
              </w:rPr>
              <w:br/>
              <w:t>and on the Globally Harmonized System of Classification</w:t>
            </w:r>
            <w:r w:rsidRPr="000B4919">
              <w:rPr>
                <w:b/>
                <w:sz w:val="24"/>
                <w:szCs w:val="24"/>
              </w:rPr>
              <w:br/>
              <w:t>and Labelling of Chemicals</w:t>
            </w:r>
            <w:r w:rsidRPr="000B4919">
              <w:rPr>
                <w:b/>
              </w:rPr>
              <w:tab/>
            </w:r>
            <w:r w:rsidR="00EB4381" w:rsidRPr="00EB4381">
              <w:rPr>
                <w:b/>
              </w:rPr>
              <w:t>27</w:t>
            </w:r>
            <w:r w:rsidR="00623312" w:rsidRPr="00EB4381">
              <w:rPr>
                <w:b/>
                <w:sz w:val="18"/>
                <w:szCs w:val="24"/>
              </w:rPr>
              <w:t xml:space="preserve"> </w:t>
            </w:r>
            <w:r w:rsidR="0078022A" w:rsidRPr="00EB4381">
              <w:rPr>
                <w:b/>
                <w:sz w:val="18"/>
                <w:szCs w:val="24"/>
              </w:rPr>
              <w:t>October</w:t>
            </w:r>
            <w:r w:rsidR="00623312" w:rsidRPr="00EB4381">
              <w:rPr>
                <w:b/>
                <w:sz w:val="18"/>
                <w:szCs w:val="24"/>
              </w:rPr>
              <w:t xml:space="preserve"> </w:t>
            </w:r>
            <w:r w:rsidRPr="00EB4381">
              <w:rPr>
                <w:b/>
                <w:sz w:val="18"/>
                <w:szCs w:val="24"/>
              </w:rPr>
              <w:t>2016</w:t>
            </w:r>
          </w:p>
        </w:tc>
      </w:tr>
      <w:tr w:rsidR="008A5A78" w:rsidRPr="009E7B0D" w:rsidTr="002F5640">
        <w:tc>
          <w:tcPr>
            <w:tcW w:w="4536" w:type="dxa"/>
            <w:tcMar>
              <w:top w:w="57" w:type="dxa"/>
              <w:left w:w="108" w:type="dxa"/>
              <w:bottom w:w="0" w:type="dxa"/>
              <w:right w:w="108" w:type="dxa"/>
            </w:tcMar>
          </w:tcPr>
          <w:p w:rsidR="008A5A78" w:rsidRPr="002F5640" w:rsidRDefault="008A5A78">
            <w:pPr>
              <w:spacing w:before="120"/>
              <w:rPr>
                <w:b/>
                <w:highlight w:val="green"/>
              </w:rPr>
            </w:pPr>
            <w:r w:rsidRPr="000B4919">
              <w:rPr>
                <w:b/>
              </w:rPr>
              <w:t xml:space="preserve">Sub-Committee of Experts on the </w:t>
            </w:r>
            <w:r w:rsidRPr="000B4919">
              <w:rPr>
                <w:b/>
              </w:rPr>
              <w:br/>
              <w:t>Transport of Dangerous Goods</w:t>
            </w:r>
          </w:p>
        </w:tc>
        <w:tc>
          <w:tcPr>
            <w:tcW w:w="5109" w:type="dxa"/>
            <w:tcMar>
              <w:top w:w="57" w:type="dxa"/>
              <w:left w:w="108" w:type="dxa"/>
              <w:bottom w:w="0" w:type="dxa"/>
              <w:right w:w="108" w:type="dxa"/>
            </w:tcMar>
            <w:vAlign w:val="center"/>
          </w:tcPr>
          <w:p w:rsidR="008A5A78" w:rsidRPr="000B4919" w:rsidRDefault="008A5A78" w:rsidP="002F5640">
            <w:pPr>
              <w:spacing w:before="120"/>
              <w:rPr>
                <w:b/>
              </w:rPr>
            </w:pPr>
            <w:r w:rsidRPr="000B4919">
              <w:rPr>
                <w:b/>
              </w:rPr>
              <w:t>Sub-Committee of Experts on the Globally Harmonized System of Classification and Labelling of Chemicals</w:t>
            </w:r>
          </w:p>
        </w:tc>
      </w:tr>
      <w:tr w:rsidR="008A5A78" w:rsidRPr="000A1D9E" w:rsidTr="008B2E94">
        <w:tc>
          <w:tcPr>
            <w:tcW w:w="4536" w:type="dxa"/>
            <w:tcMar>
              <w:top w:w="57" w:type="dxa"/>
              <w:left w:w="108" w:type="dxa"/>
              <w:bottom w:w="0" w:type="dxa"/>
              <w:right w:w="108" w:type="dxa"/>
            </w:tcMar>
          </w:tcPr>
          <w:p w:rsidR="008A5A78" w:rsidRPr="000A1D9E" w:rsidRDefault="0078022A" w:rsidP="00D77FB6">
            <w:pPr>
              <w:spacing w:before="120"/>
              <w:ind w:left="34" w:hanging="34"/>
              <w:rPr>
                <w:b/>
                <w:lang w:val="fr-CA"/>
              </w:rPr>
            </w:pPr>
            <w:r>
              <w:rPr>
                <w:b/>
              </w:rPr>
              <w:t>Fiftieth</w:t>
            </w:r>
            <w:r w:rsidR="008A5A78" w:rsidRPr="000B4919">
              <w:rPr>
                <w:b/>
              </w:rPr>
              <w:t xml:space="preserve"> session</w:t>
            </w:r>
          </w:p>
        </w:tc>
        <w:tc>
          <w:tcPr>
            <w:tcW w:w="5109" w:type="dxa"/>
            <w:tcMar>
              <w:top w:w="57" w:type="dxa"/>
              <w:left w:w="108" w:type="dxa"/>
              <w:bottom w:w="0" w:type="dxa"/>
              <w:right w:w="108" w:type="dxa"/>
            </w:tcMar>
          </w:tcPr>
          <w:p w:rsidR="008A5A78" w:rsidRPr="000B4919" w:rsidRDefault="008A5A78" w:rsidP="0078022A">
            <w:pPr>
              <w:spacing w:before="120"/>
              <w:rPr>
                <w:b/>
              </w:rPr>
            </w:pPr>
            <w:r>
              <w:rPr>
                <w:b/>
              </w:rPr>
              <w:t>Thirty-</w:t>
            </w:r>
            <w:r w:rsidR="0078022A">
              <w:rPr>
                <w:b/>
              </w:rPr>
              <w:t xml:space="preserve">second </w:t>
            </w:r>
            <w:r w:rsidRPr="000B4919">
              <w:rPr>
                <w:b/>
              </w:rPr>
              <w:t>session</w:t>
            </w:r>
          </w:p>
        </w:tc>
      </w:tr>
      <w:tr w:rsidR="008A5A78" w:rsidRPr="009E7B0D" w:rsidTr="008B2E94">
        <w:tc>
          <w:tcPr>
            <w:tcW w:w="4536" w:type="dxa"/>
            <w:tcMar>
              <w:top w:w="57" w:type="dxa"/>
              <w:left w:w="108" w:type="dxa"/>
              <w:bottom w:w="0" w:type="dxa"/>
              <w:right w:w="108" w:type="dxa"/>
            </w:tcMar>
          </w:tcPr>
          <w:p w:rsidR="008A5A78" w:rsidRPr="0065605C" w:rsidRDefault="008A5A78" w:rsidP="00977C08">
            <w:pPr>
              <w:tabs>
                <w:tab w:val="left" w:pos="6361"/>
                <w:tab w:val="left" w:pos="6939"/>
              </w:tabs>
              <w:spacing w:before="40"/>
              <w:outlineLvl w:val="0"/>
              <w:rPr>
                <w:bCs/>
              </w:rPr>
            </w:pPr>
            <w:r w:rsidRPr="0065605C">
              <w:rPr>
                <w:bCs/>
              </w:rPr>
              <w:t>Geneva, 2</w:t>
            </w:r>
            <w:r w:rsidR="00EB4381" w:rsidRPr="0065605C">
              <w:rPr>
                <w:bCs/>
              </w:rPr>
              <w:t>8 November-6 December 2016</w:t>
            </w:r>
          </w:p>
          <w:p w:rsidR="008A5A78" w:rsidRPr="0065605C" w:rsidRDefault="008A5A78" w:rsidP="00977C08">
            <w:pPr>
              <w:spacing w:before="40"/>
            </w:pPr>
            <w:r w:rsidRPr="0065605C">
              <w:t xml:space="preserve">Item </w:t>
            </w:r>
            <w:r w:rsidR="00643AC8" w:rsidRPr="0065605C">
              <w:t>7 (h)</w:t>
            </w:r>
            <w:r w:rsidR="00A33866" w:rsidRPr="0065605C">
              <w:t xml:space="preserve"> </w:t>
            </w:r>
            <w:r w:rsidRPr="0065605C">
              <w:t>of the provisional agenda</w:t>
            </w:r>
          </w:p>
          <w:p w:rsidR="008A5A78" w:rsidRPr="00643AC8" w:rsidRDefault="00643AC8" w:rsidP="00977C08">
            <w:pPr>
              <w:spacing w:before="40"/>
              <w:rPr>
                <w:b/>
                <w:bCs/>
              </w:rPr>
            </w:pPr>
            <w:r w:rsidRPr="00643AC8">
              <w:rPr>
                <w:b/>
              </w:rPr>
              <w:t>Issues relating to the Globally Harmonized System of Classification and Labelling of Chemicals: review of Chapter 2.1 of the GHS</w:t>
            </w:r>
          </w:p>
        </w:tc>
        <w:tc>
          <w:tcPr>
            <w:tcW w:w="5109" w:type="dxa"/>
            <w:tcMar>
              <w:top w:w="57" w:type="dxa"/>
              <w:left w:w="108" w:type="dxa"/>
              <w:bottom w:w="0" w:type="dxa"/>
              <w:right w:w="108" w:type="dxa"/>
            </w:tcMar>
          </w:tcPr>
          <w:p w:rsidR="008A5A78" w:rsidRPr="0065605C" w:rsidRDefault="008A5A78" w:rsidP="008A5A78">
            <w:pPr>
              <w:jc w:val="both"/>
            </w:pPr>
            <w:r w:rsidRPr="0065605C">
              <w:t xml:space="preserve">Geneva, </w:t>
            </w:r>
            <w:r w:rsidR="0065605C">
              <w:t>7</w:t>
            </w:r>
            <w:bookmarkStart w:id="0" w:name="_GoBack"/>
            <w:bookmarkEnd w:id="0"/>
            <w:r w:rsidR="00EB4381" w:rsidRPr="0065605C">
              <w:t>-9 December 2016</w:t>
            </w:r>
          </w:p>
          <w:p w:rsidR="008A5A78" w:rsidRPr="0065605C" w:rsidRDefault="008A5A78" w:rsidP="008A5A78">
            <w:pPr>
              <w:spacing w:before="40"/>
            </w:pPr>
            <w:r w:rsidRPr="0065605C">
              <w:t xml:space="preserve">Item </w:t>
            </w:r>
            <w:r w:rsidR="00643AC8" w:rsidRPr="0065605C">
              <w:t>2 (g)</w:t>
            </w:r>
            <w:r w:rsidRPr="0065605C">
              <w:t xml:space="preserve"> of the provisional agenda</w:t>
            </w:r>
          </w:p>
          <w:p w:rsidR="008A5A78" w:rsidRPr="00643AC8" w:rsidRDefault="00643AC8" w:rsidP="008A5A78">
            <w:pPr>
              <w:suppressAutoHyphens w:val="0"/>
              <w:spacing w:line="240" w:lineRule="auto"/>
              <w:rPr>
                <w:b/>
              </w:rPr>
            </w:pPr>
            <w:r w:rsidRPr="00643AC8">
              <w:rPr>
                <w:b/>
              </w:rPr>
              <w:t>Classification criteria and related hazard communication: miscellaneous</w:t>
            </w:r>
          </w:p>
        </w:tc>
      </w:tr>
    </w:tbl>
    <w:p w:rsidR="00643AC8" w:rsidRDefault="00643AC8" w:rsidP="00643AC8">
      <w:pPr>
        <w:pStyle w:val="HChG"/>
      </w:pPr>
      <w:r>
        <w:tab/>
      </w:r>
      <w:r>
        <w:tab/>
      </w:r>
      <w:r w:rsidR="00724988" w:rsidRPr="00431590">
        <w:t>Status report on the work of the informal correspondence group on the revision of GHS Chapter 2.1</w:t>
      </w:r>
    </w:p>
    <w:p w:rsidR="00724988" w:rsidRPr="00724988" w:rsidRDefault="00643AC8" w:rsidP="00643AC8">
      <w:pPr>
        <w:pStyle w:val="H1G"/>
      </w:pPr>
      <w:r>
        <w:tab/>
      </w:r>
      <w:r>
        <w:tab/>
      </w:r>
      <w:r w:rsidR="00724988" w:rsidRPr="00724988">
        <w:t>Transmitted by the expert from Sweden</w:t>
      </w:r>
    </w:p>
    <w:p w:rsidR="00724988" w:rsidRPr="00724988" w:rsidRDefault="00643AC8" w:rsidP="00643AC8">
      <w:pPr>
        <w:pStyle w:val="HChG"/>
      </w:pPr>
      <w:r>
        <w:tab/>
      </w:r>
      <w:r>
        <w:tab/>
      </w:r>
      <w:r w:rsidR="002F5640">
        <w:t>Background</w:t>
      </w:r>
    </w:p>
    <w:p w:rsidR="00643AC8" w:rsidRDefault="00E040BE" w:rsidP="00643AC8">
      <w:pPr>
        <w:pStyle w:val="SingleTxtG"/>
      </w:pPr>
      <w:r>
        <w:t>1.</w:t>
      </w:r>
      <w:r>
        <w:tab/>
      </w:r>
      <w:r w:rsidR="002F5640" w:rsidRPr="002F5640">
        <w:t>During the biennium 2015-2016, work has been conducted to revise Chapter 2.1 of the GHS on Explosives. The work was initiated by the expert from Australia</w:t>
      </w:r>
      <w:r w:rsidR="002F5640" w:rsidRPr="002F5640">
        <w:rPr>
          <w:vertAlign w:val="superscript"/>
        </w:rPr>
        <w:footnoteReference w:id="2"/>
      </w:r>
      <w:r w:rsidR="002F5640" w:rsidRPr="002F5640">
        <w:t xml:space="preserve"> and has been led by the expert from Sweden since the twenty-ninth session of the Sub-Committee of Experts on the Globally Harmonized System (SCEGHS) in July 2015</w:t>
      </w:r>
      <w:r w:rsidR="002F5640" w:rsidRPr="002F5640">
        <w:rPr>
          <w:vertAlign w:val="superscript"/>
        </w:rPr>
        <w:footnoteReference w:id="3"/>
      </w:r>
      <w:r w:rsidR="002F5640" w:rsidRPr="002F5640">
        <w:t>. The documents</w:t>
      </w:r>
      <w:r w:rsidR="00FA0503">
        <w:t xml:space="preserve"> by</w:t>
      </w:r>
      <w:r w:rsidR="002F5640" w:rsidRPr="002F5640">
        <w:t xml:space="preserve"> the experts </w:t>
      </w:r>
      <w:r w:rsidR="00FA0503">
        <w:t>from</w:t>
      </w:r>
      <w:r w:rsidR="002F5640" w:rsidRPr="002F5640">
        <w:t xml:space="preserve"> Australia and from Sweden referred to contain the reasons for the undertaking of the work, which are not repeated herein. An Informal Correspondence Group (ICG) was formed in August 2015 which, with a few additional experts joining in at later stages, currently consists of almost thirty experts, most of them from the Working Group on Explosives (EWG) under the Sub-Committee of Experts on the Transport of Dangerous Goods (SCETDG). Status reports on the work of the ICG have been submitted to both Sub-Committees for their sessions in December 2015</w:t>
      </w:r>
      <w:r w:rsidR="002F5640" w:rsidRPr="002F5640">
        <w:rPr>
          <w:vertAlign w:val="superscript"/>
        </w:rPr>
        <w:footnoteReference w:id="4"/>
      </w:r>
      <w:r w:rsidR="002F5640" w:rsidRPr="002F5640">
        <w:t xml:space="preserve"> and June/July 2016</w:t>
      </w:r>
      <w:r w:rsidR="002F5640" w:rsidRPr="002F5640">
        <w:rPr>
          <w:vertAlign w:val="superscript"/>
        </w:rPr>
        <w:footnoteReference w:id="5"/>
      </w:r>
      <w:r w:rsidR="002F5640" w:rsidRPr="002F5640">
        <w:t>, and discussions have taken place at the meetings of the EWG in parallel to these sessions. A dedicated meeting on this topic was also held during the thirty-first session of the SCEGHS, in which many experts from that Sub-Committee attended.</w:t>
      </w:r>
    </w:p>
    <w:p w:rsidR="00724988" w:rsidRDefault="00643AC8" w:rsidP="00643AC8">
      <w:pPr>
        <w:pStyle w:val="H1G"/>
      </w:pPr>
      <w:r>
        <w:tab/>
      </w:r>
      <w:r>
        <w:tab/>
      </w:r>
      <w:r w:rsidR="004E2924">
        <w:t xml:space="preserve">Recent developments </w:t>
      </w:r>
    </w:p>
    <w:p w:rsidR="00E040BE" w:rsidRDefault="00E040BE" w:rsidP="00E040BE">
      <w:pPr>
        <w:pStyle w:val="SingleTxtG"/>
      </w:pPr>
      <w:r>
        <w:t>2.</w:t>
      </w:r>
      <w:r>
        <w:tab/>
      </w:r>
      <w:r w:rsidR="002F5640" w:rsidRPr="002F5640">
        <w:t xml:space="preserve">At the meeting of the EWG during the forty-ninth session of the SCETDG, extensive discussions revolving around potential modifications of the labelling elements for Explosives took place. The background to this is that the classification of Explosives into </w:t>
      </w:r>
      <w:r w:rsidR="002F5640" w:rsidRPr="002F5640">
        <w:lastRenderedPageBreak/>
        <w:t xml:space="preserve">Divisions is done as packaged, and the explosive behaviour may depend on that particular packaging which is usually the transport packaging. Since the GHS-labelling elements are tied to the Division (see Table 2.1.2 in Chapter 2.1 of the GHS), this may lead to an inadequate warning for the explosive behaviour when the Explosive is taken out of the packaging (or configuration) in which it was classified. This problem has been described in more detail as </w:t>
      </w:r>
      <w:proofErr w:type="spellStart"/>
      <w:r w:rsidR="002F5640" w:rsidRPr="002F5640">
        <w:t>Workstream</w:t>
      </w:r>
      <w:proofErr w:type="spellEnd"/>
      <w:r w:rsidR="002F5640" w:rsidRPr="002F5640">
        <w:t xml:space="preserve"> 2 in previous documents on the review of Chapter 2.1.</w:t>
      </w:r>
      <w:r w:rsidR="002F5640" w:rsidRPr="002F5640">
        <w:rPr>
          <w:vertAlign w:val="superscript"/>
        </w:rPr>
        <w:footnoteReference w:id="6"/>
      </w:r>
    </w:p>
    <w:p w:rsidR="002F5640" w:rsidRDefault="00E040BE" w:rsidP="00E040BE">
      <w:pPr>
        <w:pStyle w:val="SingleTxtG"/>
      </w:pPr>
      <w:r>
        <w:t>3.</w:t>
      </w:r>
      <w:r>
        <w:tab/>
      </w:r>
      <w:r w:rsidR="002F5640">
        <w:t>It was felt by many members of the ICG that the GHS-labelling should be generalized, which would overcome the Division-dependence of the current GHS hazard statements. The suggested simplified labelling elements were:</w:t>
      </w:r>
    </w:p>
    <w:p w:rsidR="002F5640" w:rsidRDefault="002F5640" w:rsidP="002F5640">
      <w:pPr>
        <w:pStyle w:val="ListParagraph"/>
        <w:suppressAutoHyphens w:val="0"/>
        <w:spacing w:after="200" w:line="276" w:lineRule="auto"/>
        <w:ind w:left="1134" w:firstLine="567"/>
      </w:pPr>
      <w:r>
        <w:t>Symbol: Exploding bomb (GHS01)</w:t>
      </w:r>
    </w:p>
    <w:p w:rsidR="002F5640" w:rsidRDefault="002F5640" w:rsidP="002F5640">
      <w:pPr>
        <w:pStyle w:val="ListParagraph"/>
        <w:suppressAutoHyphens w:val="0"/>
        <w:spacing w:after="200" w:line="276" w:lineRule="auto"/>
        <w:ind w:left="1134" w:firstLine="567"/>
      </w:pPr>
      <w:r>
        <w:t>Signal word: Danger</w:t>
      </w:r>
    </w:p>
    <w:p w:rsidR="002F5640" w:rsidRDefault="002F5640" w:rsidP="002F5640">
      <w:pPr>
        <w:pStyle w:val="ListParagraph"/>
        <w:suppressAutoHyphens w:val="0"/>
        <w:spacing w:after="200" w:line="276" w:lineRule="auto"/>
        <w:ind w:left="1134" w:firstLine="567"/>
      </w:pPr>
      <w:r>
        <w:t>Hazard statement: Explosive</w:t>
      </w:r>
    </w:p>
    <w:p w:rsidR="002F5640" w:rsidRDefault="002F5640" w:rsidP="00E040BE">
      <w:pPr>
        <w:pStyle w:val="SingleTxtG"/>
      </w:pPr>
      <w:r>
        <w:t>However, it was felt by several experts that this general labelling would exaggerate the hazard for certain Explosives, in particular for some articles which do not pose a significant explosion hazard. It was pointed out that a too strong warning for an explosion hazard for these items could lead to unwanted consequences when applying downstream regulations relating e.g. to building codes and storage requirements</w:t>
      </w:r>
      <w:r>
        <w:rPr>
          <w:rStyle w:val="FootnoteReference"/>
        </w:rPr>
        <w:footnoteReference w:id="7"/>
      </w:r>
      <w:r>
        <w:t>.  Other experts were reluctant to remove the current hazard statements connected to the Division, and felt that information would be lost with the generalized labelling. It was also put forward that application of down-stream regulations may depend on the Division being known, and a suggestion was therefore to add the Division number of the Explosive as packaged (or configured) for transport as supplemental information on the GHS label (see Section 1.4.6.3 in Chapter 1.4 of the GHS). While this might solve some down-stream issues, there was concern that introducing the Divisions on the label of inner packages would perpetuate the problem of potentially misleading labelling of non-transport packages, and there was no consensus on the matter.</w:t>
      </w:r>
    </w:p>
    <w:p w:rsidR="002F5640" w:rsidRDefault="002F5640" w:rsidP="00E040BE">
      <w:pPr>
        <w:pStyle w:val="SingleTxtG"/>
      </w:pPr>
      <w:r>
        <w:t>4.</w:t>
      </w:r>
      <w:r>
        <w:tab/>
      </w:r>
      <w:r w:rsidRPr="002F5640">
        <w:t>During the discussions at the EWG-meeting, the idea was put forward to introduce Categories in the classification of Explosives. This would provide a way of distinguishing Explosives that do not provide a hazard significant enough to moti</w:t>
      </w:r>
      <w:r w:rsidR="00FA0503">
        <w:t>vate the general labelling, by r</w:t>
      </w:r>
      <w:r w:rsidRPr="002F5640">
        <w:t xml:space="preserve">eferring them to a Category of their own. In addition, the introduction of Categories would also resolve the debated issue of the, to most ICG-members, misleading denotation “Unstable explosives”, which would then instead form a Category of their own. It was suggested that </w:t>
      </w:r>
      <w:proofErr w:type="gramStart"/>
      <w:r w:rsidRPr="002F5640">
        <w:t>Unstable</w:t>
      </w:r>
      <w:proofErr w:type="gramEnd"/>
      <w:r w:rsidRPr="002F5640">
        <w:t xml:space="preserve"> explosives would be referred to Category 1, while all other Explosives (i.e. Divisions 1.1 – 1.6) would be in Category 2 and be assigned the generalized labelling elements as above. In order to overcome the problem of a too strong warning for those Explosives that do not pose a significant explosion hazard, it was suggested to split Category 2 into Sub-Categories 2A and 2B, where the latter would contain those less hazardous Explosives and be assigned less severe labelling elements. It was also discussed whether it would be better to introduce a Category 3 for this purpose instead of dividing Category 2, in relation to the way the GHS allows Sub-Categories to be merged and the building block approach (see Section 1.1.3 of Chapter 1.1 of the GHS).</w:t>
      </w:r>
      <w:r>
        <w:br/>
      </w:r>
      <w:r>
        <w:br/>
        <w:t>5.</w:t>
      </w:r>
      <w:r>
        <w:tab/>
      </w:r>
      <w:r w:rsidRPr="002F5640">
        <w:t xml:space="preserve">The ICG has been working much on the conditions under which an Explosive would be classified as belonging to Sub-Category 2B. During the meeting of the EWG in June 2016, it was proposed to distinguish these Explosives by virtue of the UN-numbers assigned for the transportation in accordance with the UN Recommendations on the </w:t>
      </w:r>
      <w:r w:rsidRPr="002F5640">
        <w:lastRenderedPageBreak/>
        <w:t>Transport of Dangerous Goods. An initial list of these UN-numbers was put forward (in a slightly different context) in an informal document by the expert from Canada</w:t>
      </w:r>
      <w:r w:rsidRPr="002F5640">
        <w:rPr>
          <w:vertAlign w:val="superscript"/>
        </w:rPr>
        <w:footnoteReference w:id="8"/>
      </w:r>
      <w:r w:rsidRPr="002F5640">
        <w:t>, and this list was refined during the EWG-meeting. Further discussions have taken place over email since then, and in Annex 2 to this document the current list of potential UN-numbers for assignment to Sub-Category 2B is shown. Most experts agree that the list of UN-numbers should be limited to Explosives classified as Division 1.4 for transport, and many experts think that only articles in Division 1.4 that in themselves, regardless of packaging, do not pose a significant explosion hazard can be considered for Sub-Category 2B. Other experts, however, think that additional Explosives could be assigned to Sub-Category 2B under the condition that any packaging that mitigates the explosive effect is retained, and a few experts do not favour the use of UN-numbers at all and prefer the conditions of Sub-Category 2B to be stated in another way. There have also been concerns raised as to the practicability of retaining packaging when Explosives are put on display for retail purposes, and exceptions for this situation have been suggested.</w:t>
      </w:r>
      <w:r>
        <w:br/>
      </w:r>
      <w:r>
        <w:br/>
        <w:t xml:space="preserve">6. </w:t>
      </w:r>
      <w:r>
        <w:tab/>
      </w:r>
      <w:r w:rsidRPr="002F5640">
        <w:t>In addition to the above topics, there have also been discussions on introducing the proper criteria for Explosives (which are currently missing from Chapter 2.1), amending the precautionary statements for Explosives and further initiatives to make amendments to the current text of Chapter 2.1 e.g. removing some potentially misleading commas.</w:t>
      </w:r>
      <w:r w:rsidRPr="002F5640">
        <w:rPr>
          <w:vertAlign w:val="superscript"/>
        </w:rPr>
        <w:footnoteReference w:id="9"/>
      </w:r>
      <w:r w:rsidRPr="002F5640">
        <w:t xml:space="preserve"> The applicability of the GHS to situations such as manufacturing and processing of Explosives has also been raised on multiple occasions, and is a topic that could be relevant also for other physical hazards</w:t>
      </w:r>
      <w:r w:rsidRPr="002F5640">
        <w:rPr>
          <w:vertAlign w:val="superscript"/>
        </w:rPr>
        <w:footnoteReference w:id="10"/>
      </w:r>
      <w:r w:rsidRPr="002F5640">
        <w:t>.</w:t>
      </w:r>
    </w:p>
    <w:p w:rsidR="00E040BE" w:rsidRDefault="002F5640" w:rsidP="00E040BE">
      <w:pPr>
        <w:pStyle w:val="SingleTxtG"/>
      </w:pPr>
      <w:r>
        <w:t>7.</w:t>
      </w:r>
      <w:r>
        <w:tab/>
      </w:r>
      <w:r w:rsidRPr="002F5640">
        <w:t>In the dedicated meeting on the revision of Chapter 2.1 during the thirty-first session of the SCEGHS, the problems with the current GHS-labelling of Explosives as described in INF. 13 to the twenty-ninth session of the SCEGHS were presented, and some further aspects as described in other documents</w:t>
      </w:r>
      <w:r w:rsidRPr="002F5640">
        <w:rPr>
          <w:vertAlign w:val="superscript"/>
        </w:rPr>
        <w:footnoteReference w:id="11"/>
      </w:r>
      <w:r w:rsidRPr="002F5640">
        <w:t xml:space="preserve"> on this topic were also raised. The discussions held in the EWG as outlined above were summarized and draft amendments to Chapter 2.1 were shown and discussed, in particular the generalized labelling elements and the introduction of Categories in the classification as explained above.</w:t>
      </w:r>
    </w:p>
    <w:p w:rsidR="002F5640" w:rsidRPr="002F5640" w:rsidRDefault="00E040BE" w:rsidP="00E040BE">
      <w:pPr>
        <w:pStyle w:val="H1G"/>
      </w:pPr>
      <w:r>
        <w:tab/>
      </w:r>
      <w:r>
        <w:tab/>
      </w:r>
      <w:r w:rsidR="004E2924" w:rsidRPr="004E2924">
        <w:t>Current state of the work</w:t>
      </w:r>
    </w:p>
    <w:p w:rsidR="00E040BE" w:rsidRDefault="002F5640" w:rsidP="00E040BE">
      <w:pPr>
        <w:pStyle w:val="SingleTxtG"/>
      </w:pPr>
      <w:r>
        <w:t>8.</w:t>
      </w:r>
      <w:r>
        <w:tab/>
      </w:r>
      <w:r w:rsidRPr="002F5640">
        <w:t xml:space="preserve">Despite intense email-discussions within the ICG after the sessions of the Sub-Committees in June/July 2016, it was not possible to conclude on all the new ideas and form them into a formal proposal for changes to Chapter 2.1 in the limited time between those sessions and the deadline for submission of documents to the December 2016 sessions. However, for information purposes the draft revised Chapter 2.1 as it was circulated for </w:t>
      </w:r>
      <w:proofErr w:type="gramStart"/>
      <w:r w:rsidRPr="002F5640">
        <w:t>comments within the ICG in early August 2016 is</w:t>
      </w:r>
      <w:proofErr w:type="gramEnd"/>
      <w:r w:rsidRPr="002F5640">
        <w:t xml:space="preserve"> attached as Annex 1. It should be noted that many comments were received but have not been included in the text as displayed in the annex since opinions were divided and hence further discussions are necessary. Furthermore, the extensive changes to the Chapter could have down-stream effects that need to be analysed before they are introduced. The consequences of the changes also need to be weighed in relation to the problems they are intended to solve.</w:t>
      </w:r>
      <w:r>
        <w:br/>
      </w:r>
      <w:r>
        <w:br/>
      </w:r>
    </w:p>
    <w:p w:rsidR="00E040BE" w:rsidRDefault="002F5640" w:rsidP="00E040BE">
      <w:pPr>
        <w:pStyle w:val="SingleTxtG"/>
      </w:pPr>
      <w:r>
        <w:lastRenderedPageBreak/>
        <w:t>9.</w:t>
      </w:r>
      <w:r>
        <w:tab/>
      </w:r>
      <w:r w:rsidRPr="002F5640">
        <w:t xml:space="preserve">For </w:t>
      </w:r>
      <w:r w:rsidRPr="00E040BE">
        <w:t>illustration</w:t>
      </w:r>
      <w:r w:rsidRPr="002F5640">
        <w:t xml:space="preserve"> purposes, examples of GHS-labels for three Explosives are shown in Annex 3. The examples display the GHS-label resulting from application of the current provisions of Chapter 2.1 and from applying the provisions of the revised Chapter 2.1 as outlined in Annex 1 to the same Explosive. Note that the labels in Annex 3 may not adhere in every detail to the GHS as implemented in various jurisdictions.</w:t>
      </w:r>
    </w:p>
    <w:p w:rsidR="002F5640" w:rsidRDefault="00E040BE" w:rsidP="00E040BE">
      <w:pPr>
        <w:pStyle w:val="H1G"/>
      </w:pPr>
      <w:r>
        <w:tab/>
      </w:r>
      <w:r>
        <w:tab/>
      </w:r>
      <w:r w:rsidR="004E2924" w:rsidRPr="004E2924">
        <w:t>Future outlook</w:t>
      </w:r>
    </w:p>
    <w:p w:rsidR="00724988" w:rsidRPr="00E62A12" w:rsidRDefault="002F5640" w:rsidP="00E040BE">
      <w:pPr>
        <w:pStyle w:val="SingleTxtG"/>
      </w:pPr>
      <w:r>
        <w:t>10.</w:t>
      </w:r>
      <w:r>
        <w:tab/>
      </w:r>
      <w:r w:rsidRPr="002F5640">
        <w:t>It is expected that the work on the review of Chapter 2.1 will continue in the biennium 2017-2018. It can also be anticipated that the EWG will discuss this matter during their meeting in parallel to the fiftieth session of the SCETDG. There will also be a dedicated meeting during the thirty-second session of the SCEGHS for discussion of this subject</w:t>
      </w:r>
      <w:r w:rsidRPr="002F5640">
        <w:rPr>
          <w:vertAlign w:val="superscript"/>
        </w:rPr>
        <w:footnoteReference w:id="12"/>
      </w:r>
      <w:r w:rsidRPr="002F5640">
        <w:t>, and it should be noted in this context that some of the topics under discussion revolve a</w:t>
      </w:r>
      <w:r w:rsidR="00B275BD">
        <w:t xml:space="preserve">round more principal GHS-issues, </w:t>
      </w:r>
      <w:r w:rsidRPr="002F5640">
        <w:t>that may extend beyond Chapter 2.1</w:t>
      </w:r>
      <w:r w:rsidR="00B275BD">
        <w:t>,</w:t>
      </w:r>
      <w:r w:rsidRPr="002F5640">
        <w:t xml:space="preserve"> rather than technical matters relating to Explosives alone.</w:t>
      </w:r>
    </w:p>
    <w:p w:rsidR="002F5640" w:rsidRDefault="002F5640">
      <w:pPr>
        <w:suppressAutoHyphens w:val="0"/>
        <w:spacing w:line="240" w:lineRule="auto"/>
        <w:rPr>
          <w:b/>
          <w:sz w:val="24"/>
          <w:szCs w:val="24"/>
        </w:rPr>
      </w:pPr>
      <w:r>
        <w:rPr>
          <w:b/>
          <w:sz w:val="24"/>
          <w:szCs w:val="24"/>
        </w:rPr>
        <w:br w:type="page"/>
      </w:r>
      <w:r w:rsidR="004E2924">
        <w:rPr>
          <w:b/>
          <w:sz w:val="24"/>
          <w:szCs w:val="24"/>
        </w:rPr>
        <w:lastRenderedPageBreak/>
        <w:t xml:space="preserve">Annex 1 - </w:t>
      </w:r>
      <w:r w:rsidR="004E2924" w:rsidRPr="000A4539">
        <w:rPr>
          <w:b/>
          <w:sz w:val="24"/>
          <w:szCs w:val="24"/>
        </w:rPr>
        <w:t>Draft revised Chapter 2.1 as sent out to the ICG in early August 2016</w:t>
      </w:r>
    </w:p>
    <w:p w:rsidR="004E2924" w:rsidRDefault="004E2924" w:rsidP="004E2924">
      <w:pPr>
        <w:suppressAutoHyphens w:val="0"/>
        <w:spacing w:line="240" w:lineRule="auto"/>
      </w:pPr>
    </w:p>
    <w:p w:rsidR="004E2924" w:rsidRPr="004E2924" w:rsidRDefault="004E2924" w:rsidP="00E040BE">
      <w:pPr>
        <w:pStyle w:val="SingleTxtG"/>
      </w:pPr>
      <w:r w:rsidRPr="004E2924">
        <w:t>Changes</w:t>
      </w:r>
      <w:r w:rsidR="00893C16">
        <w:t xml:space="preserve">, </w:t>
      </w:r>
      <w:r w:rsidR="00CF3B9C">
        <w:t>as</w:t>
      </w:r>
      <w:r w:rsidR="00893C16">
        <w:t xml:space="preserve"> compar</w:t>
      </w:r>
      <w:r w:rsidR="00CF3B9C">
        <w:t>ed</w:t>
      </w:r>
      <w:r w:rsidR="00893C16">
        <w:t xml:space="preserve"> to GHS Rev. 6,</w:t>
      </w:r>
      <w:r w:rsidRPr="004E2924">
        <w:t xml:space="preserve"> are to Sections 2.1.2 and 2.1.3 only, apart from:</w:t>
      </w:r>
    </w:p>
    <w:p w:rsidR="004E2924" w:rsidRPr="004E2924" w:rsidRDefault="004E2924" w:rsidP="00E040BE">
      <w:pPr>
        <w:pStyle w:val="SingleTxtG"/>
      </w:pPr>
      <w:r>
        <w:t>-</w:t>
      </w:r>
      <w:r>
        <w:tab/>
        <w:t>D</w:t>
      </w:r>
      <w:r w:rsidRPr="004E2924">
        <w:t>eletion of the definition of “pyrotechnic article” in Section 2.1.1,</w:t>
      </w:r>
      <w:r>
        <w:t xml:space="preserve"> which is a term not used</w:t>
      </w:r>
      <w:r w:rsidR="00CF3B9C">
        <w:t>.</w:t>
      </w:r>
      <w:r w:rsidRPr="004E2924">
        <w:t xml:space="preserve"> </w:t>
      </w:r>
    </w:p>
    <w:p w:rsidR="004E2924" w:rsidRDefault="004E2924" w:rsidP="00E040BE">
      <w:pPr>
        <w:pStyle w:val="SingleTxtG"/>
      </w:pPr>
      <w:r w:rsidRPr="004E2924">
        <w:t>-</w:t>
      </w:r>
      <w:r w:rsidRPr="004E2924">
        <w:tab/>
      </w:r>
      <w:r>
        <w:t>A</w:t>
      </w:r>
      <w:r w:rsidRPr="004E2924">
        <w:t xml:space="preserve"> possible new paragraph 2.1.4.2.4 at th</w:t>
      </w:r>
      <w:r>
        <w:t>e end of Section 2.1.4.</w:t>
      </w:r>
    </w:p>
    <w:p w:rsidR="00E040BE" w:rsidRDefault="001A4720" w:rsidP="00E040BE">
      <w:pPr>
        <w:pStyle w:val="SingleTxtG"/>
      </w:pPr>
      <w:r>
        <w:t>-</w:t>
      </w:r>
      <w:r>
        <w:tab/>
        <w:t xml:space="preserve">Figures 2.1.1 and 2.1.2, which </w:t>
      </w:r>
      <w:r w:rsidR="00CF3B9C">
        <w:t>replace</w:t>
      </w:r>
      <w:r>
        <w:t xml:space="preserve"> current Figures 2.1.1 and 2.1.4. Note also that the detailed flow-charts </w:t>
      </w:r>
      <w:r w:rsidR="00CF3B9C">
        <w:t xml:space="preserve">in </w:t>
      </w:r>
      <w:r>
        <w:t xml:space="preserve">current Figures 2.1.2 and 2.1.3 have been omitted, since they are a virtual duplication of the corresponding figures in the UN Manual of Tests and Criteria which is subject to proposed amendments to adapt it to the GHS (see </w:t>
      </w:r>
      <w:r w:rsidRPr="001A4720">
        <w:t>ST/SG/AC.10/C.4/2016/16 - ST/SG/AC.10/C.3/2016/83</w:t>
      </w:r>
      <w:r>
        <w:t>)</w:t>
      </w:r>
      <w:r w:rsidR="00CF3B9C">
        <w:t>.</w:t>
      </w:r>
    </w:p>
    <w:p w:rsidR="001A4720" w:rsidRDefault="00CF3B9C" w:rsidP="00E040BE">
      <w:pPr>
        <w:pStyle w:val="SingleTxtG"/>
      </w:pPr>
      <w:r>
        <w:t>The</w:t>
      </w:r>
      <w:r w:rsidRPr="004E2924">
        <w:t xml:space="preserve"> last sentences in paragraph 2.1.4.1 </w:t>
      </w:r>
      <w:r>
        <w:t>have been amended to reflect these changes to the figures.</w:t>
      </w:r>
    </w:p>
    <w:p w:rsidR="004E2924" w:rsidRPr="004E2924" w:rsidRDefault="004E2924" w:rsidP="004E2924">
      <w:pPr>
        <w:suppressAutoHyphens w:val="0"/>
        <w:spacing w:line="240" w:lineRule="auto"/>
      </w:pPr>
    </w:p>
    <w:p w:rsidR="00893C16" w:rsidRDefault="00893C16" w:rsidP="00074073">
      <w:pPr>
        <w:pStyle w:val="SingleTxtG"/>
      </w:pPr>
      <w:r w:rsidRPr="004E2924">
        <w:t xml:space="preserve">Since the changes </w:t>
      </w:r>
      <w:r>
        <w:t xml:space="preserve">to the Chapter </w:t>
      </w:r>
      <w:r w:rsidRPr="004E2924">
        <w:t xml:space="preserve">are extensive, the original text is not displayed. For </w:t>
      </w:r>
      <w:r w:rsidR="004224E1">
        <w:t>comparison</w:t>
      </w:r>
      <w:r w:rsidRPr="004E2924">
        <w:t>, see the current te</w:t>
      </w:r>
      <w:r>
        <w:t>xt of the Chapter in GHS Rev.6.</w:t>
      </w:r>
      <w:r>
        <w:br/>
      </w:r>
    </w:p>
    <w:p w:rsidR="00893C16" w:rsidRDefault="00893C16" w:rsidP="00074073">
      <w:pPr>
        <w:pStyle w:val="SingleTxtG"/>
      </w:pPr>
      <w:r>
        <w:t>Note that the text only reflects what was sent out to the ICG for comments in August 2016.</w:t>
      </w:r>
    </w:p>
    <w:p w:rsidR="00893C16" w:rsidRDefault="00893C16" w:rsidP="00893C16">
      <w:pPr>
        <w:suppressAutoHyphens w:val="0"/>
        <w:spacing w:line="240" w:lineRule="auto"/>
      </w:pPr>
      <w:r>
        <w:t>______________________________________________________________________________________________</w:t>
      </w:r>
    </w:p>
    <w:p w:rsidR="004E2924" w:rsidRDefault="004E2924" w:rsidP="004E2924">
      <w:pPr>
        <w:suppressAutoHyphens w:val="0"/>
        <w:spacing w:line="240" w:lineRule="auto"/>
      </w:pPr>
    </w:p>
    <w:p w:rsidR="004E2924" w:rsidRDefault="004E2924" w:rsidP="004E2924">
      <w:pPr>
        <w:suppressAutoHyphens w:val="0"/>
        <w:spacing w:line="240" w:lineRule="auto"/>
      </w:pPr>
    </w:p>
    <w:p w:rsidR="004E2924" w:rsidRPr="00022001" w:rsidRDefault="004E2924" w:rsidP="004E2924">
      <w:pPr>
        <w:pStyle w:val="GHSHeading2"/>
        <w:rPr>
          <w:color w:val="auto"/>
        </w:rPr>
      </w:pPr>
      <w:r w:rsidRPr="00022001">
        <w:rPr>
          <w:color w:val="auto"/>
        </w:rPr>
        <w:t>Chapter 2.1</w:t>
      </w:r>
    </w:p>
    <w:p w:rsidR="004E2924" w:rsidRPr="00022001" w:rsidRDefault="004E2924" w:rsidP="004E2924">
      <w:pPr>
        <w:pStyle w:val="GHSHeading2"/>
        <w:rPr>
          <w:color w:val="auto"/>
        </w:rPr>
      </w:pPr>
      <w:r w:rsidRPr="00022001">
        <w:rPr>
          <w:color w:val="auto"/>
        </w:rPr>
        <w:t>Explosives</w:t>
      </w:r>
    </w:p>
    <w:p w:rsidR="004E2924" w:rsidRPr="00022001" w:rsidRDefault="004E2924" w:rsidP="00074073">
      <w:pPr>
        <w:pStyle w:val="GHSHeading3"/>
        <w:tabs>
          <w:tab w:val="clear" w:pos="1418"/>
          <w:tab w:val="left" w:pos="1134"/>
        </w:tabs>
        <w:spacing w:before="480" w:after="240"/>
        <w:ind w:left="1134" w:right="1134"/>
        <w:rPr>
          <w:color w:val="auto"/>
          <w:sz w:val="20"/>
          <w:szCs w:val="20"/>
        </w:rPr>
      </w:pPr>
      <w:r w:rsidRPr="00022001">
        <w:rPr>
          <w:iCs/>
          <w:color w:val="auto"/>
          <w:sz w:val="20"/>
          <w:szCs w:val="20"/>
        </w:rPr>
        <w:t>2.1.1</w:t>
      </w:r>
      <w:r w:rsidRPr="00022001">
        <w:rPr>
          <w:iCs/>
          <w:color w:val="auto"/>
          <w:sz w:val="20"/>
          <w:szCs w:val="20"/>
        </w:rPr>
        <w:tab/>
        <w:t>Definitions</w:t>
      </w:r>
      <w:r w:rsidRPr="00022001">
        <w:rPr>
          <w:color w:val="auto"/>
          <w:sz w:val="20"/>
          <w:szCs w:val="20"/>
        </w:rPr>
        <w:t xml:space="preserve"> and general considerations</w:t>
      </w:r>
    </w:p>
    <w:p w:rsidR="004E2924" w:rsidRPr="00022001" w:rsidRDefault="004E2924" w:rsidP="00074073">
      <w:pPr>
        <w:pStyle w:val="GHSBodyText"/>
        <w:tabs>
          <w:tab w:val="clear" w:pos="1418"/>
          <w:tab w:val="left" w:pos="1134"/>
        </w:tabs>
        <w:ind w:left="1134" w:right="1134"/>
        <w:rPr>
          <w:sz w:val="20"/>
        </w:rPr>
      </w:pPr>
      <w:r w:rsidRPr="00022001">
        <w:rPr>
          <w:sz w:val="20"/>
        </w:rPr>
        <w:t>2.1.1.1</w:t>
      </w:r>
      <w:r w:rsidRPr="00022001">
        <w:rPr>
          <w:sz w:val="20"/>
        </w:rPr>
        <w:tab/>
        <w:t xml:space="preserve">An </w:t>
      </w:r>
      <w:r w:rsidRPr="00022001">
        <w:rPr>
          <w:i/>
          <w:iCs/>
          <w:sz w:val="20"/>
        </w:rPr>
        <w:t>explosive substance (or mixture)</w:t>
      </w:r>
      <w:r w:rsidRPr="00022001">
        <w:rPr>
          <w:sz w:val="20"/>
        </w:rPr>
        <w:t xml:space="preserve"> is a solid or liquid substance (or mixture of substances) which is in itself capable by chemical reaction of producing gas at such a temperature and pressure and at such a speed as to cause damage to the surroundings. Pyrotechnic substances (and mixtures) are included even when they do not evolve gases.</w:t>
      </w:r>
    </w:p>
    <w:p w:rsidR="004E2924" w:rsidRPr="00022001" w:rsidRDefault="004E2924" w:rsidP="00074073">
      <w:pPr>
        <w:pStyle w:val="GHSBodyText"/>
        <w:tabs>
          <w:tab w:val="clear" w:pos="1418"/>
          <w:tab w:val="left" w:pos="1134"/>
        </w:tabs>
        <w:ind w:left="1134" w:right="1134"/>
        <w:rPr>
          <w:sz w:val="20"/>
        </w:rPr>
      </w:pPr>
      <w:r w:rsidRPr="00022001">
        <w:rPr>
          <w:sz w:val="20"/>
        </w:rPr>
        <w:tab/>
        <w:t xml:space="preserve">A </w:t>
      </w:r>
      <w:r w:rsidRPr="00022001">
        <w:rPr>
          <w:i/>
          <w:iCs/>
          <w:sz w:val="20"/>
        </w:rPr>
        <w:t>pyrotechnic substance (or mixture)</w:t>
      </w:r>
      <w:r w:rsidRPr="00022001">
        <w:rPr>
          <w:sz w:val="20"/>
        </w:rPr>
        <w:t xml:space="preserve"> is a substance or mixture of substances designed to produce an effect by heat, light, sound, gas or smoke or a combination of these as the result of non-detonative self-sustaining exothermic chemical reactions.</w:t>
      </w:r>
    </w:p>
    <w:p w:rsidR="004E2924" w:rsidRPr="00022001" w:rsidRDefault="004E2924" w:rsidP="00074073">
      <w:pPr>
        <w:pStyle w:val="GHSBodyText"/>
        <w:ind w:left="1985" w:right="1134" w:hanging="851"/>
        <w:rPr>
          <w:sz w:val="20"/>
        </w:rPr>
      </w:pPr>
      <w:r w:rsidRPr="00022001">
        <w:rPr>
          <w:sz w:val="20"/>
        </w:rPr>
        <w:tab/>
      </w:r>
      <w:r w:rsidR="00074073">
        <w:rPr>
          <w:sz w:val="20"/>
        </w:rPr>
        <w:tab/>
      </w:r>
      <w:r w:rsidRPr="00022001">
        <w:rPr>
          <w:sz w:val="20"/>
        </w:rPr>
        <w:t xml:space="preserve">An </w:t>
      </w:r>
      <w:r w:rsidRPr="00022001">
        <w:rPr>
          <w:i/>
          <w:iCs/>
          <w:sz w:val="20"/>
        </w:rPr>
        <w:t>explosive article</w:t>
      </w:r>
      <w:r w:rsidRPr="00022001">
        <w:rPr>
          <w:sz w:val="20"/>
        </w:rPr>
        <w:t xml:space="preserve"> is an article containing one or more explosive substances or mixtures.</w:t>
      </w:r>
    </w:p>
    <w:p w:rsidR="004E2924" w:rsidRPr="00022001" w:rsidRDefault="004E2924" w:rsidP="00074073">
      <w:pPr>
        <w:pStyle w:val="GHSBodyText"/>
        <w:ind w:right="1134" w:firstLine="1134"/>
        <w:rPr>
          <w:sz w:val="20"/>
        </w:rPr>
      </w:pPr>
      <w:r w:rsidRPr="00022001">
        <w:rPr>
          <w:sz w:val="20"/>
        </w:rPr>
        <w:t>2.1.1.2</w:t>
      </w:r>
      <w:r w:rsidRPr="00022001">
        <w:rPr>
          <w:sz w:val="20"/>
        </w:rPr>
        <w:tab/>
        <w:t>The class of explosives comprises:</w:t>
      </w:r>
    </w:p>
    <w:p w:rsidR="004E2924" w:rsidRPr="00022001" w:rsidRDefault="004E2924" w:rsidP="00074073">
      <w:pPr>
        <w:pStyle w:val="GHSBodyText"/>
        <w:tabs>
          <w:tab w:val="clear" w:pos="1418"/>
        </w:tabs>
        <w:ind w:left="1933" w:right="1134" w:firstLine="52"/>
        <w:rPr>
          <w:sz w:val="20"/>
        </w:rPr>
      </w:pPr>
      <w:r w:rsidRPr="00022001">
        <w:rPr>
          <w:sz w:val="20"/>
        </w:rPr>
        <w:t>(a)</w:t>
      </w:r>
      <w:r w:rsidRPr="00022001">
        <w:rPr>
          <w:sz w:val="20"/>
        </w:rPr>
        <w:tab/>
        <w:t>Explosive substances and mixtures;</w:t>
      </w:r>
    </w:p>
    <w:p w:rsidR="004E2924" w:rsidRPr="00022001" w:rsidRDefault="004E2924" w:rsidP="00074073">
      <w:pPr>
        <w:pStyle w:val="GHSBodyText"/>
        <w:tabs>
          <w:tab w:val="clear" w:pos="1418"/>
        </w:tabs>
        <w:ind w:left="1933" w:right="1134" w:firstLine="52"/>
        <w:rPr>
          <w:sz w:val="20"/>
        </w:rPr>
      </w:pPr>
      <w:r w:rsidRPr="00022001">
        <w:rPr>
          <w:sz w:val="20"/>
        </w:rPr>
        <w:t>(b)</w:t>
      </w:r>
      <w:r w:rsidRPr="00022001">
        <w:rPr>
          <w:sz w:val="20"/>
        </w:rPr>
        <w:tab/>
        <w:t>Explosive articles, except devices containing explosive substances or mixtures in such quantity or of such a character that their inadvertent or accidental ignition or initiation shall not cause any effect external to the device either by projection, fire, smoke, heat or loud noise; and</w:t>
      </w:r>
    </w:p>
    <w:p w:rsidR="004E2924" w:rsidRPr="00022001" w:rsidRDefault="004E2924" w:rsidP="00074073">
      <w:pPr>
        <w:pStyle w:val="GHSBodyText"/>
        <w:tabs>
          <w:tab w:val="clear" w:pos="1418"/>
        </w:tabs>
        <w:ind w:left="1933" w:right="1134" w:firstLine="52"/>
        <w:rPr>
          <w:sz w:val="20"/>
        </w:rPr>
      </w:pPr>
      <w:r w:rsidRPr="00022001">
        <w:rPr>
          <w:sz w:val="20"/>
        </w:rPr>
        <w:lastRenderedPageBreak/>
        <w:t>(c)</w:t>
      </w:r>
      <w:r w:rsidRPr="00022001">
        <w:rPr>
          <w:sz w:val="20"/>
        </w:rPr>
        <w:tab/>
        <w:t>Substances, mixtures and articles not mentioned under (a) and (b) above which are manufactured with the view to producing a practical, explosive or pyrotechnic effect.</w:t>
      </w:r>
    </w:p>
    <w:p w:rsidR="004E2924" w:rsidRPr="00022001" w:rsidRDefault="004E2924" w:rsidP="00074073">
      <w:pPr>
        <w:pStyle w:val="GHSBodyText"/>
        <w:ind w:left="1134" w:right="1134"/>
        <w:rPr>
          <w:i/>
          <w:iCs/>
          <w:spacing w:val="-2"/>
          <w:sz w:val="20"/>
        </w:rPr>
      </w:pPr>
      <w:r w:rsidRPr="00022001">
        <w:rPr>
          <w:b/>
          <w:i/>
          <w:iCs/>
          <w:spacing w:val="-2"/>
          <w:sz w:val="20"/>
        </w:rPr>
        <w:t>NOTE:</w:t>
      </w:r>
      <w:r w:rsidRPr="00022001">
        <w:rPr>
          <w:i/>
          <w:iCs/>
          <w:spacing w:val="-2"/>
          <w:sz w:val="20"/>
        </w:rPr>
        <w:tab/>
        <w:t>Some explosive substances and mixtures are wetted with water or alcohols, diluted with other substances or dissolved or suspended in water or other liquid substances to suppress or reduce their explosives properties. They may be a candidate for classification as desensitized explosives (see Chapter 2.17) or may be treated differently from explosive substances and mixtures (as desensitized explosives) for some regulatory purposes (e.g. transport), see 1.3.2.4.5.2.</w:t>
      </w:r>
    </w:p>
    <w:p w:rsidR="004E2924" w:rsidRPr="00022001" w:rsidRDefault="004E2924" w:rsidP="00074073">
      <w:pPr>
        <w:pStyle w:val="GHSHeading3"/>
        <w:tabs>
          <w:tab w:val="clear" w:pos="1418"/>
        </w:tabs>
        <w:spacing w:after="240"/>
        <w:ind w:firstLine="1134"/>
        <w:rPr>
          <w:color w:val="auto"/>
          <w:sz w:val="20"/>
          <w:szCs w:val="20"/>
        </w:rPr>
      </w:pPr>
      <w:r w:rsidRPr="00022001">
        <w:rPr>
          <w:color w:val="auto"/>
          <w:sz w:val="20"/>
          <w:szCs w:val="20"/>
        </w:rPr>
        <w:t>2.1.2</w:t>
      </w:r>
      <w:r w:rsidRPr="00022001">
        <w:rPr>
          <w:color w:val="auto"/>
          <w:sz w:val="20"/>
          <w:szCs w:val="20"/>
        </w:rPr>
        <w:tab/>
      </w:r>
      <w:r w:rsidR="00893C16">
        <w:rPr>
          <w:color w:val="auto"/>
          <w:sz w:val="20"/>
          <w:szCs w:val="20"/>
        </w:rPr>
        <w:tab/>
      </w:r>
      <w:r w:rsidRPr="00022001">
        <w:rPr>
          <w:color w:val="auto"/>
          <w:sz w:val="20"/>
          <w:szCs w:val="20"/>
        </w:rPr>
        <w:t xml:space="preserve">Classification criteria </w:t>
      </w:r>
    </w:p>
    <w:p w:rsidR="004E2924" w:rsidRPr="00893C16" w:rsidRDefault="004E2924" w:rsidP="00074073">
      <w:pPr>
        <w:pStyle w:val="GHSBodyText"/>
        <w:ind w:left="1134" w:right="1134"/>
        <w:rPr>
          <w:sz w:val="20"/>
        </w:rPr>
      </w:pPr>
      <w:r w:rsidRPr="00022001">
        <w:rPr>
          <w:sz w:val="20"/>
        </w:rPr>
        <w:t>2.1.2.1</w:t>
      </w:r>
      <w:r w:rsidRPr="00022001">
        <w:rPr>
          <w:sz w:val="20"/>
        </w:rPr>
        <w:tab/>
        <w:t>Substances, mixtures and articles of this class are assigned to one of two categories in accordance wit</w:t>
      </w:r>
      <w:r w:rsidR="00893C16">
        <w:rPr>
          <w:sz w:val="20"/>
        </w:rPr>
        <w:t xml:space="preserve">h the criteria in Table 2.1.1. </w:t>
      </w:r>
    </w:p>
    <w:p w:rsidR="004E2924" w:rsidRPr="00893C16" w:rsidRDefault="004E2924" w:rsidP="004E2924">
      <w:pPr>
        <w:pStyle w:val="BodyText"/>
        <w:spacing w:after="200"/>
        <w:jc w:val="center"/>
        <w:rPr>
          <w:b/>
          <w:bCs/>
        </w:rPr>
      </w:pPr>
      <w:r w:rsidRPr="00893C16">
        <w:rPr>
          <w:b/>
        </w:rPr>
        <w:t>Table 2.1.1: Criteria for explosives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7858"/>
      </w:tblGrid>
      <w:tr w:rsidR="004E2924" w:rsidRPr="00022001" w:rsidTr="004E2924">
        <w:trPr>
          <w:cantSplit/>
        </w:trPr>
        <w:tc>
          <w:tcPr>
            <w:tcW w:w="1276" w:type="dxa"/>
          </w:tcPr>
          <w:p w:rsidR="004E2924" w:rsidRPr="00022001" w:rsidRDefault="004E2924" w:rsidP="0050143D">
            <w:pPr>
              <w:tabs>
                <w:tab w:val="left" w:pos="1418"/>
                <w:tab w:val="left" w:pos="1985"/>
                <w:tab w:val="left" w:pos="2552"/>
                <w:tab w:val="left" w:pos="3119"/>
              </w:tabs>
              <w:spacing w:before="40" w:after="40"/>
              <w:jc w:val="center"/>
              <w:rPr>
                <w:b/>
                <w:bCs/>
              </w:rPr>
            </w:pPr>
            <w:r w:rsidRPr="00022001">
              <w:rPr>
                <w:b/>
                <w:bCs/>
              </w:rPr>
              <w:t>Category</w:t>
            </w:r>
          </w:p>
        </w:tc>
        <w:tc>
          <w:tcPr>
            <w:tcW w:w="7858" w:type="dxa"/>
            <w:tcBorders>
              <w:bottom w:val="single" w:sz="4" w:space="0" w:color="auto"/>
            </w:tcBorders>
          </w:tcPr>
          <w:p w:rsidR="004E2924" w:rsidRPr="00022001" w:rsidRDefault="004E2924" w:rsidP="004E2924">
            <w:pPr>
              <w:tabs>
                <w:tab w:val="left" w:pos="1418"/>
                <w:tab w:val="left" w:pos="1985"/>
                <w:tab w:val="left" w:pos="2552"/>
                <w:tab w:val="left" w:pos="3119"/>
              </w:tabs>
              <w:spacing w:before="40" w:after="40"/>
              <w:jc w:val="center"/>
              <w:rPr>
                <w:b/>
                <w:bCs/>
              </w:rPr>
            </w:pPr>
            <w:r w:rsidRPr="00022001">
              <w:rPr>
                <w:b/>
                <w:bCs/>
              </w:rPr>
              <w:t>Criteria</w:t>
            </w:r>
          </w:p>
        </w:tc>
      </w:tr>
      <w:tr w:rsidR="004E2924" w:rsidRPr="009B4EBA" w:rsidTr="004E2924">
        <w:trPr>
          <w:cantSplit/>
        </w:trPr>
        <w:tc>
          <w:tcPr>
            <w:tcW w:w="1276" w:type="dxa"/>
          </w:tcPr>
          <w:p w:rsidR="004E2924" w:rsidRPr="00022001" w:rsidRDefault="004E2924" w:rsidP="0050143D">
            <w:pPr>
              <w:tabs>
                <w:tab w:val="left" w:pos="1418"/>
                <w:tab w:val="left" w:pos="1985"/>
                <w:tab w:val="left" w:pos="2552"/>
                <w:tab w:val="left" w:pos="3119"/>
              </w:tabs>
              <w:spacing w:before="40" w:after="40"/>
              <w:jc w:val="center"/>
              <w:rPr>
                <w:b/>
                <w:bCs/>
              </w:rPr>
            </w:pPr>
            <w:r w:rsidRPr="00022001">
              <w:rPr>
                <w:b/>
                <w:bCs/>
              </w:rPr>
              <w:t>1</w:t>
            </w:r>
          </w:p>
        </w:tc>
        <w:tc>
          <w:tcPr>
            <w:tcW w:w="7858" w:type="dxa"/>
            <w:tcBorders>
              <w:bottom w:val="single" w:sz="4" w:space="0" w:color="auto"/>
            </w:tcBorders>
          </w:tcPr>
          <w:p w:rsidR="004E2924" w:rsidRPr="00022001" w:rsidRDefault="004E2924" w:rsidP="004E2924">
            <w:pPr>
              <w:pStyle w:val="ListParagraph"/>
              <w:numPr>
                <w:ilvl w:val="0"/>
                <w:numId w:val="50"/>
              </w:numPr>
              <w:tabs>
                <w:tab w:val="left" w:pos="1418"/>
                <w:tab w:val="left" w:pos="1985"/>
                <w:tab w:val="left" w:pos="2552"/>
                <w:tab w:val="left" w:pos="3119"/>
              </w:tabs>
              <w:suppressAutoHyphens w:val="0"/>
              <w:spacing w:before="40" w:after="40" w:line="276" w:lineRule="auto"/>
              <w:ind w:left="459" w:hanging="425"/>
              <w:rPr>
                <w:bCs/>
              </w:rPr>
            </w:pPr>
            <w:r w:rsidRPr="00022001">
              <w:rPr>
                <w:bCs/>
              </w:rPr>
              <w:t xml:space="preserve">Substances and mixtures which show positive results in UN Test Series 3; and </w:t>
            </w:r>
            <w:r w:rsidRPr="00022001">
              <w:rPr>
                <w:bCs/>
              </w:rPr>
              <w:br/>
            </w:r>
          </w:p>
          <w:p w:rsidR="004E2924" w:rsidRPr="00022001" w:rsidRDefault="004E2924" w:rsidP="004E2924">
            <w:pPr>
              <w:pStyle w:val="ListParagraph"/>
              <w:numPr>
                <w:ilvl w:val="0"/>
                <w:numId w:val="50"/>
              </w:numPr>
              <w:tabs>
                <w:tab w:val="left" w:pos="1418"/>
                <w:tab w:val="left" w:pos="1985"/>
                <w:tab w:val="left" w:pos="2552"/>
                <w:tab w:val="left" w:pos="3119"/>
              </w:tabs>
              <w:suppressAutoHyphens w:val="0"/>
              <w:spacing w:before="40" w:after="40" w:line="276" w:lineRule="auto"/>
              <w:ind w:left="459" w:hanging="425"/>
              <w:rPr>
                <w:bCs/>
              </w:rPr>
            </w:pPr>
            <w:r w:rsidRPr="00022001">
              <w:rPr>
                <w:bCs/>
              </w:rPr>
              <w:t xml:space="preserve">articles which [, as packaged for transport] show positive results in UN Test Series 4 of the </w:t>
            </w:r>
            <w:r w:rsidRPr="00022001">
              <w:rPr>
                <w:i/>
              </w:rPr>
              <w:t>UN Recommendations on the Transport of Dangerous Goods - Manual of Tests and Criteria</w:t>
            </w:r>
            <w:r w:rsidRPr="00022001">
              <w:t>; and</w:t>
            </w:r>
            <w:r w:rsidRPr="00022001">
              <w:br/>
            </w:r>
          </w:p>
          <w:p w:rsidR="004E2924" w:rsidRPr="00022001" w:rsidRDefault="004E2924" w:rsidP="004E2924">
            <w:pPr>
              <w:pStyle w:val="ListParagraph"/>
              <w:numPr>
                <w:ilvl w:val="0"/>
                <w:numId w:val="50"/>
              </w:numPr>
              <w:tabs>
                <w:tab w:val="left" w:pos="1418"/>
                <w:tab w:val="left" w:pos="1985"/>
                <w:tab w:val="left" w:pos="2552"/>
                <w:tab w:val="left" w:pos="3119"/>
              </w:tabs>
              <w:suppressAutoHyphens w:val="0"/>
              <w:spacing w:before="40" w:after="40" w:line="276" w:lineRule="auto"/>
              <w:ind w:left="459" w:hanging="425"/>
              <w:rPr>
                <w:bCs/>
              </w:rPr>
            </w:pPr>
            <w:proofErr w:type="gramStart"/>
            <w:r w:rsidRPr="00022001">
              <w:t>ammonium</w:t>
            </w:r>
            <w:proofErr w:type="gramEnd"/>
            <w:r w:rsidRPr="00022001">
              <w:t xml:space="preserve"> nitrate emulsion, suspensions and gels which show positive results in Test 8(a)</w:t>
            </w:r>
            <w:r w:rsidRPr="00022001">
              <w:rPr>
                <w:i/>
              </w:rPr>
              <w:t xml:space="preserve"> </w:t>
            </w:r>
            <w:r w:rsidRPr="00022001">
              <w:rPr>
                <w:bCs/>
              </w:rPr>
              <w:t xml:space="preserve">of the </w:t>
            </w:r>
            <w:r w:rsidRPr="00022001">
              <w:rPr>
                <w:i/>
              </w:rPr>
              <w:t>UN Recommendations on the Transport of Dangerous Goods - Manual of Tests and Criteria.</w:t>
            </w:r>
          </w:p>
        </w:tc>
      </w:tr>
      <w:tr w:rsidR="004E2924" w:rsidRPr="009B4EBA" w:rsidTr="004E2924">
        <w:trPr>
          <w:cantSplit/>
          <w:trHeight w:val="250"/>
        </w:trPr>
        <w:tc>
          <w:tcPr>
            <w:tcW w:w="1276" w:type="dxa"/>
          </w:tcPr>
          <w:p w:rsidR="004E2924" w:rsidRPr="00022001" w:rsidRDefault="004E2924" w:rsidP="0050143D">
            <w:pPr>
              <w:tabs>
                <w:tab w:val="left" w:pos="1418"/>
                <w:tab w:val="left" w:pos="1985"/>
                <w:tab w:val="left" w:pos="2552"/>
                <w:tab w:val="left" w:pos="3119"/>
              </w:tabs>
              <w:spacing w:before="40" w:after="40"/>
              <w:jc w:val="center"/>
              <w:rPr>
                <w:b/>
                <w:bCs/>
              </w:rPr>
            </w:pPr>
            <w:r w:rsidRPr="00022001">
              <w:rPr>
                <w:b/>
                <w:bCs/>
              </w:rPr>
              <w:t>2</w:t>
            </w:r>
          </w:p>
        </w:tc>
        <w:tc>
          <w:tcPr>
            <w:tcW w:w="7858" w:type="dxa"/>
            <w:tcBorders>
              <w:bottom w:val="single" w:sz="4" w:space="0" w:color="auto"/>
            </w:tcBorders>
          </w:tcPr>
          <w:p w:rsidR="004E2924" w:rsidRPr="00022001" w:rsidRDefault="004E2924" w:rsidP="004E2924">
            <w:pPr>
              <w:tabs>
                <w:tab w:val="left" w:pos="1418"/>
                <w:tab w:val="left" w:pos="1985"/>
                <w:tab w:val="left" w:pos="2552"/>
                <w:tab w:val="left" w:pos="3119"/>
              </w:tabs>
              <w:spacing w:before="40" w:after="40"/>
            </w:pPr>
            <w:r w:rsidRPr="00022001">
              <w:t>Substances, mixtures and articles which do not fulfil the criteria f</w:t>
            </w:r>
            <w:r w:rsidR="00893C16">
              <w:t>or inclusion in Category 1; and</w:t>
            </w:r>
          </w:p>
          <w:p w:rsidR="004E2924" w:rsidRPr="00022001" w:rsidRDefault="004E2924" w:rsidP="004E2924">
            <w:pPr>
              <w:pStyle w:val="ListParagraph"/>
              <w:numPr>
                <w:ilvl w:val="0"/>
                <w:numId w:val="49"/>
              </w:numPr>
              <w:tabs>
                <w:tab w:val="left" w:pos="1418"/>
                <w:tab w:val="left" w:pos="1985"/>
                <w:tab w:val="left" w:pos="2552"/>
                <w:tab w:val="left" w:pos="3119"/>
              </w:tabs>
              <w:suppressAutoHyphens w:val="0"/>
              <w:spacing w:before="40" w:after="40" w:line="276" w:lineRule="auto"/>
            </w:pPr>
            <w:r w:rsidRPr="00022001">
              <w:t>have been manufactured with a view to produce an explosive or pyrotechnic effect; or</w:t>
            </w:r>
            <w:r w:rsidRPr="00022001">
              <w:br/>
            </w:r>
          </w:p>
          <w:p w:rsidR="004E2924" w:rsidRPr="00022001" w:rsidRDefault="004E2924" w:rsidP="004E2924">
            <w:pPr>
              <w:pStyle w:val="ListParagraph"/>
              <w:numPr>
                <w:ilvl w:val="0"/>
                <w:numId w:val="49"/>
              </w:numPr>
              <w:tabs>
                <w:tab w:val="left" w:pos="1418"/>
                <w:tab w:val="left" w:pos="1985"/>
                <w:tab w:val="left" w:pos="2552"/>
                <w:tab w:val="left" w:pos="3119"/>
              </w:tabs>
              <w:suppressAutoHyphens w:val="0"/>
              <w:spacing w:before="40" w:after="40" w:line="276" w:lineRule="auto"/>
            </w:pPr>
            <w:r w:rsidRPr="00022001">
              <w:t xml:space="preserve">are substances or mixtures which show positive effects in UN </w:t>
            </w:r>
            <w:proofErr w:type="spellStart"/>
            <w:r w:rsidRPr="00022001">
              <w:t>Testseries</w:t>
            </w:r>
            <w:proofErr w:type="spellEnd"/>
            <w:r w:rsidRPr="00022001">
              <w:t xml:space="preserve"> 2 of the</w:t>
            </w:r>
            <w:r w:rsidRPr="00022001">
              <w:rPr>
                <w:i/>
              </w:rPr>
              <w:t xml:space="preserve"> UN Recommendations on the Transport of Dangerous Goods, Manual of Tests and Criteria</w:t>
            </w:r>
            <w:r w:rsidRPr="00022001">
              <w:t xml:space="preserve"> and which, as packaged, are not excluded from the hazard class of explosives on basis of their behaviour in Test Series 6; or</w:t>
            </w:r>
            <w:r w:rsidRPr="00022001">
              <w:br/>
            </w:r>
          </w:p>
          <w:p w:rsidR="004E2924" w:rsidRPr="00022001" w:rsidRDefault="004E2924" w:rsidP="004E2924">
            <w:pPr>
              <w:pStyle w:val="ListParagraph"/>
              <w:numPr>
                <w:ilvl w:val="0"/>
                <w:numId w:val="49"/>
              </w:numPr>
              <w:tabs>
                <w:tab w:val="left" w:pos="1418"/>
                <w:tab w:val="left" w:pos="1985"/>
                <w:tab w:val="left" w:pos="2552"/>
                <w:tab w:val="left" w:pos="3119"/>
              </w:tabs>
              <w:suppressAutoHyphens w:val="0"/>
              <w:spacing w:before="40" w:after="40" w:line="276" w:lineRule="auto"/>
            </w:pPr>
            <w:r w:rsidRPr="00022001">
              <w:t>are articles containing explosive substances or mixtures and which are not excluded from the hazard class of explosives by definition of 2.1.1.2(b); or</w:t>
            </w:r>
            <w:r w:rsidRPr="00022001">
              <w:br/>
            </w:r>
          </w:p>
          <w:p w:rsidR="004E2924" w:rsidRPr="00022001" w:rsidRDefault="004E2924" w:rsidP="004E2924">
            <w:pPr>
              <w:pStyle w:val="ListParagraph"/>
              <w:numPr>
                <w:ilvl w:val="0"/>
                <w:numId w:val="49"/>
              </w:numPr>
              <w:tabs>
                <w:tab w:val="left" w:pos="1418"/>
                <w:tab w:val="left" w:pos="1985"/>
                <w:tab w:val="left" w:pos="2552"/>
                <w:tab w:val="left" w:pos="3119"/>
              </w:tabs>
              <w:suppressAutoHyphens w:val="0"/>
              <w:spacing w:before="40" w:after="40" w:line="276" w:lineRule="auto"/>
              <w:rPr>
                <w:b/>
                <w:bCs/>
              </w:rPr>
            </w:pPr>
            <w:proofErr w:type="gramStart"/>
            <w:r w:rsidRPr="00022001">
              <w:t>are</w:t>
            </w:r>
            <w:proofErr w:type="gramEnd"/>
            <w:r w:rsidRPr="00022001">
              <w:t xml:space="preserve"> ammonium nitrate emulsions, suspensions or gels which show positive results in Test 8(b) or 8(c) </w:t>
            </w:r>
            <w:r w:rsidRPr="00022001">
              <w:rPr>
                <w:bCs/>
              </w:rPr>
              <w:t xml:space="preserve">of the </w:t>
            </w:r>
            <w:r w:rsidRPr="00022001">
              <w:rPr>
                <w:i/>
              </w:rPr>
              <w:t>UN Recommendations on the Transport of Dangerous Goods, Manual of Tests and Criteria</w:t>
            </w:r>
            <w:r w:rsidRPr="00022001">
              <w:t>.</w:t>
            </w:r>
          </w:p>
        </w:tc>
      </w:tr>
    </w:tbl>
    <w:p w:rsidR="004E2924" w:rsidRPr="00022001" w:rsidRDefault="00893C16" w:rsidP="00074073">
      <w:pPr>
        <w:pStyle w:val="GHSBodyText"/>
        <w:ind w:left="1134" w:right="1134"/>
        <w:rPr>
          <w:sz w:val="20"/>
        </w:rPr>
      </w:pPr>
      <w:r>
        <w:rPr>
          <w:sz w:val="20"/>
        </w:rPr>
        <w:br/>
      </w:r>
      <w:r w:rsidR="004E2924" w:rsidRPr="00022001">
        <w:rPr>
          <w:sz w:val="20"/>
        </w:rPr>
        <w:t>2.1.2.2</w:t>
      </w:r>
      <w:r w:rsidR="004E2924" w:rsidRPr="00022001">
        <w:rPr>
          <w:sz w:val="20"/>
        </w:rPr>
        <w:tab/>
        <w:t>Explosives in category 2 are further assigned to sub-category A or B in accordance with the criteria in Table 2.1.2.</w:t>
      </w:r>
    </w:p>
    <w:p w:rsidR="00074073" w:rsidRDefault="00074073">
      <w:pPr>
        <w:suppressAutoHyphens w:val="0"/>
        <w:spacing w:line="240" w:lineRule="auto"/>
        <w:rPr>
          <w:b/>
        </w:rPr>
      </w:pPr>
      <w:r>
        <w:rPr>
          <w:b/>
        </w:rPr>
        <w:br w:type="page"/>
      </w:r>
    </w:p>
    <w:p w:rsidR="004E2924" w:rsidRPr="00022001" w:rsidRDefault="004E2924" w:rsidP="004E2924">
      <w:pPr>
        <w:pStyle w:val="GHSBodyText"/>
        <w:jc w:val="center"/>
        <w:rPr>
          <w:b/>
          <w:sz w:val="20"/>
        </w:rPr>
      </w:pPr>
      <w:r w:rsidRPr="00022001">
        <w:rPr>
          <w:b/>
          <w:sz w:val="20"/>
        </w:rPr>
        <w:lastRenderedPageBreak/>
        <w:t>Table 2.1.2 Criteria for sub-categories of explosives in category 2</w:t>
      </w:r>
    </w:p>
    <w:tbl>
      <w:tblPr>
        <w:tblStyle w:val="TableGrid"/>
        <w:tblW w:w="0" w:type="auto"/>
        <w:tblLook w:val="04A0" w:firstRow="1" w:lastRow="0" w:firstColumn="1" w:lastColumn="0" w:noHBand="0" w:noVBand="1"/>
      </w:tblPr>
      <w:tblGrid>
        <w:gridCol w:w="1526"/>
        <w:gridCol w:w="7640"/>
      </w:tblGrid>
      <w:tr w:rsidR="004E2924" w:rsidRPr="00022001" w:rsidTr="004E2924">
        <w:tc>
          <w:tcPr>
            <w:tcW w:w="1526" w:type="dxa"/>
          </w:tcPr>
          <w:p w:rsidR="004E2924" w:rsidRPr="00022001" w:rsidRDefault="004E2924" w:rsidP="0050143D">
            <w:pPr>
              <w:pStyle w:val="GHSBodyText"/>
              <w:jc w:val="center"/>
              <w:rPr>
                <w:b/>
                <w:sz w:val="20"/>
              </w:rPr>
            </w:pPr>
            <w:r w:rsidRPr="00022001">
              <w:rPr>
                <w:b/>
                <w:sz w:val="20"/>
              </w:rPr>
              <w:t>Sub-category</w:t>
            </w:r>
          </w:p>
        </w:tc>
        <w:tc>
          <w:tcPr>
            <w:tcW w:w="7640" w:type="dxa"/>
          </w:tcPr>
          <w:p w:rsidR="004E2924" w:rsidRPr="00022001" w:rsidRDefault="004E2924" w:rsidP="004E2924">
            <w:pPr>
              <w:pStyle w:val="GHSBodyText"/>
              <w:jc w:val="center"/>
              <w:rPr>
                <w:b/>
                <w:sz w:val="20"/>
              </w:rPr>
            </w:pPr>
            <w:r w:rsidRPr="00022001">
              <w:rPr>
                <w:b/>
                <w:sz w:val="20"/>
              </w:rPr>
              <w:t>Criteria</w:t>
            </w:r>
          </w:p>
        </w:tc>
      </w:tr>
      <w:tr w:rsidR="004E2924" w:rsidRPr="008D3DC6" w:rsidTr="004E2924">
        <w:tc>
          <w:tcPr>
            <w:tcW w:w="1526" w:type="dxa"/>
          </w:tcPr>
          <w:p w:rsidR="004E2924" w:rsidRPr="00022001" w:rsidRDefault="004E2924" w:rsidP="0050143D">
            <w:pPr>
              <w:pStyle w:val="GHSBodyText"/>
              <w:jc w:val="center"/>
              <w:rPr>
                <w:b/>
                <w:sz w:val="20"/>
              </w:rPr>
            </w:pPr>
            <w:r w:rsidRPr="00022001">
              <w:rPr>
                <w:b/>
                <w:sz w:val="20"/>
              </w:rPr>
              <w:t>2A</w:t>
            </w:r>
          </w:p>
        </w:tc>
        <w:tc>
          <w:tcPr>
            <w:tcW w:w="7640" w:type="dxa"/>
          </w:tcPr>
          <w:p w:rsidR="004E2924" w:rsidRPr="00022001" w:rsidRDefault="004E2924" w:rsidP="004E2924">
            <w:pPr>
              <w:pStyle w:val="GHSBodyText"/>
              <w:rPr>
                <w:sz w:val="20"/>
              </w:rPr>
            </w:pPr>
            <w:r w:rsidRPr="00022001">
              <w:rPr>
                <w:sz w:val="20"/>
              </w:rPr>
              <w:t>Explosives in Category 2</w:t>
            </w:r>
            <w:r>
              <w:rPr>
                <w:sz w:val="20"/>
              </w:rPr>
              <w:t>, ex</w:t>
            </w:r>
            <w:r w:rsidRPr="00022001">
              <w:rPr>
                <w:sz w:val="20"/>
              </w:rPr>
              <w:t xml:space="preserve">cept those that fulfil the criteria for being classified in sub-category </w:t>
            </w:r>
            <w:r>
              <w:rPr>
                <w:sz w:val="20"/>
              </w:rPr>
              <w:t>2</w:t>
            </w:r>
            <w:r w:rsidRPr="00022001">
              <w:rPr>
                <w:sz w:val="20"/>
              </w:rPr>
              <w:t>B.</w:t>
            </w:r>
          </w:p>
        </w:tc>
      </w:tr>
      <w:tr w:rsidR="004E2924" w:rsidRPr="00022001" w:rsidTr="004E2924">
        <w:tc>
          <w:tcPr>
            <w:tcW w:w="1526" w:type="dxa"/>
          </w:tcPr>
          <w:p w:rsidR="004E2924" w:rsidRPr="00022001" w:rsidRDefault="004E2924" w:rsidP="0050143D">
            <w:pPr>
              <w:pStyle w:val="GHSBodyText"/>
              <w:spacing w:before="100" w:after="100"/>
              <w:jc w:val="center"/>
              <w:rPr>
                <w:b/>
                <w:sz w:val="20"/>
              </w:rPr>
            </w:pPr>
            <w:r w:rsidRPr="00022001">
              <w:rPr>
                <w:b/>
                <w:sz w:val="20"/>
              </w:rPr>
              <w:t>2B</w:t>
            </w:r>
          </w:p>
        </w:tc>
        <w:tc>
          <w:tcPr>
            <w:tcW w:w="7640" w:type="dxa"/>
          </w:tcPr>
          <w:p w:rsidR="004E2924" w:rsidRPr="00022001" w:rsidRDefault="004E2924" w:rsidP="004E2924">
            <w:pPr>
              <w:pStyle w:val="GHSBodyText"/>
              <w:rPr>
                <w:sz w:val="20"/>
              </w:rPr>
            </w:pPr>
            <w:r w:rsidRPr="00022001">
              <w:rPr>
                <w:sz w:val="20"/>
              </w:rPr>
              <w:t xml:space="preserve">[Explosive articles/Explosives] in Category 2 which fulfil the conditions for being assigned the following UN-numbers in accordance with the </w:t>
            </w:r>
            <w:r w:rsidRPr="00022001">
              <w:rPr>
                <w:i/>
                <w:sz w:val="20"/>
              </w:rPr>
              <w:t>UN Recommendations on the  Transport of Dangerous Goods, Model Regulations*</w:t>
            </w:r>
            <w:r w:rsidRPr="00022001">
              <w:rPr>
                <w:sz w:val="20"/>
              </w:rPr>
              <w:t>:</w:t>
            </w:r>
          </w:p>
          <w:p w:rsidR="004E2924" w:rsidRPr="00022001" w:rsidRDefault="004E2924" w:rsidP="004E2924">
            <w:pPr>
              <w:pStyle w:val="GHSBodyText"/>
              <w:rPr>
                <w:sz w:val="20"/>
              </w:rPr>
            </w:pPr>
            <w:r w:rsidRPr="00022001">
              <w:rPr>
                <w:sz w:val="20"/>
              </w:rPr>
              <w:t xml:space="preserve">[0012; 0014; </w:t>
            </w:r>
            <w:r>
              <w:rPr>
                <w:sz w:val="20"/>
              </w:rPr>
              <w:t>0044; 0055; 0066</w:t>
            </w:r>
            <w:r w:rsidRPr="00022001">
              <w:rPr>
                <w:sz w:val="20"/>
              </w:rPr>
              <w:t>; 0070; 0105; 0131; 0173; 0174; 0191; 0197; 0276; 0278;</w:t>
            </w:r>
            <w:r>
              <w:rPr>
                <w:sz w:val="20"/>
              </w:rPr>
              <w:t xml:space="preserve"> 306; 0312</w:t>
            </w:r>
            <w:r w:rsidRPr="00022001">
              <w:rPr>
                <w:sz w:val="20"/>
              </w:rPr>
              <w:t xml:space="preserve">; </w:t>
            </w:r>
            <w:r>
              <w:rPr>
                <w:sz w:val="20"/>
              </w:rPr>
              <w:t xml:space="preserve">0317; 0323; 0325; </w:t>
            </w:r>
            <w:r w:rsidRPr="009D6917">
              <w:rPr>
                <w:strike/>
                <w:sz w:val="20"/>
              </w:rPr>
              <w:t>0336</w:t>
            </w:r>
            <w:r w:rsidRPr="00022001">
              <w:rPr>
                <w:sz w:val="20"/>
              </w:rPr>
              <w:t>; 0337</w:t>
            </w:r>
            <w:r>
              <w:rPr>
                <w:sz w:val="20"/>
              </w:rPr>
              <w:t>; 0338; 0339; 0345; 0368</w:t>
            </w:r>
            <w:r w:rsidRPr="00022001">
              <w:rPr>
                <w:sz w:val="20"/>
              </w:rPr>
              <w:t xml:space="preserve">; 0373; </w:t>
            </w:r>
            <w:r>
              <w:rPr>
                <w:sz w:val="20"/>
              </w:rPr>
              <w:t xml:space="preserve">0379; </w:t>
            </w:r>
            <w:r w:rsidRPr="00022001">
              <w:rPr>
                <w:sz w:val="20"/>
              </w:rPr>
              <w:t xml:space="preserve">0403; 0404; </w:t>
            </w:r>
            <w:r>
              <w:rPr>
                <w:sz w:val="20"/>
              </w:rPr>
              <w:t>0405</w:t>
            </w:r>
            <w:r w:rsidRPr="00022001">
              <w:rPr>
                <w:sz w:val="20"/>
              </w:rPr>
              <w:t xml:space="preserve">; </w:t>
            </w:r>
            <w:r>
              <w:rPr>
                <w:sz w:val="20"/>
              </w:rPr>
              <w:t xml:space="preserve">0425; 0446; </w:t>
            </w:r>
            <w:r w:rsidRPr="00022001">
              <w:rPr>
                <w:sz w:val="20"/>
              </w:rPr>
              <w:t xml:space="preserve">0454; 0503; 0505; 0506; 0507; </w:t>
            </w:r>
            <w:r>
              <w:rPr>
                <w:sz w:val="20"/>
              </w:rPr>
              <w:t>[0509</w:t>
            </w:r>
            <w:r w:rsidRPr="00022001">
              <w:rPr>
                <w:sz w:val="20"/>
              </w:rPr>
              <w:t>;</w:t>
            </w:r>
            <w:r>
              <w:rPr>
                <w:sz w:val="20"/>
              </w:rPr>
              <w:t>]</w:t>
            </w:r>
            <w:r w:rsidRPr="00022001">
              <w:rPr>
                <w:sz w:val="20"/>
              </w:rPr>
              <w:t xml:space="preserve"> 0510.</w:t>
            </w:r>
            <w:r>
              <w:rPr>
                <w:sz w:val="20"/>
              </w:rPr>
              <w:t>]</w:t>
            </w:r>
          </w:p>
        </w:tc>
      </w:tr>
    </w:tbl>
    <w:p w:rsidR="004E2924" w:rsidRPr="00022001" w:rsidRDefault="004E2924" w:rsidP="004E2924">
      <w:pPr>
        <w:pStyle w:val="GHSBodyText"/>
        <w:rPr>
          <w:vertAlign w:val="superscript"/>
        </w:rPr>
      </w:pPr>
    </w:p>
    <w:p w:rsidR="004E2924" w:rsidRPr="00022001" w:rsidRDefault="004E2924" w:rsidP="00074073">
      <w:pPr>
        <w:pStyle w:val="GHSBodyText"/>
        <w:ind w:left="1134" w:right="1134"/>
        <w:rPr>
          <w:sz w:val="20"/>
          <w:lang w:val="en-US"/>
        </w:rPr>
      </w:pPr>
      <w:r w:rsidRPr="00A23B8C">
        <w:rPr>
          <w:sz w:val="20"/>
        </w:rPr>
        <w:t>[</w:t>
      </w:r>
      <w:r w:rsidRPr="00022001">
        <w:rPr>
          <w:sz w:val="20"/>
          <w:vertAlign w:val="superscript"/>
        </w:rPr>
        <w:t>*</w:t>
      </w:r>
      <w:r w:rsidRPr="00022001">
        <w:rPr>
          <w:sz w:val="20"/>
          <w:lang w:val="en-US"/>
        </w:rPr>
        <w:t xml:space="preserve"> The assignment of the UN-number may depend on mitigation of the explosive effect by one or more levels of packaging such that, without that packaging, the assignment is no longer valid. Such articles cannot be classified in Sub-category</w:t>
      </w:r>
      <w:r>
        <w:rPr>
          <w:sz w:val="20"/>
          <w:lang w:val="en-US"/>
        </w:rPr>
        <w:t xml:space="preserve"> 2</w:t>
      </w:r>
      <w:r w:rsidRPr="00022001">
        <w:rPr>
          <w:sz w:val="20"/>
          <w:lang w:val="en-US"/>
        </w:rPr>
        <w:t>B unless they retain all the levels of packaging that provide the mitigating effect.</w:t>
      </w:r>
      <w:r>
        <w:rPr>
          <w:sz w:val="20"/>
          <w:lang w:val="en-US"/>
        </w:rPr>
        <w:t>]</w:t>
      </w:r>
    </w:p>
    <w:p w:rsidR="004E2924" w:rsidRPr="00022001" w:rsidRDefault="004E2924" w:rsidP="00074073">
      <w:pPr>
        <w:pStyle w:val="GHSBodyText"/>
        <w:ind w:left="1134" w:right="1134"/>
        <w:rPr>
          <w:sz w:val="20"/>
          <w:lang w:val="en-US"/>
        </w:rPr>
      </w:pPr>
      <w:r>
        <w:rPr>
          <w:sz w:val="20"/>
          <w:lang w:val="en-US"/>
        </w:rPr>
        <w:t>[</w:t>
      </w:r>
      <w:r w:rsidRPr="00022001">
        <w:rPr>
          <w:sz w:val="20"/>
          <w:lang w:val="en-US"/>
        </w:rPr>
        <w:t>For the purpose of retail display of a limited number of items, only the innermost packaging needs to be retained [, unless a competent authority requires otherwise].</w:t>
      </w:r>
      <w:r>
        <w:rPr>
          <w:sz w:val="20"/>
          <w:lang w:val="en-US"/>
        </w:rPr>
        <w:t>]</w:t>
      </w:r>
    </w:p>
    <w:p w:rsidR="004E2924" w:rsidRPr="00022001" w:rsidRDefault="004E2924" w:rsidP="00074073">
      <w:pPr>
        <w:pStyle w:val="GHSBodyText"/>
        <w:ind w:left="1134" w:right="1134"/>
        <w:rPr>
          <w:i/>
          <w:iCs/>
          <w:spacing w:val="-2"/>
          <w:sz w:val="20"/>
        </w:rPr>
      </w:pPr>
      <w:r w:rsidRPr="00022001">
        <w:rPr>
          <w:b/>
          <w:i/>
          <w:iCs/>
          <w:spacing w:val="-2"/>
          <w:sz w:val="20"/>
        </w:rPr>
        <w:t>NOTE:</w:t>
      </w:r>
      <w:r w:rsidRPr="00022001">
        <w:rPr>
          <w:i/>
          <w:iCs/>
          <w:spacing w:val="-2"/>
          <w:sz w:val="20"/>
        </w:rPr>
        <w:tab/>
        <w:t>For classification tests on solid substances or mixtures, the tests should be performed on the substance or mixture as presented. If for example, for the purposes of supply or transport, the same chemical is to be presented in a physical form different from that which was tested and which is considered likely to materially alter its performance in a classification test, the substance or mixture must also be tested in the new form.</w:t>
      </w:r>
    </w:p>
    <w:p w:rsidR="004E2924" w:rsidRPr="00022001" w:rsidRDefault="004E2924" w:rsidP="00074073">
      <w:pPr>
        <w:pStyle w:val="GHSBodyText"/>
        <w:tabs>
          <w:tab w:val="clear" w:pos="1418"/>
        </w:tabs>
        <w:ind w:left="1134" w:right="1134"/>
        <w:rPr>
          <w:sz w:val="20"/>
        </w:rPr>
      </w:pPr>
      <w:r w:rsidRPr="00022001">
        <w:rPr>
          <w:sz w:val="20"/>
        </w:rPr>
        <w:t>2.1.2.3</w:t>
      </w:r>
      <w:r w:rsidRPr="00022001">
        <w:rPr>
          <w:sz w:val="20"/>
        </w:rPr>
        <w:tab/>
      </w:r>
      <w:r>
        <w:rPr>
          <w:sz w:val="20"/>
        </w:rPr>
        <w:t>[</w:t>
      </w:r>
      <w:r w:rsidRPr="00022001">
        <w:rPr>
          <w:sz w:val="20"/>
        </w:rPr>
        <w:t>For some regulatory purposes (e.g. transport),</w:t>
      </w:r>
      <w:r>
        <w:rPr>
          <w:sz w:val="20"/>
        </w:rPr>
        <w:t>]</w:t>
      </w:r>
      <w:r w:rsidRPr="00022001">
        <w:rPr>
          <w:sz w:val="20"/>
        </w:rPr>
        <w:t xml:space="preserve"> explosives in category 2 are assigned to one of six divisions in accordance with  Chapter 2.1 of the </w:t>
      </w:r>
      <w:r w:rsidRPr="00022001">
        <w:rPr>
          <w:i/>
          <w:sz w:val="20"/>
        </w:rPr>
        <w:t>UN Recommendations on the Transport of Dangerous Goods, Model Regulations</w:t>
      </w:r>
      <w:r w:rsidRPr="00022001">
        <w:rPr>
          <w:sz w:val="20"/>
        </w:rPr>
        <w:t xml:space="preserve">. The allocation to a division is generally done on basis of results in UN </w:t>
      </w:r>
      <w:proofErr w:type="spellStart"/>
      <w:r w:rsidRPr="00022001">
        <w:rPr>
          <w:sz w:val="20"/>
        </w:rPr>
        <w:t>Testseries</w:t>
      </w:r>
      <w:proofErr w:type="spellEnd"/>
      <w:r w:rsidRPr="00022001">
        <w:rPr>
          <w:sz w:val="20"/>
        </w:rPr>
        <w:t xml:space="preserve"> 5-7 of the </w:t>
      </w:r>
      <w:r w:rsidRPr="00022001">
        <w:rPr>
          <w:i/>
          <w:sz w:val="20"/>
        </w:rPr>
        <w:t>UN Recommendations on the Transport of Dangerous Goods, Manual of Tests and Criteria</w:t>
      </w:r>
      <w:r w:rsidRPr="00022001">
        <w:rPr>
          <w:sz w:val="20"/>
        </w:rPr>
        <w:t>.</w:t>
      </w:r>
    </w:p>
    <w:p w:rsidR="004E2924" w:rsidRPr="00022001" w:rsidDel="00461C71" w:rsidRDefault="004E2924" w:rsidP="004E2924">
      <w:pPr>
        <w:pStyle w:val="GHSBodyText"/>
        <w:jc w:val="center"/>
        <w:rPr>
          <w:b/>
          <w:sz w:val="20"/>
        </w:rPr>
      </w:pPr>
      <w:r w:rsidRPr="00022001">
        <w:rPr>
          <w:b/>
          <w:sz w:val="20"/>
        </w:rPr>
        <w:t xml:space="preserve">Table 2.1.3: Divisions of explosives in category 2 </w:t>
      </w:r>
      <w:r>
        <w:rPr>
          <w:b/>
          <w:sz w:val="20"/>
        </w:rPr>
        <w:t>[</w:t>
      </w:r>
      <w:r w:rsidRPr="00022001">
        <w:rPr>
          <w:b/>
          <w:sz w:val="20"/>
        </w:rPr>
        <w:t>(for some regulatory purposes)</w:t>
      </w:r>
      <w:r>
        <w:rPr>
          <w:b/>
          <w:sz w:val="20"/>
        </w:rPr>
        <w:t>]</w:t>
      </w:r>
    </w:p>
    <w:tbl>
      <w:tblPr>
        <w:tblStyle w:val="TableGrid"/>
        <w:tblW w:w="0" w:type="auto"/>
        <w:tblLook w:val="04A0" w:firstRow="1" w:lastRow="0" w:firstColumn="1" w:lastColumn="0" w:noHBand="0" w:noVBand="1"/>
      </w:tblPr>
      <w:tblGrid>
        <w:gridCol w:w="917"/>
        <w:gridCol w:w="8938"/>
      </w:tblGrid>
      <w:tr w:rsidR="004E2924" w:rsidRPr="00022001" w:rsidTr="004E2924">
        <w:tc>
          <w:tcPr>
            <w:tcW w:w="0" w:type="auto"/>
          </w:tcPr>
          <w:p w:rsidR="004E2924" w:rsidRPr="00022001" w:rsidRDefault="004E2924" w:rsidP="004E2924">
            <w:pPr>
              <w:pStyle w:val="GHSBodyText"/>
              <w:rPr>
                <w:b/>
                <w:sz w:val="20"/>
              </w:rPr>
            </w:pPr>
            <w:r w:rsidRPr="00022001">
              <w:rPr>
                <w:b/>
                <w:sz w:val="20"/>
              </w:rPr>
              <w:t>Division</w:t>
            </w:r>
          </w:p>
        </w:tc>
        <w:tc>
          <w:tcPr>
            <w:tcW w:w="0" w:type="auto"/>
          </w:tcPr>
          <w:p w:rsidR="004E2924" w:rsidRPr="00022001" w:rsidRDefault="004E2924" w:rsidP="004E2924">
            <w:pPr>
              <w:pStyle w:val="GHSBodyText"/>
              <w:jc w:val="center"/>
              <w:rPr>
                <w:b/>
                <w:sz w:val="20"/>
              </w:rPr>
            </w:pPr>
            <w:r w:rsidRPr="00022001">
              <w:rPr>
                <w:b/>
                <w:sz w:val="20"/>
              </w:rPr>
              <w:t>Description</w:t>
            </w:r>
          </w:p>
        </w:tc>
      </w:tr>
      <w:tr w:rsidR="004E2924" w:rsidRPr="008D3DC6" w:rsidTr="004E2924">
        <w:tc>
          <w:tcPr>
            <w:tcW w:w="0" w:type="auto"/>
          </w:tcPr>
          <w:p w:rsidR="004E2924" w:rsidRPr="0050143D" w:rsidRDefault="004E2924" w:rsidP="0050143D">
            <w:pPr>
              <w:pStyle w:val="GHSBodyText"/>
              <w:jc w:val="center"/>
              <w:rPr>
                <w:b/>
                <w:sz w:val="20"/>
              </w:rPr>
            </w:pPr>
            <w:r w:rsidRPr="0050143D">
              <w:rPr>
                <w:b/>
                <w:sz w:val="20"/>
              </w:rPr>
              <w:t>1.1</w:t>
            </w:r>
          </w:p>
        </w:tc>
        <w:tc>
          <w:tcPr>
            <w:tcW w:w="0" w:type="auto"/>
          </w:tcPr>
          <w:p w:rsidR="004E2924" w:rsidRPr="00022001" w:rsidRDefault="004E2924" w:rsidP="004E2924">
            <w:pPr>
              <w:pStyle w:val="GHSBodyText"/>
              <w:rPr>
                <w:sz w:val="20"/>
              </w:rPr>
            </w:pPr>
            <w:r w:rsidRPr="00022001">
              <w:rPr>
                <w:sz w:val="20"/>
              </w:rPr>
              <w:t>Substances, mixtures and articles which have a mass explosion hazard (a mass explosion is one which affects almost the entire quantity present virtually instantaneously);</w:t>
            </w:r>
          </w:p>
        </w:tc>
      </w:tr>
      <w:tr w:rsidR="004E2924" w:rsidRPr="008D3DC6" w:rsidTr="004E2924">
        <w:tc>
          <w:tcPr>
            <w:tcW w:w="0" w:type="auto"/>
          </w:tcPr>
          <w:p w:rsidR="004E2924" w:rsidRPr="0050143D" w:rsidRDefault="004E2924" w:rsidP="0050143D">
            <w:pPr>
              <w:pStyle w:val="GHSBodyText"/>
              <w:jc w:val="center"/>
              <w:rPr>
                <w:b/>
                <w:sz w:val="20"/>
              </w:rPr>
            </w:pPr>
            <w:r w:rsidRPr="0050143D">
              <w:rPr>
                <w:b/>
                <w:sz w:val="20"/>
              </w:rPr>
              <w:t>1.2</w:t>
            </w:r>
          </w:p>
        </w:tc>
        <w:tc>
          <w:tcPr>
            <w:tcW w:w="0" w:type="auto"/>
          </w:tcPr>
          <w:p w:rsidR="004E2924" w:rsidRPr="00022001" w:rsidRDefault="004E2924" w:rsidP="004E2924">
            <w:pPr>
              <w:pStyle w:val="GHSBodyText"/>
              <w:rPr>
                <w:sz w:val="20"/>
              </w:rPr>
            </w:pPr>
            <w:r w:rsidRPr="00022001">
              <w:rPr>
                <w:sz w:val="20"/>
              </w:rPr>
              <w:t>Substances, mixtures and articles which have a projection hazard but not a mass explosion hazard;</w:t>
            </w:r>
          </w:p>
        </w:tc>
      </w:tr>
      <w:tr w:rsidR="004E2924" w:rsidRPr="008D3DC6" w:rsidTr="004E2924">
        <w:tc>
          <w:tcPr>
            <w:tcW w:w="0" w:type="auto"/>
          </w:tcPr>
          <w:p w:rsidR="004E2924" w:rsidRPr="0050143D" w:rsidRDefault="004E2924" w:rsidP="0050143D">
            <w:pPr>
              <w:pStyle w:val="GHSBodyText"/>
              <w:jc w:val="center"/>
              <w:rPr>
                <w:b/>
                <w:sz w:val="20"/>
              </w:rPr>
            </w:pPr>
            <w:r w:rsidRPr="0050143D">
              <w:rPr>
                <w:b/>
                <w:sz w:val="20"/>
              </w:rPr>
              <w:t>1.3</w:t>
            </w:r>
          </w:p>
        </w:tc>
        <w:tc>
          <w:tcPr>
            <w:tcW w:w="0" w:type="auto"/>
          </w:tcPr>
          <w:p w:rsidR="004E2924" w:rsidRPr="00022001" w:rsidRDefault="004E2924" w:rsidP="004E2924">
            <w:pPr>
              <w:pStyle w:val="GHSBodyText"/>
              <w:tabs>
                <w:tab w:val="clear" w:pos="1418"/>
                <w:tab w:val="clear" w:pos="1985"/>
                <w:tab w:val="clear" w:pos="3119"/>
                <w:tab w:val="left" w:pos="1881"/>
                <w:tab w:val="left" w:pos="3249"/>
              </w:tabs>
              <w:rPr>
                <w:sz w:val="20"/>
              </w:rPr>
            </w:pPr>
            <w:r w:rsidRPr="00022001">
              <w:rPr>
                <w:sz w:val="20"/>
              </w:rPr>
              <w:t>Substances, mixtures and articles which have a fire hazard and either a minor blast hazard or a minor projection hazard or both, but not a mass explosion hazard:</w:t>
            </w:r>
          </w:p>
          <w:p w:rsidR="004E2924" w:rsidRPr="00022001" w:rsidRDefault="004E2924" w:rsidP="004E2924">
            <w:pPr>
              <w:pStyle w:val="GHSBodyText"/>
              <w:numPr>
                <w:ilvl w:val="0"/>
                <w:numId w:val="48"/>
              </w:numPr>
              <w:tabs>
                <w:tab w:val="clear" w:pos="1985"/>
                <w:tab w:val="clear" w:pos="2552"/>
                <w:tab w:val="clear" w:pos="3686"/>
                <w:tab w:val="left" w:pos="3762"/>
              </w:tabs>
              <w:spacing w:beforeAutospacing="1" w:afterAutospacing="1"/>
              <w:ind w:left="742" w:hanging="382"/>
              <w:rPr>
                <w:sz w:val="20"/>
              </w:rPr>
            </w:pPr>
            <w:r w:rsidRPr="00022001">
              <w:rPr>
                <w:sz w:val="20"/>
              </w:rPr>
              <w:t>combustion of which gives rise to considerable radiant heat; or</w:t>
            </w:r>
          </w:p>
          <w:p w:rsidR="004E2924" w:rsidRPr="00022001" w:rsidRDefault="004E2924" w:rsidP="004E2924">
            <w:pPr>
              <w:pStyle w:val="GHSBodyText"/>
              <w:numPr>
                <w:ilvl w:val="0"/>
                <w:numId w:val="48"/>
              </w:numPr>
              <w:tabs>
                <w:tab w:val="clear" w:pos="1985"/>
                <w:tab w:val="clear" w:pos="2552"/>
                <w:tab w:val="clear" w:pos="3686"/>
                <w:tab w:val="left" w:pos="3762"/>
              </w:tabs>
              <w:spacing w:beforeAutospacing="1" w:afterAutospacing="1"/>
              <w:ind w:left="742" w:hanging="382"/>
              <w:rPr>
                <w:sz w:val="20"/>
              </w:rPr>
            </w:pPr>
            <w:r w:rsidRPr="00022001">
              <w:rPr>
                <w:sz w:val="20"/>
              </w:rPr>
              <w:t>which burn one after another, producing minor blast or projection effects or both;</w:t>
            </w:r>
          </w:p>
        </w:tc>
      </w:tr>
      <w:tr w:rsidR="004E2924" w:rsidRPr="008D3DC6" w:rsidTr="004E2924">
        <w:tc>
          <w:tcPr>
            <w:tcW w:w="0" w:type="auto"/>
          </w:tcPr>
          <w:p w:rsidR="004E2924" w:rsidRPr="0050143D" w:rsidRDefault="004E2924" w:rsidP="00074073">
            <w:pPr>
              <w:pStyle w:val="GHSBodyText"/>
              <w:keepNext/>
              <w:keepLines/>
              <w:jc w:val="center"/>
              <w:rPr>
                <w:b/>
                <w:sz w:val="20"/>
              </w:rPr>
            </w:pPr>
            <w:r w:rsidRPr="0050143D">
              <w:rPr>
                <w:b/>
                <w:sz w:val="20"/>
              </w:rPr>
              <w:lastRenderedPageBreak/>
              <w:t>1.4</w:t>
            </w:r>
          </w:p>
        </w:tc>
        <w:tc>
          <w:tcPr>
            <w:tcW w:w="0" w:type="auto"/>
          </w:tcPr>
          <w:p w:rsidR="004E2924" w:rsidRPr="00022001" w:rsidRDefault="004E2924" w:rsidP="00074073">
            <w:pPr>
              <w:pStyle w:val="GHSBodyText"/>
              <w:keepNext/>
              <w:keepLines/>
              <w:rPr>
                <w:sz w:val="20"/>
              </w:rPr>
            </w:pPr>
            <w:r w:rsidRPr="00022001">
              <w:rPr>
                <w:sz w:val="20"/>
              </w:rPr>
              <w:t>Substances, mixtures and articles which present no significant hazard: substances, mixtures and articles which present only a small hazard in the event of ignition or initiation. The effects are largely confined to the package and no projection of fragments of appreciable size or range is to be expected. An external fire shall not cause virtually instantaneous explosion of almost the entire contents of the package;</w:t>
            </w:r>
          </w:p>
        </w:tc>
      </w:tr>
      <w:tr w:rsidR="004E2924" w:rsidRPr="008D3DC6" w:rsidTr="004E2924">
        <w:tc>
          <w:tcPr>
            <w:tcW w:w="0" w:type="auto"/>
          </w:tcPr>
          <w:p w:rsidR="004E2924" w:rsidRPr="0050143D" w:rsidRDefault="004E2924" w:rsidP="0050143D">
            <w:pPr>
              <w:pStyle w:val="GHSBodyText"/>
              <w:jc w:val="center"/>
              <w:rPr>
                <w:b/>
                <w:sz w:val="20"/>
              </w:rPr>
            </w:pPr>
            <w:r w:rsidRPr="0050143D">
              <w:rPr>
                <w:b/>
                <w:sz w:val="20"/>
              </w:rPr>
              <w:t>1.5</w:t>
            </w:r>
          </w:p>
        </w:tc>
        <w:tc>
          <w:tcPr>
            <w:tcW w:w="0" w:type="auto"/>
          </w:tcPr>
          <w:p w:rsidR="004E2924" w:rsidRPr="00022001" w:rsidRDefault="004E2924" w:rsidP="004E2924">
            <w:pPr>
              <w:pStyle w:val="GHSBodyText"/>
              <w:tabs>
                <w:tab w:val="clear" w:pos="1418"/>
                <w:tab w:val="clear" w:pos="1985"/>
                <w:tab w:val="clear" w:pos="3119"/>
                <w:tab w:val="left" w:pos="1881"/>
                <w:tab w:val="left" w:pos="3249"/>
              </w:tabs>
              <w:rPr>
                <w:sz w:val="20"/>
              </w:rPr>
            </w:pPr>
            <w:r w:rsidRPr="00022001">
              <w:rPr>
                <w:sz w:val="20"/>
              </w:rPr>
              <w:t>Very insensitive substances or mixtures which have a mass explosion hazard: substances and mixtures which have a mass explosion hazard but are so insensitive that there is very little probability of initiation or of transition from burning to detonation under normal conditions;</w:t>
            </w:r>
          </w:p>
        </w:tc>
      </w:tr>
      <w:tr w:rsidR="004E2924" w:rsidRPr="008D3DC6" w:rsidTr="004E2924">
        <w:tc>
          <w:tcPr>
            <w:tcW w:w="0" w:type="auto"/>
          </w:tcPr>
          <w:p w:rsidR="004E2924" w:rsidRPr="0050143D" w:rsidRDefault="004E2924" w:rsidP="0050143D">
            <w:pPr>
              <w:pStyle w:val="GHSBodyText"/>
              <w:jc w:val="center"/>
              <w:rPr>
                <w:b/>
                <w:sz w:val="20"/>
              </w:rPr>
            </w:pPr>
            <w:r w:rsidRPr="0050143D">
              <w:rPr>
                <w:b/>
                <w:sz w:val="20"/>
              </w:rPr>
              <w:t>1.6</w:t>
            </w:r>
          </w:p>
        </w:tc>
        <w:tc>
          <w:tcPr>
            <w:tcW w:w="0" w:type="auto"/>
          </w:tcPr>
          <w:p w:rsidR="004E2924" w:rsidRPr="00022001" w:rsidRDefault="004E2924" w:rsidP="004E2924">
            <w:pPr>
              <w:pStyle w:val="GHSBodyText"/>
              <w:rPr>
                <w:sz w:val="20"/>
              </w:rPr>
            </w:pPr>
            <w:r w:rsidRPr="00022001">
              <w:rPr>
                <w:sz w:val="20"/>
              </w:rPr>
              <w:t>Extremely insensitive articles which do not have a mass explosion hazard: articles which predominantly contain extremely insensitive substances or mixtures and which demonstrate a negligible probability of accidental initiation or propagation.</w:t>
            </w:r>
          </w:p>
        </w:tc>
      </w:tr>
    </w:tbl>
    <w:p w:rsidR="004E2924" w:rsidRPr="00022001" w:rsidRDefault="00893C16" w:rsidP="00074073">
      <w:pPr>
        <w:pStyle w:val="GHSBodyText"/>
        <w:ind w:left="1134" w:right="1134"/>
        <w:rPr>
          <w:i/>
          <w:iCs/>
          <w:spacing w:val="-2"/>
          <w:sz w:val="20"/>
        </w:rPr>
      </w:pPr>
      <w:r>
        <w:rPr>
          <w:sz w:val="20"/>
        </w:rPr>
        <w:br/>
      </w:r>
      <w:r w:rsidR="004E2924" w:rsidRPr="00022001">
        <w:rPr>
          <w:b/>
          <w:i/>
          <w:iCs/>
          <w:spacing w:val="-2"/>
          <w:sz w:val="20"/>
        </w:rPr>
        <w:t>NOTE:</w:t>
      </w:r>
      <w:r w:rsidR="004E2924" w:rsidRPr="00022001">
        <w:rPr>
          <w:i/>
          <w:iCs/>
          <w:spacing w:val="-2"/>
          <w:sz w:val="20"/>
        </w:rPr>
        <w:tab/>
        <w:t>Explosives in divisions 1.1 to 1.6, may, for some regulatory purposes (e.g. transport), be assigned compatibility groups A to S (see UN Recommendations on the Transport of Dangerous Goods, Model Regulations, Chapter 2.1).</w:t>
      </w:r>
    </w:p>
    <w:p w:rsidR="004E2924" w:rsidRPr="00022001" w:rsidRDefault="004E2924" w:rsidP="00074073">
      <w:pPr>
        <w:pStyle w:val="GHSHeading3"/>
        <w:spacing w:after="240"/>
        <w:ind w:firstLine="1134"/>
        <w:rPr>
          <w:color w:val="auto"/>
          <w:sz w:val="20"/>
          <w:szCs w:val="20"/>
        </w:rPr>
      </w:pPr>
      <w:r w:rsidRPr="00022001">
        <w:rPr>
          <w:color w:val="auto"/>
          <w:sz w:val="20"/>
          <w:szCs w:val="20"/>
        </w:rPr>
        <w:t>2.1.3</w:t>
      </w:r>
      <w:r w:rsidRPr="00022001">
        <w:rPr>
          <w:color w:val="auto"/>
          <w:sz w:val="20"/>
          <w:szCs w:val="20"/>
        </w:rPr>
        <w:tab/>
        <w:t>Hazard communication</w:t>
      </w:r>
    </w:p>
    <w:p w:rsidR="004E2924" w:rsidRPr="00022001" w:rsidRDefault="004E2924" w:rsidP="00074073">
      <w:pPr>
        <w:pStyle w:val="GHSBodyText"/>
        <w:keepNext/>
        <w:keepLines/>
        <w:ind w:left="1134" w:right="1134"/>
        <w:rPr>
          <w:sz w:val="20"/>
        </w:rPr>
      </w:pPr>
      <w:r w:rsidRPr="00022001">
        <w:rPr>
          <w:sz w:val="20"/>
        </w:rPr>
        <w:tab/>
        <w:t xml:space="preserve">General and specific considerations concerning labelling requirements are provided in </w:t>
      </w:r>
      <w:r w:rsidRPr="00022001">
        <w:rPr>
          <w:i/>
          <w:iCs/>
          <w:sz w:val="20"/>
        </w:rPr>
        <w:t>Hazard communication: Labelling</w:t>
      </w:r>
      <w:r w:rsidRPr="00022001">
        <w:rPr>
          <w:sz w:val="20"/>
        </w:rPr>
        <w:t xml:space="preserve"> (Chapter 1.4). Annex 1 contains summary tables about classification and labelling. Annex 3 contains examples of precautionary statements and pictograms which can be used where allowed by the competent authority.</w:t>
      </w:r>
    </w:p>
    <w:p w:rsidR="004E2924" w:rsidRPr="00022001" w:rsidRDefault="004E2924" w:rsidP="004E2924">
      <w:pPr>
        <w:keepNext/>
        <w:keepLines/>
        <w:jc w:val="center"/>
        <w:rPr>
          <w:b/>
          <w:bCs/>
        </w:rPr>
      </w:pPr>
      <w:r w:rsidRPr="00022001">
        <w:rPr>
          <w:b/>
          <w:bCs/>
        </w:rPr>
        <w:t>Table 2.1.3: Label elements for explosives</w:t>
      </w:r>
      <w:r>
        <w:rPr>
          <w:b/>
          <w:bCs/>
        </w:rPr>
        <w:br/>
      </w:r>
    </w:p>
    <w:tbl>
      <w:tblPr>
        <w:tblW w:w="10776" w:type="dxa"/>
        <w:jc w:val="center"/>
        <w:tblInd w:w="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35"/>
        <w:gridCol w:w="1134"/>
        <w:gridCol w:w="1134"/>
        <w:gridCol w:w="1134"/>
        <w:gridCol w:w="1134"/>
        <w:gridCol w:w="1275"/>
        <w:gridCol w:w="1276"/>
        <w:gridCol w:w="1286"/>
        <w:gridCol w:w="1268"/>
      </w:tblGrid>
      <w:tr w:rsidR="004E2924" w:rsidRPr="004E2924" w:rsidTr="004E2924">
        <w:trPr>
          <w:jc w:val="center"/>
        </w:trPr>
        <w:tc>
          <w:tcPr>
            <w:tcW w:w="1135" w:type="dxa"/>
            <w:vMerge w:val="restart"/>
          </w:tcPr>
          <w:p w:rsidR="004E2924" w:rsidRPr="004E2924" w:rsidRDefault="004E2924" w:rsidP="004E2924">
            <w:pPr>
              <w:keepNext/>
              <w:keepLines/>
              <w:tabs>
                <w:tab w:val="left" w:pos="1134"/>
                <w:tab w:val="left" w:pos="1701"/>
                <w:tab w:val="left" w:pos="2268"/>
                <w:tab w:val="left" w:pos="2835"/>
                <w:tab w:val="left" w:pos="3402"/>
                <w:tab w:val="left" w:pos="3969"/>
                <w:tab w:val="left" w:pos="4536"/>
              </w:tabs>
              <w:suppressAutoHyphens w:val="0"/>
              <w:spacing w:before="40" w:after="40" w:line="276" w:lineRule="auto"/>
              <w:rPr>
                <w:rFonts w:eastAsia="Calibri"/>
                <w:b/>
              </w:rPr>
            </w:pPr>
            <w:r w:rsidRPr="004E2924">
              <w:rPr>
                <w:rFonts w:eastAsia="Calibri"/>
                <w:b/>
              </w:rPr>
              <w:t>Category</w:t>
            </w:r>
          </w:p>
        </w:tc>
        <w:tc>
          <w:tcPr>
            <w:tcW w:w="1134" w:type="dxa"/>
            <w:vMerge w:val="restart"/>
          </w:tcPr>
          <w:p w:rsidR="004E2924" w:rsidRPr="004E2924" w:rsidRDefault="004E2924" w:rsidP="004E2924">
            <w:pPr>
              <w:keepNext/>
              <w:keepLines/>
              <w:tabs>
                <w:tab w:val="left" w:pos="1134"/>
                <w:tab w:val="left" w:pos="1701"/>
                <w:tab w:val="left" w:pos="2268"/>
                <w:tab w:val="left" w:pos="2835"/>
                <w:tab w:val="left" w:pos="3402"/>
                <w:tab w:val="left" w:pos="3969"/>
                <w:tab w:val="left" w:pos="4536"/>
              </w:tabs>
              <w:suppressAutoHyphens w:val="0"/>
              <w:spacing w:before="40" w:after="40" w:line="240" w:lineRule="auto"/>
              <w:jc w:val="center"/>
              <w:outlineLvl w:val="4"/>
              <w:rPr>
                <w:b/>
                <w:bCs/>
                <w:szCs w:val="16"/>
              </w:rPr>
            </w:pPr>
            <w:r w:rsidRPr="004E2924">
              <w:rPr>
                <w:b/>
                <w:bCs/>
                <w:szCs w:val="16"/>
              </w:rPr>
              <w:t>1</w:t>
            </w:r>
          </w:p>
        </w:tc>
        <w:tc>
          <w:tcPr>
            <w:tcW w:w="8507" w:type="dxa"/>
            <w:gridSpan w:val="7"/>
          </w:tcPr>
          <w:p w:rsidR="004E2924" w:rsidRPr="004E2924" w:rsidRDefault="004E2924" w:rsidP="004E2924">
            <w:pPr>
              <w:keepNext/>
              <w:keepLines/>
              <w:tabs>
                <w:tab w:val="left" w:pos="1152"/>
                <w:tab w:val="left" w:pos="1701"/>
                <w:tab w:val="left" w:pos="2268"/>
                <w:tab w:val="left" w:pos="2835"/>
                <w:tab w:val="left" w:pos="3402"/>
                <w:tab w:val="left" w:pos="3969"/>
                <w:tab w:val="left" w:pos="4536"/>
              </w:tabs>
              <w:suppressAutoHyphens w:val="0"/>
              <w:spacing w:before="40" w:after="40" w:line="276" w:lineRule="auto"/>
              <w:jc w:val="center"/>
              <w:rPr>
                <w:rFonts w:eastAsia="Calibri"/>
                <w:b/>
              </w:rPr>
            </w:pPr>
            <w:r w:rsidRPr="004E2924">
              <w:rPr>
                <w:rFonts w:eastAsia="Calibri"/>
                <w:b/>
              </w:rPr>
              <w:t>2</w:t>
            </w:r>
          </w:p>
        </w:tc>
      </w:tr>
      <w:tr w:rsidR="004E2924" w:rsidRPr="004E2924" w:rsidTr="004E2924">
        <w:trPr>
          <w:jc w:val="center"/>
        </w:trPr>
        <w:tc>
          <w:tcPr>
            <w:tcW w:w="1135" w:type="dxa"/>
            <w:vMerge/>
          </w:tcPr>
          <w:p w:rsidR="004E2924" w:rsidRPr="004E2924" w:rsidRDefault="004E2924" w:rsidP="004E2924">
            <w:pPr>
              <w:keepNext/>
              <w:keepLines/>
              <w:tabs>
                <w:tab w:val="left" w:pos="1134"/>
                <w:tab w:val="left" w:pos="1701"/>
                <w:tab w:val="left" w:pos="2268"/>
                <w:tab w:val="left" w:pos="2835"/>
                <w:tab w:val="left" w:pos="3402"/>
                <w:tab w:val="left" w:pos="3969"/>
                <w:tab w:val="left" w:pos="4536"/>
              </w:tabs>
              <w:suppressAutoHyphens w:val="0"/>
              <w:spacing w:before="40" w:after="40" w:line="276" w:lineRule="auto"/>
              <w:rPr>
                <w:rFonts w:eastAsia="Calibri"/>
                <w:b/>
              </w:rPr>
            </w:pPr>
          </w:p>
        </w:tc>
        <w:tc>
          <w:tcPr>
            <w:tcW w:w="1134" w:type="dxa"/>
            <w:vMerge/>
          </w:tcPr>
          <w:p w:rsidR="004E2924" w:rsidRPr="004E2924" w:rsidRDefault="004E2924" w:rsidP="004E2924">
            <w:pPr>
              <w:keepNext/>
              <w:keepLines/>
              <w:tabs>
                <w:tab w:val="left" w:pos="1134"/>
                <w:tab w:val="left" w:pos="1701"/>
                <w:tab w:val="left" w:pos="2268"/>
                <w:tab w:val="left" w:pos="2835"/>
                <w:tab w:val="left" w:pos="3402"/>
                <w:tab w:val="left" w:pos="3969"/>
                <w:tab w:val="left" w:pos="4536"/>
              </w:tabs>
              <w:suppressAutoHyphens w:val="0"/>
              <w:spacing w:before="40" w:after="40" w:line="240" w:lineRule="auto"/>
              <w:jc w:val="center"/>
              <w:outlineLvl w:val="4"/>
              <w:rPr>
                <w:bCs/>
                <w:i/>
                <w:szCs w:val="16"/>
              </w:rPr>
            </w:pPr>
          </w:p>
        </w:tc>
        <w:tc>
          <w:tcPr>
            <w:tcW w:w="7239" w:type="dxa"/>
            <w:gridSpan w:val="6"/>
          </w:tcPr>
          <w:p w:rsidR="004E2924" w:rsidRPr="004E2924" w:rsidRDefault="004E2924" w:rsidP="004E2924">
            <w:pPr>
              <w:keepNext/>
              <w:keepLines/>
              <w:tabs>
                <w:tab w:val="left" w:pos="1152"/>
                <w:tab w:val="left" w:pos="1701"/>
                <w:tab w:val="left" w:pos="2268"/>
                <w:tab w:val="left" w:pos="2835"/>
                <w:tab w:val="left" w:pos="3402"/>
                <w:tab w:val="left" w:pos="3969"/>
                <w:tab w:val="left" w:pos="4536"/>
              </w:tabs>
              <w:suppressAutoHyphens w:val="0"/>
              <w:spacing w:before="40" w:after="40" w:line="276" w:lineRule="auto"/>
              <w:jc w:val="center"/>
              <w:rPr>
                <w:rFonts w:eastAsia="Calibri"/>
                <w:b/>
              </w:rPr>
            </w:pPr>
            <w:r w:rsidRPr="004E2924">
              <w:rPr>
                <w:rFonts w:eastAsia="Calibri"/>
                <w:b/>
              </w:rPr>
              <w:t>2A</w:t>
            </w:r>
          </w:p>
        </w:tc>
        <w:tc>
          <w:tcPr>
            <w:tcW w:w="1268" w:type="dxa"/>
          </w:tcPr>
          <w:p w:rsidR="004E2924" w:rsidRPr="004E2924" w:rsidRDefault="004E2924" w:rsidP="004E2924">
            <w:pPr>
              <w:keepNext/>
              <w:keepLines/>
              <w:tabs>
                <w:tab w:val="left" w:pos="1152"/>
                <w:tab w:val="left" w:pos="1701"/>
                <w:tab w:val="left" w:pos="2268"/>
                <w:tab w:val="left" w:pos="2835"/>
                <w:tab w:val="left" w:pos="3402"/>
                <w:tab w:val="left" w:pos="3969"/>
                <w:tab w:val="left" w:pos="4536"/>
              </w:tabs>
              <w:suppressAutoHyphens w:val="0"/>
              <w:spacing w:before="40" w:after="40" w:line="276" w:lineRule="auto"/>
              <w:jc w:val="center"/>
              <w:rPr>
                <w:rFonts w:eastAsia="Calibri"/>
                <w:b/>
              </w:rPr>
            </w:pPr>
            <w:r w:rsidRPr="004E2924">
              <w:rPr>
                <w:rFonts w:eastAsia="Calibri"/>
                <w:b/>
              </w:rPr>
              <w:t>2B</w:t>
            </w:r>
          </w:p>
        </w:tc>
      </w:tr>
      <w:tr w:rsidR="004E2924" w:rsidRPr="004E2924" w:rsidTr="004E2924">
        <w:trPr>
          <w:jc w:val="center"/>
        </w:trPr>
        <w:tc>
          <w:tcPr>
            <w:tcW w:w="1135" w:type="dxa"/>
          </w:tcPr>
          <w:p w:rsidR="004E2924" w:rsidRPr="004E2924" w:rsidRDefault="004E2924" w:rsidP="004E2924">
            <w:pPr>
              <w:keepNext/>
              <w:keepLines/>
              <w:tabs>
                <w:tab w:val="left" w:pos="1134"/>
                <w:tab w:val="left" w:pos="1701"/>
                <w:tab w:val="left" w:pos="2268"/>
                <w:tab w:val="left" w:pos="2835"/>
                <w:tab w:val="left" w:pos="3402"/>
                <w:tab w:val="left" w:pos="3969"/>
                <w:tab w:val="left" w:pos="4536"/>
              </w:tabs>
              <w:suppressAutoHyphens w:val="0"/>
              <w:spacing w:before="40" w:after="40" w:line="276" w:lineRule="auto"/>
              <w:rPr>
                <w:rFonts w:eastAsia="Calibri"/>
                <w:b/>
              </w:rPr>
            </w:pPr>
            <w:r w:rsidRPr="004E2924">
              <w:rPr>
                <w:rFonts w:eastAsia="Calibri"/>
                <w:b/>
              </w:rPr>
              <w:t>Division</w:t>
            </w:r>
          </w:p>
        </w:tc>
        <w:tc>
          <w:tcPr>
            <w:tcW w:w="1134" w:type="dxa"/>
          </w:tcPr>
          <w:p w:rsidR="004E2924" w:rsidRPr="004E2924" w:rsidRDefault="004E2924" w:rsidP="004E2924">
            <w:pPr>
              <w:keepNext/>
              <w:keepLines/>
              <w:tabs>
                <w:tab w:val="left" w:pos="1134"/>
                <w:tab w:val="left" w:pos="1701"/>
                <w:tab w:val="left" w:pos="2268"/>
                <w:tab w:val="left" w:pos="2835"/>
                <w:tab w:val="left" w:pos="3402"/>
                <w:tab w:val="left" w:pos="3969"/>
                <w:tab w:val="left" w:pos="4536"/>
              </w:tabs>
              <w:suppressAutoHyphens w:val="0"/>
              <w:spacing w:before="40" w:after="40" w:line="240" w:lineRule="auto"/>
              <w:jc w:val="center"/>
              <w:outlineLvl w:val="4"/>
              <w:rPr>
                <w:bCs/>
                <w:i/>
                <w:sz w:val="16"/>
                <w:szCs w:val="16"/>
              </w:rPr>
            </w:pPr>
            <w:r w:rsidRPr="004E2924">
              <w:rPr>
                <w:bCs/>
                <w:i/>
                <w:szCs w:val="16"/>
              </w:rPr>
              <w:t>No division</w:t>
            </w:r>
          </w:p>
        </w:tc>
        <w:tc>
          <w:tcPr>
            <w:tcW w:w="1134" w:type="dxa"/>
          </w:tcPr>
          <w:p w:rsidR="004E2924" w:rsidRPr="004E2924" w:rsidRDefault="004E2924" w:rsidP="004E2924">
            <w:pPr>
              <w:keepNext/>
              <w:keepLines/>
              <w:tabs>
                <w:tab w:val="left" w:pos="1134"/>
                <w:tab w:val="left" w:pos="1701"/>
                <w:tab w:val="left" w:pos="2268"/>
                <w:tab w:val="left" w:pos="2835"/>
                <w:tab w:val="left" w:pos="3402"/>
                <w:tab w:val="left" w:pos="3969"/>
                <w:tab w:val="left" w:pos="4536"/>
              </w:tabs>
              <w:suppressAutoHyphens w:val="0"/>
              <w:spacing w:before="40" w:after="40" w:line="240" w:lineRule="auto"/>
              <w:jc w:val="center"/>
              <w:outlineLvl w:val="4"/>
              <w:rPr>
                <w:b/>
                <w:bCs/>
              </w:rPr>
            </w:pPr>
            <w:r w:rsidRPr="004E2924">
              <w:rPr>
                <w:b/>
                <w:bCs/>
              </w:rPr>
              <w:t>1.1</w:t>
            </w:r>
          </w:p>
        </w:tc>
        <w:tc>
          <w:tcPr>
            <w:tcW w:w="1134" w:type="dxa"/>
          </w:tcPr>
          <w:p w:rsidR="004E2924" w:rsidRPr="004E2924" w:rsidRDefault="004E2924" w:rsidP="004E2924">
            <w:pPr>
              <w:keepNext/>
              <w:keepLines/>
              <w:tabs>
                <w:tab w:val="left" w:pos="1134"/>
                <w:tab w:val="left" w:pos="1701"/>
                <w:tab w:val="left" w:pos="2268"/>
                <w:tab w:val="left" w:pos="2835"/>
                <w:tab w:val="left" w:pos="3402"/>
                <w:tab w:val="left" w:pos="3969"/>
                <w:tab w:val="left" w:pos="4536"/>
              </w:tabs>
              <w:suppressAutoHyphens w:val="0"/>
              <w:spacing w:before="40" w:after="40" w:line="276" w:lineRule="auto"/>
              <w:jc w:val="center"/>
              <w:rPr>
                <w:rFonts w:eastAsia="Calibri"/>
                <w:b/>
              </w:rPr>
            </w:pPr>
            <w:r w:rsidRPr="004E2924">
              <w:rPr>
                <w:rFonts w:eastAsia="Calibri"/>
                <w:b/>
              </w:rPr>
              <w:t>1.2</w:t>
            </w:r>
          </w:p>
        </w:tc>
        <w:tc>
          <w:tcPr>
            <w:tcW w:w="1134" w:type="dxa"/>
          </w:tcPr>
          <w:p w:rsidR="004E2924" w:rsidRPr="004E2924" w:rsidRDefault="004E2924" w:rsidP="004E2924">
            <w:pPr>
              <w:keepNext/>
              <w:keepLines/>
              <w:tabs>
                <w:tab w:val="left" w:pos="1134"/>
                <w:tab w:val="left" w:pos="1701"/>
                <w:tab w:val="left" w:pos="2268"/>
                <w:tab w:val="left" w:pos="2835"/>
                <w:tab w:val="left" w:pos="3402"/>
                <w:tab w:val="left" w:pos="3969"/>
                <w:tab w:val="left" w:pos="4536"/>
              </w:tabs>
              <w:suppressAutoHyphens w:val="0"/>
              <w:spacing w:before="40" w:after="40" w:line="276" w:lineRule="auto"/>
              <w:jc w:val="center"/>
              <w:rPr>
                <w:rFonts w:eastAsia="Calibri"/>
                <w:b/>
              </w:rPr>
            </w:pPr>
            <w:r w:rsidRPr="004E2924">
              <w:rPr>
                <w:rFonts w:eastAsia="Calibri"/>
                <w:b/>
              </w:rPr>
              <w:t>1.3</w:t>
            </w:r>
          </w:p>
        </w:tc>
        <w:tc>
          <w:tcPr>
            <w:tcW w:w="1275" w:type="dxa"/>
          </w:tcPr>
          <w:p w:rsidR="004E2924" w:rsidRPr="004E2924" w:rsidRDefault="004E2924" w:rsidP="004E2924">
            <w:pPr>
              <w:keepNext/>
              <w:keepLines/>
              <w:tabs>
                <w:tab w:val="left" w:pos="1273"/>
                <w:tab w:val="left" w:pos="1701"/>
                <w:tab w:val="left" w:pos="2268"/>
                <w:tab w:val="left" w:pos="2835"/>
                <w:tab w:val="left" w:pos="3402"/>
                <w:tab w:val="left" w:pos="3969"/>
                <w:tab w:val="left" w:pos="4536"/>
              </w:tabs>
              <w:suppressAutoHyphens w:val="0"/>
              <w:spacing w:before="40" w:after="40" w:line="276" w:lineRule="auto"/>
              <w:jc w:val="center"/>
              <w:rPr>
                <w:rFonts w:eastAsia="Calibri"/>
                <w:b/>
              </w:rPr>
            </w:pPr>
            <w:r w:rsidRPr="004E2924">
              <w:rPr>
                <w:rFonts w:eastAsia="Calibri"/>
                <w:b/>
              </w:rPr>
              <w:t>1.4</w:t>
            </w:r>
          </w:p>
        </w:tc>
        <w:tc>
          <w:tcPr>
            <w:tcW w:w="1276" w:type="dxa"/>
          </w:tcPr>
          <w:p w:rsidR="004E2924" w:rsidRPr="004E2924" w:rsidRDefault="004E2924" w:rsidP="004E2924">
            <w:pPr>
              <w:keepNext/>
              <w:keepLines/>
              <w:tabs>
                <w:tab w:val="left" w:pos="1273"/>
                <w:tab w:val="left" w:pos="1701"/>
                <w:tab w:val="left" w:pos="2268"/>
                <w:tab w:val="left" w:pos="2835"/>
                <w:tab w:val="left" w:pos="3402"/>
                <w:tab w:val="left" w:pos="3969"/>
                <w:tab w:val="left" w:pos="4536"/>
              </w:tabs>
              <w:suppressAutoHyphens w:val="0"/>
              <w:spacing w:before="40" w:after="40" w:line="276" w:lineRule="auto"/>
              <w:jc w:val="center"/>
              <w:rPr>
                <w:rFonts w:eastAsia="Calibri"/>
                <w:b/>
              </w:rPr>
            </w:pPr>
            <w:r w:rsidRPr="004E2924">
              <w:rPr>
                <w:rFonts w:eastAsia="Calibri"/>
                <w:b/>
              </w:rPr>
              <w:t>1.5</w:t>
            </w:r>
          </w:p>
        </w:tc>
        <w:tc>
          <w:tcPr>
            <w:tcW w:w="1286" w:type="dxa"/>
          </w:tcPr>
          <w:p w:rsidR="004E2924" w:rsidRPr="004E2924" w:rsidRDefault="004E2924" w:rsidP="004E2924">
            <w:pPr>
              <w:keepNext/>
              <w:keepLines/>
              <w:tabs>
                <w:tab w:val="left" w:pos="1273"/>
                <w:tab w:val="left" w:pos="1701"/>
                <w:tab w:val="left" w:pos="2268"/>
                <w:tab w:val="left" w:pos="2835"/>
                <w:tab w:val="left" w:pos="3402"/>
                <w:tab w:val="left" w:pos="3969"/>
                <w:tab w:val="left" w:pos="4536"/>
              </w:tabs>
              <w:suppressAutoHyphens w:val="0"/>
              <w:spacing w:before="40" w:after="40" w:line="276" w:lineRule="auto"/>
              <w:jc w:val="center"/>
              <w:rPr>
                <w:rFonts w:eastAsia="Calibri"/>
                <w:b/>
              </w:rPr>
            </w:pPr>
            <w:r w:rsidRPr="004E2924">
              <w:rPr>
                <w:rFonts w:eastAsia="Calibri"/>
                <w:b/>
              </w:rPr>
              <w:t>1.6</w:t>
            </w:r>
          </w:p>
        </w:tc>
        <w:tc>
          <w:tcPr>
            <w:tcW w:w="1268" w:type="dxa"/>
          </w:tcPr>
          <w:p w:rsidR="004E2924" w:rsidRPr="004E2924" w:rsidRDefault="004E2924" w:rsidP="004E2924">
            <w:pPr>
              <w:keepNext/>
              <w:keepLines/>
              <w:tabs>
                <w:tab w:val="left" w:pos="1152"/>
                <w:tab w:val="left" w:pos="1701"/>
                <w:tab w:val="left" w:pos="2268"/>
                <w:tab w:val="left" w:pos="2835"/>
                <w:tab w:val="left" w:pos="3402"/>
                <w:tab w:val="left" w:pos="3969"/>
                <w:tab w:val="left" w:pos="4536"/>
              </w:tabs>
              <w:suppressAutoHyphens w:val="0"/>
              <w:spacing w:before="40" w:after="40" w:line="276" w:lineRule="auto"/>
              <w:jc w:val="center"/>
              <w:rPr>
                <w:rFonts w:eastAsia="Calibri"/>
                <w:b/>
              </w:rPr>
            </w:pPr>
            <w:r w:rsidRPr="004E2924">
              <w:rPr>
                <w:rFonts w:eastAsia="Calibri"/>
                <w:b/>
              </w:rPr>
              <w:t>1.4</w:t>
            </w:r>
          </w:p>
        </w:tc>
      </w:tr>
      <w:tr w:rsidR="004E2924" w:rsidRPr="004E2924" w:rsidTr="004E2924">
        <w:trPr>
          <w:jc w:val="center"/>
        </w:trPr>
        <w:tc>
          <w:tcPr>
            <w:tcW w:w="1135" w:type="dxa"/>
          </w:tcPr>
          <w:p w:rsidR="004E2924" w:rsidRPr="004E2924" w:rsidRDefault="004E2924" w:rsidP="004E2924">
            <w:pPr>
              <w:keepNext/>
              <w:keepLines/>
              <w:tabs>
                <w:tab w:val="left" w:pos="1134"/>
                <w:tab w:val="left" w:pos="1701"/>
                <w:tab w:val="left" w:pos="2268"/>
                <w:tab w:val="left" w:pos="2835"/>
                <w:tab w:val="left" w:pos="3402"/>
                <w:tab w:val="left" w:pos="3969"/>
                <w:tab w:val="left" w:pos="4536"/>
              </w:tabs>
              <w:suppressAutoHyphens w:val="0"/>
              <w:spacing w:before="30" w:after="30" w:line="276" w:lineRule="auto"/>
              <w:ind w:right="73"/>
              <w:rPr>
                <w:rFonts w:eastAsia="Calibri"/>
                <w:b/>
              </w:rPr>
            </w:pPr>
            <w:r w:rsidRPr="004E2924">
              <w:rPr>
                <w:rFonts w:eastAsia="Calibri"/>
                <w:b/>
              </w:rPr>
              <w:t>Symbol</w:t>
            </w:r>
          </w:p>
        </w:tc>
        <w:tc>
          <w:tcPr>
            <w:tcW w:w="1134" w:type="dxa"/>
          </w:tcPr>
          <w:p w:rsidR="004E2924" w:rsidRPr="004E2924" w:rsidRDefault="004E2924" w:rsidP="004E2924">
            <w:pPr>
              <w:keepNext/>
              <w:keepLines/>
              <w:tabs>
                <w:tab w:val="left" w:pos="1134"/>
                <w:tab w:val="left" w:pos="1701"/>
                <w:tab w:val="left" w:pos="2268"/>
                <w:tab w:val="left" w:pos="2835"/>
                <w:tab w:val="left" w:pos="3402"/>
                <w:tab w:val="left" w:pos="3969"/>
                <w:tab w:val="left" w:pos="4536"/>
              </w:tabs>
              <w:suppressAutoHyphens w:val="0"/>
              <w:spacing w:before="30" w:after="30" w:line="276" w:lineRule="auto"/>
              <w:jc w:val="center"/>
              <w:rPr>
                <w:rFonts w:eastAsia="Calibri"/>
              </w:rPr>
            </w:pPr>
            <w:r w:rsidRPr="004E2924">
              <w:rPr>
                <w:rFonts w:eastAsia="Calibri"/>
              </w:rPr>
              <w:t>Exploding bomb</w:t>
            </w:r>
          </w:p>
        </w:tc>
        <w:tc>
          <w:tcPr>
            <w:tcW w:w="1134" w:type="dxa"/>
          </w:tcPr>
          <w:p w:rsidR="004E2924" w:rsidRPr="004E2924" w:rsidRDefault="004E2924" w:rsidP="004E2924">
            <w:pPr>
              <w:keepNext/>
              <w:keepLines/>
              <w:tabs>
                <w:tab w:val="left" w:pos="1134"/>
                <w:tab w:val="left" w:pos="1701"/>
                <w:tab w:val="left" w:pos="2268"/>
                <w:tab w:val="left" w:pos="2835"/>
                <w:tab w:val="left" w:pos="3402"/>
                <w:tab w:val="left" w:pos="3969"/>
                <w:tab w:val="left" w:pos="4536"/>
              </w:tabs>
              <w:suppressAutoHyphens w:val="0"/>
              <w:spacing w:before="30" w:after="30" w:line="276" w:lineRule="auto"/>
              <w:jc w:val="center"/>
              <w:rPr>
                <w:rFonts w:eastAsia="Calibri"/>
              </w:rPr>
            </w:pPr>
            <w:r w:rsidRPr="004E2924">
              <w:rPr>
                <w:rFonts w:eastAsia="Calibri"/>
              </w:rPr>
              <w:t>Exploding bomb</w:t>
            </w:r>
          </w:p>
        </w:tc>
        <w:tc>
          <w:tcPr>
            <w:tcW w:w="1134" w:type="dxa"/>
          </w:tcPr>
          <w:p w:rsidR="004E2924" w:rsidRPr="004E2924" w:rsidRDefault="004E2924" w:rsidP="004E2924">
            <w:pPr>
              <w:keepNext/>
              <w:keepLines/>
              <w:tabs>
                <w:tab w:val="left" w:pos="1134"/>
                <w:tab w:val="left" w:pos="1701"/>
                <w:tab w:val="left" w:pos="2268"/>
                <w:tab w:val="left" w:pos="2835"/>
                <w:tab w:val="left" w:pos="3402"/>
                <w:tab w:val="left" w:pos="3969"/>
                <w:tab w:val="left" w:pos="4536"/>
              </w:tabs>
              <w:suppressAutoHyphens w:val="0"/>
              <w:spacing w:before="30" w:after="30" w:line="276" w:lineRule="auto"/>
              <w:jc w:val="center"/>
              <w:rPr>
                <w:rFonts w:eastAsia="Calibri"/>
              </w:rPr>
            </w:pPr>
            <w:r w:rsidRPr="004E2924">
              <w:rPr>
                <w:rFonts w:eastAsia="Calibri"/>
              </w:rPr>
              <w:t>Exploding bomb</w:t>
            </w:r>
          </w:p>
        </w:tc>
        <w:tc>
          <w:tcPr>
            <w:tcW w:w="1134" w:type="dxa"/>
          </w:tcPr>
          <w:p w:rsidR="004E2924" w:rsidRPr="004E2924" w:rsidRDefault="004E2924" w:rsidP="004E2924">
            <w:pPr>
              <w:keepNext/>
              <w:keepLines/>
              <w:tabs>
                <w:tab w:val="left" w:pos="1134"/>
                <w:tab w:val="left" w:pos="1701"/>
                <w:tab w:val="left" w:pos="2268"/>
                <w:tab w:val="left" w:pos="2835"/>
                <w:tab w:val="left" w:pos="3402"/>
                <w:tab w:val="left" w:pos="3969"/>
                <w:tab w:val="left" w:pos="4536"/>
              </w:tabs>
              <w:suppressAutoHyphens w:val="0"/>
              <w:spacing w:before="30" w:after="30" w:line="276" w:lineRule="auto"/>
              <w:jc w:val="center"/>
              <w:rPr>
                <w:rFonts w:eastAsia="Calibri"/>
              </w:rPr>
            </w:pPr>
            <w:r w:rsidRPr="004E2924">
              <w:rPr>
                <w:rFonts w:eastAsia="Calibri"/>
              </w:rPr>
              <w:t>Exploding bomb</w:t>
            </w:r>
          </w:p>
        </w:tc>
        <w:tc>
          <w:tcPr>
            <w:tcW w:w="1275" w:type="dxa"/>
          </w:tcPr>
          <w:p w:rsidR="004E2924" w:rsidRPr="004E2924" w:rsidRDefault="004E2924" w:rsidP="004E2924">
            <w:pPr>
              <w:keepNext/>
              <w:keepLines/>
              <w:tabs>
                <w:tab w:val="left" w:pos="1273"/>
                <w:tab w:val="left" w:pos="1701"/>
                <w:tab w:val="left" w:pos="2268"/>
                <w:tab w:val="left" w:pos="2835"/>
                <w:tab w:val="left" w:pos="3402"/>
                <w:tab w:val="left" w:pos="3969"/>
                <w:tab w:val="left" w:pos="4536"/>
              </w:tabs>
              <w:suppressAutoHyphens w:val="0"/>
              <w:spacing w:before="30" w:after="30" w:line="276" w:lineRule="auto"/>
              <w:jc w:val="center"/>
              <w:rPr>
                <w:rFonts w:eastAsia="Calibri"/>
              </w:rPr>
            </w:pPr>
            <w:r w:rsidRPr="004E2924">
              <w:rPr>
                <w:rFonts w:eastAsia="Calibri"/>
              </w:rPr>
              <w:t xml:space="preserve">Exploding bomb; </w:t>
            </w:r>
            <w:r w:rsidRPr="004E2924">
              <w:rPr>
                <w:rFonts w:eastAsia="Calibri"/>
              </w:rPr>
              <w:br/>
            </w:r>
            <w:r w:rsidRPr="004E2924">
              <w:rPr>
                <w:rFonts w:eastAsia="Calibri"/>
                <w:b/>
                <w:bCs/>
                <w:i/>
                <w:iCs/>
              </w:rPr>
              <w:t>or</w:t>
            </w:r>
            <w:r w:rsidRPr="004E2924">
              <w:rPr>
                <w:rFonts w:eastAsia="Calibri"/>
              </w:rPr>
              <w:t xml:space="preserve"> </w:t>
            </w:r>
            <w:r w:rsidRPr="004E2924">
              <w:rPr>
                <w:rFonts w:eastAsia="Calibri"/>
              </w:rPr>
              <w:br/>
              <w:t xml:space="preserve">1.4 on orange </w:t>
            </w:r>
            <w:proofErr w:type="spellStart"/>
            <w:r w:rsidRPr="004E2924">
              <w:rPr>
                <w:rFonts w:eastAsia="Calibri"/>
              </w:rPr>
              <w:t>background</w:t>
            </w:r>
            <w:r w:rsidRPr="004E2924">
              <w:rPr>
                <w:rFonts w:eastAsia="Calibri"/>
                <w:b/>
                <w:vertAlign w:val="superscript"/>
              </w:rPr>
              <w:t>a</w:t>
            </w:r>
            <w:proofErr w:type="spellEnd"/>
          </w:p>
        </w:tc>
        <w:tc>
          <w:tcPr>
            <w:tcW w:w="1276" w:type="dxa"/>
          </w:tcPr>
          <w:p w:rsidR="004E2924" w:rsidRPr="004E2924" w:rsidRDefault="004E2924" w:rsidP="004E2924">
            <w:pPr>
              <w:keepNext/>
              <w:keepLines/>
              <w:tabs>
                <w:tab w:val="left" w:pos="1273"/>
                <w:tab w:val="left" w:pos="1701"/>
                <w:tab w:val="left" w:pos="2268"/>
                <w:tab w:val="left" w:pos="2835"/>
                <w:tab w:val="left" w:pos="3402"/>
                <w:tab w:val="left" w:pos="3969"/>
                <w:tab w:val="left" w:pos="4536"/>
              </w:tabs>
              <w:suppressAutoHyphens w:val="0"/>
              <w:spacing w:before="30" w:after="30" w:line="276" w:lineRule="auto"/>
              <w:jc w:val="center"/>
              <w:rPr>
                <w:rFonts w:eastAsia="Calibri"/>
              </w:rPr>
            </w:pPr>
            <w:r w:rsidRPr="004E2924">
              <w:rPr>
                <w:rFonts w:eastAsia="Calibri"/>
              </w:rPr>
              <w:t xml:space="preserve">Exploding bomb; </w:t>
            </w:r>
            <w:r w:rsidRPr="004E2924">
              <w:rPr>
                <w:rFonts w:eastAsia="Calibri"/>
              </w:rPr>
              <w:br/>
            </w:r>
            <w:r w:rsidRPr="004E2924">
              <w:rPr>
                <w:rFonts w:eastAsia="Calibri"/>
                <w:b/>
              </w:rPr>
              <w:t>or</w:t>
            </w:r>
            <w:r w:rsidRPr="004E2924">
              <w:rPr>
                <w:rFonts w:eastAsia="Calibri"/>
              </w:rPr>
              <w:br/>
              <w:t xml:space="preserve">1.5 on orange </w:t>
            </w:r>
            <w:proofErr w:type="spellStart"/>
            <w:r w:rsidRPr="004E2924">
              <w:rPr>
                <w:rFonts w:eastAsia="Calibri"/>
              </w:rPr>
              <w:t>background</w:t>
            </w:r>
            <w:r w:rsidRPr="004E2924">
              <w:rPr>
                <w:rFonts w:eastAsia="Calibri"/>
                <w:b/>
                <w:vertAlign w:val="superscript"/>
              </w:rPr>
              <w:t>a</w:t>
            </w:r>
            <w:proofErr w:type="spellEnd"/>
          </w:p>
        </w:tc>
        <w:tc>
          <w:tcPr>
            <w:tcW w:w="1286" w:type="dxa"/>
          </w:tcPr>
          <w:p w:rsidR="004E2924" w:rsidRPr="004E2924" w:rsidRDefault="004E2924" w:rsidP="004E2924">
            <w:pPr>
              <w:keepNext/>
              <w:keepLines/>
              <w:tabs>
                <w:tab w:val="left" w:pos="1273"/>
                <w:tab w:val="left" w:pos="1701"/>
                <w:tab w:val="left" w:pos="2268"/>
                <w:tab w:val="left" w:pos="2835"/>
                <w:tab w:val="left" w:pos="3402"/>
                <w:tab w:val="left" w:pos="3969"/>
                <w:tab w:val="left" w:pos="4536"/>
              </w:tabs>
              <w:suppressAutoHyphens w:val="0"/>
              <w:spacing w:before="30" w:after="30" w:line="276" w:lineRule="auto"/>
              <w:jc w:val="center"/>
              <w:rPr>
                <w:rFonts w:eastAsia="Calibri"/>
              </w:rPr>
            </w:pPr>
            <w:r w:rsidRPr="004E2924">
              <w:rPr>
                <w:rFonts w:eastAsia="Calibri"/>
              </w:rPr>
              <w:t xml:space="preserve">Exploding bomb; </w:t>
            </w:r>
            <w:r w:rsidRPr="004E2924">
              <w:rPr>
                <w:rFonts w:eastAsia="Calibri"/>
              </w:rPr>
              <w:br/>
            </w:r>
            <w:r w:rsidRPr="004E2924">
              <w:rPr>
                <w:rFonts w:eastAsia="Calibri"/>
                <w:b/>
              </w:rPr>
              <w:t>or</w:t>
            </w:r>
            <w:r w:rsidRPr="004E2924">
              <w:rPr>
                <w:rFonts w:eastAsia="Calibri"/>
              </w:rPr>
              <w:t xml:space="preserve"> </w:t>
            </w:r>
            <w:r w:rsidRPr="004E2924">
              <w:rPr>
                <w:rFonts w:eastAsia="Calibri"/>
              </w:rPr>
              <w:br/>
              <w:t xml:space="preserve">1.6 on orange </w:t>
            </w:r>
            <w:proofErr w:type="spellStart"/>
            <w:r w:rsidRPr="004E2924">
              <w:rPr>
                <w:rFonts w:eastAsia="Calibri"/>
              </w:rPr>
              <w:t>background</w:t>
            </w:r>
            <w:r w:rsidRPr="004E2924">
              <w:rPr>
                <w:rFonts w:eastAsia="Calibri"/>
                <w:b/>
                <w:vertAlign w:val="superscript"/>
              </w:rPr>
              <w:t>a</w:t>
            </w:r>
            <w:proofErr w:type="spellEnd"/>
          </w:p>
        </w:tc>
        <w:tc>
          <w:tcPr>
            <w:tcW w:w="1268" w:type="dxa"/>
          </w:tcPr>
          <w:p w:rsidR="004E2924" w:rsidRPr="004E2924" w:rsidRDefault="004E2924" w:rsidP="004E2924">
            <w:pPr>
              <w:keepNext/>
              <w:keepLines/>
              <w:tabs>
                <w:tab w:val="left" w:pos="1152"/>
                <w:tab w:val="left" w:pos="1701"/>
                <w:tab w:val="left" w:pos="2268"/>
                <w:tab w:val="left" w:pos="2835"/>
                <w:tab w:val="left" w:pos="3402"/>
                <w:tab w:val="left" w:pos="3969"/>
                <w:tab w:val="left" w:pos="4536"/>
              </w:tabs>
              <w:suppressAutoHyphens w:val="0"/>
              <w:spacing w:before="30" w:after="30" w:line="276" w:lineRule="auto"/>
              <w:jc w:val="center"/>
              <w:rPr>
                <w:rFonts w:eastAsia="Calibri"/>
              </w:rPr>
            </w:pPr>
            <w:r w:rsidRPr="004E2924">
              <w:rPr>
                <w:rFonts w:eastAsia="Calibri"/>
              </w:rPr>
              <w:t>[</w:t>
            </w:r>
            <w:r w:rsidRPr="004E2924">
              <w:rPr>
                <w:rFonts w:eastAsia="Calibri"/>
                <w:i/>
              </w:rPr>
              <w:t>to be determined</w:t>
            </w:r>
            <w:r w:rsidRPr="004E2924">
              <w:rPr>
                <w:rFonts w:eastAsia="Calibri"/>
              </w:rPr>
              <w:t xml:space="preserve">]; </w:t>
            </w:r>
            <w:r w:rsidRPr="004E2924">
              <w:rPr>
                <w:rFonts w:eastAsia="Calibri"/>
              </w:rPr>
              <w:br/>
            </w:r>
            <w:r w:rsidRPr="004E2924">
              <w:rPr>
                <w:rFonts w:eastAsia="Calibri"/>
                <w:b/>
              </w:rPr>
              <w:t>or</w:t>
            </w:r>
            <w:r w:rsidRPr="004E2924">
              <w:rPr>
                <w:rFonts w:eastAsia="Calibri"/>
              </w:rPr>
              <w:br/>
              <w:t xml:space="preserve">1.4 on orange </w:t>
            </w:r>
            <w:proofErr w:type="spellStart"/>
            <w:r w:rsidRPr="004E2924">
              <w:rPr>
                <w:rFonts w:eastAsia="Calibri"/>
              </w:rPr>
              <w:t>background</w:t>
            </w:r>
            <w:r w:rsidRPr="004E2924">
              <w:rPr>
                <w:rFonts w:eastAsia="Calibri"/>
                <w:b/>
                <w:vertAlign w:val="superscript"/>
              </w:rPr>
              <w:t>a</w:t>
            </w:r>
            <w:proofErr w:type="spellEnd"/>
          </w:p>
        </w:tc>
      </w:tr>
      <w:tr w:rsidR="004E2924" w:rsidRPr="004E2924" w:rsidTr="004E2924">
        <w:trPr>
          <w:jc w:val="center"/>
        </w:trPr>
        <w:tc>
          <w:tcPr>
            <w:tcW w:w="1135" w:type="dxa"/>
          </w:tcPr>
          <w:p w:rsidR="004E2924" w:rsidRPr="004E2924" w:rsidRDefault="004E2924" w:rsidP="004E2924">
            <w:pPr>
              <w:tabs>
                <w:tab w:val="left" w:pos="1134"/>
                <w:tab w:val="left" w:pos="1701"/>
                <w:tab w:val="left" w:pos="2268"/>
                <w:tab w:val="left" w:pos="2835"/>
                <w:tab w:val="left" w:pos="3402"/>
                <w:tab w:val="left" w:pos="3969"/>
                <w:tab w:val="left" w:pos="4536"/>
              </w:tabs>
              <w:suppressAutoHyphens w:val="0"/>
              <w:spacing w:before="30" w:after="30" w:line="276" w:lineRule="auto"/>
              <w:ind w:right="73"/>
              <w:rPr>
                <w:rFonts w:eastAsia="Calibri"/>
                <w:b/>
              </w:rPr>
            </w:pPr>
            <w:r w:rsidRPr="004E2924">
              <w:rPr>
                <w:rFonts w:eastAsia="Calibri"/>
                <w:b/>
              </w:rPr>
              <w:t>Signal word</w:t>
            </w:r>
          </w:p>
        </w:tc>
        <w:tc>
          <w:tcPr>
            <w:tcW w:w="1134" w:type="dxa"/>
          </w:tcPr>
          <w:p w:rsidR="004E2924" w:rsidRPr="004E2924" w:rsidRDefault="004E2924" w:rsidP="004E2924">
            <w:pPr>
              <w:tabs>
                <w:tab w:val="left" w:pos="1134"/>
                <w:tab w:val="left" w:pos="1701"/>
                <w:tab w:val="left" w:pos="2268"/>
                <w:tab w:val="left" w:pos="2835"/>
                <w:tab w:val="left" w:pos="3402"/>
                <w:tab w:val="left" w:pos="3969"/>
                <w:tab w:val="left" w:pos="4536"/>
              </w:tabs>
              <w:suppressAutoHyphens w:val="0"/>
              <w:spacing w:before="30" w:after="30" w:line="276" w:lineRule="auto"/>
              <w:jc w:val="center"/>
              <w:rPr>
                <w:rFonts w:eastAsia="Calibri"/>
              </w:rPr>
            </w:pPr>
            <w:r w:rsidRPr="004E2924">
              <w:rPr>
                <w:rFonts w:eastAsia="Calibri"/>
              </w:rPr>
              <w:t>Danger</w:t>
            </w:r>
          </w:p>
        </w:tc>
        <w:tc>
          <w:tcPr>
            <w:tcW w:w="1134" w:type="dxa"/>
          </w:tcPr>
          <w:p w:rsidR="004E2924" w:rsidRPr="004E2924" w:rsidRDefault="004E2924" w:rsidP="004E2924">
            <w:pPr>
              <w:tabs>
                <w:tab w:val="left" w:pos="1134"/>
                <w:tab w:val="left" w:pos="1701"/>
                <w:tab w:val="left" w:pos="2268"/>
                <w:tab w:val="left" w:pos="2835"/>
                <w:tab w:val="left" w:pos="3402"/>
                <w:tab w:val="left" w:pos="3969"/>
                <w:tab w:val="left" w:pos="4536"/>
              </w:tabs>
              <w:suppressAutoHyphens w:val="0"/>
              <w:spacing w:before="30" w:after="30" w:line="276" w:lineRule="auto"/>
              <w:jc w:val="center"/>
              <w:rPr>
                <w:rFonts w:eastAsia="Calibri"/>
              </w:rPr>
            </w:pPr>
            <w:r w:rsidRPr="004E2924">
              <w:rPr>
                <w:rFonts w:eastAsia="Calibri"/>
              </w:rPr>
              <w:t>Danger</w:t>
            </w:r>
          </w:p>
        </w:tc>
        <w:tc>
          <w:tcPr>
            <w:tcW w:w="1134" w:type="dxa"/>
          </w:tcPr>
          <w:p w:rsidR="004E2924" w:rsidRPr="004E2924" w:rsidRDefault="004E2924" w:rsidP="004E2924">
            <w:pPr>
              <w:tabs>
                <w:tab w:val="left" w:pos="1134"/>
                <w:tab w:val="left" w:pos="1701"/>
                <w:tab w:val="left" w:pos="2268"/>
                <w:tab w:val="left" w:pos="2835"/>
                <w:tab w:val="left" w:pos="3402"/>
                <w:tab w:val="left" w:pos="3969"/>
                <w:tab w:val="left" w:pos="4536"/>
              </w:tabs>
              <w:suppressAutoHyphens w:val="0"/>
              <w:spacing w:before="30" w:after="30" w:line="276" w:lineRule="auto"/>
              <w:jc w:val="center"/>
              <w:rPr>
                <w:rFonts w:eastAsia="Calibri"/>
              </w:rPr>
            </w:pPr>
            <w:r w:rsidRPr="004E2924">
              <w:rPr>
                <w:rFonts w:eastAsia="Calibri"/>
              </w:rPr>
              <w:t>Danger</w:t>
            </w:r>
          </w:p>
        </w:tc>
        <w:tc>
          <w:tcPr>
            <w:tcW w:w="1134" w:type="dxa"/>
          </w:tcPr>
          <w:p w:rsidR="004E2924" w:rsidRPr="004E2924" w:rsidRDefault="004E2924" w:rsidP="004E2924">
            <w:pPr>
              <w:tabs>
                <w:tab w:val="left" w:pos="1134"/>
                <w:tab w:val="left" w:pos="1701"/>
                <w:tab w:val="left" w:pos="2268"/>
                <w:tab w:val="left" w:pos="2835"/>
                <w:tab w:val="left" w:pos="3402"/>
                <w:tab w:val="left" w:pos="3969"/>
                <w:tab w:val="left" w:pos="4536"/>
              </w:tabs>
              <w:suppressAutoHyphens w:val="0"/>
              <w:spacing w:before="30" w:after="30" w:line="276" w:lineRule="auto"/>
              <w:jc w:val="center"/>
              <w:rPr>
                <w:rFonts w:eastAsia="Calibri"/>
              </w:rPr>
            </w:pPr>
            <w:r w:rsidRPr="004E2924">
              <w:rPr>
                <w:rFonts w:eastAsia="Calibri"/>
              </w:rPr>
              <w:t>Danger</w:t>
            </w:r>
          </w:p>
        </w:tc>
        <w:tc>
          <w:tcPr>
            <w:tcW w:w="1275" w:type="dxa"/>
          </w:tcPr>
          <w:p w:rsidR="004E2924" w:rsidRPr="004E2924" w:rsidRDefault="004E2924" w:rsidP="004E2924">
            <w:pPr>
              <w:tabs>
                <w:tab w:val="left" w:pos="1274"/>
                <w:tab w:val="left" w:pos="1701"/>
                <w:tab w:val="left" w:pos="2268"/>
                <w:tab w:val="left" w:pos="2835"/>
                <w:tab w:val="left" w:pos="3402"/>
                <w:tab w:val="left" w:pos="3969"/>
                <w:tab w:val="left" w:pos="4536"/>
              </w:tabs>
              <w:suppressAutoHyphens w:val="0"/>
              <w:spacing w:before="30" w:after="30" w:line="276" w:lineRule="auto"/>
              <w:jc w:val="center"/>
              <w:rPr>
                <w:rFonts w:eastAsia="Calibri"/>
              </w:rPr>
            </w:pPr>
            <w:r w:rsidRPr="004E2924">
              <w:rPr>
                <w:rFonts w:eastAsia="Calibri"/>
              </w:rPr>
              <w:t>Danger</w:t>
            </w:r>
          </w:p>
        </w:tc>
        <w:tc>
          <w:tcPr>
            <w:tcW w:w="1276" w:type="dxa"/>
          </w:tcPr>
          <w:p w:rsidR="004E2924" w:rsidRPr="004E2924" w:rsidRDefault="004E2924" w:rsidP="004E2924">
            <w:pPr>
              <w:tabs>
                <w:tab w:val="left" w:pos="1273"/>
                <w:tab w:val="left" w:pos="1701"/>
                <w:tab w:val="left" w:pos="2268"/>
                <w:tab w:val="left" w:pos="2835"/>
                <w:tab w:val="left" w:pos="3402"/>
                <w:tab w:val="left" w:pos="3969"/>
                <w:tab w:val="left" w:pos="4536"/>
              </w:tabs>
              <w:suppressAutoHyphens w:val="0"/>
              <w:spacing w:before="30" w:after="30" w:line="276" w:lineRule="auto"/>
              <w:jc w:val="center"/>
              <w:rPr>
                <w:rFonts w:eastAsia="Calibri"/>
              </w:rPr>
            </w:pPr>
            <w:r w:rsidRPr="004E2924">
              <w:rPr>
                <w:rFonts w:eastAsia="Calibri"/>
              </w:rPr>
              <w:t>Danger</w:t>
            </w:r>
          </w:p>
        </w:tc>
        <w:tc>
          <w:tcPr>
            <w:tcW w:w="1286" w:type="dxa"/>
          </w:tcPr>
          <w:p w:rsidR="004E2924" w:rsidRPr="004E2924" w:rsidRDefault="004E2924" w:rsidP="004E2924">
            <w:pPr>
              <w:tabs>
                <w:tab w:val="left" w:pos="1273"/>
                <w:tab w:val="left" w:pos="1701"/>
                <w:tab w:val="left" w:pos="2268"/>
                <w:tab w:val="left" w:pos="2835"/>
                <w:tab w:val="left" w:pos="3402"/>
                <w:tab w:val="left" w:pos="3969"/>
                <w:tab w:val="left" w:pos="4536"/>
              </w:tabs>
              <w:suppressAutoHyphens w:val="0"/>
              <w:spacing w:before="30" w:after="30" w:line="276" w:lineRule="auto"/>
              <w:jc w:val="center"/>
              <w:rPr>
                <w:rFonts w:eastAsia="Calibri"/>
              </w:rPr>
            </w:pPr>
            <w:r w:rsidRPr="004E2924">
              <w:rPr>
                <w:rFonts w:eastAsia="Calibri"/>
              </w:rPr>
              <w:t>Danger</w:t>
            </w:r>
          </w:p>
        </w:tc>
        <w:tc>
          <w:tcPr>
            <w:tcW w:w="1268" w:type="dxa"/>
          </w:tcPr>
          <w:p w:rsidR="004E2924" w:rsidRPr="004E2924" w:rsidRDefault="004E2924" w:rsidP="004E2924">
            <w:pPr>
              <w:tabs>
                <w:tab w:val="left" w:pos="1273"/>
                <w:tab w:val="left" w:pos="1701"/>
                <w:tab w:val="left" w:pos="2268"/>
                <w:tab w:val="left" w:pos="2835"/>
                <w:tab w:val="left" w:pos="3402"/>
                <w:tab w:val="left" w:pos="3969"/>
                <w:tab w:val="left" w:pos="4536"/>
              </w:tabs>
              <w:suppressAutoHyphens w:val="0"/>
              <w:spacing w:before="30" w:after="30" w:line="276" w:lineRule="auto"/>
              <w:jc w:val="center"/>
              <w:rPr>
                <w:rFonts w:eastAsia="Calibri"/>
              </w:rPr>
            </w:pPr>
            <w:r w:rsidRPr="004E2924">
              <w:rPr>
                <w:rFonts w:eastAsia="Calibri"/>
              </w:rPr>
              <w:t>Warning</w:t>
            </w:r>
          </w:p>
        </w:tc>
      </w:tr>
      <w:tr w:rsidR="004E2924" w:rsidRPr="004E2924" w:rsidTr="004E2924">
        <w:trPr>
          <w:jc w:val="center"/>
        </w:trPr>
        <w:tc>
          <w:tcPr>
            <w:tcW w:w="1135" w:type="dxa"/>
          </w:tcPr>
          <w:p w:rsidR="004E2924" w:rsidRPr="004E2924" w:rsidRDefault="004E2924" w:rsidP="004E2924">
            <w:pPr>
              <w:tabs>
                <w:tab w:val="left" w:pos="1134"/>
                <w:tab w:val="left" w:pos="1701"/>
                <w:tab w:val="left" w:pos="2268"/>
                <w:tab w:val="left" w:pos="2835"/>
                <w:tab w:val="left" w:pos="3402"/>
                <w:tab w:val="left" w:pos="3969"/>
                <w:tab w:val="left" w:pos="4536"/>
              </w:tabs>
              <w:suppressAutoHyphens w:val="0"/>
              <w:spacing w:before="30" w:after="30" w:line="276" w:lineRule="auto"/>
              <w:ind w:right="73"/>
              <w:rPr>
                <w:rFonts w:eastAsia="Calibri"/>
                <w:b/>
              </w:rPr>
            </w:pPr>
            <w:r w:rsidRPr="004E2924">
              <w:rPr>
                <w:rFonts w:eastAsia="Calibri"/>
                <w:b/>
              </w:rPr>
              <w:t>Hazard statement</w:t>
            </w:r>
          </w:p>
        </w:tc>
        <w:tc>
          <w:tcPr>
            <w:tcW w:w="1134" w:type="dxa"/>
          </w:tcPr>
          <w:p w:rsidR="004E2924" w:rsidRPr="004E2924" w:rsidRDefault="004E2924" w:rsidP="004E2924">
            <w:pPr>
              <w:tabs>
                <w:tab w:val="left" w:pos="1134"/>
                <w:tab w:val="left" w:pos="1701"/>
                <w:tab w:val="left" w:pos="2268"/>
                <w:tab w:val="left" w:pos="2835"/>
                <w:tab w:val="left" w:pos="3402"/>
                <w:tab w:val="left" w:pos="3969"/>
                <w:tab w:val="left" w:pos="4536"/>
              </w:tabs>
              <w:suppressAutoHyphens w:val="0"/>
              <w:spacing w:before="30" w:after="30" w:line="276" w:lineRule="auto"/>
              <w:jc w:val="center"/>
              <w:rPr>
                <w:rFonts w:eastAsia="Calibri"/>
              </w:rPr>
            </w:pPr>
            <w:r w:rsidRPr="004E2924">
              <w:rPr>
                <w:rFonts w:eastAsia="Calibri"/>
              </w:rPr>
              <w:t xml:space="preserve"> [Sensitive] Explosive</w:t>
            </w:r>
          </w:p>
        </w:tc>
        <w:tc>
          <w:tcPr>
            <w:tcW w:w="1134" w:type="dxa"/>
          </w:tcPr>
          <w:p w:rsidR="004E2924" w:rsidRPr="004E2924" w:rsidRDefault="004E2924" w:rsidP="004E2924">
            <w:pPr>
              <w:tabs>
                <w:tab w:val="left" w:pos="1134"/>
                <w:tab w:val="left" w:pos="1701"/>
                <w:tab w:val="left" w:pos="2268"/>
                <w:tab w:val="left" w:pos="2835"/>
                <w:tab w:val="left" w:pos="3402"/>
                <w:tab w:val="left" w:pos="3969"/>
                <w:tab w:val="left" w:pos="4536"/>
              </w:tabs>
              <w:suppressAutoHyphens w:val="0"/>
              <w:spacing w:before="30" w:after="30" w:line="276" w:lineRule="auto"/>
              <w:jc w:val="center"/>
              <w:rPr>
                <w:rFonts w:eastAsia="Calibri"/>
              </w:rPr>
            </w:pPr>
            <w:r w:rsidRPr="004E2924">
              <w:rPr>
                <w:rFonts w:eastAsia="Calibri"/>
              </w:rPr>
              <w:t>Explosive</w:t>
            </w:r>
          </w:p>
        </w:tc>
        <w:tc>
          <w:tcPr>
            <w:tcW w:w="1134" w:type="dxa"/>
          </w:tcPr>
          <w:p w:rsidR="004E2924" w:rsidRPr="004E2924" w:rsidRDefault="004E2924" w:rsidP="004E2924">
            <w:pPr>
              <w:tabs>
                <w:tab w:val="left" w:pos="1134"/>
                <w:tab w:val="left" w:pos="1701"/>
                <w:tab w:val="left" w:pos="2268"/>
                <w:tab w:val="left" w:pos="2835"/>
                <w:tab w:val="left" w:pos="3402"/>
                <w:tab w:val="left" w:pos="3969"/>
                <w:tab w:val="left" w:pos="4536"/>
              </w:tabs>
              <w:suppressAutoHyphens w:val="0"/>
              <w:spacing w:before="30" w:after="30" w:line="240" w:lineRule="auto"/>
              <w:jc w:val="center"/>
            </w:pPr>
            <w:r w:rsidRPr="004E2924">
              <w:t>Explosive</w:t>
            </w:r>
          </w:p>
        </w:tc>
        <w:tc>
          <w:tcPr>
            <w:tcW w:w="1134" w:type="dxa"/>
          </w:tcPr>
          <w:p w:rsidR="004E2924" w:rsidRPr="004E2924" w:rsidRDefault="004E2924" w:rsidP="004E2924">
            <w:pPr>
              <w:tabs>
                <w:tab w:val="left" w:pos="1134"/>
                <w:tab w:val="left" w:pos="1701"/>
                <w:tab w:val="left" w:pos="2268"/>
                <w:tab w:val="left" w:pos="2835"/>
                <w:tab w:val="left" w:pos="3402"/>
                <w:tab w:val="left" w:pos="3969"/>
                <w:tab w:val="left" w:pos="4536"/>
              </w:tabs>
              <w:suppressAutoHyphens w:val="0"/>
              <w:spacing w:before="30" w:after="30" w:line="240" w:lineRule="auto"/>
              <w:jc w:val="center"/>
            </w:pPr>
            <w:r w:rsidRPr="004E2924">
              <w:t>Explosive</w:t>
            </w:r>
          </w:p>
        </w:tc>
        <w:tc>
          <w:tcPr>
            <w:tcW w:w="1275" w:type="dxa"/>
          </w:tcPr>
          <w:p w:rsidR="004E2924" w:rsidRPr="004E2924" w:rsidRDefault="004E2924" w:rsidP="004E2924">
            <w:pPr>
              <w:tabs>
                <w:tab w:val="left" w:pos="1274"/>
                <w:tab w:val="left" w:pos="1701"/>
                <w:tab w:val="left" w:pos="2268"/>
                <w:tab w:val="left" w:pos="2835"/>
                <w:tab w:val="left" w:pos="3402"/>
                <w:tab w:val="left" w:pos="3969"/>
                <w:tab w:val="left" w:pos="4536"/>
              </w:tabs>
              <w:suppressAutoHyphens w:val="0"/>
              <w:spacing w:before="30" w:after="30" w:line="240" w:lineRule="auto"/>
              <w:jc w:val="center"/>
            </w:pPr>
            <w:r w:rsidRPr="004E2924">
              <w:t>Explosive</w:t>
            </w:r>
          </w:p>
        </w:tc>
        <w:tc>
          <w:tcPr>
            <w:tcW w:w="1276" w:type="dxa"/>
          </w:tcPr>
          <w:p w:rsidR="004E2924" w:rsidRPr="004E2924" w:rsidRDefault="004E2924" w:rsidP="004E2924">
            <w:pPr>
              <w:tabs>
                <w:tab w:val="left" w:pos="1273"/>
                <w:tab w:val="left" w:pos="1701"/>
                <w:tab w:val="left" w:pos="2268"/>
                <w:tab w:val="left" w:pos="2835"/>
                <w:tab w:val="left" w:pos="3402"/>
                <w:tab w:val="left" w:pos="3969"/>
                <w:tab w:val="left" w:pos="4536"/>
              </w:tabs>
              <w:suppressAutoHyphens w:val="0"/>
              <w:spacing w:before="30" w:after="30" w:line="240" w:lineRule="auto"/>
              <w:jc w:val="center"/>
            </w:pPr>
            <w:r w:rsidRPr="004E2924">
              <w:t>Explosive</w:t>
            </w:r>
          </w:p>
        </w:tc>
        <w:tc>
          <w:tcPr>
            <w:tcW w:w="1286" w:type="dxa"/>
          </w:tcPr>
          <w:p w:rsidR="004E2924" w:rsidRPr="004E2924" w:rsidRDefault="004E2924" w:rsidP="004E2924">
            <w:pPr>
              <w:tabs>
                <w:tab w:val="left" w:pos="1273"/>
                <w:tab w:val="left" w:pos="1701"/>
                <w:tab w:val="left" w:pos="2268"/>
                <w:tab w:val="left" w:pos="2835"/>
                <w:tab w:val="left" w:pos="3402"/>
                <w:tab w:val="left" w:pos="3969"/>
                <w:tab w:val="left" w:pos="4536"/>
              </w:tabs>
              <w:suppressAutoHyphens w:val="0"/>
              <w:spacing w:before="30" w:after="30" w:line="240" w:lineRule="auto"/>
              <w:jc w:val="center"/>
            </w:pPr>
            <w:r w:rsidRPr="004E2924">
              <w:t>Explosive</w:t>
            </w:r>
          </w:p>
        </w:tc>
        <w:tc>
          <w:tcPr>
            <w:tcW w:w="1268" w:type="dxa"/>
          </w:tcPr>
          <w:p w:rsidR="004E2924" w:rsidRPr="004E2924" w:rsidRDefault="004E2924" w:rsidP="004E2924">
            <w:pPr>
              <w:tabs>
                <w:tab w:val="left" w:pos="1273"/>
                <w:tab w:val="left" w:pos="1701"/>
                <w:tab w:val="left" w:pos="2268"/>
                <w:tab w:val="left" w:pos="2835"/>
                <w:tab w:val="left" w:pos="3402"/>
                <w:tab w:val="left" w:pos="3969"/>
                <w:tab w:val="left" w:pos="4536"/>
              </w:tabs>
              <w:suppressAutoHyphens w:val="0"/>
              <w:spacing w:before="30" w:after="30" w:line="240" w:lineRule="auto"/>
              <w:jc w:val="center"/>
            </w:pPr>
            <w:r w:rsidRPr="004E2924">
              <w:t>Fire or projection [hazard]</w:t>
            </w:r>
          </w:p>
        </w:tc>
      </w:tr>
    </w:tbl>
    <w:p w:rsidR="004E2924" w:rsidRPr="00022001" w:rsidRDefault="004E2924" w:rsidP="00074073">
      <w:pPr>
        <w:pStyle w:val="GHSFootnotetext"/>
        <w:tabs>
          <w:tab w:val="clear" w:pos="540"/>
          <w:tab w:val="clear" w:pos="1134"/>
          <w:tab w:val="clear" w:pos="1800"/>
          <w:tab w:val="clear" w:pos="2160"/>
          <w:tab w:val="clear" w:pos="2268"/>
          <w:tab w:val="clear" w:pos="2835"/>
          <w:tab w:val="clear" w:pos="3402"/>
          <w:tab w:val="clear" w:pos="3969"/>
          <w:tab w:val="left" w:pos="340"/>
        </w:tabs>
        <w:spacing w:before="120" w:after="120"/>
        <w:ind w:left="1134" w:right="1134" w:firstLine="0"/>
        <w:rPr>
          <w:i w:val="0"/>
          <w:lang w:val="en-GB"/>
        </w:rPr>
      </w:pPr>
      <w:proofErr w:type="spellStart"/>
      <w:proofErr w:type="gramStart"/>
      <w:r w:rsidRPr="00022001">
        <w:rPr>
          <w:b/>
          <w:vertAlign w:val="superscript"/>
          <w:lang w:val="en-GB"/>
        </w:rPr>
        <w:t>a</w:t>
      </w:r>
      <w:proofErr w:type="spellEnd"/>
      <w:proofErr w:type="gramEnd"/>
      <w:r w:rsidRPr="00022001">
        <w:rPr>
          <w:b/>
          <w:vertAlign w:val="superscript"/>
          <w:lang w:val="en-GB"/>
        </w:rPr>
        <w:tab/>
      </w:r>
      <w:r w:rsidRPr="00022001">
        <w:rPr>
          <w:lang w:val="en-GB"/>
        </w:rPr>
        <w:t>Applies to substances, mixtures and articles subject to some regulatory purposes (e.g. transport).</w:t>
      </w:r>
    </w:p>
    <w:p w:rsidR="004E2924" w:rsidRPr="00022001" w:rsidRDefault="004E2924" w:rsidP="00074073">
      <w:pPr>
        <w:pStyle w:val="GHSBodyText"/>
        <w:tabs>
          <w:tab w:val="clear" w:pos="1985"/>
          <w:tab w:val="clear" w:pos="2552"/>
          <w:tab w:val="clear" w:pos="3119"/>
          <w:tab w:val="clear" w:pos="3686"/>
        </w:tabs>
        <w:ind w:left="1134" w:right="1134"/>
        <w:rPr>
          <w:i/>
          <w:sz w:val="20"/>
        </w:rPr>
      </w:pPr>
      <w:r w:rsidRPr="00022001">
        <w:rPr>
          <w:b/>
          <w:i/>
          <w:sz w:val="20"/>
        </w:rPr>
        <w:br/>
      </w:r>
      <w:r w:rsidRPr="00022001">
        <w:rPr>
          <w:sz w:val="20"/>
        </w:rPr>
        <w:t>[2.1.3.1</w:t>
      </w:r>
      <w:r w:rsidRPr="00022001">
        <w:rPr>
          <w:b/>
          <w:sz w:val="20"/>
        </w:rPr>
        <w:t xml:space="preserve"> </w:t>
      </w:r>
      <w:r w:rsidRPr="00022001">
        <w:rPr>
          <w:sz w:val="20"/>
        </w:rPr>
        <w:t>If available,</w:t>
      </w:r>
      <w:r w:rsidRPr="00022001">
        <w:rPr>
          <w:b/>
          <w:sz w:val="20"/>
        </w:rPr>
        <w:t xml:space="preserve"> </w:t>
      </w:r>
      <w:r w:rsidRPr="00022001">
        <w:rPr>
          <w:sz w:val="20"/>
        </w:rPr>
        <w:t>the division assigned to an explosive according to the</w:t>
      </w:r>
      <w:r w:rsidRPr="00022001">
        <w:rPr>
          <w:i/>
          <w:sz w:val="20"/>
        </w:rPr>
        <w:t xml:space="preserve"> UN Recommendations of the Transport of Dangerous Goods, Model Regulations</w:t>
      </w:r>
      <w:r w:rsidRPr="00022001">
        <w:rPr>
          <w:sz w:val="20"/>
        </w:rPr>
        <w:t xml:space="preserve">, should be indicated as supplemental information (see paragraph 1.4.6.3 of Chapter 1.4) on the label of any package that is not labelled in accordance with those Model Regulations. </w:t>
      </w:r>
      <w:proofErr w:type="gramStart"/>
      <w:r w:rsidRPr="00022001">
        <w:rPr>
          <w:sz w:val="20"/>
        </w:rPr>
        <w:t>If the assigned division relates to the transport packaging or configuration that should be indicated as “Division X as packaged/configured for transport.” with X denoting the appropriate division number (e.g. 1.3).]</w:t>
      </w:r>
      <w:proofErr w:type="gramEnd"/>
    </w:p>
    <w:p w:rsidR="004E2924" w:rsidRPr="00A23B8C" w:rsidRDefault="004E2924" w:rsidP="00074073">
      <w:pPr>
        <w:pStyle w:val="GHSBodyText"/>
        <w:tabs>
          <w:tab w:val="clear" w:pos="1985"/>
          <w:tab w:val="clear" w:pos="2552"/>
          <w:tab w:val="clear" w:pos="3119"/>
          <w:tab w:val="clear" w:pos="3686"/>
        </w:tabs>
        <w:ind w:left="1134" w:right="1134"/>
        <w:rPr>
          <w:i/>
          <w:sz w:val="20"/>
        </w:rPr>
      </w:pPr>
      <w:r w:rsidRPr="00022001">
        <w:rPr>
          <w:b/>
          <w:i/>
          <w:sz w:val="20"/>
        </w:rPr>
        <w:lastRenderedPageBreak/>
        <w:t>NOTE 2:</w:t>
      </w:r>
      <w:r w:rsidRPr="00022001">
        <w:rPr>
          <w:i/>
          <w:sz w:val="20"/>
        </w:rPr>
        <w:t xml:space="preserve"> </w:t>
      </w:r>
      <w:r w:rsidRPr="00022001">
        <w:rPr>
          <w:i/>
          <w:sz w:val="20"/>
        </w:rPr>
        <w:tab/>
        <w:t>Substances and mixtures with a positive result in Test Series 2 in Part I, Section 12, of the UN Recommendations on the Transport of Dangerous Goods, Manual of Tests and Criteria, which are exempted from classification as explosives (based on a negative result in Test Series 6 in Part I, Section 16 of the UN Recommendations on the Transport of Dangerous Goods, Manual of Tests and Criteria,) still have explosive properties. The user should be informed of these intrinsic explosive properties because they have to be considered for handling – especially if the substance or mixture is removed from its packaging or is repackaged – and for storage. For this reason, the explosive properties of the substance or mixture should be communicated in Section 2 (Hazard identification) and Section 9 (Physical and chemical properties) of the Safety Data Sheet in accordance with Table 1.5.2, and other sections of the Safety Data Sheet, as appropriate.</w:t>
      </w:r>
    </w:p>
    <w:p w:rsidR="004E2924" w:rsidRPr="00022001" w:rsidRDefault="004E2924" w:rsidP="00074073">
      <w:pPr>
        <w:pStyle w:val="GHSHeading3"/>
        <w:keepNext w:val="0"/>
        <w:tabs>
          <w:tab w:val="clear" w:pos="1418"/>
        </w:tabs>
        <w:spacing w:after="240"/>
        <w:ind w:left="1418" w:right="1134" w:hanging="284"/>
        <w:rPr>
          <w:color w:val="auto"/>
          <w:sz w:val="20"/>
          <w:szCs w:val="20"/>
        </w:rPr>
      </w:pPr>
      <w:r w:rsidRPr="00022001">
        <w:rPr>
          <w:color w:val="auto"/>
          <w:sz w:val="20"/>
          <w:szCs w:val="20"/>
        </w:rPr>
        <w:t>2.1.4</w:t>
      </w:r>
      <w:r w:rsidRPr="00022001">
        <w:rPr>
          <w:color w:val="auto"/>
          <w:sz w:val="20"/>
          <w:szCs w:val="20"/>
        </w:rPr>
        <w:tab/>
        <w:t xml:space="preserve">Decision logic and guidance </w:t>
      </w:r>
    </w:p>
    <w:p w:rsidR="004E2924" w:rsidRPr="00022001" w:rsidRDefault="004E2924" w:rsidP="00074073">
      <w:pPr>
        <w:pStyle w:val="GHSBodyText"/>
        <w:ind w:left="1134" w:right="1134"/>
        <w:rPr>
          <w:sz w:val="20"/>
        </w:rPr>
      </w:pPr>
      <w:r w:rsidRPr="00022001">
        <w:rPr>
          <w:sz w:val="20"/>
        </w:rPr>
        <w:t>The decision logic and guidance, which follow, are not part of the harmonized classification system, but have been provided here as additional guidance. It is strongly recommended that the person responsible for classification studies the criteria before and during use of the decision logic.</w:t>
      </w:r>
    </w:p>
    <w:p w:rsidR="004E2924" w:rsidRPr="00022001" w:rsidRDefault="004E2924" w:rsidP="00074073">
      <w:pPr>
        <w:pStyle w:val="GHSHeading4"/>
        <w:tabs>
          <w:tab w:val="clear" w:pos="1418"/>
          <w:tab w:val="clear" w:pos="1985"/>
          <w:tab w:val="clear" w:pos="2552"/>
          <w:tab w:val="clear" w:pos="3119"/>
          <w:tab w:val="clear" w:pos="3686"/>
        </w:tabs>
        <w:spacing w:after="240"/>
        <w:ind w:left="1418" w:hanging="284"/>
        <w:rPr>
          <w:color w:val="auto"/>
          <w:sz w:val="20"/>
          <w:szCs w:val="20"/>
        </w:rPr>
      </w:pPr>
      <w:r w:rsidRPr="00022001">
        <w:rPr>
          <w:color w:val="auto"/>
          <w:sz w:val="20"/>
          <w:szCs w:val="20"/>
        </w:rPr>
        <w:t>2.1.4.1</w:t>
      </w:r>
      <w:r w:rsidRPr="00022001">
        <w:rPr>
          <w:color w:val="auto"/>
          <w:sz w:val="20"/>
          <w:szCs w:val="20"/>
        </w:rPr>
        <w:tab/>
      </w:r>
      <w:r w:rsidRPr="00022001">
        <w:rPr>
          <w:i/>
          <w:iCs/>
          <w:color w:val="auto"/>
          <w:sz w:val="20"/>
          <w:szCs w:val="20"/>
        </w:rPr>
        <w:t>Decision logic</w:t>
      </w:r>
    </w:p>
    <w:p w:rsidR="004E2924" w:rsidRPr="00022001" w:rsidRDefault="004E2924" w:rsidP="00074073">
      <w:pPr>
        <w:pStyle w:val="GHSBodyText"/>
        <w:keepNext/>
        <w:keepLines/>
        <w:tabs>
          <w:tab w:val="left" w:pos="1134"/>
        </w:tabs>
        <w:ind w:left="1134" w:right="1134" w:hanging="1134"/>
        <w:rPr>
          <w:strike/>
          <w:sz w:val="20"/>
        </w:rPr>
      </w:pPr>
      <w:r w:rsidRPr="00022001">
        <w:rPr>
          <w:sz w:val="20"/>
        </w:rPr>
        <w:tab/>
        <w:t>The classification of substances, mixtures and articles in the class of explosives and further allocation to a division is a very complex</w:t>
      </w:r>
      <w:r w:rsidRPr="00924BF2">
        <w:rPr>
          <w:sz w:val="20"/>
        </w:rPr>
        <w:t>, three step</w:t>
      </w:r>
      <w:r w:rsidRPr="00022001">
        <w:rPr>
          <w:sz w:val="20"/>
        </w:rPr>
        <w:t xml:space="preserve"> </w:t>
      </w:r>
      <w:proofErr w:type="gramStart"/>
      <w:r w:rsidRPr="00022001">
        <w:rPr>
          <w:sz w:val="20"/>
        </w:rPr>
        <w:t>procedure</w:t>
      </w:r>
      <w:proofErr w:type="gramEnd"/>
      <w:r w:rsidRPr="00022001">
        <w:rPr>
          <w:sz w:val="20"/>
        </w:rPr>
        <w:t xml:space="preserve">. Reference to Part I </w:t>
      </w:r>
      <w:r w:rsidRPr="00022001">
        <w:rPr>
          <w:i/>
          <w:iCs/>
          <w:sz w:val="20"/>
        </w:rPr>
        <w:t>of the UN Recommendations on the Transport of Dangerous Goods</w:t>
      </w:r>
      <w:r w:rsidRPr="00022001">
        <w:rPr>
          <w:sz w:val="20"/>
        </w:rPr>
        <w:t xml:space="preserve">, </w:t>
      </w:r>
      <w:r w:rsidRPr="00022001">
        <w:rPr>
          <w:i/>
          <w:iCs/>
          <w:sz w:val="20"/>
        </w:rPr>
        <w:t>Manual of Tests and Criteria,</w:t>
      </w:r>
      <w:r w:rsidRPr="00022001">
        <w:rPr>
          <w:sz w:val="20"/>
        </w:rPr>
        <w:t xml:space="preserve"> is necessary. The first step is to ascertain whether the substance or mixture has explosive effects (Test Series 1). The second step is the acceptance procedure (Test Series 2 to 4) and the third step, applied for some regulatory purposes only (e.g. transport), is the assignme</w:t>
      </w:r>
      <w:r w:rsidRPr="00924BF2">
        <w:rPr>
          <w:sz w:val="20"/>
        </w:rPr>
        <w:t xml:space="preserve">nt to a hazard division (Test Series 5 to 7). The assessment whether a candidate for “ammonium nitrate emulsion or suspension or gel, intermediate for blasting explosives (ANE)” is insensitive enough for inclusion classification </w:t>
      </w:r>
      <w:r w:rsidRPr="00022001">
        <w:rPr>
          <w:sz w:val="20"/>
        </w:rPr>
        <w:t>as an oxidizing liquid (Chapter 2.13) or an oxidizing solid (Chapter 2.14) is answered by Test Series 8 tests. The overall classification procedure for substances, mixtures and articles is shown in Figure 2.1.1. For ammonium nitrate emulsions, suspensions and gels, the classification procedure is shown in Figure 2.1.2.</w:t>
      </w:r>
    </w:p>
    <w:p w:rsidR="004E2924" w:rsidRPr="00022001" w:rsidRDefault="004E2924" w:rsidP="00074073">
      <w:pPr>
        <w:pStyle w:val="GHSBodyText"/>
        <w:keepNext/>
        <w:keepLines/>
        <w:ind w:left="1134" w:right="1134"/>
        <w:rPr>
          <w:sz w:val="20"/>
        </w:rPr>
      </w:pPr>
      <w:r w:rsidRPr="00022001">
        <w:rPr>
          <w:b/>
          <w:sz w:val="20"/>
        </w:rPr>
        <w:t>2.1.4.2</w:t>
      </w:r>
      <w:r w:rsidRPr="00022001">
        <w:rPr>
          <w:b/>
          <w:sz w:val="20"/>
        </w:rPr>
        <w:tab/>
      </w:r>
      <w:r w:rsidRPr="00022001">
        <w:rPr>
          <w:b/>
          <w:i/>
          <w:iCs/>
          <w:sz w:val="20"/>
        </w:rPr>
        <w:t>Guidance</w:t>
      </w:r>
    </w:p>
    <w:p w:rsidR="004E2924" w:rsidRPr="00022001" w:rsidRDefault="004E2924" w:rsidP="00074073">
      <w:pPr>
        <w:pStyle w:val="GHSBodyText"/>
        <w:ind w:left="1134" w:right="1134"/>
        <w:rPr>
          <w:sz w:val="20"/>
        </w:rPr>
      </w:pPr>
      <w:r w:rsidRPr="00022001">
        <w:rPr>
          <w:sz w:val="20"/>
        </w:rPr>
        <w:t>2.1.4.2.1</w:t>
      </w:r>
      <w:r w:rsidRPr="00022001">
        <w:rPr>
          <w:sz w:val="20"/>
        </w:rPr>
        <w:tab/>
        <w:t xml:space="preserve">Explosive properties are associated with the presence of certain chemical groups in a molecule which can react to produce very rapid increases in temperature or pressure. The screening procedure is aimed at identifying the presence of such reactive groups and the potential for rapid energy release. If the screening procedure identifies the substance or mixture to be a potential explosive, the acceptance procedure (see section 10.3 of the </w:t>
      </w:r>
      <w:r w:rsidRPr="00022001">
        <w:rPr>
          <w:i/>
          <w:iCs/>
          <w:sz w:val="20"/>
        </w:rPr>
        <w:t>UN Recommendations on the Transport of Dangerous Goods, Manual of Tests and Criteria</w:t>
      </w:r>
      <w:r w:rsidRPr="00022001">
        <w:rPr>
          <w:sz w:val="20"/>
        </w:rPr>
        <w:t>) has to be performed.</w:t>
      </w:r>
    </w:p>
    <w:p w:rsidR="004E2924" w:rsidRPr="00022001" w:rsidRDefault="004E2924" w:rsidP="00074073">
      <w:pPr>
        <w:tabs>
          <w:tab w:val="left" w:pos="1418"/>
        </w:tabs>
        <w:spacing w:after="240"/>
        <w:ind w:left="1134" w:right="1134"/>
        <w:jc w:val="both"/>
      </w:pPr>
      <w:r w:rsidRPr="00022001">
        <w:rPr>
          <w:b/>
          <w:i/>
          <w:iCs/>
          <w:spacing w:val="-2"/>
        </w:rPr>
        <w:t>NOTE</w:t>
      </w:r>
      <w:r w:rsidRPr="00022001">
        <w:rPr>
          <w:i/>
          <w:iCs/>
          <w:spacing w:val="-2"/>
        </w:rPr>
        <w:t xml:space="preserve">: </w:t>
      </w:r>
      <w:r w:rsidRPr="00022001">
        <w:rPr>
          <w:i/>
          <w:iCs/>
          <w:spacing w:val="-2"/>
        </w:rPr>
        <w:tab/>
        <w:t xml:space="preserve">Neither a Series 1 type (a) propagation of detonation test nor a Series 2 type (a) test of sensitivity to detonative shock is required if the exothermic decomposition energy of organic materials is less than 800 J/g. </w:t>
      </w:r>
      <w:r w:rsidRPr="00022001">
        <w:rPr>
          <w:i/>
        </w:rPr>
        <w:t xml:space="preserve">For organic substances and mixtures of organic substances with a decomposition energy of 800 J/g or more, tests 1 (a) and 2 (a) need not be performed if the outcome of the ballistic mortar </w:t>
      </w:r>
      <w:proofErr w:type="spellStart"/>
      <w:r w:rsidRPr="00022001">
        <w:rPr>
          <w:i/>
        </w:rPr>
        <w:t>Mk.IIId</w:t>
      </w:r>
      <w:proofErr w:type="spellEnd"/>
      <w:r w:rsidRPr="00022001">
        <w:rPr>
          <w:i/>
        </w:rPr>
        <w:t xml:space="preserve"> test (F.1), or the ballistic mortar test (F.2) or the BAM </w:t>
      </w:r>
      <w:proofErr w:type="spellStart"/>
      <w:r w:rsidRPr="00022001">
        <w:rPr>
          <w:i/>
        </w:rPr>
        <w:t>Trauzl</w:t>
      </w:r>
      <w:proofErr w:type="spellEnd"/>
      <w:r w:rsidRPr="00022001">
        <w:rPr>
          <w:i/>
        </w:rPr>
        <w:t xml:space="preserve"> test (F.3) with initiation by a standard No.8 detonator (see Appendix 1 to the Manual of Tests and Criteria) is “no”. In this case, the results of test 1 (a) and 2 (a) are deemed to be “-”.</w:t>
      </w:r>
    </w:p>
    <w:p w:rsidR="004E2924" w:rsidRPr="00022001" w:rsidRDefault="004E2924" w:rsidP="00074073">
      <w:pPr>
        <w:pStyle w:val="GHSBodyText"/>
        <w:keepNext/>
        <w:keepLines/>
        <w:ind w:right="1134" w:firstLine="1134"/>
        <w:rPr>
          <w:sz w:val="20"/>
        </w:rPr>
      </w:pPr>
      <w:r w:rsidRPr="00022001">
        <w:rPr>
          <w:sz w:val="20"/>
        </w:rPr>
        <w:lastRenderedPageBreak/>
        <w:t>2.1.4.2.2</w:t>
      </w:r>
      <w:r w:rsidRPr="00022001">
        <w:rPr>
          <w:sz w:val="20"/>
        </w:rPr>
        <w:tab/>
        <w:t xml:space="preserve">The acceptance procedure for the hazard class “explosives” need not be applied </w:t>
      </w:r>
      <w:r w:rsidR="00074073">
        <w:rPr>
          <w:sz w:val="20"/>
        </w:rPr>
        <w:tab/>
      </w:r>
      <w:r w:rsidR="00074073">
        <w:rPr>
          <w:sz w:val="20"/>
        </w:rPr>
        <w:tab/>
      </w:r>
      <w:r w:rsidRPr="00022001">
        <w:rPr>
          <w:sz w:val="20"/>
        </w:rPr>
        <w:t>if:</w:t>
      </w:r>
    </w:p>
    <w:p w:rsidR="004E2924" w:rsidRPr="00022001" w:rsidRDefault="004E2924" w:rsidP="00074073">
      <w:pPr>
        <w:keepNext/>
        <w:keepLines/>
        <w:spacing w:after="240"/>
        <w:ind w:left="1985" w:right="1134"/>
        <w:jc w:val="both"/>
      </w:pPr>
      <w:r w:rsidRPr="00022001">
        <w:rPr>
          <w:spacing w:val="-2"/>
        </w:rPr>
        <w:t>(a)</w:t>
      </w:r>
      <w:r w:rsidRPr="00022001">
        <w:rPr>
          <w:spacing w:val="-2"/>
        </w:rPr>
        <w:tab/>
      </w:r>
      <w:r w:rsidR="00074073">
        <w:rPr>
          <w:spacing w:val="-2"/>
        </w:rPr>
        <w:tab/>
      </w:r>
      <w:r w:rsidRPr="00022001">
        <w:rPr>
          <w:spacing w:val="-2"/>
        </w:rPr>
        <w:t xml:space="preserve">There are no chemical groups associated with explosive properties present in the molecule. Examples of groups which may indicate explosive properties are given in Table A6.1 in Appendix 6 of the </w:t>
      </w:r>
      <w:r w:rsidRPr="00022001">
        <w:rPr>
          <w:i/>
          <w:iCs/>
          <w:spacing w:val="-2"/>
        </w:rPr>
        <w:t>UN Recommendations on the Transport of Dangerous Goods, Manual of Tests and Criteria</w:t>
      </w:r>
      <w:r w:rsidRPr="00022001">
        <w:rPr>
          <w:spacing w:val="-2"/>
        </w:rPr>
        <w:t xml:space="preserve">; </w:t>
      </w:r>
      <w:r w:rsidRPr="00022001">
        <w:t>or</w:t>
      </w:r>
    </w:p>
    <w:p w:rsidR="004E2924" w:rsidRPr="00022001" w:rsidRDefault="004E2924" w:rsidP="00074073">
      <w:pPr>
        <w:spacing w:after="240"/>
        <w:ind w:left="1985" w:right="1134"/>
        <w:jc w:val="both"/>
      </w:pPr>
      <w:r w:rsidRPr="00022001">
        <w:t>(b)</w:t>
      </w:r>
      <w:r w:rsidRPr="00022001">
        <w:tab/>
      </w:r>
      <w:r w:rsidR="00074073">
        <w:tab/>
      </w:r>
      <w:r w:rsidRPr="00022001">
        <w:t xml:space="preserve">The </w:t>
      </w:r>
      <w:r w:rsidRPr="00022001">
        <w:rPr>
          <w:spacing w:val="-2"/>
        </w:rPr>
        <w:t>substance</w:t>
      </w:r>
      <w:r w:rsidRPr="00022001">
        <w:t xml:space="preserve"> contains chemical groups associated with explosive properties which include oxygen and the calculated oxygen balance is </w:t>
      </w:r>
      <w:r w:rsidRPr="00022001">
        <w:rPr>
          <w:spacing w:val="-2"/>
        </w:rPr>
        <w:t>less than</w:t>
      </w:r>
      <w:r w:rsidRPr="00022001">
        <w:t xml:space="preserve"> -200. </w:t>
      </w:r>
    </w:p>
    <w:p w:rsidR="004E2924" w:rsidRPr="00022001" w:rsidRDefault="004E2924" w:rsidP="004E2924">
      <w:pPr>
        <w:spacing w:after="240"/>
        <w:ind w:left="1985" w:hanging="1985"/>
        <w:jc w:val="both"/>
      </w:pPr>
      <w:r w:rsidRPr="00022001">
        <w:tab/>
        <w:t>The oxygen balance is calculated for the chemical reaction:</w:t>
      </w:r>
    </w:p>
    <w:p w:rsidR="004E2924" w:rsidRPr="00022001" w:rsidRDefault="004E2924" w:rsidP="004E2924">
      <w:pPr>
        <w:spacing w:after="240"/>
        <w:ind w:left="1985" w:hanging="1985"/>
        <w:jc w:val="both"/>
        <w:rPr>
          <w:lang w:val="es-ES"/>
        </w:rPr>
      </w:pPr>
      <w:r w:rsidRPr="00022001">
        <w:tab/>
      </w:r>
      <w:proofErr w:type="spellStart"/>
      <w:r w:rsidRPr="00022001">
        <w:rPr>
          <w:lang w:val="es-ES"/>
        </w:rPr>
        <w:t>C</w:t>
      </w:r>
      <w:r w:rsidRPr="00022001">
        <w:rPr>
          <w:vertAlign w:val="subscript"/>
          <w:lang w:val="es-ES"/>
        </w:rPr>
        <w:t>x</w:t>
      </w:r>
      <w:r w:rsidRPr="00022001">
        <w:rPr>
          <w:lang w:val="es-ES"/>
        </w:rPr>
        <w:t>H</w:t>
      </w:r>
      <w:r w:rsidRPr="00022001">
        <w:rPr>
          <w:vertAlign w:val="subscript"/>
          <w:lang w:val="es-ES"/>
        </w:rPr>
        <w:t>y</w:t>
      </w:r>
      <w:r w:rsidRPr="00022001">
        <w:rPr>
          <w:lang w:val="es-ES"/>
        </w:rPr>
        <w:t>O</w:t>
      </w:r>
      <w:r w:rsidRPr="00022001">
        <w:rPr>
          <w:vertAlign w:val="subscript"/>
          <w:lang w:val="es-ES"/>
        </w:rPr>
        <w:t>z</w:t>
      </w:r>
      <w:proofErr w:type="spellEnd"/>
      <w:r w:rsidRPr="00022001">
        <w:rPr>
          <w:lang w:val="es-ES"/>
        </w:rPr>
        <w:t xml:space="preserve"> + [x + (y/4)-(z/2)] O</w:t>
      </w:r>
      <w:r w:rsidRPr="00022001">
        <w:rPr>
          <w:vertAlign w:val="subscript"/>
          <w:lang w:val="es-ES"/>
        </w:rPr>
        <w:t>2</w:t>
      </w:r>
      <w:r w:rsidRPr="00022001">
        <w:rPr>
          <w:lang w:val="es-ES"/>
        </w:rPr>
        <w:t xml:space="preserve"> </w:t>
      </w:r>
      <w:r w:rsidRPr="00022001">
        <w:sym w:font="Symbol" w:char="F0AE"/>
      </w:r>
      <w:r w:rsidRPr="00022001">
        <w:rPr>
          <w:lang w:val="es-ES"/>
        </w:rPr>
        <w:t xml:space="preserve"> x. CO</w:t>
      </w:r>
      <w:r w:rsidRPr="00022001">
        <w:rPr>
          <w:vertAlign w:val="subscript"/>
          <w:lang w:val="es-ES"/>
        </w:rPr>
        <w:t>2</w:t>
      </w:r>
      <w:r w:rsidRPr="00022001">
        <w:rPr>
          <w:lang w:val="es-ES"/>
        </w:rPr>
        <w:t xml:space="preserve"> + (y/2) H</w:t>
      </w:r>
      <w:r w:rsidRPr="00022001">
        <w:rPr>
          <w:vertAlign w:val="subscript"/>
          <w:lang w:val="es-ES"/>
        </w:rPr>
        <w:t>2</w:t>
      </w:r>
      <w:r w:rsidRPr="00022001">
        <w:rPr>
          <w:lang w:val="es-ES"/>
        </w:rPr>
        <w:t>O</w:t>
      </w:r>
    </w:p>
    <w:p w:rsidR="004E2924" w:rsidRPr="00022001" w:rsidRDefault="004E2924" w:rsidP="004E2924">
      <w:pPr>
        <w:spacing w:after="240"/>
        <w:ind w:left="1985" w:hanging="1985"/>
        <w:jc w:val="both"/>
      </w:pPr>
      <w:r w:rsidRPr="00022001">
        <w:rPr>
          <w:lang w:val="es-ES"/>
        </w:rPr>
        <w:tab/>
      </w:r>
      <w:proofErr w:type="gramStart"/>
      <w:r w:rsidRPr="00022001">
        <w:t>using</w:t>
      </w:r>
      <w:proofErr w:type="gramEnd"/>
      <w:r w:rsidRPr="00022001">
        <w:t xml:space="preserve"> the formula:</w:t>
      </w:r>
    </w:p>
    <w:p w:rsidR="004E2924" w:rsidRPr="00022001" w:rsidRDefault="004E2924" w:rsidP="004E2924">
      <w:pPr>
        <w:spacing w:after="240"/>
        <w:ind w:left="1985" w:hanging="1985"/>
        <w:jc w:val="both"/>
      </w:pPr>
      <w:r w:rsidRPr="00022001">
        <w:tab/>
      </w:r>
      <w:proofErr w:type="gramStart"/>
      <w:r w:rsidRPr="00022001">
        <w:t>oxygen</w:t>
      </w:r>
      <w:proofErr w:type="gramEnd"/>
      <w:r w:rsidRPr="00022001">
        <w:t xml:space="preserve"> balance = -1600 [2x +(y/2) -z]/molecular weight;</w:t>
      </w:r>
    </w:p>
    <w:p w:rsidR="004E2924" w:rsidRPr="00022001" w:rsidRDefault="004E2924" w:rsidP="00074073">
      <w:pPr>
        <w:spacing w:after="240"/>
        <w:ind w:left="1985" w:right="1134"/>
        <w:jc w:val="both"/>
      </w:pPr>
      <w:r w:rsidRPr="00022001">
        <w:t>(c)</w:t>
      </w:r>
      <w:r w:rsidRPr="00022001">
        <w:tab/>
      </w:r>
      <w:r w:rsidR="00074073">
        <w:tab/>
      </w:r>
      <w:r w:rsidRPr="00022001">
        <w:t>For an organic substance, or a homogenous mixture of organic substances, containing a chemical group (or groups) associated with explosive properties:</w:t>
      </w:r>
    </w:p>
    <w:p w:rsidR="004E2924" w:rsidRPr="00022001" w:rsidRDefault="004E2924" w:rsidP="004E2924">
      <w:pPr>
        <w:spacing w:after="240"/>
        <w:ind w:left="1985" w:hanging="567"/>
        <w:jc w:val="both"/>
      </w:pPr>
      <w:r w:rsidRPr="00022001">
        <w:tab/>
      </w:r>
      <w:r w:rsidR="00074073">
        <w:tab/>
      </w:r>
      <w:r w:rsidR="00074073">
        <w:tab/>
      </w:r>
      <w:r w:rsidRPr="00022001">
        <w:t xml:space="preserve">– </w:t>
      </w:r>
      <w:r w:rsidR="00074073">
        <w:tab/>
      </w:r>
      <w:proofErr w:type="gramStart"/>
      <w:r w:rsidRPr="00022001">
        <w:t>the</w:t>
      </w:r>
      <w:proofErr w:type="gramEnd"/>
      <w:r w:rsidRPr="00022001">
        <w:t xml:space="preserve"> exothermic decomposition energy is </w:t>
      </w:r>
      <w:r w:rsidRPr="00022001">
        <w:rPr>
          <w:spacing w:val="-2"/>
        </w:rPr>
        <w:t>less than</w:t>
      </w:r>
      <w:r w:rsidRPr="00022001">
        <w:t> 500 J/g, or</w:t>
      </w:r>
    </w:p>
    <w:p w:rsidR="004E2924" w:rsidRPr="00022001" w:rsidRDefault="004E2924" w:rsidP="004E2924">
      <w:pPr>
        <w:spacing w:after="240"/>
        <w:ind w:left="1985" w:hanging="567"/>
        <w:jc w:val="both"/>
      </w:pPr>
      <w:r w:rsidRPr="00022001">
        <w:tab/>
      </w:r>
      <w:r w:rsidR="00074073">
        <w:tab/>
      </w:r>
      <w:r w:rsidR="00074073">
        <w:tab/>
      </w:r>
      <w:r w:rsidRPr="00022001">
        <w:t xml:space="preserve">– </w:t>
      </w:r>
      <w:r w:rsidR="00074073">
        <w:tab/>
      </w:r>
      <w:proofErr w:type="gramStart"/>
      <w:r w:rsidRPr="00022001">
        <w:t>the</w:t>
      </w:r>
      <w:proofErr w:type="gramEnd"/>
      <w:r w:rsidRPr="00022001">
        <w:t xml:space="preserve"> onset of exothermic decomposition is 500 ºC or above</w:t>
      </w:r>
    </w:p>
    <w:p w:rsidR="004E2924" w:rsidRPr="00022001" w:rsidRDefault="004E2924" w:rsidP="004E2924">
      <w:pPr>
        <w:spacing w:after="240"/>
        <w:ind w:left="1985" w:hanging="567"/>
        <w:jc w:val="both"/>
      </w:pPr>
      <w:r w:rsidRPr="00022001">
        <w:tab/>
      </w:r>
      <w:r w:rsidR="00074073">
        <w:tab/>
      </w:r>
      <w:r w:rsidR="00074073">
        <w:tab/>
      </w:r>
      <w:proofErr w:type="gramStart"/>
      <w:r w:rsidRPr="00022001">
        <w:t>as</w:t>
      </w:r>
      <w:proofErr w:type="gramEnd"/>
      <w:r w:rsidRPr="00022001">
        <w:t xml:space="preserve"> indicated by Table 2.1.3.</w:t>
      </w:r>
    </w:p>
    <w:p w:rsidR="004E2924" w:rsidRPr="00022001" w:rsidRDefault="004E2924" w:rsidP="00074073">
      <w:pPr>
        <w:pStyle w:val="SingleTxtG"/>
        <w:keepNext/>
        <w:keepLines/>
        <w:ind w:left="1985"/>
        <w:jc w:val="center"/>
        <w:rPr>
          <w:b/>
        </w:rPr>
      </w:pPr>
      <w:r w:rsidRPr="00022001">
        <w:rPr>
          <w:b/>
        </w:rPr>
        <w:t xml:space="preserve">Table 2.1.3: Decision to apply the acceptance procedure for the hazard class “Explosives” for an organic substance or a homogenous mixture </w:t>
      </w:r>
      <w:r w:rsidR="00074073">
        <w:rPr>
          <w:b/>
        </w:rPr>
        <w:br/>
      </w:r>
      <w:r w:rsidRPr="00022001">
        <w:rPr>
          <w:b/>
        </w:rPr>
        <w:t>of organic substances</w:t>
      </w:r>
    </w:p>
    <w:tbl>
      <w:tblPr>
        <w:tblW w:w="0" w:type="auto"/>
        <w:tblInd w:w="3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9"/>
        <w:gridCol w:w="1843"/>
        <w:gridCol w:w="1985"/>
      </w:tblGrid>
      <w:tr w:rsidR="004E2924" w:rsidRPr="008D3DC6" w:rsidTr="004E2924">
        <w:tc>
          <w:tcPr>
            <w:tcW w:w="1559" w:type="dxa"/>
            <w:tcBorders>
              <w:top w:val="single" w:sz="4" w:space="0" w:color="auto"/>
              <w:left w:val="single" w:sz="4" w:space="0" w:color="auto"/>
              <w:bottom w:val="single" w:sz="4" w:space="0" w:color="auto"/>
              <w:right w:val="single" w:sz="4" w:space="0" w:color="auto"/>
            </w:tcBorders>
            <w:hideMark/>
          </w:tcPr>
          <w:p w:rsidR="004E2924" w:rsidRPr="00022001" w:rsidRDefault="004E2924" w:rsidP="004E2924">
            <w:pPr>
              <w:pStyle w:val="SingleTxtG"/>
              <w:keepNext/>
              <w:keepLines/>
              <w:ind w:left="0" w:right="0"/>
              <w:jc w:val="center"/>
            </w:pPr>
            <w:r w:rsidRPr="00022001">
              <w:t xml:space="preserve">Decomposition energy </w:t>
            </w:r>
            <w:r w:rsidRPr="00022001">
              <w:br/>
              <w:t>(J/g)</w:t>
            </w:r>
          </w:p>
        </w:tc>
        <w:tc>
          <w:tcPr>
            <w:tcW w:w="1843" w:type="dxa"/>
            <w:tcBorders>
              <w:top w:val="single" w:sz="4" w:space="0" w:color="auto"/>
              <w:left w:val="single" w:sz="4" w:space="0" w:color="auto"/>
              <w:bottom w:val="single" w:sz="4" w:space="0" w:color="auto"/>
              <w:right w:val="single" w:sz="4" w:space="0" w:color="auto"/>
            </w:tcBorders>
            <w:hideMark/>
          </w:tcPr>
          <w:p w:rsidR="004E2924" w:rsidRPr="00022001" w:rsidRDefault="004E2924" w:rsidP="004E2924">
            <w:pPr>
              <w:pStyle w:val="SingleTxtG"/>
              <w:keepNext/>
              <w:keepLines/>
              <w:ind w:left="0" w:right="0"/>
              <w:jc w:val="center"/>
            </w:pPr>
            <w:r w:rsidRPr="00022001">
              <w:t xml:space="preserve">Decomposition onset temperature </w:t>
            </w:r>
            <w:r w:rsidRPr="00022001">
              <w:br/>
              <w:t>(°C)</w:t>
            </w:r>
          </w:p>
        </w:tc>
        <w:tc>
          <w:tcPr>
            <w:tcW w:w="1985" w:type="dxa"/>
            <w:tcBorders>
              <w:top w:val="single" w:sz="4" w:space="0" w:color="auto"/>
              <w:left w:val="single" w:sz="4" w:space="0" w:color="auto"/>
              <w:bottom w:val="single" w:sz="4" w:space="0" w:color="auto"/>
              <w:right w:val="single" w:sz="4" w:space="0" w:color="auto"/>
            </w:tcBorders>
            <w:hideMark/>
          </w:tcPr>
          <w:p w:rsidR="004E2924" w:rsidRPr="00022001" w:rsidRDefault="004E2924" w:rsidP="004E2924">
            <w:pPr>
              <w:pStyle w:val="SingleTxtG"/>
              <w:keepNext/>
              <w:keepLines/>
              <w:ind w:left="0" w:right="0"/>
              <w:jc w:val="center"/>
            </w:pPr>
            <w:r w:rsidRPr="00022001">
              <w:t xml:space="preserve">Apply acceptance procedure? </w:t>
            </w:r>
            <w:r w:rsidRPr="00022001">
              <w:br/>
              <w:t>(Yes/No)</w:t>
            </w:r>
          </w:p>
        </w:tc>
      </w:tr>
      <w:tr w:rsidR="004E2924" w:rsidRPr="00022001" w:rsidTr="004E2924">
        <w:tc>
          <w:tcPr>
            <w:tcW w:w="1559" w:type="dxa"/>
            <w:tcBorders>
              <w:top w:val="single" w:sz="4" w:space="0" w:color="auto"/>
              <w:left w:val="single" w:sz="4" w:space="0" w:color="auto"/>
              <w:bottom w:val="single" w:sz="4" w:space="0" w:color="auto"/>
              <w:right w:val="single" w:sz="4" w:space="0" w:color="auto"/>
            </w:tcBorders>
            <w:vAlign w:val="center"/>
            <w:hideMark/>
          </w:tcPr>
          <w:p w:rsidR="004E2924" w:rsidRPr="00022001" w:rsidRDefault="004E2924" w:rsidP="004E2924">
            <w:pPr>
              <w:pStyle w:val="SingleTxtG"/>
              <w:spacing w:before="20" w:after="20"/>
              <w:ind w:left="0" w:right="0"/>
              <w:jc w:val="center"/>
            </w:pPr>
            <w:r w:rsidRPr="00022001">
              <w:t>&lt; 500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2924" w:rsidRPr="00022001" w:rsidRDefault="004E2924" w:rsidP="004E2924">
            <w:pPr>
              <w:pStyle w:val="SingleTxtG"/>
              <w:spacing w:before="20" w:after="20"/>
              <w:ind w:left="0" w:right="0"/>
              <w:jc w:val="center"/>
            </w:pPr>
            <w:r w:rsidRPr="00022001">
              <w:t>&lt; 500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924" w:rsidRPr="00022001" w:rsidRDefault="004E2924" w:rsidP="004E2924">
            <w:pPr>
              <w:pStyle w:val="SingleTxtG"/>
              <w:spacing w:before="20" w:after="20"/>
              <w:ind w:left="0" w:right="1"/>
              <w:jc w:val="center"/>
            </w:pPr>
            <w:r w:rsidRPr="00022001">
              <w:t>No</w:t>
            </w:r>
          </w:p>
        </w:tc>
      </w:tr>
      <w:tr w:rsidR="004E2924" w:rsidRPr="00022001" w:rsidTr="004E2924">
        <w:tc>
          <w:tcPr>
            <w:tcW w:w="1559" w:type="dxa"/>
            <w:tcBorders>
              <w:top w:val="single" w:sz="4" w:space="0" w:color="auto"/>
              <w:left w:val="single" w:sz="4" w:space="0" w:color="auto"/>
              <w:bottom w:val="single" w:sz="4" w:space="0" w:color="auto"/>
              <w:right w:val="single" w:sz="4" w:space="0" w:color="auto"/>
            </w:tcBorders>
            <w:vAlign w:val="center"/>
            <w:hideMark/>
          </w:tcPr>
          <w:p w:rsidR="004E2924" w:rsidRPr="00022001" w:rsidRDefault="004E2924" w:rsidP="004E2924">
            <w:pPr>
              <w:pStyle w:val="SingleTxtG"/>
              <w:spacing w:before="20" w:after="20"/>
              <w:ind w:left="0" w:right="0"/>
              <w:jc w:val="center"/>
            </w:pPr>
            <w:r w:rsidRPr="00022001">
              <w:t>&lt; 500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2924" w:rsidRPr="00022001" w:rsidRDefault="004E2924" w:rsidP="004E2924">
            <w:pPr>
              <w:pStyle w:val="SingleTxtG"/>
              <w:spacing w:before="20" w:after="20"/>
              <w:ind w:left="0" w:right="0"/>
              <w:jc w:val="center"/>
            </w:pPr>
            <w:r w:rsidRPr="00022001">
              <w:t>≥ 500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924" w:rsidRPr="00022001" w:rsidRDefault="004E2924" w:rsidP="004E2924">
            <w:pPr>
              <w:pStyle w:val="SingleTxtG"/>
              <w:spacing w:before="20" w:after="20"/>
              <w:ind w:left="0" w:right="1"/>
              <w:jc w:val="center"/>
            </w:pPr>
            <w:r w:rsidRPr="00022001">
              <w:t>No</w:t>
            </w:r>
          </w:p>
        </w:tc>
      </w:tr>
      <w:tr w:rsidR="004E2924" w:rsidRPr="00022001" w:rsidTr="004E2924">
        <w:tc>
          <w:tcPr>
            <w:tcW w:w="1559" w:type="dxa"/>
            <w:tcBorders>
              <w:top w:val="single" w:sz="4" w:space="0" w:color="auto"/>
              <w:left w:val="single" w:sz="4" w:space="0" w:color="auto"/>
              <w:bottom w:val="single" w:sz="4" w:space="0" w:color="auto"/>
              <w:right w:val="single" w:sz="4" w:space="0" w:color="auto"/>
            </w:tcBorders>
            <w:vAlign w:val="center"/>
            <w:hideMark/>
          </w:tcPr>
          <w:p w:rsidR="004E2924" w:rsidRPr="00022001" w:rsidRDefault="004E2924" w:rsidP="004E2924">
            <w:pPr>
              <w:pStyle w:val="SingleTxtG"/>
              <w:spacing w:before="20" w:after="20"/>
              <w:ind w:left="0" w:right="0"/>
              <w:jc w:val="center"/>
            </w:pPr>
            <w:r w:rsidRPr="00022001">
              <w:t>≥ 500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2924" w:rsidRPr="00022001" w:rsidRDefault="004E2924" w:rsidP="004E2924">
            <w:pPr>
              <w:pStyle w:val="SingleTxtG"/>
              <w:spacing w:before="20" w:after="20"/>
              <w:ind w:left="0" w:right="0"/>
              <w:jc w:val="center"/>
            </w:pPr>
            <w:r w:rsidRPr="00022001">
              <w:t>&lt; 500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924" w:rsidRPr="00022001" w:rsidRDefault="004E2924" w:rsidP="004E2924">
            <w:pPr>
              <w:pStyle w:val="SingleTxtG"/>
              <w:spacing w:before="20" w:after="20"/>
              <w:ind w:left="0" w:right="1"/>
              <w:jc w:val="center"/>
            </w:pPr>
            <w:r w:rsidRPr="00022001">
              <w:t>Yes</w:t>
            </w:r>
          </w:p>
        </w:tc>
      </w:tr>
      <w:tr w:rsidR="004E2924" w:rsidRPr="00022001" w:rsidTr="004E2924">
        <w:tc>
          <w:tcPr>
            <w:tcW w:w="1559" w:type="dxa"/>
            <w:tcBorders>
              <w:top w:val="single" w:sz="4" w:space="0" w:color="auto"/>
              <w:left w:val="single" w:sz="4" w:space="0" w:color="auto"/>
              <w:bottom w:val="single" w:sz="4" w:space="0" w:color="auto"/>
              <w:right w:val="single" w:sz="4" w:space="0" w:color="auto"/>
            </w:tcBorders>
            <w:vAlign w:val="center"/>
            <w:hideMark/>
          </w:tcPr>
          <w:p w:rsidR="004E2924" w:rsidRPr="00022001" w:rsidRDefault="004E2924" w:rsidP="004E2924">
            <w:pPr>
              <w:pStyle w:val="SingleTxtG"/>
              <w:spacing w:before="20" w:after="20"/>
              <w:ind w:left="0" w:right="0"/>
              <w:jc w:val="center"/>
            </w:pPr>
            <w:r w:rsidRPr="00022001">
              <w:t>≥ 500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2924" w:rsidRPr="00022001" w:rsidRDefault="004E2924" w:rsidP="004E2924">
            <w:pPr>
              <w:pStyle w:val="SingleTxtG"/>
              <w:spacing w:before="20" w:after="20"/>
              <w:ind w:left="0" w:right="0"/>
              <w:jc w:val="center"/>
            </w:pPr>
            <w:r w:rsidRPr="00022001">
              <w:t>≥ 500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924" w:rsidRPr="00022001" w:rsidRDefault="004E2924" w:rsidP="004E2924">
            <w:pPr>
              <w:pStyle w:val="SingleTxtG"/>
              <w:spacing w:before="20" w:after="20"/>
              <w:ind w:left="0" w:right="1"/>
              <w:jc w:val="center"/>
            </w:pPr>
            <w:r w:rsidRPr="00022001">
              <w:t>No</w:t>
            </w:r>
          </w:p>
        </w:tc>
      </w:tr>
    </w:tbl>
    <w:p w:rsidR="004E2924" w:rsidRPr="00022001" w:rsidRDefault="004E2924" w:rsidP="00074073">
      <w:pPr>
        <w:spacing w:before="240" w:after="240"/>
        <w:ind w:left="1985" w:right="1134" w:hanging="567"/>
        <w:jc w:val="both"/>
      </w:pPr>
      <w:r w:rsidRPr="00022001">
        <w:tab/>
        <w:t xml:space="preserve">The exothermic decomposition energy may be determined using a suitable calorimetric technique (see section 20.3.3.3 of the </w:t>
      </w:r>
      <w:r w:rsidRPr="00022001">
        <w:rPr>
          <w:i/>
        </w:rPr>
        <w:t>UN Recommendations on the Transport of Dangerous Goods, Manual of Tests and Criteria</w:t>
      </w:r>
      <w:r w:rsidRPr="00022001">
        <w:t>); or</w:t>
      </w:r>
    </w:p>
    <w:p w:rsidR="004E2924" w:rsidRPr="00022001" w:rsidRDefault="004E2924" w:rsidP="00074073">
      <w:pPr>
        <w:keepNext/>
        <w:keepLines/>
        <w:spacing w:after="240"/>
        <w:ind w:left="1985" w:right="1134"/>
        <w:jc w:val="both"/>
      </w:pPr>
      <w:r w:rsidRPr="00022001">
        <w:lastRenderedPageBreak/>
        <w:t>(d)</w:t>
      </w:r>
      <w:r w:rsidRPr="00022001">
        <w:tab/>
      </w:r>
      <w:r w:rsidR="00074073">
        <w:tab/>
      </w:r>
      <w:r w:rsidRPr="00022001">
        <w:t>For mixtures of inorganic oxidizing substances with organic material(s), the concentration of the inorganic oxidizing substance is:</w:t>
      </w:r>
    </w:p>
    <w:p w:rsidR="004E2924" w:rsidRPr="00022001" w:rsidRDefault="004E2924" w:rsidP="00074073">
      <w:pPr>
        <w:keepNext/>
        <w:keepLines/>
        <w:tabs>
          <w:tab w:val="left" w:pos="1985"/>
        </w:tabs>
        <w:ind w:right="1134"/>
        <w:jc w:val="both"/>
        <w:rPr>
          <w:spacing w:val="-2"/>
        </w:rPr>
      </w:pPr>
      <w:r w:rsidRPr="00022001">
        <w:rPr>
          <w:spacing w:val="-2"/>
        </w:rPr>
        <w:tab/>
      </w:r>
      <w:proofErr w:type="gramStart"/>
      <w:r w:rsidRPr="00022001">
        <w:rPr>
          <w:spacing w:val="-2"/>
        </w:rPr>
        <w:t>less</w:t>
      </w:r>
      <w:proofErr w:type="gramEnd"/>
      <w:r w:rsidRPr="00022001">
        <w:rPr>
          <w:spacing w:val="-2"/>
        </w:rPr>
        <w:t xml:space="preserve"> than 15%, by mass, if the oxidizing substance is assigned to Category 1 or 2;</w:t>
      </w:r>
    </w:p>
    <w:p w:rsidR="004E2924" w:rsidRPr="00022001" w:rsidRDefault="004E2924" w:rsidP="004E2924">
      <w:pPr>
        <w:keepNext/>
        <w:keepLines/>
        <w:tabs>
          <w:tab w:val="left" w:pos="1985"/>
        </w:tabs>
        <w:spacing w:after="240"/>
        <w:jc w:val="both"/>
        <w:rPr>
          <w:spacing w:val="-2"/>
        </w:rPr>
      </w:pPr>
      <w:r w:rsidRPr="00022001">
        <w:rPr>
          <w:spacing w:val="-2"/>
        </w:rPr>
        <w:tab/>
      </w:r>
      <w:proofErr w:type="gramStart"/>
      <w:r w:rsidRPr="00022001">
        <w:rPr>
          <w:spacing w:val="-2"/>
        </w:rPr>
        <w:t>less</w:t>
      </w:r>
      <w:proofErr w:type="gramEnd"/>
      <w:r w:rsidRPr="00022001">
        <w:rPr>
          <w:spacing w:val="-2"/>
        </w:rPr>
        <w:t xml:space="preserve"> than 30%, by mass, if the oxidizing substance is assigned to Category 3.</w:t>
      </w:r>
    </w:p>
    <w:p w:rsidR="00074073" w:rsidRDefault="004E2924" w:rsidP="00074073">
      <w:pPr>
        <w:pStyle w:val="GHSBodyText"/>
        <w:tabs>
          <w:tab w:val="clear" w:pos="1985"/>
        </w:tabs>
        <w:ind w:left="1134" w:right="1134"/>
        <w:rPr>
          <w:sz w:val="20"/>
        </w:rPr>
      </w:pPr>
      <w:r w:rsidRPr="00022001">
        <w:rPr>
          <w:sz w:val="20"/>
        </w:rPr>
        <w:t>2.1.4.2.3</w:t>
      </w:r>
      <w:r w:rsidRPr="00022001">
        <w:rPr>
          <w:sz w:val="20"/>
        </w:rPr>
        <w:tab/>
        <w:t>In the case of mixtures containing any known explosives, the acceptance procedure has to be performed.</w:t>
      </w:r>
    </w:p>
    <w:p w:rsidR="004E2924" w:rsidRPr="00022001" w:rsidRDefault="004E2924" w:rsidP="00074073">
      <w:pPr>
        <w:pStyle w:val="GHSBodyText"/>
        <w:tabs>
          <w:tab w:val="clear" w:pos="1985"/>
        </w:tabs>
        <w:ind w:left="1134" w:right="1134"/>
        <w:rPr>
          <w:sz w:val="20"/>
        </w:rPr>
      </w:pPr>
      <w:r w:rsidRPr="00022001">
        <w:rPr>
          <w:sz w:val="20"/>
        </w:rPr>
        <w:t>[2.1.4.2.4</w:t>
      </w:r>
      <w:r w:rsidRPr="00022001">
        <w:rPr>
          <w:sz w:val="20"/>
        </w:rPr>
        <w:tab/>
        <w:t>For the purposes of risk management outside the scope of GHS, explosives in configurations other than transport may be evaluated using risk assessment procedures, which may include additional testing, to identify and minimize risk in specific scenarios.]</w:t>
      </w:r>
    </w:p>
    <w:p w:rsidR="004E2924" w:rsidRDefault="004E2924" w:rsidP="004E2924">
      <w:pPr>
        <w:suppressAutoHyphens w:val="0"/>
        <w:spacing w:line="240" w:lineRule="auto"/>
      </w:pPr>
    </w:p>
    <w:p w:rsidR="0050143D" w:rsidRDefault="0050143D">
      <w:pPr>
        <w:suppressAutoHyphens w:val="0"/>
        <w:spacing w:line="240" w:lineRule="auto"/>
        <w:rPr>
          <w:b/>
          <w:sz w:val="22"/>
        </w:rPr>
      </w:pPr>
      <w:r>
        <w:rPr>
          <w:b/>
        </w:rPr>
        <w:br w:type="page"/>
      </w:r>
    </w:p>
    <w:p w:rsidR="004E2924" w:rsidRPr="00022001" w:rsidRDefault="004E2924" w:rsidP="004E2924">
      <w:pPr>
        <w:pStyle w:val="GHSBodyText"/>
        <w:rPr>
          <w:b/>
        </w:rPr>
      </w:pPr>
      <w:r w:rsidRPr="00022001">
        <w:rPr>
          <w:b/>
        </w:rPr>
        <w:lastRenderedPageBreak/>
        <w:t>Figure 2.1.1</w:t>
      </w:r>
    </w:p>
    <w:p w:rsidR="004E2924" w:rsidRPr="00022001" w:rsidRDefault="004E2924" w:rsidP="004E2924"/>
    <w:p w:rsidR="004E2924" w:rsidRPr="00022001" w:rsidRDefault="004E2924" w:rsidP="004E2924">
      <w:r>
        <w:rPr>
          <w:noProof/>
          <w:lang w:eastAsia="en-GB"/>
        </w:rPr>
        <w:drawing>
          <wp:inline distT="0" distB="0" distL="0" distR="0" wp14:anchorId="3899B56A" wp14:editId="7BD16CA2">
            <wp:extent cx="5731510" cy="6946316"/>
            <wp:effectExtent l="0" t="0" r="2540" b="698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6946316"/>
                    </a:xfrm>
                    <a:prstGeom prst="rect">
                      <a:avLst/>
                    </a:prstGeom>
                    <a:noFill/>
                    <a:ln>
                      <a:noFill/>
                    </a:ln>
                  </pic:spPr>
                </pic:pic>
              </a:graphicData>
            </a:graphic>
          </wp:inline>
        </w:drawing>
      </w:r>
    </w:p>
    <w:p w:rsidR="004E2924" w:rsidRDefault="004E2924" w:rsidP="004E2924"/>
    <w:p w:rsidR="004E2924" w:rsidRPr="00DD3134" w:rsidRDefault="004E2924" w:rsidP="00074073">
      <w:pPr>
        <w:ind w:firstLine="1134"/>
      </w:pPr>
      <w:r w:rsidRPr="00DD3134">
        <w:t>* For ammonium nitrate emulsions, suspension</w:t>
      </w:r>
      <w:r>
        <w:t>s or gels, refer to Figure 2.1.2</w:t>
      </w:r>
    </w:p>
    <w:p w:rsidR="004E2924" w:rsidRPr="00DD3134" w:rsidRDefault="004E2924" w:rsidP="004E2924"/>
    <w:p w:rsidR="004E2924" w:rsidRPr="00DD3134" w:rsidRDefault="004E2924" w:rsidP="004E2924"/>
    <w:p w:rsidR="0050143D" w:rsidRDefault="0050143D">
      <w:pPr>
        <w:suppressAutoHyphens w:val="0"/>
        <w:spacing w:line="240" w:lineRule="auto"/>
        <w:rPr>
          <w:b/>
        </w:rPr>
      </w:pPr>
      <w:r>
        <w:rPr>
          <w:b/>
        </w:rPr>
        <w:br w:type="page"/>
      </w:r>
    </w:p>
    <w:p w:rsidR="004E2924" w:rsidRPr="00074073" w:rsidRDefault="004E2924" w:rsidP="00074073">
      <w:pPr>
        <w:rPr>
          <w:b/>
          <w:sz w:val="22"/>
          <w:szCs w:val="22"/>
        </w:rPr>
      </w:pPr>
      <w:r w:rsidRPr="00074073">
        <w:rPr>
          <w:b/>
          <w:sz w:val="22"/>
          <w:szCs w:val="22"/>
        </w:rPr>
        <w:lastRenderedPageBreak/>
        <w:t>Figure 2.1.2</w:t>
      </w:r>
    </w:p>
    <w:p w:rsidR="004E2924" w:rsidRPr="00DD3134" w:rsidRDefault="004E2924" w:rsidP="004E2924"/>
    <w:p w:rsidR="004E2924" w:rsidRDefault="004E2924" w:rsidP="004E2924">
      <w:pPr>
        <w:spacing w:before="100" w:beforeAutospacing="1" w:after="100" w:afterAutospacing="1"/>
        <w:jc w:val="both"/>
        <w:rPr>
          <w:b/>
        </w:rPr>
      </w:pPr>
      <w:r>
        <w:rPr>
          <w:b/>
          <w:noProof/>
          <w:lang w:eastAsia="en-GB"/>
        </w:rPr>
        <w:drawing>
          <wp:inline distT="0" distB="0" distL="0" distR="0" wp14:anchorId="2C418DD8" wp14:editId="69EB6F35">
            <wp:extent cx="4713318" cy="63322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1063" cy="6329191"/>
                    </a:xfrm>
                    <a:prstGeom prst="rect">
                      <a:avLst/>
                    </a:prstGeom>
                    <a:noFill/>
                    <a:ln>
                      <a:noFill/>
                    </a:ln>
                  </pic:spPr>
                </pic:pic>
              </a:graphicData>
            </a:graphic>
          </wp:inline>
        </w:drawing>
      </w:r>
    </w:p>
    <w:p w:rsidR="004E2924" w:rsidRDefault="004E2924" w:rsidP="004E2924">
      <w:pPr>
        <w:rPr>
          <w:b/>
        </w:rPr>
      </w:pPr>
      <w:r>
        <w:rPr>
          <w:b/>
        </w:rPr>
        <w:br w:type="page"/>
      </w:r>
    </w:p>
    <w:p w:rsidR="0050143D" w:rsidRDefault="004E2924" w:rsidP="004E2924">
      <w:pPr>
        <w:spacing w:before="100" w:beforeAutospacing="1" w:after="100" w:afterAutospacing="1"/>
        <w:jc w:val="both"/>
        <w:rPr>
          <w:b/>
          <w:sz w:val="24"/>
        </w:rPr>
      </w:pPr>
      <w:r w:rsidRPr="000A4539">
        <w:rPr>
          <w:b/>
          <w:sz w:val="24"/>
        </w:rPr>
        <w:lastRenderedPageBreak/>
        <w:t>Annex 2 – List of potential UN-numbers assigned to Sub-category 2B</w:t>
      </w:r>
    </w:p>
    <w:p w:rsidR="0050143D" w:rsidRPr="0050143D" w:rsidRDefault="0050143D" w:rsidP="00074073">
      <w:pPr>
        <w:spacing w:before="100" w:beforeAutospacing="1" w:after="100" w:afterAutospacing="1"/>
        <w:ind w:right="1134" w:firstLine="1134"/>
        <w:jc w:val="both"/>
      </w:pPr>
      <w:r>
        <w:t xml:space="preserve">Note that this list is based on the opinions of some experts in the ICG, and is subject to </w:t>
      </w:r>
      <w:r w:rsidR="00074073">
        <w:tab/>
      </w:r>
      <w:r w:rsidR="00074073">
        <w:tab/>
      </w:r>
      <w:r>
        <w:t>further discussion.</w:t>
      </w:r>
    </w:p>
    <w:tbl>
      <w:tblPr>
        <w:tblStyle w:val="TableGrid"/>
        <w:tblW w:w="8046" w:type="dxa"/>
        <w:jc w:val="center"/>
        <w:tblInd w:w="-5" w:type="dxa"/>
        <w:tblLayout w:type="fixed"/>
        <w:tblCellMar>
          <w:left w:w="103" w:type="dxa"/>
        </w:tblCellMar>
        <w:tblLook w:val="04A0" w:firstRow="1" w:lastRow="0" w:firstColumn="1" w:lastColumn="0" w:noHBand="0" w:noVBand="1"/>
      </w:tblPr>
      <w:tblGrid>
        <w:gridCol w:w="1101"/>
        <w:gridCol w:w="4110"/>
        <w:gridCol w:w="1276"/>
        <w:gridCol w:w="1559"/>
      </w:tblGrid>
      <w:tr w:rsidR="004E2924" w:rsidRPr="00C41EDA" w:rsidTr="00074073">
        <w:trPr>
          <w:trHeight w:val="231"/>
          <w:jc w:val="center"/>
        </w:trPr>
        <w:tc>
          <w:tcPr>
            <w:tcW w:w="1101" w:type="dxa"/>
            <w:vMerge w:val="restart"/>
            <w:tcBorders>
              <w:right w:val="single" w:sz="4" w:space="0" w:color="auto"/>
            </w:tcBorders>
            <w:shd w:val="clear" w:color="auto" w:fill="auto"/>
            <w:tcMar>
              <w:left w:w="103" w:type="dxa"/>
            </w:tcMar>
            <w:vAlign w:val="center"/>
          </w:tcPr>
          <w:p w:rsidR="004E2924" w:rsidRPr="002172BF" w:rsidRDefault="004E2924" w:rsidP="004E2924">
            <w:pPr>
              <w:jc w:val="center"/>
              <w:rPr>
                <w:b/>
                <w:lang w:val="en-US"/>
              </w:rPr>
            </w:pPr>
            <w:r w:rsidRPr="002172BF">
              <w:rPr>
                <w:b/>
                <w:lang w:val="en-US"/>
              </w:rPr>
              <w:t>UN-number</w:t>
            </w:r>
          </w:p>
        </w:tc>
        <w:tc>
          <w:tcPr>
            <w:tcW w:w="4110" w:type="dxa"/>
            <w:vMerge w:val="restart"/>
            <w:tcBorders>
              <w:left w:val="single" w:sz="4" w:space="0" w:color="auto"/>
              <w:right w:val="single" w:sz="4" w:space="0" w:color="auto"/>
            </w:tcBorders>
            <w:vAlign w:val="center"/>
          </w:tcPr>
          <w:p w:rsidR="004E2924" w:rsidRPr="002172BF" w:rsidRDefault="004E2924" w:rsidP="004E2924">
            <w:pPr>
              <w:spacing w:before="100" w:after="100"/>
              <w:jc w:val="center"/>
              <w:rPr>
                <w:b/>
                <w:lang w:val="en-US"/>
              </w:rPr>
            </w:pPr>
            <w:r w:rsidRPr="002172BF">
              <w:rPr>
                <w:b/>
                <w:lang w:val="en-US"/>
              </w:rPr>
              <w:t>Description</w:t>
            </w:r>
            <w:r>
              <w:rPr>
                <w:b/>
                <w:lang w:val="en-US"/>
              </w:rPr>
              <w:t xml:space="preserve"> (shortened)*</w:t>
            </w:r>
          </w:p>
        </w:tc>
        <w:tc>
          <w:tcPr>
            <w:tcW w:w="2835" w:type="dxa"/>
            <w:gridSpan w:val="2"/>
            <w:tcBorders>
              <w:left w:val="single" w:sz="4" w:space="0" w:color="auto"/>
              <w:bottom w:val="single" w:sz="4" w:space="0" w:color="auto"/>
              <w:right w:val="single" w:sz="18" w:space="0" w:color="auto"/>
            </w:tcBorders>
            <w:vAlign w:val="center"/>
          </w:tcPr>
          <w:p w:rsidR="004E2924" w:rsidRPr="002172BF" w:rsidRDefault="004E2924" w:rsidP="004E2924">
            <w:pPr>
              <w:jc w:val="center"/>
              <w:rPr>
                <w:b/>
                <w:lang w:val="en-US"/>
              </w:rPr>
            </w:pPr>
            <w:r>
              <w:rPr>
                <w:b/>
                <w:lang w:val="en-US"/>
              </w:rPr>
              <w:t>Transport classification</w:t>
            </w:r>
          </w:p>
        </w:tc>
      </w:tr>
      <w:tr w:rsidR="004E2924" w:rsidRPr="00C41EDA" w:rsidTr="00074073">
        <w:trPr>
          <w:trHeight w:val="231"/>
          <w:jc w:val="center"/>
        </w:trPr>
        <w:tc>
          <w:tcPr>
            <w:tcW w:w="1101" w:type="dxa"/>
            <w:vMerge/>
            <w:tcBorders>
              <w:bottom w:val="single" w:sz="18" w:space="0" w:color="auto"/>
              <w:right w:val="single" w:sz="4" w:space="0" w:color="auto"/>
            </w:tcBorders>
            <w:shd w:val="clear" w:color="auto" w:fill="auto"/>
            <w:tcMar>
              <w:left w:w="103" w:type="dxa"/>
            </w:tcMar>
            <w:vAlign w:val="center"/>
          </w:tcPr>
          <w:p w:rsidR="004E2924" w:rsidRPr="002172BF" w:rsidRDefault="004E2924" w:rsidP="004E2924">
            <w:pPr>
              <w:jc w:val="center"/>
              <w:rPr>
                <w:b/>
                <w:lang w:val="en-US"/>
              </w:rPr>
            </w:pPr>
          </w:p>
        </w:tc>
        <w:tc>
          <w:tcPr>
            <w:tcW w:w="4110" w:type="dxa"/>
            <w:vMerge/>
            <w:tcBorders>
              <w:left w:val="single" w:sz="4" w:space="0" w:color="auto"/>
              <w:bottom w:val="single" w:sz="18" w:space="0" w:color="auto"/>
              <w:right w:val="single" w:sz="4" w:space="0" w:color="auto"/>
            </w:tcBorders>
            <w:vAlign w:val="center"/>
          </w:tcPr>
          <w:p w:rsidR="004E2924" w:rsidRPr="002172BF" w:rsidRDefault="004E2924" w:rsidP="004E2924">
            <w:pPr>
              <w:spacing w:before="100" w:after="100"/>
              <w:jc w:val="center"/>
              <w:rPr>
                <w:b/>
                <w:lang w:val="en-US"/>
              </w:rPr>
            </w:pPr>
          </w:p>
        </w:tc>
        <w:tc>
          <w:tcPr>
            <w:tcW w:w="1276" w:type="dxa"/>
            <w:tcBorders>
              <w:left w:val="single" w:sz="4" w:space="0" w:color="auto"/>
              <w:bottom w:val="single" w:sz="18" w:space="0" w:color="auto"/>
              <w:right w:val="single" w:sz="4" w:space="0" w:color="auto"/>
            </w:tcBorders>
            <w:vAlign w:val="center"/>
          </w:tcPr>
          <w:p w:rsidR="004E2924" w:rsidRDefault="004E2924" w:rsidP="004E2924">
            <w:pPr>
              <w:jc w:val="center"/>
              <w:rPr>
                <w:b/>
                <w:lang w:val="en-US"/>
              </w:rPr>
            </w:pPr>
            <w:r>
              <w:rPr>
                <w:b/>
                <w:lang w:val="en-US"/>
              </w:rPr>
              <w:t>Division</w:t>
            </w:r>
          </w:p>
        </w:tc>
        <w:tc>
          <w:tcPr>
            <w:tcW w:w="1559" w:type="dxa"/>
            <w:tcBorders>
              <w:left w:val="single" w:sz="4" w:space="0" w:color="auto"/>
              <w:bottom w:val="single" w:sz="18" w:space="0" w:color="auto"/>
              <w:right w:val="single" w:sz="18" w:space="0" w:color="auto"/>
            </w:tcBorders>
            <w:shd w:val="clear" w:color="auto" w:fill="auto"/>
            <w:tcMar>
              <w:left w:w="103" w:type="dxa"/>
            </w:tcMar>
            <w:vAlign w:val="center"/>
          </w:tcPr>
          <w:p w:rsidR="004E2924" w:rsidRDefault="004E2924" w:rsidP="004E2924">
            <w:pPr>
              <w:jc w:val="center"/>
              <w:rPr>
                <w:b/>
                <w:lang w:val="en-US"/>
              </w:rPr>
            </w:pPr>
            <w:r>
              <w:rPr>
                <w:b/>
                <w:lang w:val="en-US"/>
              </w:rPr>
              <w:t>Compatibility Group</w:t>
            </w:r>
          </w:p>
        </w:tc>
      </w:tr>
      <w:tr w:rsidR="004E2924" w:rsidRPr="003C5B30" w:rsidTr="00074073">
        <w:trPr>
          <w:trHeight w:val="231"/>
          <w:jc w:val="center"/>
        </w:trPr>
        <w:tc>
          <w:tcPr>
            <w:tcW w:w="1101" w:type="dxa"/>
            <w:tcBorders>
              <w:top w:val="single" w:sz="18" w:space="0" w:color="auto"/>
              <w:right w:val="single" w:sz="4" w:space="0" w:color="auto"/>
            </w:tcBorders>
            <w:shd w:val="clear" w:color="auto" w:fill="auto"/>
            <w:tcMar>
              <w:left w:w="103" w:type="dxa"/>
            </w:tcMar>
          </w:tcPr>
          <w:p w:rsidR="004E2924" w:rsidRPr="002172BF" w:rsidRDefault="004E2924" w:rsidP="004E2924">
            <w:pPr>
              <w:rPr>
                <w:lang w:val="en-US"/>
              </w:rPr>
            </w:pPr>
            <w:r w:rsidRPr="002172BF">
              <w:rPr>
                <w:lang w:val="en-US"/>
              </w:rPr>
              <w:t>0012</w:t>
            </w:r>
          </w:p>
        </w:tc>
        <w:tc>
          <w:tcPr>
            <w:tcW w:w="4110" w:type="dxa"/>
            <w:tcBorders>
              <w:top w:val="single" w:sz="18" w:space="0" w:color="auto"/>
              <w:left w:val="single" w:sz="4" w:space="0" w:color="auto"/>
              <w:right w:val="single" w:sz="4" w:space="0" w:color="auto"/>
            </w:tcBorders>
          </w:tcPr>
          <w:p w:rsidR="004E2924" w:rsidRPr="002172BF" w:rsidRDefault="004E2924" w:rsidP="004E2924">
            <w:pPr>
              <w:rPr>
                <w:lang w:val="en-US"/>
              </w:rPr>
            </w:pPr>
            <w:r w:rsidRPr="002172BF">
              <w:rPr>
                <w:lang w:val="en-US"/>
              </w:rPr>
              <w:t>Cartridges SA</w:t>
            </w:r>
          </w:p>
        </w:tc>
        <w:tc>
          <w:tcPr>
            <w:tcW w:w="1276" w:type="dxa"/>
            <w:tcBorders>
              <w:top w:val="single" w:sz="18" w:space="0" w:color="auto"/>
              <w:left w:val="single" w:sz="4" w:space="0" w:color="auto"/>
              <w:right w:val="single" w:sz="4" w:space="0" w:color="auto"/>
            </w:tcBorders>
          </w:tcPr>
          <w:p w:rsidR="004E2924" w:rsidRDefault="004E2924" w:rsidP="004E2924">
            <w:pPr>
              <w:rPr>
                <w:lang w:val="en-US"/>
              </w:rPr>
            </w:pPr>
            <w:r>
              <w:rPr>
                <w:lang w:val="en-US"/>
              </w:rPr>
              <w:t>1.4</w:t>
            </w:r>
          </w:p>
        </w:tc>
        <w:tc>
          <w:tcPr>
            <w:tcW w:w="1559" w:type="dxa"/>
            <w:tcBorders>
              <w:top w:val="single" w:sz="18" w:space="0" w:color="auto"/>
              <w:left w:val="single" w:sz="4" w:space="0" w:color="auto"/>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S</w:t>
            </w:r>
          </w:p>
        </w:tc>
      </w:tr>
      <w:tr w:rsidR="004E2924" w:rsidRPr="003C5B30"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0014</w:t>
            </w:r>
          </w:p>
        </w:tc>
        <w:tc>
          <w:tcPr>
            <w:tcW w:w="4110" w:type="dxa"/>
          </w:tcPr>
          <w:p w:rsidR="004E2924" w:rsidRPr="002172BF" w:rsidRDefault="004E2924" w:rsidP="004E2924">
            <w:pPr>
              <w:rPr>
                <w:lang w:val="en-US"/>
              </w:rPr>
            </w:pPr>
            <w:r w:rsidRPr="002172BF">
              <w:rPr>
                <w:lang w:val="en-US"/>
              </w:rPr>
              <w:t>Cartridges Blanks</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S</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t>0044</w:t>
            </w:r>
          </w:p>
        </w:tc>
        <w:tc>
          <w:tcPr>
            <w:tcW w:w="4110" w:type="dxa"/>
            <w:shd w:val="clear" w:color="auto" w:fill="auto"/>
          </w:tcPr>
          <w:p w:rsidR="004E2924" w:rsidRPr="002172BF" w:rsidRDefault="004E2924" w:rsidP="004E2924">
            <w:pPr>
              <w:rPr>
                <w:lang w:val="en-US"/>
              </w:rPr>
            </w:pPr>
            <w:r w:rsidRPr="002172BF">
              <w:rPr>
                <w:lang w:val="en-US"/>
              </w:rPr>
              <w:t>Primers, cap type</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S</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0055</w:t>
            </w:r>
          </w:p>
        </w:tc>
        <w:tc>
          <w:tcPr>
            <w:tcW w:w="4110" w:type="dxa"/>
          </w:tcPr>
          <w:p w:rsidR="004E2924" w:rsidRPr="002172BF" w:rsidRDefault="004E2924" w:rsidP="004E2924">
            <w:pPr>
              <w:rPr>
                <w:lang w:val="en-US"/>
              </w:rPr>
            </w:pPr>
            <w:r w:rsidRPr="002172BF">
              <w:rPr>
                <w:lang w:val="en-US"/>
              </w:rPr>
              <w:t>Cartridges cases</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S</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0066</w:t>
            </w:r>
          </w:p>
        </w:tc>
        <w:tc>
          <w:tcPr>
            <w:tcW w:w="4110" w:type="dxa"/>
          </w:tcPr>
          <w:p w:rsidR="004E2924" w:rsidRPr="002172BF" w:rsidRDefault="004E2924" w:rsidP="004E2924">
            <w:pPr>
              <w:rPr>
                <w:lang w:val="en-US"/>
              </w:rPr>
            </w:pPr>
            <w:r w:rsidRPr="002172BF">
              <w:rPr>
                <w:lang w:val="en-US"/>
              </w:rPr>
              <w:t>Igniter cord</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G</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0070</w:t>
            </w:r>
          </w:p>
        </w:tc>
        <w:tc>
          <w:tcPr>
            <w:tcW w:w="4110" w:type="dxa"/>
          </w:tcPr>
          <w:p w:rsidR="004E2924" w:rsidRPr="002172BF" w:rsidRDefault="004E2924" w:rsidP="004E2924">
            <w:pPr>
              <w:rPr>
                <w:lang w:val="en-US"/>
              </w:rPr>
            </w:pPr>
            <w:r w:rsidRPr="002172BF">
              <w:rPr>
                <w:lang w:val="en-US"/>
              </w:rPr>
              <w:t>Cable cutters</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S</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0105</w:t>
            </w:r>
          </w:p>
        </w:tc>
        <w:tc>
          <w:tcPr>
            <w:tcW w:w="4110" w:type="dxa"/>
          </w:tcPr>
          <w:p w:rsidR="004E2924" w:rsidRPr="002172BF" w:rsidRDefault="004E2924" w:rsidP="004E2924">
            <w:pPr>
              <w:rPr>
                <w:lang w:val="en-US"/>
              </w:rPr>
            </w:pPr>
            <w:r w:rsidRPr="002172BF">
              <w:rPr>
                <w:lang w:val="en-US"/>
              </w:rPr>
              <w:t>Safety Fuse</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S</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0131</w:t>
            </w:r>
          </w:p>
        </w:tc>
        <w:tc>
          <w:tcPr>
            <w:tcW w:w="4110" w:type="dxa"/>
          </w:tcPr>
          <w:p w:rsidR="004E2924" w:rsidRPr="002172BF" w:rsidRDefault="004E2924" w:rsidP="004E2924">
            <w:pPr>
              <w:rPr>
                <w:lang w:val="en-US"/>
              </w:rPr>
            </w:pPr>
            <w:r w:rsidRPr="002172BF">
              <w:rPr>
                <w:lang w:val="en-US"/>
              </w:rPr>
              <w:t>Fuse lighters</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S</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0173</w:t>
            </w:r>
          </w:p>
        </w:tc>
        <w:tc>
          <w:tcPr>
            <w:tcW w:w="4110" w:type="dxa"/>
          </w:tcPr>
          <w:p w:rsidR="004E2924" w:rsidRPr="002172BF" w:rsidRDefault="004E2924" w:rsidP="004E2924">
            <w:pPr>
              <w:rPr>
                <w:lang w:val="en-US"/>
              </w:rPr>
            </w:pPr>
            <w:r w:rsidRPr="002172BF">
              <w:rPr>
                <w:lang w:val="en-US"/>
              </w:rPr>
              <w:t>Release devices</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S</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0174</w:t>
            </w:r>
          </w:p>
        </w:tc>
        <w:tc>
          <w:tcPr>
            <w:tcW w:w="4110" w:type="dxa"/>
          </w:tcPr>
          <w:p w:rsidR="004E2924" w:rsidRPr="002172BF" w:rsidRDefault="004E2924" w:rsidP="004E2924">
            <w:pPr>
              <w:rPr>
                <w:lang w:val="en-US"/>
              </w:rPr>
            </w:pPr>
            <w:r w:rsidRPr="002172BF">
              <w:rPr>
                <w:lang w:val="en-US"/>
              </w:rPr>
              <w:t>Rivets</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S</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0191</w:t>
            </w:r>
          </w:p>
        </w:tc>
        <w:tc>
          <w:tcPr>
            <w:tcW w:w="4110" w:type="dxa"/>
          </w:tcPr>
          <w:p w:rsidR="004E2924" w:rsidRPr="002172BF" w:rsidRDefault="004E2924" w:rsidP="004E2924">
            <w:pPr>
              <w:rPr>
                <w:lang w:val="en-US"/>
              </w:rPr>
            </w:pPr>
            <w:r w:rsidRPr="002172BF">
              <w:rPr>
                <w:lang w:val="en-US"/>
              </w:rPr>
              <w:t>Hand Signals</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G</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0197</w:t>
            </w:r>
          </w:p>
        </w:tc>
        <w:tc>
          <w:tcPr>
            <w:tcW w:w="4110" w:type="dxa"/>
          </w:tcPr>
          <w:p w:rsidR="004E2924" w:rsidRPr="002172BF" w:rsidRDefault="004E2924" w:rsidP="004E2924">
            <w:pPr>
              <w:rPr>
                <w:lang w:val="en-US"/>
              </w:rPr>
            </w:pPr>
            <w:r w:rsidRPr="002172BF">
              <w:rPr>
                <w:lang w:val="en-US"/>
              </w:rPr>
              <w:t>Smoke Signals</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G</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0276</w:t>
            </w:r>
          </w:p>
        </w:tc>
        <w:tc>
          <w:tcPr>
            <w:tcW w:w="4110" w:type="dxa"/>
          </w:tcPr>
          <w:p w:rsidR="004E2924" w:rsidRPr="002172BF" w:rsidRDefault="004E2924" w:rsidP="004E2924">
            <w:pPr>
              <w:rPr>
                <w:lang w:val="en-US"/>
              </w:rPr>
            </w:pPr>
            <w:r w:rsidRPr="002172BF">
              <w:rPr>
                <w:lang w:val="en-US"/>
              </w:rPr>
              <w:t>Power cartridges</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C</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0278</w:t>
            </w:r>
          </w:p>
        </w:tc>
        <w:tc>
          <w:tcPr>
            <w:tcW w:w="4110" w:type="dxa"/>
          </w:tcPr>
          <w:p w:rsidR="004E2924" w:rsidRPr="002172BF" w:rsidRDefault="004E2924" w:rsidP="004E2924">
            <w:pPr>
              <w:rPr>
                <w:lang w:val="en-US"/>
              </w:rPr>
            </w:pPr>
            <w:r w:rsidRPr="002172BF">
              <w:rPr>
                <w:lang w:val="en-US"/>
              </w:rPr>
              <w:t>Oil well cartridges</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C</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t>0306</w:t>
            </w:r>
          </w:p>
        </w:tc>
        <w:tc>
          <w:tcPr>
            <w:tcW w:w="4110" w:type="dxa"/>
            <w:shd w:val="clear" w:color="auto" w:fill="auto"/>
          </w:tcPr>
          <w:p w:rsidR="004E2924" w:rsidRPr="002172BF" w:rsidRDefault="004E2924" w:rsidP="004E2924">
            <w:pPr>
              <w:rPr>
                <w:lang w:val="en-US"/>
              </w:rPr>
            </w:pPr>
            <w:r w:rsidRPr="002172BF">
              <w:rPr>
                <w:lang w:val="en-US"/>
              </w:rPr>
              <w:t>Tracers for ammunition</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G</w:t>
            </w:r>
          </w:p>
        </w:tc>
      </w:tr>
      <w:tr w:rsidR="004E2924" w:rsidRPr="002172BF" w:rsidTr="00074073">
        <w:trPr>
          <w:trHeight w:val="231"/>
          <w:jc w:val="center"/>
        </w:trPr>
        <w:tc>
          <w:tcPr>
            <w:tcW w:w="1101" w:type="dxa"/>
            <w:tcBorders>
              <w:bottom w:val="single" w:sz="4" w:space="0" w:color="auto"/>
            </w:tcBorders>
            <w:shd w:val="clear" w:color="auto" w:fill="auto"/>
            <w:tcMar>
              <w:left w:w="103" w:type="dxa"/>
            </w:tcMar>
          </w:tcPr>
          <w:p w:rsidR="004E2924" w:rsidRPr="002172BF" w:rsidRDefault="004E2924" w:rsidP="004E2924">
            <w:pPr>
              <w:rPr>
                <w:lang w:val="en-US"/>
              </w:rPr>
            </w:pPr>
            <w:r w:rsidRPr="002172BF">
              <w:rPr>
                <w:lang w:val="en-US"/>
              </w:rPr>
              <w:t>0312</w:t>
            </w:r>
          </w:p>
        </w:tc>
        <w:tc>
          <w:tcPr>
            <w:tcW w:w="4110" w:type="dxa"/>
            <w:tcBorders>
              <w:bottom w:val="single" w:sz="4" w:space="0" w:color="auto"/>
            </w:tcBorders>
          </w:tcPr>
          <w:p w:rsidR="004E2924" w:rsidRPr="002172BF" w:rsidRDefault="004E2924" w:rsidP="004E2924">
            <w:pPr>
              <w:rPr>
                <w:lang w:val="en-US"/>
              </w:rPr>
            </w:pPr>
            <w:r w:rsidRPr="002172BF">
              <w:rPr>
                <w:lang w:val="en-US"/>
              </w:rPr>
              <w:t>Signal cartridges</w:t>
            </w:r>
          </w:p>
        </w:tc>
        <w:tc>
          <w:tcPr>
            <w:tcW w:w="1276" w:type="dxa"/>
            <w:tcBorders>
              <w:bottom w:val="single" w:sz="4" w:space="0" w:color="auto"/>
            </w:tcBorders>
          </w:tcPr>
          <w:p w:rsidR="004E2924" w:rsidRDefault="004E2924" w:rsidP="004E2924">
            <w:pPr>
              <w:rPr>
                <w:lang w:val="en-US"/>
              </w:rPr>
            </w:pPr>
            <w:r>
              <w:rPr>
                <w:lang w:val="en-US"/>
              </w:rPr>
              <w:t>1.4</w:t>
            </w:r>
          </w:p>
        </w:tc>
        <w:tc>
          <w:tcPr>
            <w:tcW w:w="1559" w:type="dxa"/>
            <w:tcBorders>
              <w:bottom w:val="single" w:sz="4" w:space="0" w:color="auto"/>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G</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t>0317</w:t>
            </w:r>
          </w:p>
        </w:tc>
        <w:tc>
          <w:tcPr>
            <w:tcW w:w="4110" w:type="dxa"/>
            <w:shd w:val="clear" w:color="auto" w:fill="auto"/>
          </w:tcPr>
          <w:p w:rsidR="004E2924" w:rsidRPr="002172BF" w:rsidRDefault="004E2924" w:rsidP="004E2924">
            <w:pPr>
              <w:rPr>
                <w:lang w:val="en-US"/>
              </w:rPr>
            </w:pPr>
            <w:r w:rsidRPr="002172BF">
              <w:rPr>
                <w:lang w:val="en-US"/>
              </w:rPr>
              <w:t>Fuses, igniting</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G</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t>0323</w:t>
            </w:r>
          </w:p>
        </w:tc>
        <w:tc>
          <w:tcPr>
            <w:tcW w:w="4110" w:type="dxa"/>
            <w:shd w:val="clear" w:color="auto" w:fill="auto"/>
          </w:tcPr>
          <w:p w:rsidR="004E2924" w:rsidRPr="002172BF" w:rsidRDefault="004E2924" w:rsidP="004E2924">
            <w:pPr>
              <w:rPr>
                <w:lang w:val="en-US"/>
              </w:rPr>
            </w:pPr>
            <w:r w:rsidRPr="002172BF">
              <w:rPr>
                <w:lang w:val="en-US"/>
              </w:rPr>
              <w:t>Cartridges, power device</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S</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0325</w:t>
            </w:r>
          </w:p>
        </w:tc>
        <w:tc>
          <w:tcPr>
            <w:tcW w:w="4110" w:type="dxa"/>
          </w:tcPr>
          <w:p w:rsidR="004E2924" w:rsidRPr="002172BF" w:rsidRDefault="004E2924" w:rsidP="004E2924">
            <w:pPr>
              <w:rPr>
                <w:lang w:val="en-US"/>
              </w:rPr>
            </w:pPr>
            <w:r w:rsidRPr="002172BF">
              <w:rPr>
                <w:lang w:val="en-US"/>
              </w:rPr>
              <w:t>Igniters</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G</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0337</w:t>
            </w:r>
          </w:p>
        </w:tc>
        <w:tc>
          <w:tcPr>
            <w:tcW w:w="4110" w:type="dxa"/>
          </w:tcPr>
          <w:p w:rsidR="004E2924" w:rsidRPr="002172BF" w:rsidRDefault="004E2924" w:rsidP="004E2924">
            <w:pPr>
              <w:rPr>
                <w:lang w:val="en-US"/>
              </w:rPr>
            </w:pPr>
            <w:r w:rsidRPr="002172BF">
              <w:rPr>
                <w:lang w:val="en-US"/>
              </w:rPr>
              <w:t>Fireworks</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S</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0338</w:t>
            </w:r>
          </w:p>
        </w:tc>
        <w:tc>
          <w:tcPr>
            <w:tcW w:w="4110" w:type="dxa"/>
          </w:tcPr>
          <w:p w:rsidR="004E2924" w:rsidRPr="002172BF" w:rsidRDefault="004E2924" w:rsidP="004E2924">
            <w:pPr>
              <w:rPr>
                <w:lang w:val="en-US"/>
              </w:rPr>
            </w:pPr>
            <w:r w:rsidRPr="002172BF">
              <w:rPr>
                <w:lang w:val="en-US"/>
              </w:rPr>
              <w:t>Cartridges Blanks</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C</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0339</w:t>
            </w:r>
          </w:p>
        </w:tc>
        <w:tc>
          <w:tcPr>
            <w:tcW w:w="4110" w:type="dxa"/>
          </w:tcPr>
          <w:p w:rsidR="004E2924" w:rsidRPr="002172BF" w:rsidRDefault="004E2924" w:rsidP="004E2924">
            <w:pPr>
              <w:rPr>
                <w:lang w:val="en-US"/>
              </w:rPr>
            </w:pPr>
            <w:r w:rsidRPr="002172BF">
              <w:rPr>
                <w:lang w:val="en-US"/>
              </w:rPr>
              <w:t>Cartridges SA</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C</w:t>
            </w:r>
          </w:p>
        </w:tc>
      </w:tr>
      <w:tr w:rsidR="004E2924" w:rsidRPr="002172BF" w:rsidTr="00074073">
        <w:trPr>
          <w:trHeight w:val="231"/>
          <w:jc w:val="center"/>
        </w:trPr>
        <w:tc>
          <w:tcPr>
            <w:tcW w:w="1101" w:type="dxa"/>
            <w:tcBorders>
              <w:bottom w:val="single" w:sz="4" w:space="0" w:color="auto"/>
            </w:tcBorders>
            <w:shd w:val="clear" w:color="auto" w:fill="auto"/>
            <w:tcMar>
              <w:left w:w="103" w:type="dxa"/>
            </w:tcMar>
          </w:tcPr>
          <w:p w:rsidR="004E2924" w:rsidRPr="002172BF" w:rsidRDefault="004E2924" w:rsidP="004E2924">
            <w:pPr>
              <w:rPr>
                <w:lang w:val="en-US"/>
              </w:rPr>
            </w:pPr>
            <w:r w:rsidRPr="002172BF">
              <w:rPr>
                <w:lang w:val="en-US"/>
              </w:rPr>
              <w:t>0345</w:t>
            </w:r>
          </w:p>
        </w:tc>
        <w:tc>
          <w:tcPr>
            <w:tcW w:w="4110" w:type="dxa"/>
            <w:tcBorders>
              <w:bottom w:val="single" w:sz="4" w:space="0" w:color="auto"/>
            </w:tcBorders>
          </w:tcPr>
          <w:p w:rsidR="004E2924" w:rsidRPr="002172BF" w:rsidRDefault="004E2924" w:rsidP="004E2924">
            <w:pPr>
              <w:rPr>
                <w:lang w:val="en-US"/>
              </w:rPr>
            </w:pPr>
            <w:r w:rsidRPr="002172BF">
              <w:rPr>
                <w:lang w:val="en-US"/>
              </w:rPr>
              <w:t>Projectiles</w:t>
            </w:r>
          </w:p>
        </w:tc>
        <w:tc>
          <w:tcPr>
            <w:tcW w:w="1276" w:type="dxa"/>
            <w:tcBorders>
              <w:bottom w:val="single" w:sz="4" w:space="0" w:color="auto"/>
            </w:tcBorders>
          </w:tcPr>
          <w:p w:rsidR="004E2924" w:rsidRDefault="004E2924" w:rsidP="004E2924">
            <w:pPr>
              <w:rPr>
                <w:lang w:val="en-US"/>
              </w:rPr>
            </w:pPr>
            <w:r>
              <w:rPr>
                <w:lang w:val="en-US"/>
              </w:rPr>
              <w:t>1.4</w:t>
            </w:r>
          </w:p>
        </w:tc>
        <w:tc>
          <w:tcPr>
            <w:tcW w:w="1559" w:type="dxa"/>
            <w:tcBorders>
              <w:bottom w:val="single" w:sz="4" w:space="0" w:color="auto"/>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S</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0368</w:t>
            </w:r>
          </w:p>
        </w:tc>
        <w:tc>
          <w:tcPr>
            <w:tcW w:w="4110" w:type="dxa"/>
          </w:tcPr>
          <w:p w:rsidR="004E2924" w:rsidRPr="002172BF" w:rsidRDefault="004E2924" w:rsidP="004E2924">
            <w:pPr>
              <w:rPr>
                <w:lang w:val="en-US"/>
              </w:rPr>
            </w:pPr>
            <w:r w:rsidRPr="002172BF">
              <w:rPr>
                <w:lang w:val="en-US"/>
              </w:rPr>
              <w:t>Igniting fuses</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S</w:t>
            </w:r>
          </w:p>
        </w:tc>
      </w:tr>
      <w:tr w:rsidR="004E2924" w:rsidRPr="002172BF" w:rsidTr="00074073">
        <w:trPr>
          <w:trHeight w:val="231"/>
          <w:jc w:val="center"/>
        </w:trPr>
        <w:tc>
          <w:tcPr>
            <w:tcW w:w="1101" w:type="dxa"/>
            <w:tcBorders>
              <w:bottom w:val="single" w:sz="4" w:space="0" w:color="auto"/>
            </w:tcBorders>
            <w:shd w:val="clear" w:color="auto" w:fill="auto"/>
            <w:tcMar>
              <w:left w:w="103" w:type="dxa"/>
            </w:tcMar>
          </w:tcPr>
          <w:p w:rsidR="004E2924" w:rsidRPr="002172BF" w:rsidRDefault="004E2924" w:rsidP="004E2924">
            <w:pPr>
              <w:rPr>
                <w:lang w:val="en-US"/>
              </w:rPr>
            </w:pPr>
            <w:r w:rsidRPr="002172BF">
              <w:rPr>
                <w:lang w:val="en-US"/>
              </w:rPr>
              <w:t>0373</w:t>
            </w:r>
          </w:p>
        </w:tc>
        <w:tc>
          <w:tcPr>
            <w:tcW w:w="4110" w:type="dxa"/>
            <w:tcBorders>
              <w:bottom w:val="single" w:sz="4" w:space="0" w:color="auto"/>
            </w:tcBorders>
          </w:tcPr>
          <w:p w:rsidR="004E2924" w:rsidRPr="002172BF" w:rsidRDefault="004E2924" w:rsidP="004E2924">
            <w:pPr>
              <w:rPr>
                <w:lang w:val="en-US"/>
              </w:rPr>
            </w:pPr>
            <w:r w:rsidRPr="002172BF">
              <w:rPr>
                <w:lang w:val="en-US"/>
              </w:rPr>
              <w:t>Hand Signals</w:t>
            </w:r>
          </w:p>
        </w:tc>
        <w:tc>
          <w:tcPr>
            <w:tcW w:w="1276" w:type="dxa"/>
            <w:tcBorders>
              <w:bottom w:val="single" w:sz="4" w:space="0" w:color="auto"/>
            </w:tcBorders>
          </w:tcPr>
          <w:p w:rsidR="004E2924" w:rsidRDefault="004E2924" w:rsidP="004E2924">
            <w:pPr>
              <w:rPr>
                <w:lang w:val="en-US"/>
              </w:rPr>
            </w:pPr>
            <w:r>
              <w:rPr>
                <w:lang w:val="en-US"/>
              </w:rPr>
              <w:t>1.4</w:t>
            </w:r>
          </w:p>
        </w:tc>
        <w:tc>
          <w:tcPr>
            <w:tcW w:w="1559" w:type="dxa"/>
            <w:tcBorders>
              <w:bottom w:val="single" w:sz="4" w:space="0" w:color="auto"/>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S</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t>0379</w:t>
            </w:r>
          </w:p>
        </w:tc>
        <w:tc>
          <w:tcPr>
            <w:tcW w:w="4110" w:type="dxa"/>
            <w:shd w:val="clear" w:color="auto" w:fill="auto"/>
          </w:tcPr>
          <w:p w:rsidR="004E2924" w:rsidRPr="002172BF" w:rsidRDefault="004E2924" w:rsidP="004E2924">
            <w:pPr>
              <w:rPr>
                <w:lang w:val="en-US"/>
              </w:rPr>
            </w:pPr>
            <w:r w:rsidRPr="002172BF">
              <w:rPr>
                <w:lang w:val="en-US"/>
              </w:rPr>
              <w:t>Cases, cartridge empty with primer</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C</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0403</w:t>
            </w:r>
          </w:p>
        </w:tc>
        <w:tc>
          <w:tcPr>
            <w:tcW w:w="4110" w:type="dxa"/>
          </w:tcPr>
          <w:p w:rsidR="004E2924" w:rsidRPr="002172BF" w:rsidRDefault="004E2924" w:rsidP="004E2924">
            <w:pPr>
              <w:rPr>
                <w:lang w:val="en-US"/>
              </w:rPr>
            </w:pPr>
            <w:r w:rsidRPr="002172BF">
              <w:rPr>
                <w:lang w:val="en-US"/>
              </w:rPr>
              <w:t>Aerial Flares</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G</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0404</w:t>
            </w:r>
          </w:p>
        </w:tc>
        <w:tc>
          <w:tcPr>
            <w:tcW w:w="4110" w:type="dxa"/>
          </w:tcPr>
          <w:p w:rsidR="004E2924" w:rsidRPr="002172BF" w:rsidRDefault="004E2924" w:rsidP="004E2924">
            <w:pPr>
              <w:rPr>
                <w:lang w:val="en-US"/>
              </w:rPr>
            </w:pPr>
            <w:r w:rsidRPr="002172BF">
              <w:rPr>
                <w:lang w:val="en-US"/>
              </w:rPr>
              <w:t>Aerial Flares</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S</w:t>
            </w:r>
          </w:p>
        </w:tc>
      </w:tr>
      <w:tr w:rsidR="004E2924" w:rsidRPr="002172BF" w:rsidTr="00074073">
        <w:trPr>
          <w:trHeight w:val="231"/>
          <w:jc w:val="center"/>
        </w:trPr>
        <w:tc>
          <w:tcPr>
            <w:tcW w:w="1101" w:type="dxa"/>
            <w:tcBorders>
              <w:bottom w:val="single" w:sz="4" w:space="0" w:color="auto"/>
            </w:tcBorders>
            <w:shd w:val="clear" w:color="auto" w:fill="auto"/>
            <w:tcMar>
              <w:left w:w="103" w:type="dxa"/>
            </w:tcMar>
          </w:tcPr>
          <w:p w:rsidR="004E2924" w:rsidRPr="002172BF" w:rsidRDefault="004E2924" w:rsidP="004E2924">
            <w:pPr>
              <w:rPr>
                <w:lang w:val="en-US"/>
              </w:rPr>
            </w:pPr>
            <w:r w:rsidRPr="002172BF">
              <w:rPr>
                <w:lang w:val="en-US"/>
              </w:rPr>
              <w:t>0405</w:t>
            </w:r>
          </w:p>
        </w:tc>
        <w:tc>
          <w:tcPr>
            <w:tcW w:w="4110" w:type="dxa"/>
            <w:tcBorders>
              <w:bottom w:val="single" w:sz="4" w:space="0" w:color="auto"/>
            </w:tcBorders>
          </w:tcPr>
          <w:p w:rsidR="004E2924" w:rsidRPr="002172BF" w:rsidRDefault="004E2924" w:rsidP="004E2924">
            <w:pPr>
              <w:rPr>
                <w:lang w:val="en-US"/>
              </w:rPr>
            </w:pPr>
            <w:r w:rsidRPr="002172BF">
              <w:rPr>
                <w:lang w:val="en-US"/>
              </w:rPr>
              <w:t>Signal Cartridges</w:t>
            </w:r>
          </w:p>
        </w:tc>
        <w:tc>
          <w:tcPr>
            <w:tcW w:w="1276" w:type="dxa"/>
            <w:tcBorders>
              <w:bottom w:val="single" w:sz="4" w:space="0" w:color="auto"/>
            </w:tcBorders>
          </w:tcPr>
          <w:p w:rsidR="004E2924" w:rsidRDefault="004E2924" w:rsidP="004E2924">
            <w:pPr>
              <w:rPr>
                <w:lang w:val="en-US"/>
              </w:rPr>
            </w:pPr>
            <w:r>
              <w:rPr>
                <w:lang w:val="en-US"/>
              </w:rPr>
              <w:t>1.4</w:t>
            </w:r>
          </w:p>
        </w:tc>
        <w:tc>
          <w:tcPr>
            <w:tcW w:w="1559" w:type="dxa"/>
            <w:tcBorders>
              <w:bottom w:val="single" w:sz="4" w:space="0" w:color="auto"/>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S</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t>0425</w:t>
            </w:r>
          </w:p>
        </w:tc>
        <w:tc>
          <w:tcPr>
            <w:tcW w:w="4110" w:type="dxa"/>
            <w:shd w:val="clear" w:color="auto" w:fill="auto"/>
          </w:tcPr>
          <w:p w:rsidR="004E2924" w:rsidRPr="002172BF" w:rsidRDefault="004E2924" w:rsidP="004E2924">
            <w:pPr>
              <w:rPr>
                <w:lang w:val="en-US"/>
              </w:rPr>
            </w:pPr>
            <w:r w:rsidRPr="002172BF">
              <w:rPr>
                <w:lang w:val="en-US"/>
              </w:rPr>
              <w:t>Projectiles, inert with tracer</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G</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t>0446</w:t>
            </w:r>
          </w:p>
        </w:tc>
        <w:tc>
          <w:tcPr>
            <w:tcW w:w="4110" w:type="dxa"/>
            <w:shd w:val="clear" w:color="auto" w:fill="auto"/>
          </w:tcPr>
          <w:p w:rsidR="004E2924" w:rsidRPr="002172BF" w:rsidRDefault="004E2924" w:rsidP="004E2924">
            <w:pPr>
              <w:rPr>
                <w:lang w:val="en-US"/>
              </w:rPr>
            </w:pPr>
            <w:r w:rsidRPr="002172BF">
              <w:rPr>
                <w:lang w:val="en-US"/>
              </w:rPr>
              <w:t>Cases, combustible, empty, without primer</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C</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0454</w:t>
            </w:r>
          </w:p>
        </w:tc>
        <w:tc>
          <w:tcPr>
            <w:tcW w:w="4110" w:type="dxa"/>
          </w:tcPr>
          <w:p w:rsidR="004E2924" w:rsidRPr="002172BF" w:rsidRDefault="004E2924" w:rsidP="004E2924">
            <w:pPr>
              <w:rPr>
                <w:lang w:val="en-US"/>
              </w:rPr>
            </w:pPr>
            <w:r w:rsidRPr="002172BF">
              <w:rPr>
                <w:lang w:val="en-US"/>
              </w:rPr>
              <w:t>Igniters</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S</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0503</w:t>
            </w:r>
          </w:p>
        </w:tc>
        <w:tc>
          <w:tcPr>
            <w:tcW w:w="4110" w:type="dxa"/>
          </w:tcPr>
          <w:p w:rsidR="004E2924" w:rsidRPr="002172BF" w:rsidRDefault="004E2924" w:rsidP="004E2924">
            <w:pPr>
              <w:rPr>
                <w:lang w:val="en-US"/>
              </w:rPr>
            </w:pPr>
            <w:r w:rsidRPr="002172BF">
              <w:rPr>
                <w:lang w:val="en-US"/>
              </w:rPr>
              <w:t>Airbags</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G</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0505</w:t>
            </w:r>
          </w:p>
        </w:tc>
        <w:tc>
          <w:tcPr>
            <w:tcW w:w="4110" w:type="dxa"/>
          </w:tcPr>
          <w:p w:rsidR="004E2924" w:rsidRPr="002172BF" w:rsidRDefault="004E2924" w:rsidP="004E2924">
            <w:pPr>
              <w:rPr>
                <w:lang w:val="en-US"/>
              </w:rPr>
            </w:pPr>
            <w:r w:rsidRPr="002172BF">
              <w:rPr>
                <w:lang w:val="en-US"/>
              </w:rPr>
              <w:t>Ship distress signals</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G</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0506</w:t>
            </w:r>
          </w:p>
        </w:tc>
        <w:tc>
          <w:tcPr>
            <w:tcW w:w="4110" w:type="dxa"/>
          </w:tcPr>
          <w:p w:rsidR="004E2924" w:rsidRPr="002172BF" w:rsidRDefault="004E2924" w:rsidP="004E2924">
            <w:pPr>
              <w:rPr>
                <w:lang w:val="en-US"/>
              </w:rPr>
            </w:pPr>
            <w:r w:rsidRPr="002172BF">
              <w:rPr>
                <w:lang w:val="en-US"/>
              </w:rPr>
              <w:t>Ship distress signals</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S</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0507</w:t>
            </w:r>
          </w:p>
        </w:tc>
        <w:tc>
          <w:tcPr>
            <w:tcW w:w="4110" w:type="dxa"/>
          </w:tcPr>
          <w:p w:rsidR="004E2924" w:rsidRPr="002172BF" w:rsidRDefault="004E2924" w:rsidP="004E2924">
            <w:pPr>
              <w:rPr>
                <w:lang w:val="en-US"/>
              </w:rPr>
            </w:pPr>
            <w:r w:rsidRPr="002172BF">
              <w:rPr>
                <w:lang w:val="en-US"/>
              </w:rPr>
              <w:t>Smoke Signals</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S</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0509</w:t>
            </w:r>
          </w:p>
        </w:tc>
        <w:tc>
          <w:tcPr>
            <w:tcW w:w="4110" w:type="dxa"/>
          </w:tcPr>
          <w:p w:rsidR="004E2924" w:rsidRPr="002172BF" w:rsidRDefault="004E2924" w:rsidP="004E2924">
            <w:pPr>
              <w:rPr>
                <w:lang w:val="en-US"/>
              </w:rPr>
            </w:pPr>
            <w:r w:rsidRPr="002172BF">
              <w:rPr>
                <w:lang w:val="en-US"/>
              </w:rPr>
              <w:t>Smokeless Powder</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C</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0510</w:t>
            </w:r>
          </w:p>
        </w:tc>
        <w:tc>
          <w:tcPr>
            <w:tcW w:w="4110" w:type="dxa"/>
          </w:tcPr>
          <w:p w:rsidR="004E2924" w:rsidRPr="002172BF" w:rsidRDefault="004E2924" w:rsidP="004E2924">
            <w:pPr>
              <w:rPr>
                <w:lang w:val="en-US"/>
              </w:rPr>
            </w:pPr>
            <w:r w:rsidRPr="002172BF">
              <w:rPr>
                <w:lang w:val="en-US"/>
              </w:rPr>
              <w:t>Rocket motors</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C</w:t>
            </w:r>
          </w:p>
        </w:tc>
      </w:tr>
    </w:tbl>
    <w:p w:rsidR="004E2924" w:rsidRDefault="004E2924" w:rsidP="00074073">
      <w:pPr>
        <w:spacing w:before="100" w:beforeAutospacing="1" w:after="100" w:afterAutospacing="1"/>
        <w:ind w:right="1134" w:firstLine="1134"/>
        <w:jc w:val="both"/>
      </w:pPr>
      <w:r w:rsidRPr="003C5B30">
        <w:t>* See the Dangerous Goods List</w:t>
      </w:r>
      <w:r>
        <w:t xml:space="preserve"> in Chapter</w:t>
      </w:r>
      <w:r w:rsidRPr="003C5B30">
        <w:t xml:space="preserve"> 3.2</w:t>
      </w:r>
      <w:r>
        <w:t xml:space="preserve"> of the UN Model Regulations for the full </w:t>
      </w:r>
      <w:r w:rsidR="00074073">
        <w:tab/>
      </w:r>
      <w:r w:rsidR="00074073">
        <w:tab/>
        <w:t>description</w:t>
      </w:r>
    </w:p>
    <w:p w:rsidR="004E2924" w:rsidRDefault="004E2924">
      <w:pPr>
        <w:suppressAutoHyphens w:val="0"/>
        <w:spacing w:line="240" w:lineRule="auto"/>
      </w:pPr>
      <w:r>
        <w:br w:type="page"/>
      </w:r>
    </w:p>
    <w:p w:rsidR="004E2924" w:rsidRPr="00C41EDA" w:rsidRDefault="004E2924" w:rsidP="004E2924">
      <w:pPr>
        <w:rPr>
          <w:noProof/>
          <w:sz w:val="24"/>
          <w:szCs w:val="24"/>
          <w:lang w:eastAsia="sv-SE"/>
        </w:rPr>
      </w:pPr>
      <w:r w:rsidRPr="00C41EDA">
        <w:rPr>
          <w:b/>
          <w:noProof/>
          <w:sz w:val="24"/>
          <w:szCs w:val="24"/>
          <w:lang w:eastAsia="sv-SE"/>
        </w:rPr>
        <w:lastRenderedPageBreak/>
        <w:t>Annex 3:</w:t>
      </w:r>
      <w:r>
        <w:rPr>
          <w:noProof/>
          <w:sz w:val="24"/>
          <w:szCs w:val="24"/>
          <w:lang w:eastAsia="sv-SE"/>
        </w:rPr>
        <w:t xml:space="preserve"> </w:t>
      </w:r>
      <w:r w:rsidRPr="002E63FA">
        <w:rPr>
          <w:b/>
          <w:noProof/>
          <w:sz w:val="24"/>
          <w:szCs w:val="24"/>
          <w:lang w:eastAsia="sv-SE"/>
        </w:rPr>
        <w:t xml:space="preserve">Example </w:t>
      </w:r>
      <w:r w:rsidR="0050143D">
        <w:rPr>
          <w:b/>
          <w:noProof/>
          <w:sz w:val="24"/>
          <w:szCs w:val="24"/>
          <w:lang w:eastAsia="sv-SE"/>
        </w:rPr>
        <w:t>GHS-</w:t>
      </w:r>
      <w:r w:rsidRPr="002E63FA">
        <w:rPr>
          <w:b/>
          <w:noProof/>
          <w:sz w:val="24"/>
          <w:szCs w:val="24"/>
          <w:lang w:eastAsia="sv-SE"/>
        </w:rPr>
        <w:t>labels for some Explosives.</w:t>
      </w:r>
    </w:p>
    <w:p w:rsidR="004E2924" w:rsidRDefault="004E2924" w:rsidP="004E2924">
      <w:pPr>
        <w:suppressAutoHyphens w:val="0"/>
        <w:spacing w:line="240" w:lineRule="auto"/>
      </w:pPr>
    </w:p>
    <w:p w:rsidR="004E2924" w:rsidRPr="0050143D" w:rsidRDefault="004E2924" w:rsidP="00074073">
      <w:pPr>
        <w:ind w:left="1134" w:right="1134"/>
        <w:rPr>
          <w:noProof/>
          <w:szCs w:val="24"/>
          <w:lang w:eastAsia="sv-SE"/>
        </w:rPr>
      </w:pPr>
      <w:r w:rsidRPr="0050143D">
        <w:rPr>
          <w:noProof/>
          <w:szCs w:val="24"/>
          <w:lang w:eastAsia="sv-SE"/>
        </w:rPr>
        <w:t>Note that these examples are for illustration purposes only and may not adhere to all aspects of the GHS or its implementations in various jurisdictions.</w:t>
      </w:r>
    </w:p>
    <w:p w:rsidR="004E2924" w:rsidRPr="00C41EDA" w:rsidRDefault="004E2924" w:rsidP="004E2924">
      <w:pPr>
        <w:rPr>
          <w:noProof/>
          <w:sz w:val="24"/>
          <w:szCs w:val="24"/>
          <w:lang w:eastAsia="sv-SE"/>
        </w:rPr>
      </w:pPr>
    </w:p>
    <w:p w:rsidR="004E2924" w:rsidRDefault="004E2924" w:rsidP="00B0758D">
      <w:pPr>
        <w:jc w:val="center"/>
      </w:pPr>
      <w:r>
        <w:rPr>
          <w:noProof/>
          <w:lang w:eastAsia="en-GB"/>
        </w:rPr>
        <w:drawing>
          <wp:inline distT="0" distB="0" distL="0" distR="0" wp14:anchorId="1B5F7F42" wp14:editId="39A1C325">
            <wp:extent cx="5136475" cy="6334501"/>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8358" cy="6336824"/>
                    </a:xfrm>
                    <a:prstGeom prst="rect">
                      <a:avLst/>
                    </a:prstGeom>
                    <a:noFill/>
                    <a:ln>
                      <a:noFill/>
                    </a:ln>
                  </pic:spPr>
                </pic:pic>
              </a:graphicData>
            </a:graphic>
          </wp:inline>
        </w:drawing>
      </w:r>
    </w:p>
    <w:p w:rsidR="004E2924" w:rsidRDefault="004E2924" w:rsidP="00B0758D">
      <w:pPr>
        <w:jc w:val="center"/>
      </w:pPr>
      <w:r>
        <w:rPr>
          <w:noProof/>
          <w:lang w:eastAsia="en-GB"/>
        </w:rPr>
        <w:lastRenderedPageBreak/>
        <w:drawing>
          <wp:inline distT="0" distB="0" distL="0" distR="0" wp14:anchorId="0DC836D0" wp14:editId="54EB9145">
            <wp:extent cx="5036820" cy="6461186"/>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6154" cy="6460332"/>
                    </a:xfrm>
                    <a:prstGeom prst="rect">
                      <a:avLst/>
                    </a:prstGeom>
                    <a:noFill/>
                    <a:ln>
                      <a:noFill/>
                    </a:ln>
                  </pic:spPr>
                </pic:pic>
              </a:graphicData>
            </a:graphic>
          </wp:inline>
        </w:drawing>
      </w:r>
    </w:p>
    <w:p w:rsidR="004E2924" w:rsidRDefault="004E2924" w:rsidP="00B0758D">
      <w:pPr>
        <w:jc w:val="center"/>
      </w:pPr>
      <w:r>
        <w:rPr>
          <w:noProof/>
          <w:lang w:eastAsia="en-GB"/>
        </w:rPr>
        <w:lastRenderedPageBreak/>
        <w:drawing>
          <wp:inline distT="0" distB="0" distL="0" distR="0" wp14:anchorId="6C30D762" wp14:editId="28C3CA35">
            <wp:extent cx="5074920" cy="6335479"/>
            <wp:effectExtent l="0" t="0" r="0" b="825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4936" cy="6335499"/>
                    </a:xfrm>
                    <a:prstGeom prst="rect">
                      <a:avLst/>
                    </a:prstGeom>
                    <a:noFill/>
                    <a:ln>
                      <a:noFill/>
                    </a:ln>
                  </pic:spPr>
                </pic:pic>
              </a:graphicData>
            </a:graphic>
          </wp:inline>
        </w:drawing>
      </w:r>
    </w:p>
    <w:p w:rsidR="004E2924" w:rsidRPr="00EB4381" w:rsidRDefault="00EB4381" w:rsidP="00EB4381">
      <w:pPr>
        <w:spacing w:before="240"/>
        <w:ind w:left="1134" w:right="1134"/>
        <w:jc w:val="center"/>
        <w:rPr>
          <w:u w:val="single"/>
        </w:rPr>
      </w:pPr>
      <w:r>
        <w:rPr>
          <w:u w:val="single"/>
        </w:rPr>
        <w:tab/>
      </w:r>
      <w:r>
        <w:rPr>
          <w:u w:val="single"/>
        </w:rPr>
        <w:tab/>
      </w:r>
      <w:r>
        <w:rPr>
          <w:u w:val="single"/>
        </w:rPr>
        <w:tab/>
      </w:r>
    </w:p>
    <w:sectPr w:rsidR="004E2924" w:rsidRPr="00EB4381" w:rsidSect="0005570C">
      <w:headerReference w:type="even" r:id="rId14"/>
      <w:headerReference w:type="default" r:id="rId15"/>
      <w:footerReference w:type="even" r:id="rId16"/>
      <w:footerReference w:type="default" r:id="rId17"/>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09C" w:rsidRDefault="0059109C"/>
  </w:endnote>
  <w:endnote w:type="continuationSeparator" w:id="0">
    <w:p w:rsidR="0059109C" w:rsidRDefault="0059109C"/>
  </w:endnote>
  <w:endnote w:type="continuationNotice" w:id="1">
    <w:p w:rsidR="0059109C" w:rsidRDefault="00591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24" w:rsidRPr="00796B95" w:rsidRDefault="004E2924" w:rsidP="00796B95">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65605C">
      <w:rPr>
        <w:b/>
        <w:noProof/>
        <w:sz w:val="18"/>
      </w:rPr>
      <w:t>16</w:t>
    </w:r>
    <w:r w:rsidRPr="002264E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24" w:rsidRPr="0005570C" w:rsidRDefault="004E2924"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65605C">
      <w:rPr>
        <w:b/>
        <w:noProof/>
        <w:sz w:val="18"/>
      </w:rPr>
      <w:t>17</w:t>
    </w:r>
    <w:r w:rsidRPr="0005570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09C" w:rsidRPr="000B175B" w:rsidRDefault="0059109C" w:rsidP="000B175B">
      <w:pPr>
        <w:tabs>
          <w:tab w:val="right" w:pos="2155"/>
        </w:tabs>
        <w:spacing w:after="80"/>
        <w:ind w:left="680"/>
        <w:rPr>
          <w:u w:val="single"/>
        </w:rPr>
      </w:pPr>
      <w:r>
        <w:rPr>
          <w:u w:val="single"/>
        </w:rPr>
        <w:tab/>
      </w:r>
    </w:p>
  </w:footnote>
  <w:footnote w:type="continuationSeparator" w:id="0">
    <w:p w:rsidR="0059109C" w:rsidRPr="00FC68B7" w:rsidRDefault="0059109C" w:rsidP="00FC68B7">
      <w:pPr>
        <w:tabs>
          <w:tab w:val="left" w:pos="2155"/>
        </w:tabs>
        <w:spacing w:after="80"/>
        <w:ind w:left="680"/>
        <w:rPr>
          <w:u w:val="single"/>
        </w:rPr>
      </w:pPr>
      <w:r>
        <w:rPr>
          <w:u w:val="single"/>
        </w:rPr>
        <w:tab/>
      </w:r>
    </w:p>
  </w:footnote>
  <w:footnote w:type="continuationNotice" w:id="1">
    <w:p w:rsidR="0059109C" w:rsidRDefault="0059109C"/>
  </w:footnote>
  <w:footnote w:id="2">
    <w:p w:rsidR="004E2924" w:rsidRPr="001F675B" w:rsidRDefault="004E2924" w:rsidP="002F5640">
      <w:pPr>
        <w:pStyle w:val="FootnoteText"/>
      </w:pPr>
      <w:r w:rsidRPr="001F675B">
        <w:rPr>
          <w:rStyle w:val="FootnoteReference"/>
        </w:rPr>
        <w:footnoteRef/>
      </w:r>
      <w:r w:rsidRPr="001F675B">
        <w:t xml:space="preserve"> ST/SG/AC.10/C.4/2014/15 - ST/SG/AC.10/C.3/2014/79</w:t>
      </w:r>
    </w:p>
  </w:footnote>
  <w:footnote w:id="3">
    <w:p w:rsidR="004E2924" w:rsidRPr="00FA0503" w:rsidRDefault="004E2924" w:rsidP="002F5640">
      <w:pPr>
        <w:pStyle w:val="FootnoteText"/>
        <w:rPr>
          <w:lang w:val="en-GB"/>
        </w:rPr>
      </w:pPr>
      <w:r w:rsidRPr="001F675B">
        <w:rPr>
          <w:rStyle w:val="FootnoteReference"/>
        </w:rPr>
        <w:footnoteRef/>
      </w:r>
      <w:r w:rsidRPr="00FA0503">
        <w:rPr>
          <w:lang w:val="en-GB"/>
        </w:rPr>
        <w:t xml:space="preserve"> </w:t>
      </w:r>
      <w:r w:rsidR="00FA0503" w:rsidRPr="00FA0503">
        <w:rPr>
          <w:lang w:val="en-GB"/>
        </w:rPr>
        <w:t xml:space="preserve">See </w:t>
      </w:r>
      <w:r w:rsidRPr="00FA0503">
        <w:rPr>
          <w:lang w:val="en-GB"/>
        </w:rPr>
        <w:t>UN/SCEGHS/29/INF.13</w:t>
      </w:r>
      <w:r w:rsidR="00FA0503" w:rsidRPr="00FA0503">
        <w:rPr>
          <w:lang w:val="en-GB"/>
        </w:rPr>
        <w:t xml:space="preserve"> and the report from the </w:t>
      </w:r>
      <w:r w:rsidR="00D078BF">
        <w:rPr>
          <w:lang w:val="en-GB"/>
        </w:rPr>
        <w:t>twenty-ninth</w:t>
      </w:r>
      <w:r w:rsidR="00FA0503" w:rsidRPr="00FA0503">
        <w:rPr>
          <w:lang w:val="en-GB"/>
        </w:rPr>
        <w:t xml:space="preserve"> session of the SCEGHS</w:t>
      </w:r>
      <w:r w:rsidR="00D078BF">
        <w:rPr>
          <w:lang w:val="en-GB"/>
        </w:rPr>
        <w:t xml:space="preserve"> (ST/</w:t>
      </w:r>
      <w:r w:rsidR="00D078BF" w:rsidRPr="00D078BF">
        <w:rPr>
          <w:lang w:val="en-GB"/>
        </w:rPr>
        <w:t>SG/AC.10/C.4/58</w:t>
      </w:r>
      <w:r w:rsidR="00D078BF">
        <w:rPr>
          <w:lang w:val="en-GB"/>
        </w:rPr>
        <w:t>)</w:t>
      </w:r>
    </w:p>
  </w:footnote>
  <w:footnote w:id="4">
    <w:p w:rsidR="004E2924" w:rsidRPr="004D5CF6" w:rsidRDefault="004E2924" w:rsidP="002F5640">
      <w:pPr>
        <w:pStyle w:val="FootnoteText"/>
        <w:rPr>
          <w:lang w:val="fr-CH"/>
        </w:rPr>
      </w:pPr>
      <w:r w:rsidRPr="001F675B">
        <w:rPr>
          <w:rStyle w:val="FootnoteReference"/>
        </w:rPr>
        <w:footnoteRef/>
      </w:r>
      <w:r w:rsidRPr="004D5CF6">
        <w:rPr>
          <w:lang w:val="fr-CH"/>
        </w:rPr>
        <w:t xml:space="preserve"> UN/SCEGHS/30/INF.9 -UN/SCETDG/48/INF.32</w:t>
      </w:r>
    </w:p>
  </w:footnote>
  <w:footnote w:id="5">
    <w:p w:rsidR="004E2924" w:rsidRPr="004D5CF6" w:rsidRDefault="004E2924" w:rsidP="002F5640">
      <w:pPr>
        <w:pStyle w:val="FootnoteText"/>
        <w:rPr>
          <w:lang w:val="fr-CH"/>
        </w:rPr>
      </w:pPr>
      <w:r w:rsidRPr="001F675B">
        <w:rPr>
          <w:rStyle w:val="FootnoteReference"/>
        </w:rPr>
        <w:footnoteRef/>
      </w:r>
      <w:r w:rsidRPr="004D5CF6">
        <w:rPr>
          <w:lang w:val="fr-CH"/>
        </w:rPr>
        <w:t xml:space="preserve"> UN/SCEGHS/31/INF.10 - UN/SCETDG/49/INF.37</w:t>
      </w:r>
    </w:p>
  </w:footnote>
  <w:footnote w:id="6">
    <w:p w:rsidR="004E2924" w:rsidRPr="004D5CF6" w:rsidRDefault="004E2924" w:rsidP="002F5640">
      <w:pPr>
        <w:pStyle w:val="FootnoteText"/>
        <w:rPr>
          <w:lang w:val="fr-CH"/>
        </w:rPr>
      </w:pPr>
      <w:r w:rsidRPr="001F675B">
        <w:rPr>
          <w:rStyle w:val="FootnoteReference"/>
        </w:rPr>
        <w:footnoteRef/>
      </w:r>
      <w:r w:rsidRPr="004D5CF6">
        <w:rPr>
          <w:lang w:val="fr-CH"/>
        </w:rPr>
        <w:t xml:space="preserve"> UN/SCEGHS/29/INF.13 and UN/SCEGHS/31/INF.10 - UN/SCETDG/49/INF.37</w:t>
      </w:r>
    </w:p>
  </w:footnote>
  <w:footnote w:id="7">
    <w:p w:rsidR="004E2924" w:rsidRPr="002F5640" w:rsidRDefault="004E2924">
      <w:pPr>
        <w:pStyle w:val="FootnoteText"/>
        <w:rPr>
          <w:lang w:val="en-GB"/>
        </w:rPr>
      </w:pPr>
      <w:r>
        <w:rPr>
          <w:rStyle w:val="FootnoteReference"/>
        </w:rPr>
        <w:footnoteRef/>
      </w:r>
      <w:r w:rsidRPr="002F5640">
        <w:rPr>
          <w:lang w:val="en-GB"/>
        </w:rPr>
        <w:t xml:space="preserve"> </w:t>
      </w:r>
      <w:r>
        <w:rPr>
          <w:lang w:val="en-GB"/>
        </w:rPr>
        <w:t xml:space="preserve">See also </w:t>
      </w:r>
      <w:r w:rsidRPr="005F1CC0">
        <w:t>ST/SG/AC.10/C.4/2016/10 - ST/SG/AC.10/C.3/2016/47</w:t>
      </w:r>
    </w:p>
  </w:footnote>
  <w:footnote w:id="8">
    <w:p w:rsidR="004E2924" w:rsidRPr="00911D37" w:rsidRDefault="004E2924" w:rsidP="002F5640">
      <w:pPr>
        <w:pStyle w:val="FootnoteText"/>
        <w:rPr>
          <w:lang w:val="fr-CH"/>
        </w:rPr>
      </w:pPr>
      <w:r>
        <w:rPr>
          <w:rStyle w:val="FootnoteReference"/>
        </w:rPr>
        <w:footnoteRef/>
      </w:r>
      <w:r w:rsidRPr="00911D37">
        <w:rPr>
          <w:lang w:val="fr-CH"/>
        </w:rPr>
        <w:t xml:space="preserve"> UN/SCETDG/49/INF.45</w:t>
      </w:r>
      <w:r>
        <w:rPr>
          <w:lang w:val="fr-CH"/>
        </w:rPr>
        <w:t xml:space="preserve"> - </w:t>
      </w:r>
      <w:r w:rsidRPr="00911D37">
        <w:rPr>
          <w:lang w:val="fr-CH"/>
        </w:rPr>
        <w:t>UN/SCEGHS/31/INF.12</w:t>
      </w:r>
    </w:p>
  </w:footnote>
  <w:footnote w:id="9">
    <w:p w:rsidR="004E2924" w:rsidRPr="005B068E" w:rsidRDefault="004E2924" w:rsidP="002F5640">
      <w:pPr>
        <w:pStyle w:val="FootnoteText"/>
      </w:pPr>
      <w:r w:rsidRPr="005B068E">
        <w:rPr>
          <w:rStyle w:val="FootnoteReference"/>
        </w:rPr>
        <w:footnoteRef/>
      </w:r>
      <w:r w:rsidRPr="005B068E">
        <w:t xml:space="preserve"> See also ST/SG/AC.10/C.4/2016/2 - ST/SG/AC.10/C.3/2016/7, as well as ST/SG/AC.10/C.4/2016/14 - ST/SG/AC.10/C.3/2016/53.</w:t>
      </w:r>
    </w:p>
  </w:footnote>
  <w:footnote w:id="10">
    <w:p w:rsidR="004E2924" w:rsidRPr="005E47A7" w:rsidRDefault="004E2924" w:rsidP="002F5640">
      <w:pPr>
        <w:pStyle w:val="FootnoteText"/>
      </w:pPr>
      <w:r w:rsidRPr="008D3DC6">
        <w:rPr>
          <w:rStyle w:val="FootnoteReference"/>
        </w:rPr>
        <w:footnoteRef/>
      </w:r>
      <w:r w:rsidRPr="008D3DC6">
        <w:t xml:space="preserve"> See UN/SCEGHS/31/INF.22, as well as ST/SG/AC.10/C.4/2016/10 - ST/SG/AC.10/C.3/2016/47</w:t>
      </w:r>
    </w:p>
  </w:footnote>
  <w:footnote w:id="11">
    <w:p w:rsidR="004E2924" w:rsidRPr="005B068E" w:rsidRDefault="004E2924" w:rsidP="002F5640">
      <w:pPr>
        <w:pStyle w:val="FootnoteText"/>
        <w:rPr>
          <w:lang w:val="fr-CH"/>
        </w:rPr>
      </w:pPr>
      <w:r w:rsidRPr="005B068E">
        <w:rPr>
          <w:rStyle w:val="FootnoteReference"/>
        </w:rPr>
        <w:footnoteRef/>
      </w:r>
      <w:r w:rsidRPr="004D5CF6">
        <w:rPr>
          <w:lang w:val="fr-CH"/>
        </w:rPr>
        <w:t xml:space="preserve"> </w:t>
      </w:r>
      <w:proofErr w:type="spellStart"/>
      <w:r>
        <w:rPr>
          <w:lang w:val="fr-CH"/>
        </w:rPr>
        <w:t>See</w:t>
      </w:r>
      <w:proofErr w:type="spellEnd"/>
      <w:r w:rsidRPr="004D5CF6">
        <w:rPr>
          <w:lang w:val="fr-CH"/>
        </w:rPr>
        <w:t xml:space="preserve"> UN/SCEGHS/29/INF.13 and UN/SCEGHS/31/INF.10 - UN/SCETDG/49/INF.37</w:t>
      </w:r>
    </w:p>
  </w:footnote>
  <w:footnote w:id="12">
    <w:p w:rsidR="004E2924" w:rsidRPr="002F5640" w:rsidRDefault="004E2924" w:rsidP="002F5640">
      <w:pPr>
        <w:pStyle w:val="FootnoteText"/>
        <w:rPr>
          <w:lang w:val="en-GB"/>
        </w:rPr>
      </w:pPr>
      <w:r>
        <w:rPr>
          <w:rStyle w:val="FootnoteReference"/>
        </w:rPr>
        <w:footnoteRef/>
      </w:r>
      <w:r>
        <w:t xml:space="preserve"> </w:t>
      </w:r>
      <w:r w:rsidRPr="002F5640">
        <w:rPr>
          <w:lang w:val="en-GB"/>
        </w:rPr>
        <w:t>See UN/SCEGHS/32/INF.7</w:t>
      </w:r>
      <w:r>
        <w:rPr>
          <w:lang w:val="en-GB"/>
        </w:rPr>
        <w:t xml:space="preserve"> for further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24" w:rsidRPr="00FC7852" w:rsidRDefault="00EB4381" w:rsidP="00F54DDA">
    <w:pPr>
      <w:pStyle w:val="Header"/>
      <w:rPr>
        <w:lang w:val="fr-CA"/>
      </w:rPr>
    </w:pPr>
    <w:r w:rsidRPr="00EB4381">
      <w:rPr>
        <w:noProof/>
        <w:lang w:val="fr-CA"/>
      </w:rPr>
      <w:t>UN/SCETDG/50</w:t>
    </w:r>
    <w:r w:rsidR="004E2924" w:rsidRPr="00EB4381">
      <w:rPr>
        <w:noProof/>
        <w:lang w:val="fr-CA"/>
      </w:rPr>
      <w:t>/INF.</w:t>
    </w:r>
    <w:r w:rsidRPr="00EB4381">
      <w:rPr>
        <w:noProof/>
        <w:lang w:val="fr-CA"/>
      </w:rPr>
      <w:t>11</w:t>
    </w:r>
    <w:r w:rsidRPr="00EB4381">
      <w:rPr>
        <w:noProof/>
        <w:lang w:val="fr-CA"/>
      </w:rPr>
      <w:br/>
      <w:t>UN/SCEGHS/32</w:t>
    </w:r>
    <w:r w:rsidR="004E2924" w:rsidRPr="00EB4381">
      <w:rPr>
        <w:noProof/>
        <w:lang w:val="fr-CA"/>
      </w:rPr>
      <w:t>/INF.</w:t>
    </w:r>
    <w:r w:rsidRPr="00EB4381">
      <w:rPr>
        <w:noProof/>
        <w:lang w:val="fr-CA"/>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24" w:rsidRPr="00440E44" w:rsidRDefault="00EB4381" w:rsidP="0005570C">
    <w:pPr>
      <w:pStyle w:val="Header"/>
      <w:jc w:val="right"/>
      <w:rPr>
        <w:lang w:val="fr-CA"/>
      </w:rPr>
    </w:pPr>
    <w:r>
      <w:rPr>
        <w:lang w:val="fr-CA"/>
      </w:rPr>
      <w:t>UN/SCETDG/50</w:t>
    </w:r>
    <w:r w:rsidR="004E2924" w:rsidRPr="00440E44">
      <w:rPr>
        <w:lang w:val="fr-CA"/>
      </w:rPr>
      <w:t>/INF.</w:t>
    </w:r>
    <w:r>
      <w:rPr>
        <w:lang w:val="fr-CA"/>
      </w:rPr>
      <w:t>11</w:t>
    </w:r>
    <w:r>
      <w:rPr>
        <w:lang w:val="fr-CA"/>
      </w:rPr>
      <w:br/>
      <w:t>UN/SCEGHS/32</w:t>
    </w:r>
    <w:r w:rsidR="004E2924" w:rsidRPr="00440E44">
      <w:rPr>
        <w:lang w:val="fr-CA"/>
      </w:rPr>
      <w:t>/INF.</w:t>
    </w:r>
    <w:r>
      <w:rPr>
        <w:lang w:val="fr-CA"/>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396F7B"/>
    <w:multiLevelType w:val="hybridMultilevel"/>
    <w:tmpl w:val="DB04E66E"/>
    <w:lvl w:ilvl="0" w:tplc="7DAEE432">
      <w:start w:val="9"/>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A9B1680"/>
    <w:multiLevelType w:val="hybridMultilevel"/>
    <w:tmpl w:val="60D2D60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0B94525"/>
    <w:multiLevelType w:val="hybridMultilevel"/>
    <w:tmpl w:val="E3863DAA"/>
    <w:lvl w:ilvl="0" w:tplc="CB061F8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111A56BF"/>
    <w:multiLevelType w:val="hybridMultilevel"/>
    <w:tmpl w:val="B3EAC734"/>
    <w:lvl w:ilvl="0" w:tplc="87EC08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8A77041"/>
    <w:multiLevelType w:val="hybridMultilevel"/>
    <w:tmpl w:val="146CF82C"/>
    <w:lvl w:ilvl="0" w:tplc="9C5E469A">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196614F3"/>
    <w:multiLevelType w:val="hybridMultilevel"/>
    <w:tmpl w:val="DAC44DB4"/>
    <w:lvl w:ilvl="0" w:tplc="01FEB2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1">
    <w:nsid w:val="1A667145"/>
    <w:multiLevelType w:val="hybridMultilevel"/>
    <w:tmpl w:val="32FA10A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nsid w:val="1B193A5F"/>
    <w:multiLevelType w:val="hybridMultilevel"/>
    <w:tmpl w:val="9A4E08AA"/>
    <w:lvl w:ilvl="0" w:tplc="A4165110">
      <w:start w:val="1"/>
      <w:numFmt w:val="decimal"/>
      <w:lvlText w:val="%1."/>
      <w:lvlJc w:val="left"/>
      <w:pPr>
        <w:ind w:left="720" w:hanging="360"/>
      </w:pPr>
      <w:rPr>
        <w:rFonts w:hint="default"/>
        <w:b w:val="0"/>
        <w:sz w:val="22"/>
        <w:szCs w:val="22"/>
      </w:rPr>
    </w:lvl>
    <w:lvl w:ilvl="1" w:tplc="3CBA38C8">
      <w:start w:val="1"/>
      <w:numFmt w:val="lowerLetter"/>
      <w:lvlText w:val="(%2)"/>
      <w:lvlJc w:val="left"/>
      <w:pPr>
        <w:ind w:left="1440" w:hanging="360"/>
      </w:pPr>
      <w:rPr>
        <w:rFonts w:hint="default"/>
      </w:rPr>
    </w:lvl>
    <w:lvl w:ilvl="2" w:tplc="72720592">
      <w:start w:val="1"/>
      <w:numFmt w:val="lowerRoman"/>
      <w:lvlText w:val="(%3)"/>
      <w:lvlJc w:val="right"/>
      <w:pPr>
        <w:ind w:left="2160" w:hanging="180"/>
      </w:pPr>
      <w:rPr>
        <w:rFonts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1D4C1EEC"/>
    <w:multiLevelType w:val="hybridMultilevel"/>
    <w:tmpl w:val="08341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EC21CDE"/>
    <w:multiLevelType w:val="hybridMultilevel"/>
    <w:tmpl w:val="9BC42FDE"/>
    <w:lvl w:ilvl="0" w:tplc="041D000F">
      <w:start w:val="1"/>
      <w:numFmt w:val="decimal"/>
      <w:lvlText w:val="%1."/>
      <w:lvlJc w:val="left"/>
      <w:pPr>
        <w:ind w:left="1080" w:hanging="360"/>
      </w:pPr>
      <w:rPr>
        <w:rFont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6">
    <w:nsid w:val="20867ED1"/>
    <w:multiLevelType w:val="hybridMultilevel"/>
    <w:tmpl w:val="FB0453DE"/>
    <w:lvl w:ilvl="0" w:tplc="041D0017">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72720592">
      <w:start w:val="1"/>
      <w:numFmt w:val="lowerRoman"/>
      <w:lvlText w:val="(%3)"/>
      <w:lvlJc w:val="right"/>
      <w:pPr>
        <w:ind w:left="2160" w:hanging="180"/>
      </w:pPr>
      <w:rPr>
        <w:rFonts w:hint="default"/>
      </w:r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7">
    <w:nsid w:val="21A97A4A"/>
    <w:multiLevelType w:val="hybridMultilevel"/>
    <w:tmpl w:val="5216A528"/>
    <w:lvl w:ilvl="0" w:tplc="97E6B682">
      <w:start w:val="3"/>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69A095B"/>
    <w:multiLevelType w:val="hybridMultilevel"/>
    <w:tmpl w:val="5C50C25A"/>
    <w:lvl w:ilvl="0" w:tplc="5822A5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28201D3E"/>
    <w:multiLevelType w:val="hybridMultilevel"/>
    <w:tmpl w:val="F0C41842"/>
    <w:lvl w:ilvl="0" w:tplc="80D4C3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E9B2FA0"/>
    <w:multiLevelType w:val="multilevel"/>
    <w:tmpl w:val="16E81AA0"/>
    <w:lvl w:ilvl="0">
      <w:start w:val="1"/>
      <w:numFmt w:val="decimal"/>
      <w:lvlText w:val="%1."/>
      <w:lvlJc w:val="left"/>
      <w:pPr>
        <w:ind w:left="720" w:hanging="360"/>
      </w:pPr>
      <w:rPr>
        <w:b w:val="0"/>
        <w:color w:val="auto"/>
      </w:rPr>
    </w:lvl>
    <w:lvl w:ilvl="1">
      <w:start w:val="1"/>
      <w:numFmt w:val="decimal"/>
      <w:isLgl/>
      <w:lvlText w:val="%1.%2"/>
      <w:lvlJc w:val="left"/>
      <w:pPr>
        <w:ind w:left="1961" w:hanging="360"/>
      </w:pPr>
      <w:rPr>
        <w:rFonts w:hint="default"/>
      </w:rPr>
    </w:lvl>
    <w:lvl w:ilvl="2">
      <w:start w:val="4"/>
      <w:numFmt w:val="decimal"/>
      <w:isLgl/>
      <w:lvlText w:val="%1.%2.%3"/>
      <w:lvlJc w:val="left"/>
      <w:pPr>
        <w:ind w:left="3562" w:hanging="720"/>
      </w:pPr>
      <w:rPr>
        <w:rFonts w:hint="default"/>
      </w:rPr>
    </w:lvl>
    <w:lvl w:ilvl="3">
      <w:start w:val="1"/>
      <w:numFmt w:val="decimal"/>
      <w:isLgl/>
      <w:lvlText w:val="%1.%2.%3.%4"/>
      <w:lvlJc w:val="left"/>
      <w:pPr>
        <w:ind w:left="4803" w:hanging="720"/>
      </w:pPr>
      <w:rPr>
        <w:rFonts w:hint="default"/>
      </w:rPr>
    </w:lvl>
    <w:lvl w:ilvl="4">
      <w:start w:val="1"/>
      <w:numFmt w:val="decimal"/>
      <w:isLgl/>
      <w:lvlText w:val="%1.%2.%3.%4.%5"/>
      <w:lvlJc w:val="left"/>
      <w:pPr>
        <w:ind w:left="6044" w:hanging="720"/>
      </w:pPr>
      <w:rPr>
        <w:rFonts w:hint="default"/>
      </w:rPr>
    </w:lvl>
    <w:lvl w:ilvl="5">
      <w:start w:val="1"/>
      <w:numFmt w:val="decimal"/>
      <w:isLgl/>
      <w:lvlText w:val="%1.%2.%3.%4.%5.%6"/>
      <w:lvlJc w:val="left"/>
      <w:pPr>
        <w:ind w:left="7645" w:hanging="1080"/>
      </w:pPr>
      <w:rPr>
        <w:rFonts w:hint="default"/>
      </w:rPr>
    </w:lvl>
    <w:lvl w:ilvl="6">
      <w:start w:val="1"/>
      <w:numFmt w:val="decimal"/>
      <w:isLgl/>
      <w:lvlText w:val="%1.%2.%3.%4.%5.%6.%7"/>
      <w:lvlJc w:val="left"/>
      <w:pPr>
        <w:ind w:left="8886" w:hanging="1080"/>
      </w:pPr>
      <w:rPr>
        <w:rFonts w:hint="default"/>
      </w:rPr>
    </w:lvl>
    <w:lvl w:ilvl="7">
      <w:start w:val="1"/>
      <w:numFmt w:val="decimal"/>
      <w:isLgl/>
      <w:lvlText w:val="%1.%2.%3.%4.%5.%6.%7.%8"/>
      <w:lvlJc w:val="left"/>
      <w:pPr>
        <w:ind w:left="10487" w:hanging="1440"/>
      </w:pPr>
      <w:rPr>
        <w:rFonts w:hint="default"/>
      </w:rPr>
    </w:lvl>
    <w:lvl w:ilvl="8">
      <w:start w:val="1"/>
      <w:numFmt w:val="decimal"/>
      <w:isLgl/>
      <w:lvlText w:val="%1.%2.%3.%4.%5.%6.%7.%8.%9"/>
      <w:lvlJc w:val="left"/>
      <w:pPr>
        <w:ind w:left="11728" w:hanging="1440"/>
      </w:pPr>
      <w:rPr>
        <w:rFonts w:hint="default"/>
      </w:rPr>
    </w:lvl>
  </w:abstractNum>
  <w:abstractNum w:abstractNumId="31">
    <w:nsid w:val="2EE53A0A"/>
    <w:multiLevelType w:val="hybridMultilevel"/>
    <w:tmpl w:val="09345F5A"/>
    <w:lvl w:ilvl="0" w:tplc="8CCE6026">
      <w:start w:val="1"/>
      <w:numFmt w:val="upperLetter"/>
      <w:lvlText w:val="%1."/>
      <w:lvlJc w:val="left"/>
      <w:pPr>
        <w:ind w:left="720" w:hanging="360"/>
      </w:pPr>
      <w:rPr>
        <w:rFonts w:hint="default"/>
        <w:b/>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nsid w:val="3C792C04"/>
    <w:multiLevelType w:val="hybridMultilevel"/>
    <w:tmpl w:val="F8AC8536"/>
    <w:lvl w:ilvl="0" w:tplc="BE58C102">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nsid w:val="45D23ED5"/>
    <w:multiLevelType w:val="hybridMultilevel"/>
    <w:tmpl w:val="3728893A"/>
    <w:lvl w:ilvl="0" w:tplc="F8C2E920">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7">
    <w:nsid w:val="49D07149"/>
    <w:multiLevelType w:val="hybridMultilevel"/>
    <w:tmpl w:val="2BDE4FEE"/>
    <w:lvl w:ilvl="0" w:tplc="72720BC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8">
    <w:nsid w:val="57760DB2"/>
    <w:multiLevelType w:val="hybridMultilevel"/>
    <w:tmpl w:val="BA5E469C"/>
    <w:lvl w:ilvl="0" w:tplc="08090017">
      <w:start w:val="2"/>
      <w:numFmt w:val="lowerLetter"/>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3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nsid w:val="61EE3E71"/>
    <w:multiLevelType w:val="hybridMultilevel"/>
    <w:tmpl w:val="A3B61E1E"/>
    <w:lvl w:ilvl="0" w:tplc="B032E4DC">
      <w:start w:val="2"/>
      <w:numFmt w:val="bullet"/>
      <w:lvlText w:val="-"/>
      <w:lvlJc w:val="left"/>
      <w:pPr>
        <w:ind w:left="405" w:hanging="360"/>
      </w:pPr>
      <w:rPr>
        <w:rFonts w:ascii="Times New Roman" w:eastAsia="Times New Roman" w:hAnsi="Times New Roman" w:cs="Times New Roman" w:hint="default"/>
        <w:b/>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1">
    <w:nsid w:val="62FD3EAD"/>
    <w:multiLevelType w:val="hybridMultilevel"/>
    <w:tmpl w:val="5DAAD11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2">
    <w:nsid w:val="6C747916"/>
    <w:multiLevelType w:val="hybridMultilevel"/>
    <w:tmpl w:val="2BD84E3E"/>
    <w:lvl w:ilvl="0" w:tplc="041D0017">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3">
    <w:nsid w:val="6C9324C6"/>
    <w:multiLevelType w:val="multilevel"/>
    <w:tmpl w:val="5244741E"/>
    <w:lvl w:ilvl="0">
      <w:start w:val="31"/>
      <w:numFmt w:val="decimal"/>
      <w:lvlText w:val="%1"/>
      <w:lvlJc w:val="left"/>
      <w:pPr>
        <w:ind w:left="660" w:hanging="660"/>
      </w:pPr>
      <w:rPr>
        <w:rFonts w:hint="default"/>
      </w:rPr>
    </w:lvl>
    <w:lvl w:ilvl="1">
      <w:start w:val="5"/>
      <w:numFmt w:val="decimal"/>
      <w:lvlText w:val="%1.%2"/>
      <w:lvlJc w:val="left"/>
      <w:pPr>
        <w:ind w:left="900" w:hanging="660"/>
      </w:pPr>
      <w:rPr>
        <w:rFonts w:hint="default"/>
      </w:rPr>
    </w:lvl>
    <w:lvl w:ilvl="2">
      <w:start w:val="4"/>
      <w:numFmt w:val="decimal"/>
      <w:lvlText w:val="%1.%2.%3"/>
      <w:lvlJc w:val="left"/>
      <w:pPr>
        <w:ind w:left="1200" w:hanging="720"/>
      </w:pPr>
      <w:rPr>
        <w:rFonts w:hint="default"/>
      </w:rPr>
    </w:lvl>
    <w:lvl w:ilvl="3">
      <w:start w:val="4"/>
      <w:numFmt w:val="decimal"/>
      <w:lvlText w:val="%1.%2.%3.%4"/>
      <w:lvlJc w:val="left"/>
      <w:pPr>
        <w:ind w:left="1440" w:hanging="720"/>
      </w:pPr>
      <w:rPr>
        <w:rFonts w:hint="default"/>
        <w:strike w:val="0"/>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44">
    <w:nsid w:val="7078082B"/>
    <w:multiLevelType w:val="hybridMultilevel"/>
    <w:tmpl w:val="1188F5CE"/>
    <w:lvl w:ilvl="0" w:tplc="9F38B34C">
      <w:start w:val="1"/>
      <w:numFmt w:val="decimal"/>
      <w:lvlText w:val="%1."/>
      <w:lvlJc w:val="left"/>
      <w:pPr>
        <w:ind w:left="1260" w:hanging="54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6">
    <w:nsid w:val="758D78F2"/>
    <w:multiLevelType w:val="hybridMultilevel"/>
    <w:tmpl w:val="0FCEB126"/>
    <w:lvl w:ilvl="0" w:tplc="816210BC">
      <w:start w:val="1"/>
      <w:numFmt w:val="decimal"/>
      <w:lvlText w:val="%1."/>
      <w:lvlJc w:val="left"/>
      <w:pPr>
        <w:ind w:left="0" w:hanging="360"/>
      </w:pPr>
      <w:rPr>
        <w:b w:val="0"/>
        <w:sz w:val="20"/>
        <w:szCs w:val="2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7">
    <w:nsid w:val="7B390154"/>
    <w:multiLevelType w:val="hybridMultilevel"/>
    <w:tmpl w:val="9FBEA80E"/>
    <w:lvl w:ilvl="0" w:tplc="3CBA38C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8">
    <w:nsid w:val="7D2A1773"/>
    <w:multiLevelType w:val="hybridMultilevel"/>
    <w:tmpl w:val="A518F4BE"/>
    <w:lvl w:ilvl="0" w:tplc="DDAA6D4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24"/>
  </w:num>
  <w:num w:numId="13">
    <w:abstractNumId w:val="10"/>
  </w:num>
  <w:num w:numId="14">
    <w:abstractNumId w:val="39"/>
  </w:num>
  <w:num w:numId="15">
    <w:abstractNumId w:val="17"/>
  </w:num>
  <w:num w:numId="16">
    <w:abstractNumId w:val="12"/>
  </w:num>
  <w:num w:numId="17">
    <w:abstractNumId w:val="45"/>
  </w:num>
  <w:num w:numId="18">
    <w:abstractNumId w:val="33"/>
  </w:num>
  <w:num w:numId="19">
    <w:abstractNumId w:val="14"/>
  </w:num>
  <w:num w:numId="20">
    <w:abstractNumId w:val="36"/>
  </w:num>
  <w:num w:numId="21">
    <w:abstractNumId w:val="20"/>
  </w:num>
  <w:num w:numId="22">
    <w:abstractNumId w:val="16"/>
  </w:num>
  <w:num w:numId="23">
    <w:abstractNumId w:val="19"/>
  </w:num>
  <w:num w:numId="24">
    <w:abstractNumId w:val="35"/>
  </w:num>
  <w:num w:numId="25">
    <w:abstractNumId w:val="37"/>
  </w:num>
  <w:num w:numId="26">
    <w:abstractNumId w:val="38"/>
  </w:num>
  <w:num w:numId="27">
    <w:abstractNumId w:val="48"/>
  </w:num>
  <w:num w:numId="28">
    <w:abstractNumId w:val="34"/>
  </w:num>
  <w:num w:numId="29">
    <w:abstractNumId w:val="27"/>
  </w:num>
  <w:num w:numId="30">
    <w:abstractNumId w:val="46"/>
  </w:num>
  <w:num w:numId="31">
    <w:abstractNumId w:val="21"/>
  </w:num>
  <w:num w:numId="32">
    <w:abstractNumId w:val="29"/>
  </w:num>
  <w:num w:numId="33">
    <w:abstractNumId w:val="11"/>
  </w:num>
  <w:num w:numId="34">
    <w:abstractNumId w:val="23"/>
  </w:num>
  <w:num w:numId="35">
    <w:abstractNumId w:val="44"/>
  </w:num>
  <w:num w:numId="36">
    <w:abstractNumId w:val="30"/>
  </w:num>
  <w:num w:numId="37">
    <w:abstractNumId w:val="43"/>
  </w:num>
  <w:num w:numId="38">
    <w:abstractNumId w:val="28"/>
  </w:num>
  <w:num w:numId="39">
    <w:abstractNumId w:val="41"/>
  </w:num>
  <w:num w:numId="40">
    <w:abstractNumId w:val="32"/>
  </w:num>
  <w:num w:numId="41">
    <w:abstractNumId w:val="22"/>
  </w:num>
  <w:num w:numId="42">
    <w:abstractNumId w:val="25"/>
  </w:num>
  <w:num w:numId="43">
    <w:abstractNumId w:val="47"/>
  </w:num>
  <w:num w:numId="44">
    <w:abstractNumId w:val="42"/>
  </w:num>
  <w:num w:numId="45">
    <w:abstractNumId w:val="31"/>
  </w:num>
  <w:num w:numId="46">
    <w:abstractNumId w:val="13"/>
  </w:num>
  <w:num w:numId="47">
    <w:abstractNumId w:val="26"/>
  </w:num>
  <w:num w:numId="48">
    <w:abstractNumId w:val="15"/>
  </w:num>
  <w:num w:numId="49">
    <w:abstractNumId w:val="40"/>
  </w:num>
  <w:num w:numId="5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Lexique - Transports Canada - client|Transports Canada - TermBase general"/>
    <w:docVar w:name="TermBaseURL" w:val="empty"/>
    <w:docVar w:name="TextBases" w:val="LOCAL\TextBase TMs\Transports Canada - Transports des marchandises dangereuses|LOCAL\TextBase TMs\Transports Canada|LOCAL\TextBase TMs\Transports Canada - Reglement sur le TMD|LOCAL\TextBase TMs\TMD UN recommnedations|LOCAL\TextBase TMs\Temp Catherine 568"/>
    <w:docVar w:name="TextBaseURL" w:val="empty"/>
    <w:docVar w:name="UILng" w:val="en"/>
  </w:docVars>
  <w:rsids>
    <w:rsidRoot w:val="00BD42B2"/>
    <w:rsid w:val="00004B0B"/>
    <w:rsid w:val="00006600"/>
    <w:rsid w:val="000105B7"/>
    <w:rsid w:val="00010DB3"/>
    <w:rsid w:val="00015A1E"/>
    <w:rsid w:val="00027F2A"/>
    <w:rsid w:val="0003260B"/>
    <w:rsid w:val="00044167"/>
    <w:rsid w:val="000458D9"/>
    <w:rsid w:val="0005011F"/>
    <w:rsid w:val="00050D57"/>
    <w:rsid w:val="00050F6B"/>
    <w:rsid w:val="0005111B"/>
    <w:rsid w:val="0005570C"/>
    <w:rsid w:val="0006281D"/>
    <w:rsid w:val="00064F24"/>
    <w:rsid w:val="00067C1A"/>
    <w:rsid w:val="000719CE"/>
    <w:rsid w:val="00071BC5"/>
    <w:rsid w:val="000726F2"/>
    <w:rsid w:val="00072C8C"/>
    <w:rsid w:val="000732CC"/>
    <w:rsid w:val="00073E97"/>
    <w:rsid w:val="00074073"/>
    <w:rsid w:val="0007718E"/>
    <w:rsid w:val="000814A8"/>
    <w:rsid w:val="000869B4"/>
    <w:rsid w:val="00086BA4"/>
    <w:rsid w:val="00091419"/>
    <w:rsid w:val="00092DE4"/>
    <w:rsid w:val="000931C0"/>
    <w:rsid w:val="00097A34"/>
    <w:rsid w:val="000A0405"/>
    <w:rsid w:val="000A1D9E"/>
    <w:rsid w:val="000A2E07"/>
    <w:rsid w:val="000A3ADF"/>
    <w:rsid w:val="000A4318"/>
    <w:rsid w:val="000A607C"/>
    <w:rsid w:val="000A71A2"/>
    <w:rsid w:val="000B175B"/>
    <w:rsid w:val="000B2276"/>
    <w:rsid w:val="000B265A"/>
    <w:rsid w:val="000B2A93"/>
    <w:rsid w:val="000B3A0F"/>
    <w:rsid w:val="000B3B18"/>
    <w:rsid w:val="000B4BFA"/>
    <w:rsid w:val="000B4E5A"/>
    <w:rsid w:val="000B5ECB"/>
    <w:rsid w:val="000B7325"/>
    <w:rsid w:val="000D1CF1"/>
    <w:rsid w:val="000D43C8"/>
    <w:rsid w:val="000E0415"/>
    <w:rsid w:val="000E572A"/>
    <w:rsid w:val="000E6D5E"/>
    <w:rsid w:val="000F0909"/>
    <w:rsid w:val="000F143A"/>
    <w:rsid w:val="000F5FF7"/>
    <w:rsid w:val="00103C0E"/>
    <w:rsid w:val="00107AD9"/>
    <w:rsid w:val="00114E72"/>
    <w:rsid w:val="00117787"/>
    <w:rsid w:val="00120F5D"/>
    <w:rsid w:val="00121A52"/>
    <w:rsid w:val="00125758"/>
    <w:rsid w:val="00125775"/>
    <w:rsid w:val="00125DD6"/>
    <w:rsid w:val="001266BA"/>
    <w:rsid w:val="00131D42"/>
    <w:rsid w:val="0014496C"/>
    <w:rsid w:val="00144FC4"/>
    <w:rsid w:val="0015653A"/>
    <w:rsid w:val="0016063F"/>
    <w:rsid w:val="00160BC1"/>
    <w:rsid w:val="001633FB"/>
    <w:rsid w:val="00166B07"/>
    <w:rsid w:val="001771E6"/>
    <w:rsid w:val="00177434"/>
    <w:rsid w:val="00187869"/>
    <w:rsid w:val="00190361"/>
    <w:rsid w:val="00191BE2"/>
    <w:rsid w:val="001967AB"/>
    <w:rsid w:val="001A4720"/>
    <w:rsid w:val="001A6691"/>
    <w:rsid w:val="001B0DDE"/>
    <w:rsid w:val="001B10FC"/>
    <w:rsid w:val="001B4B04"/>
    <w:rsid w:val="001B574E"/>
    <w:rsid w:val="001B596E"/>
    <w:rsid w:val="001C4441"/>
    <w:rsid w:val="001C6663"/>
    <w:rsid w:val="001C7895"/>
    <w:rsid w:val="001D0C12"/>
    <w:rsid w:val="001D26DF"/>
    <w:rsid w:val="001D2FDC"/>
    <w:rsid w:val="001D2FE8"/>
    <w:rsid w:val="001E0DCB"/>
    <w:rsid w:val="001E18F2"/>
    <w:rsid w:val="001E3023"/>
    <w:rsid w:val="001F1227"/>
    <w:rsid w:val="001F37ED"/>
    <w:rsid w:val="001F57B4"/>
    <w:rsid w:val="00211CD6"/>
    <w:rsid w:val="00211E0B"/>
    <w:rsid w:val="002264E0"/>
    <w:rsid w:val="002309A7"/>
    <w:rsid w:val="002323E4"/>
    <w:rsid w:val="00233CFA"/>
    <w:rsid w:val="002350D2"/>
    <w:rsid w:val="002370D0"/>
    <w:rsid w:val="00237785"/>
    <w:rsid w:val="00241466"/>
    <w:rsid w:val="00247A0C"/>
    <w:rsid w:val="0025432C"/>
    <w:rsid w:val="00256795"/>
    <w:rsid w:val="00266C11"/>
    <w:rsid w:val="002722E5"/>
    <w:rsid w:val="002725CA"/>
    <w:rsid w:val="00274700"/>
    <w:rsid w:val="00274F33"/>
    <w:rsid w:val="00280D2B"/>
    <w:rsid w:val="00280EB7"/>
    <w:rsid w:val="002817F4"/>
    <w:rsid w:val="00281BE2"/>
    <w:rsid w:val="002833F2"/>
    <w:rsid w:val="00295971"/>
    <w:rsid w:val="002A2560"/>
    <w:rsid w:val="002A7532"/>
    <w:rsid w:val="002B082F"/>
    <w:rsid w:val="002B1CDA"/>
    <w:rsid w:val="002B2EA7"/>
    <w:rsid w:val="002B521D"/>
    <w:rsid w:val="002B5778"/>
    <w:rsid w:val="002B79CF"/>
    <w:rsid w:val="002B7D6F"/>
    <w:rsid w:val="002C42D3"/>
    <w:rsid w:val="002C54A4"/>
    <w:rsid w:val="002C7649"/>
    <w:rsid w:val="002D7530"/>
    <w:rsid w:val="002D7FD3"/>
    <w:rsid w:val="002E040D"/>
    <w:rsid w:val="002E4E12"/>
    <w:rsid w:val="002E69A5"/>
    <w:rsid w:val="002E7C35"/>
    <w:rsid w:val="002F0918"/>
    <w:rsid w:val="002F1234"/>
    <w:rsid w:val="002F440C"/>
    <w:rsid w:val="002F5640"/>
    <w:rsid w:val="00302963"/>
    <w:rsid w:val="00303816"/>
    <w:rsid w:val="003107FA"/>
    <w:rsid w:val="00310B32"/>
    <w:rsid w:val="00316C13"/>
    <w:rsid w:val="00320A76"/>
    <w:rsid w:val="003229D8"/>
    <w:rsid w:val="00322F52"/>
    <w:rsid w:val="00323BE7"/>
    <w:rsid w:val="003262BE"/>
    <w:rsid w:val="003311AD"/>
    <w:rsid w:val="003323B3"/>
    <w:rsid w:val="00333732"/>
    <w:rsid w:val="0034522A"/>
    <w:rsid w:val="003460C7"/>
    <w:rsid w:val="00347184"/>
    <w:rsid w:val="003611C0"/>
    <w:rsid w:val="00371ABC"/>
    <w:rsid w:val="00372BDC"/>
    <w:rsid w:val="00373815"/>
    <w:rsid w:val="00374763"/>
    <w:rsid w:val="00381262"/>
    <w:rsid w:val="00390C04"/>
    <w:rsid w:val="0039277A"/>
    <w:rsid w:val="00396C00"/>
    <w:rsid w:val="003972E0"/>
    <w:rsid w:val="003A358E"/>
    <w:rsid w:val="003B4359"/>
    <w:rsid w:val="003B47CC"/>
    <w:rsid w:val="003C2CC4"/>
    <w:rsid w:val="003C3E74"/>
    <w:rsid w:val="003C6BA6"/>
    <w:rsid w:val="003D4B23"/>
    <w:rsid w:val="003E1C5A"/>
    <w:rsid w:val="003E5413"/>
    <w:rsid w:val="003F0697"/>
    <w:rsid w:val="003F3F40"/>
    <w:rsid w:val="003F40C8"/>
    <w:rsid w:val="0040291E"/>
    <w:rsid w:val="0040320D"/>
    <w:rsid w:val="00404FD4"/>
    <w:rsid w:val="00410EA7"/>
    <w:rsid w:val="0041741B"/>
    <w:rsid w:val="004179D7"/>
    <w:rsid w:val="004224E1"/>
    <w:rsid w:val="004325CB"/>
    <w:rsid w:val="00434B5A"/>
    <w:rsid w:val="00437F3F"/>
    <w:rsid w:val="0044017E"/>
    <w:rsid w:val="00440E44"/>
    <w:rsid w:val="00442686"/>
    <w:rsid w:val="0044679E"/>
    <w:rsid w:val="00446C28"/>
    <w:rsid w:val="00446DE4"/>
    <w:rsid w:val="004479B5"/>
    <w:rsid w:val="0045002A"/>
    <w:rsid w:val="00450B3A"/>
    <w:rsid w:val="00451CCB"/>
    <w:rsid w:val="004522E0"/>
    <w:rsid w:val="004624AF"/>
    <w:rsid w:val="00464C2B"/>
    <w:rsid w:val="0047319B"/>
    <w:rsid w:val="004735FB"/>
    <w:rsid w:val="004737DC"/>
    <w:rsid w:val="00475444"/>
    <w:rsid w:val="00485BF6"/>
    <w:rsid w:val="0049223B"/>
    <w:rsid w:val="0049309D"/>
    <w:rsid w:val="00494D24"/>
    <w:rsid w:val="004969ED"/>
    <w:rsid w:val="00497FF3"/>
    <w:rsid w:val="004A2BD1"/>
    <w:rsid w:val="004B163A"/>
    <w:rsid w:val="004B2C9D"/>
    <w:rsid w:val="004B49FD"/>
    <w:rsid w:val="004B6475"/>
    <w:rsid w:val="004C6E3D"/>
    <w:rsid w:val="004E1150"/>
    <w:rsid w:val="004E2924"/>
    <w:rsid w:val="004E329B"/>
    <w:rsid w:val="004E4DCE"/>
    <w:rsid w:val="00500DCD"/>
    <w:rsid w:val="0050143D"/>
    <w:rsid w:val="00512574"/>
    <w:rsid w:val="005149A9"/>
    <w:rsid w:val="00515763"/>
    <w:rsid w:val="0051609A"/>
    <w:rsid w:val="005206A2"/>
    <w:rsid w:val="005248FF"/>
    <w:rsid w:val="00527910"/>
    <w:rsid w:val="00530B4A"/>
    <w:rsid w:val="00532A62"/>
    <w:rsid w:val="005335B1"/>
    <w:rsid w:val="0053786F"/>
    <w:rsid w:val="005414F5"/>
    <w:rsid w:val="005420F2"/>
    <w:rsid w:val="00543B03"/>
    <w:rsid w:val="00544456"/>
    <w:rsid w:val="00552C5F"/>
    <w:rsid w:val="005553A2"/>
    <w:rsid w:val="005557E8"/>
    <w:rsid w:val="005627FA"/>
    <w:rsid w:val="00566392"/>
    <w:rsid w:val="00566B77"/>
    <w:rsid w:val="005676D5"/>
    <w:rsid w:val="005702E7"/>
    <w:rsid w:val="00571C38"/>
    <w:rsid w:val="0057509F"/>
    <w:rsid w:val="00581B62"/>
    <w:rsid w:val="00581C11"/>
    <w:rsid w:val="00590144"/>
    <w:rsid w:val="0059109C"/>
    <w:rsid w:val="005A1FEB"/>
    <w:rsid w:val="005A37A2"/>
    <w:rsid w:val="005A77C6"/>
    <w:rsid w:val="005B2C26"/>
    <w:rsid w:val="005B3614"/>
    <w:rsid w:val="005B3DB3"/>
    <w:rsid w:val="005B6EC0"/>
    <w:rsid w:val="005B6FA9"/>
    <w:rsid w:val="005D1C0C"/>
    <w:rsid w:val="005D407C"/>
    <w:rsid w:val="005D48C8"/>
    <w:rsid w:val="005E29AE"/>
    <w:rsid w:val="005E36EF"/>
    <w:rsid w:val="005E6C20"/>
    <w:rsid w:val="00611FC4"/>
    <w:rsid w:val="0061401C"/>
    <w:rsid w:val="006176FB"/>
    <w:rsid w:val="00623312"/>
    <w:rsid w:val="0063330C"/>
    <w:rsid w:val="00633C10"/>
    <w:rsid w:val="0063419C"/>
    <w:rsid w:val="00634398"/>
    <w:rsid w:val="00640B26"/>
    <w:rsid w:val="00641876"/>
    <w:rsid w:val="00643AC8"/>
    <w:rsid w:val="00647621"/>
    <w:rsid w:val="00650267"/>
    <w:rsid w:val="0065605C"/>
    <w:rsid w:val="00657AC6"/>
    <w:rsid w:val="00662ABF"/>
    <w:rsid w:val="00664F8E"/>
    <w:rsid w:val="00677B40"/>
    <w:rsid w:val="00682466"/>
    <w:rsid w:val="0068393D"/>
    <w:rsid w:val="006A0AE9"/>
    <w:rsid w:val="006A7392"/>
    <w:rsid w:val="006B3590"/>
    <w:rsid w:val="006B7406"/>
    <w:rsid w:val="006B79A2"/>
    <w:rsid w:val="006C0B69"/>
    <w:rsid w:val="006C0D34"/>
    <w:rsid w:val="006C1C4A"/>
    <w:rsid w:val="006C51B3"/>
    <w:rsid w:val="006D1BA6"/>
    <w:rsid w:val="006D7899"/>
    <w:rsid w:val="006D7D5F"/>
    <w:rsid w:val="006E45A6"/>
    <w:rsid w:val="006E564B"/>
    <w:rsid w:val="006E7B3F"/>
    <w:rsid w:val="00707A67"/>
    <w:rsid w:val="0071233A"/>
    <w:rsid w:val="00715170"/>
    <w:rsid w:val="00716D0F"/>
    <w:rsid w:val="00723B8F"/>
    <w:rsid w:val="00724988"/>
    <w:rsid w:val="00725764"/>
    <w:rsid w:val="0072632A"/>
    <w:rsid w:val="007273E4"/>
    <w:rsid w:val="007428A0"/>
    <w:rsid w:val="00743F34"/>
    <w:rsid w:val="0075177E"/>
    <w:rsid w:val="00757A17"/>
    <w:rsid w:val="0077383A"/>
    <w:rsid w:val="00776830"/>
    <w:rsid w:val="0078022A"/>
    <w:rsid w:val="00784FFC"/>
    <w:rsid w:val="00787056"/>
    <w:rsid w:val="00790791"/>
    <w:rsid w:val="007909EA"/>
    <w:rsid w:val="007920A5"/>
    <w:rsid w:val="00795779"/>
    <w:rsid w:val="007965B5"/>
    <w:rsid w:val="00796B95"/>
    <w:rsid w:val="007B3D26"/>
    <w:rsid w:val="007B6BA5"/>
    <w:rsid w:val="007B6BE5"/>
    <w:rsid w:val="007C3390"/>
    <w:rsid w:val="007C3416"/>
    <w:rsid w:val="007C3658"/>
    <w:rsid w:val="007C455E"/>
    <w:rsid w:val="007C4F4B"/>
    <w:rsid w:val="007D3266"/>
    <w:rsid w:val="007E3F55"/>
    <w:rsid w:val="007F3C74"/>
    <w:rsid w:val="007F42B1"/>
    <w:rsid w:val="007F52A6"/>
    <w:rsid w:val="007F6611"/>
    <w:rsid w:val="00803636"/>
    <w:rsid w:val="008138E4"/>
    <w:rsid w:val="008175E9"/>
    <w:rsid w:val="00820DBE"/>
    <w:rsid w:val="008242D7"/>
    <w:rsid w:val="00832764"/>
    <w:rsid w:val="00832905"/>
    <w:rsid w:val="00842FAF"/>
    <w:rsid w:val="00844A23"/>
    <w:rsid w:val="008553AE"/>
    <w:rsid w:val="008566E6"/>
    <w:rsid w:val="008616E6"/>
    <w:rsid w:val="00871FD5"/>
    <w:rsid w:val="0087202A"/>
    <w:rsid w:val="008749E1"/>
    <w:rsid w:val="008828BD"/>
    <w:rsid w:val="008900F3"/>
    <w:rsid w:val="00893C16"/>
    <w:rsid w:val="0089467C"/>
    <w:rsid w:val="008979B1"/>
    <w:rsid w:val="008A2299"/>
    <w:rsid w:val="008A5A78"/>
    <w:rsid w:val="008A6B25"/>
    <w:rsid w:val="008A6C4F"/>
    <w:rsid w:val="008A7362"/>
    <w:rsid w:val="008B0C07"/>
    <w:rsid w:val="008B2E94"/>
    <w:rsid w:val="008C1535"/>
    <w:rsid w:val="008C48A9"/>
    <w:rsid w:val="008D1C3A"/>
    <w:rsid w:val="008D44E2"/>
    <w:rsid w:val="008E0E46"/>
    <w:rsid w:val="008E1D4C"/>
    <w:rsid w:val="008E5389"/>
    <w:rsid w:val="008F36A7"/>
    <w:rsid w:val="008F42F2"/>
    <w:rsid w:val="008F65D0"/>
    <w:rsid w:val="00905AEA"/>
    <w:rsid w:val="00910229"/>
    <w:rsid w:val="00910E37"/>
    <w:rsid w:val="009115C1"/>
    <w:rsid w:val="009145E5"/>
    <w:rsid w:val="00915E24"/>
    <w:rsid w:val="009174F9"/>
    <w:rsid w:val="009178F6"/>
    <w:rsid w:val="00920726"/>
    <w:rsid w:val="00924330"/>
    <w:rsid w:val="0092549E"/>
    <w:rsid w:val="009337E3"/>
    <w:rsid w:val="0093457E"/>
    <w:rsid w:val="0094085C"/>
    <w:rsid w:val="00944CFA"/>
    <w:rsid w:val="00945A5D"/>
    <w:rsid w:val="0094761C"/>
    <w:rsid w:val="00947A9D"/>
    <w:rsid w:val="009561ED"/>
    <w:rsid w:val="00963CBA"/>
    <w:rsid w:val="00965ACC"/>
    <w:rsid w:val="00970D90"/>
    <w:rsid w:val="0097150D"/>
    <w:rsid w:val="00971B0B"/>
    <w:rsid w:val="00972131"/>
    <w:rsid w:val="00972910"/>
    <w:rsid w:val="00977813"/>
    <w:rsid w:val="00977C08"/>
    <w:rsid w:val="009863A7"/>
    <w:rsid w:val="00986BF1"/>
    <w:rsid w:val="0099124E"/>
    <w:rsid w:val="00991261"/>
    <w:rsid w:val="00994010"/>
    <w:rsid w:val="00994014"/>
    <w:rsid w:val="009A37C7"/>
    <w:rsid w:val="009B1829"/>
    <w:rsid w:val="009B2FB7"/>
    <w:rsid w:val="009B3CC1"/>
    <w:rsid w:val="009B4EB2"/>
    <w:rsid w:val="009B6F46"/>
    <w:rsid w:val="009D7741"/>
    <w:rsid w:val="009E2874"/>
    <w:rsid w:val="009E35FF"/>
    <w:rsid w:val="009E587B"/>
    <w:rsid w:val="009E7B0D"/>
    <w:rsid w:val="00A02580"/>
    <w:rsid w:val="00A12045"/>
    <w:rsid w:val="00A12267"/>
    <w:rsid w:val="00A1427D"/>
    <w:rsid w:val="00A15DCA"/>
    <w:rsid w:val="00A22441"/>
    <w:rsid w:val="00A24E0D"/>
    <w:rsid w:val="00A25434"/>
    <w:rsid w:val="00A27584"/>
    <w:rsid w:val="00A3317D"/>
    <w:rsid w:val="00A33866"/>
    <w:rsid w:val="00A3734E"/>
    <w:rsid w:val="00A40281"/>
    <w:rsid w:val="00A4449F"/>
    <w:rsid w:val="00A475B8"/>
    <w:rsid w:val="00A52017"/>
    <w:rsid w:val="00A549AB"/>
    <w:rsid w:val="00A6043B"/>
    <w:rsid w:val="00A64ED3"/>
    <w:rsid w:val="00A66610"/>
    <w:rsid w:val="00A679F9"/>
    <w:rsid w:val="00A67DC2"/>
    <w:rsid w:val="00A72F22"/>
    <w:rsid w:val="00A748A6"/>
    <w:rsid w:val="00A7523F"/>
    <w:rsid w:val="00A75EC9"/>
    <w:rsid w:val="00A76B37"/>
    <w:rsid w:val="00A80FD5"/>
    <w:rsid w:val="00A81CD3"/>
    <w:rsid w:val="00A879A4"/>
    <w:rsid w:val="00AA022C"/>
    <w:rsid w:val="00AA2DB2"/>
    <w:rsid w:val="00AB390A"/>
    <w:rsid w:val="00AC0EEF"/>
    <w:rsid w:val="00AC1F60"/>
    <w:rsid w:val="00AC3364"/>
    <w:rsid w:val="00AC38F2"/>
    <w:rsid w:val="00AC7451"/>
    <w:rsid w:val="00AD3873"/>
    <w:rsid w:val="00AD4C3F"/>
    <w:rsid w:val="00AD748C"/>
    <w:rsid w:val="00AE2BC1"/>
    <w:rsid w:val="00AE313E"/>
    <w:rsid w:val="00AE315B"/>
    <w:rsid w:val="00AE3791"/>
    <w:rsid w:val="00AE3E02"/>
    <w:rsid w:val="00AF1489"/>
    <w:rsid w:val="00AF248C"/>
    <w:rsid w:val="00AF634F"/>
    <w:rsid w:val="00B0125E"/>
    <w:rsid w:val="00B02079"/>
    <w:rsid w:val="00B05614"/>
    <w:rsid w:val="00B068B3"/>
    <w:rsid w:val="00B0758D"/>
    <w:rsid w:val="00B10153"/>
    <w:rsid w:val="00B2292E"/>
    <w:rsid w:val="00B275BD"/>
    <w:rsid w:val="00B30179"/>
    <w:rsid w:val="00B32399"/>
    <w:rsid w:val="00B3317B"/>
    <w:rsid w:val="00B34A94"/>
    <w:rsid w:val="00B35770"/>
    <w:rsid w:val="00B45379"/>
    <w:rsid w:val="00B62799"/>
    <w:rsid w:val="00B65BD4"/>
    <w:rsid w:val="00B742AE"/>
    <w:rsid w:val="00B7575E"/>
    <w:rsid w:val="00B75B87"/>
    <w:rsid w:val="00B76D98"/>
    <w:rsid w:val="00B80DD3"/>
    <w:rsid w:val="00B81E12"/>
    <w:rsid w:val="00B8308C"/>
    <w:rsid w:val="00B84410"/>
    <w:rsid w:val="00B87A6B"/>
    <w:rsid w:val="00B90984"/>
    <w:rsid w:val="00B910C6"/>
    <w:rsid w:val="00B93068"/>
    <w:rsid w:val="00B96106"/>
    <w:rsid w:val="00BA4AAC"/>
    <w:rsid w:val="00BA611E"/>
    <w:rsid w:val="00BB0C58"/>
    <w:rsid w:val="00BB6685"/>
    <w:rsid w:val="00BB6C43"/>
    <w:rsid w:val="00BC224B"/>
    <w:rsid w:val="00BC4804"/>
    <w:rsid w:val="00BC553A"/>
    <w:rsid w:val="00BC5CF4"/>
    <w:rsid w:val="00BC74E9"/>
    <w:rsid w:val="00BD4242"/>
    <w:rsid w:val="00BD42B2"/>
    <w:rsid w:val="00BD6492"/>
    <w:rsid w:val="00BE618E"/>
    <w:rsid w:val="00C01730"/>
    <w:rsid w:val="00C12FE8"/>
    <w:rsid w:val="00C17582"/>
    <w:rsid w:val="00C20E3D"/>
    <w:rsid w:val="00C23226"/>
    <w:rsid w:val="00C3461F"/>
    <w:rsid w:val="00C4186E"/>
    <w:rsid w:val="00C463DD"/>
    <w:rsid w:val="00C46E2A"/>
    <w:rsid w:val="00C60D9F"/>
    <w:rsid w:val="00C60DCD"/>
    <w:rsid w:val="00C61112"/>
    <w:rsid w:val="00C626EA"/>
    <w:rsid w:val="00C62F76"/>
    <w:rsid w:val="00C64CF9"/>
    <w:rsid w:val="00C67F22"/>
    <w:rsid w:val="00C72209"/>
    <w:rsid w:val="00C745C3"/>
    <w:rsid w:val="00C8046D"/>
    <w:rsid w:val="00C835F0"/>
    <w:rsid w:val="00C92213"/>
    <w:rsid w:val="00CA1406"/>
    <w:rsid w:val="00CA1CBE"/>
    <w:rsid w:val="00CA5C02"/>
    <w:rsid w:val="00CB4C9D"/>
    <w:rsid w:val="00CC18B3"/>
    <w:rsid w:val="00CC23F0"/>
    <w:rsid w:val="00CC71E2"/>
    <w:rsid w:val="00CC7F16"/>
    <w:rsid w:val="00CD42C3"/>
    <w:rsid w:val="00CD68B3"/>
    <w:rsid w:val="00CE4A8F"/>
    <w:rsid w:val="00CE58B6"/>
    <w:rsid w:val="00CE5C4D"/>
    <w:rsid w:val="00CE7E5D"/>
    <w:rsid w:val="00CF3B9C"/>
    <w:rsid w:val="00CF4639"/>
    <w:rsid w:val="00CF6553"/>
    <w:rsid w:val="00CF7C69"/>
    <w:rsid w:val="00CF7FCE"/>
    <w:rsid w:val="00D00E69"/>
    <w:rsid w:val="00D01A50"/>
    <w:rsid w:val="00D01ACC"/>
    <w:rsid w:val="00D02365"/>
    <w:rsid w:val="00D04934"/>
    <w:rsid w:val="00D0609D"/>
    <w:rsid w:val="00D078BF"/>
    <w:rsid w:val="00D11828"/>
    <w:rsid w:val="00D13382"/>
    <w:rsid w:val="00D2031B"/>
    <w:rsid w:val="00D2387E"/>
    <w:rsid w:val="00D25921"/>
    <w:rsid w:val="00D25FE2"/>
    <w:rsid w:val="00D2697D"/>
    <w:rsid w:val="00D37949"/>
    <w:rsid w:val="00D41099"/>
    <w:rsid w:val="00D42146"/>
    <w:rsid w:val="00D43252"/>
    <w:rsid w:val="00D44AE0"/>
    <w:rsid w:val="00D44EFC"/>
    <w:rsid w:val="00D5171D"/>
    <w:rsid w:val="00D606BB"/>
    <w:rsid w:val="00D625F5"/>
    <w:rsid w:val="00D668CA"/>
    <w:rsid w:val="00D72869"/>
    <w:rsid w:val="00D753D8"/>
    <w:rsid w:val="00D77FB6"/>
    <w:rsid w:val="00D81FDF"/>
    <w:rsid w:val="00D84DB1"/>
    <w:rsid w:val="00D9208C"/>
    <w:rsid w:val="00D95849"/>
    <w:rsid w:val="00D96CC5"/>
    <w:rsid w:val="00D978C6"/>
    <w:rsid w:val="00DA5A3D"/>
    <w:rsid w:val="00DA67AD"/>
    <w:rsid w:val="00DA71EC"/>
    <w:rsid w:val="00DB0284"/>
    <w:rsid w:val="00DB281B"/>
    <w:rsid w:val="00DB4C88"/>
    <w:rsid w:val="00DC16B9"/>
    <w:rsid w:val="00DC1797"/>
    <w:rsid w:val="00DD41E5"/>
    <w:rsid w:val="00DD70B8"/>
    <w:rsid w:val="00DE19A0"/>
    <w:rsid w:val="00DE4184"/>
    <w:rsid w:val="00DF0081"/>
    <w:rsid w:val="00DF2D86"/>
    <w:rsid w:val="00DF48B9"/>
    <w:rsid w:val="00DF7129"/>
    <w:rsid w:val="00E00B7A"/>
    <w:rsid w:val="00E011D0"/>
    <w:rsid w:val="00E040BE"/>
    <w:rsid w:val="00E049CA"/>
    <w:rsid w:val="00E130AB"/>
    <w:rsid w:val="00E154D5"/>
    <w:rsid w:val="00E15862"/>
    <w:rsid w:val="00E21A5F"/>
    <w:rsid w:val="00E23CEE"/>
    <w:rsid w:val="00E24107"/>
    <w:rsid w:val="00E26B83"/>
    <w:rsid w:val="00E274C0"/>
    <w:rsid w:val="00E305E0"/>
    <w:rsid w:val="00E35BAA"/>
    <w:rsid w:val="00E40163"/>
    <w:rsid w:val="00E4194D"/>
    <w:rsid w:val="00E44882"/>
    <w:rsid w:val="00E450F1"/>
    <w:rsid w:val="00E45DE2"/>
    <w:rsid w:val="00E5126A"/>
    <w:rsid w:val="00E5317F"/>
    <w:rsid w:val="00E5644E"/>
    <w:rsid w:val="00E62A12"/>
    <w:rsid w:val="00E62EE3"/>
    <w:rsid w:val="00E66AF1"/>
    <w:rsid w:val="00E67039"/>
    <w:rsid w:val="00E7260F"/>
    <w:rsid w:val="00E8535A"/>
    <w:rsid w:val="00E92301"/>
    <w:rsid w:val="00E96630"/>
    <w:rsid w:val="00EA5271"/>
    <w:rsid w:val="00EB0D77"/>
    <w:rsid w:val="00EB308F"/>
    <w:rsid w:val="00EB4381"/>
    <w:rsid w:val="00EB6541"/>
    <w:rsid w:val="00EB6832"/>
    <w:rsid w:val="00EB775E"/>
    <w:rsid w:val="00EC42EA"/>
    <w:rsid w:val="00EC5D78"/>
    <w:rsid w:val="00ED4EB3"/>
    <w:rsid w:val="00ED67DB"/>
    <w:rsid w:val="00ED7A2A"/>
    <w:rsid w:val="00EE18BF"/>
    <w:rsid w:val="00EE32E6"/>
    <w:rsid w:val="00EE6D6E"/>
    <w:rsid w:val="00EE7FF7"/>
    <w:rsid w:val="00EF051D"/>
    <w:rsid w:val="00EF1393"/>
    <w:rsid w:val="00EF1D7F"/>
    <w:rsid w:val="00EF3923"/>
    <w:rsid w:val="00F01117"/>
    <w:rsid w:val="00F01716"/>
    <w:rsid w:val="00F0351B"/>
    <w:rsid w:val="00F05379"/>
    <w:rsid w:val="00F054AD"/>
    <w:rsid w:val="00F0794B"/>
    <w:rsid w:val="00F11A87"/>
    <w:rsid w:val="00F14001"/>
    <w:rsid w:val="00F14936"/>
    <w:rsid w:val="00F23940"/>
    <w:rsid w:val="00F40E75"/>
    <w:rsid w:val="00F416AA"/>
    <w:rsid w:val="00F45C14"/>
    <w:rsid w:val="00F45D1A"/>
    <w:rsid w:val="00F475EB"/>
    <w:rsid w:val="00F5272A"/>
    <w:rsid w:val="00F54674"/>
    <w:rsid w:val="00F54DDA"/>
    <w:rsid w:val="00F57710"/>
    <w:rsid w:val="00F6331D"/>
    <w:rsid w:val="00F660F2"/>
    <w:rsid w:val="00F7003D"/>
    <w:rsid w:val="00F72912"/>
    <w:rsid w:val="00F73E3B"/>
    <w:rsid w:val="00F74124"/>
    <w:rsid w:val="00F84B97"/>
    <w:rsid w:val="00F85D7A"/>
    <w:rsid w:val="00F873E7"/>
    <w:rsid w:val="00F93B34"/>
    <w:rsid w:val="00F957FD"/>
    <w:rsid w:val="00F95EEE"/>
    <w:rsid w:val="00FA0503"/>
    <w:rsid w:val="00FA54B1"/>
    <w:rsid w:val="00FB4658"/>
    <w:rsid w:val="00FB6DCF"/>
    <w:rsid w:val="00FB7905"/>
    <w:rsid w:val="00FC0AAF"/>
    <w:rsid w:val="00FC3415"/>
    <w:rsid w:val="00FC68B7"/>
    <w:rsid w:val="00FC6F24"/>
    <w:rsid w:val="00FC7852"/>
    <w:rsid w:val="00FD2AAF"/>
    <w:rsid w:val="00FD6B2B"/>
    <w:rsid w:val="00FE0B49"/>
    <w:rsid w:val="00FE4A81"/>
    <w:rsid w:val="00FE752E"/>
    <w:rsid w:val="00FF03BB"/>
    <w:rsid w:val="00FF739D"/>
    <w:rsid w:val="00FF7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uiPriority w:val="99"/>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uiPriority w:val="99"/>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 w:type="character" w:customStyle="1" w:styleId="apple-converted-space">
    <w:name w:val="apple-converted-space"/>
    <w:basedOn w:val="DefaultParagraphFont"/>
    <w:rsid w:val="00D77FB6"/>
  </w:style>
  <w:style w:type="paragraph" w:customStyle="1" w:styleId="GHSBodyText">
    <w:name w:val="GHSBody Text"/>
    <w:basedOn w:val="BodyText"/>
    <w:link w:val="GHSBodyTextChar"/>
    <w:rsid w:val="002E69A5"/>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character" w:customStyle="1" w:styleId="GHSBodyTextChar">
    <w:name w:val="GHSBody Text Char"/>
    <w:link w:val="GHSBodyText"/>
    <w:rsid w:val="002E69A5"/>
    <w:rPr>
      <w:sz w:val="22"/>
      <w:lang w:eastAsia="en-US"/>
    </w:rPr>
  </w:style>
  <w:style w:type="paragraph" w:customStyle="1" w:styleId="GHSHeading2">
    <w:name w:val="GHSHeading2"/>
    <w:basedOn w:val="Normal"/>
    <w:autoRedefine/>
    <w:rsid w:val="004E2924"/>
    <w:pPr>
      <w:widowControl w:val="0"/>
      <w:suppressAutoHyphens w:val="0"/>
      <w:autoSpaceDE w:val="0"/>
      <w:autoSpaceDN w:val="0"/>
      <w:adjustRightInd w:val="0"/>
      <w:spacing w:after="240" w:line="240" w:lineRule="auto"/>
      <w:jc w:val="center"/>
    </w:pPr>
    <w:rPr>
      <w:b/>
      <w:bCs/>
      <w:caps/>
      <w:color w:val="000000"/>
      <w:sz w:val="28"/>
      <w:szCs w:val="28"/>
      <w:lang w:eastAsia="fr-FR"/>
    </w:rPr>
  </w:style>
  <w:style w:type="paragraph" w:customStyle="1" w:styleId="GHSHeading3">
    <w:name w:val="GHSHeading3"/>
    <w:basedOn w:val="Heading3"/>
    <w:rsid w:val="004E2924"/>
    <w:pPr>
      <w:keepNext/>
      <w:tabs>
        <w:tab w:val="left" w:pos="1418"/>
      </w:tabs>
      <w:suppressAutoHyphens w:val="0"/>
      <w:autoSpaceDE w:val="0"/>
      <w:autoSpaceDN w:val="0"/>
      <w:adjustRightInd w:val="0"/>
    </w:pPr>
    <w:rPr>
      <w:b/>
      <w:bCs/>
      <w:color w:val="000000"/>
      <w:sz w:val="22"/>
      <w:szCs w:val="22"/>
      <w:lang w:eastAsia="fr-FR"/>
    </w:rPr>
  </w:style>
  <w:style w:type="paragraph" w:customStyle="1" w:styleId="GHSFootnotetext">
    <w:name w:val="GHSFootnotetext"/>
    <w:basedOn w:val="Normal"/>
    <w:rsid w:val="004E2924"/>
    <w:pPr>
      <w:tabs>
        <w:tab w:val="left" w:pos="540"/>
        <w:tab w:val="left" w:pos="1134"/>
        <w:tab w:val="left" w:pos="1800"/>
        <w:tab w:val="left" w:pos="2160"/>
        <w:tab w:val="left" w:pos="2268"/>
        <w:tab w:val="left" w:pos="2835"/>
        <w:tab w:val="left" w:pos="3402"/>
        <w:tab w:val="left" w:pos="3969"/>
      </w:tabs>
      <w:suppressAutoHyphens w:val="0"/>
      <w:autoSpaceDE w:val="0"/>
      <w:autoSpaceDN w:val="0"/>
      <w:adjustRightInd w:val="0"/>
      <w:spacing w:line="240" w:lineRule="auto"/>
      <w:ind w:left="540" w:hanging="540"/>
      <w:jc w:val="both"/>
    </w:pPr>
    <w:rPr>
      <w:i/>
      <w:iCs/>
      <w:lang w:val="fr-FR" w:eastAsia="fr-FR"/>
    </w:rPr>
  </w:style>
  <w:style w:type="paragraph" w:customStyle="1" w:styleId="GHSHeading4">
    <w:name w:val="GHSHeading4"/>
    <w:basedOn w:val="Normal"/>
    <w:rsid w:val="004E2924"/>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uiPriority w:val="99"/>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uiPriority w:val="99"/>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 w:type="character" w:customStyle="1" w:styleId="apple-converted-space">
    <w:name w:val="apple-converted-space"/>
    <w:basedOn w:val="DefaultParagraphFont"/>
    <w:rsid w:val="00D77FB6"/>
  </w:style>
  <w:style w:type="paragraph" w:customStyle="1" w:styleId="GHSBodyText">
    <w:name w:val="GHSBody Text"/>
    <w:basedOn w:val="BodyText"/>
    <w:link w:val="GHSBodyTextChar"/>
    <w:rsid w:val="002E69A5"/>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character" w:customStyle="1" w:styleId="GHSBodyTextChar">
    <w:name w:val="GHSBody Text Char"/>
    <w:link w:val="GHSBodyText"/>
    <w:rsid w:val="002E69A5"/>
    <w:rPr>
      <w:sz w:val="22"/>
      <w:lang w:eastAsia="en-US"/>
    </w:rPr>
  </w:style>
  <w:style w:type="paragraph" w:customStyle="1" w:styleId="GHSHeading2">
    <w:name w:val="GHSHeading2"/>
    <w:basedOn w:val="Normal"/>
    <w:autoRedefine/>
    <w:rsid w:val="004E2924"/>
    <w:pPr>
      <w:widowControl w:val="0"/>
      <w:suppressAutoHyphens w:val="0"/>
      <w:autoSpaceDE w:val="0"/>
      <w:autoSpaceDN w:val="0"/>
      <w:adjustRightInd w:val="0"/>
      <w:spacing w:after="240" w:line="240" w:lineRule="auto"/>
      <w:jc w:val="center"/>
    </w:pPr>
    <w:rPr>
      <w:b/>
      <w:bCs/>
      <w:caps/>
      <w:color w:val="000000"/>
      <w:sz w:val="28"/>
      <w:szCs w:val="28"/>
      <w:lang w:eastAsia="fr-FR"/>
    </w:rPr>
  </w:style>
  <w:style w:type="paragraph" w:customStyle="1" w:styleId="GHSHeading3">
    <w:name w:val="GHSHeading3"/>
    <w:basedOn w:val="Heading3"/>
    <w:rsid w:val="004E2924"/>
    <w:pPr>
      <w:keepNext/>
      <w:tabs>
        <w:tab w:val="left" w:pos="1418"/>
      </w:tabs>
      <w:suppressAutoHyphens w:val="0"/>
      <w:autoSpaceDE w:val="0"/>
      <w:autoSpaceDN w:val="0"/>
      <w:adjustRightInd w:val="0"/>
    </w:pPr>
    <w:rPr>
      <w:b/>
      <w:bCs/>
      <w:color w:val="000000"/>
      <w:sz w:val="22"/>
      <w:szCs w:val="22"/>
      <w:lang w:eastAsia="fr-FR"/>
    </w:rPr>
  </w:style>
  <w:style w:type="paragraph" w:customStyle="1" w:styleId="GHSFootnotetext">
    <w:name w:val="GHSFootnotetext"/>
    <w:basedOn w:val="Normal"/>
    <w:rsid w:val="004E2924"/>
    <w:pPr>
      <w:tabs>
        <w:tab w:val="left" w:pos="540"/>
        <w:tab w:val="left" w:pos="1134"/>
        <w:tab w:val="left" w:pos="1800"/>
        <w:tab w:val="left" w:pos="2160"/>
        <w:tab w:val="left" w:pos="2268"/>
        <w:tab w:val="left" w:pos="2835"/>
        <w:tab w:val="left" w:pos="3402"/>
        <w:tab w:val="left" w:pos="3969"/>
      </w:tabs>
      <w:suppressAutoHyphens w:val="0"/>
      <w:autoSpaceDE w:val="0"/>
      <w:autoSpaceDN w:val="0"/>
      <w:adjustRightInd w:val="0"/>
      <w:spacing w:line="240" w:lineRule="auto"/>
      <w:ind w:left="540" w:hanging="540"/>
      <w:jc w:val="both"/>
    </w:pPr>
    <w:rPr>
      <w:i/>
      <w:iCs/>
      <w:lang w:val="fr-FR" w:eastAsia="fr-FR"/>
    </w:rPr>
  </w:style>
  <w:style w:type="paragraph" w:customStyle="1" w:styleId="GHSHeading4">
    <w:name w:val="GHSHeading4"/>
    <w:basedOn w:val="Normal"/>
    <w:rsid w:val="004E2924"/>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9533">
      <w:bodyDiv w:val="1"/>
      <w:marLeft w:val="0"/>
      <w:marRight w:val="0"/>
      <w:marTop w:val="0"/>
      <w:marBottom w:val="0"/>
      <w:divBdr>
        <w:top w:val="none" w:sz="0" w:space="0" w:color="auto"/>
        <w:left w:val="none" w:sz="0" w:space="0" w:color="auto"/>
        <w:bottom w:val="none" w:sz="0" w:space="0" w:color="auto"/>
        <w:right w:val="none" w:sz="0" w:space="0" w:color="auto"/>
      </w:divBdr>
    </w:div>
    <w:div w:id="1356467396">
      <w:bodyDiv w:val="1"/>
      <w:marLeft w:val="0"/>
      <w:marRight w:val="0"/>
      <w:marTop w:val="0"/>
      <w:marBottom w:val="0"/>
      <w:divBdr>
        <w:top w:val="none" w:sz="0" w:space="0" w:color="auto"/>
        <w:left w:val="none" w:sz="0" w:space="0" w:color="auto"/>
        <w:bottom w:val="none" w:sz="0" w:space="0" w:color="auto"/>
        <w:right w:val="none" w:sz="0" w:space="0" w:color="auto"/>
      </w:divBdr>
    </w:div>
    <w:div w:id="1734307777">
      <w:bodyDiv w:val="1"/>
      <w:marLeft w:val="0"/>
      <w:marRight w:val="0"/>
      <w:marTop w:val="0"/>
      <w:marBottom w:val="0"/>
      <w:divBdr>
        <w:top w:val="none" w:sz="0" w:space="0" w:color="auto"/>
        <w:left w:val="none" w:sz="0" w:space="0" w:color="auto"/>
        <w:bottom w:val="none" w:sz="0" w:space="0" w:color="auto"/>
        <w:right w:val="none" w:sz="0" w:space="0" w:color="auto"/>
      </w:divBdr>
    </w:div>
    <w:div w:id="1772625191">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B1D61-3709-4B2E-B4DB-A7FD4D969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17</Pages>
  <Words>4434</Words>
  <Characters>23708</Characters>
  <Application>Microsoft Office Word</Application>
  <DocSecurity>0</DocSecurity>
  <Lines>197</Lines>
  <Paragraphs>56</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1321580</vt:lpstr>
      <vt:lpstr>1321580</vt:lpstr>
      <vt:lpstr>1321580</vt:lpstr>
    </vt:vector>
  </TitlesOfParts>
  <Company>CSD</Company>
  <LinksUpToDate>false</LinksUpToDate>
  <CharactersWithSpaces>28086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5</cp:revision>
  <cp:lastPrinted>2016-10-27T06:26:00Z</cp:lastPrinted>
  <dcterms:created xsi:type="dcterms:W3CDTF">2016-10-27T06:23:00Z</dcterms:created>
  <dcterms:modified xsi:type="dcterms:W3CDTF">2016-10-27T12:29:00Z</dcterms:modified>
</cp:coreProperties>
</file>