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497E88" w:rsidTr="00404FD4">
        <w:trPr>
          <w:cantSplit/>
          <w:trHeight w:hRule="exact" w:val="851"/>
        </w:trPr>
        <w:tc>
          <w:tcPr>
            <w:tcW w:w="9639" w:type="dxa"/>
            <w:tcBorders>
              <w:bottom w:val="single" w:sz="4" w:space="0" w:color="auto"/>
            </w:tcBorders>
            <w:shd w:val="clear" w:color="auto" w:fill="FFFFFF"/>
            <w:vAlign w:val="bottom"/>
          </w:tcPr>
          <w:p w:rsidR="00280D2B" w:rsidRPr="00497E88" w:rsidRDefault="00280D2B" w:rsidP="001647B4">
            <w:pPr>
              <w:spacing w:after="240"/>
              <w:jc w:val="right"/>
              <w:rPr>
                <w:b/>
                <w:sz w:val="40"/>
                <w:szCs w:val="40"/>
              </w:rPr>
            </w:pPr>
            <w:r w:rsidRPr="00497E88">
              <w:rPr>
                <w:b/>
                <w:sz w:val="40"/>
                <w:szCs w:val="40"/>
              </w:rPr>
              <w:t>UN/SCETDG/4</w:t>
            </w:r>
            <w:r w:rsidR="00643B8D" w:rsidRPr="00497E88">
              <w:rPr>
                <w:b/>
                <w:sz w:val="40"/>
                <w:szCs w:val="40"/>
              </w:rPr>
              <w:t>9</w:t>
            </w:r>
            <w:r w:rsidRPr="00497E88">
              <w:rPr>
                <w:b/>
                <w:sz w:val="40"/>
                <w:szCs w:val="40"/>
              </w:rPr>
              <w:t>/INF.</w:t>
            </w:r>
            <w:r w:rsidR="001647B4">
              <w:rPr>
                <w:b/>
                <w:sz w:val="40"/>
                <w:szCs w:val="40"/>
              </w:rPr>
              <w:t>56</w:t>
            </w:r>
          </w:p>
        </w:tc>
      </w:tr>
      <w:tr w:rsidR="00280D2B" w:rsidRPr="00497E88" w:rsidTr="005149A9">
        <w:trPr>
          <w:cantSplit/>
          <w:trHeight w:val="126"/>
        </w:trPr>
        <w:tc>
          <w:tcPr>
            <w:tcW w:w="9639" w:type="dxa"/>
            <w:tcBorders>
              <w:top w:val="single" w:sz="4" w:space="0" w:color="auto"/>
            </w:tcBorders>
          </w:tcPr>
          <w:p w:rsidR="00280D2B" w:rsidRPr="00497E88" w:rsidRDefault="00280D2B" w:rsidP="00280D2B">
            <w:pPr>
              <w:spacing w:after="240"/>
              <w:rPr>
                <w:b/>
              </w:rPr>
            </w:pPr>
          </w:p>
        </w:tc>
      </w:tr>
    </w:tbl>
    <w:p w:rsidR="00EB605B" w:rsidRPr="00497E88" w:rsidRDefault="00EB605B" w:rsidP="00EB605B">
      <w:pPr>
        <w:rPr>
          <w:vanish/>
        </w:rPr>
      </w:pPr>
    </w:p>
    <w:tbl>
      <w:tblPr>
        <w:tblW w:w="9645" w:type="dxa"/>
        <w:tblInd w:w="108" w:type="dxa"/>
        <w:tblLayout w:type="fixed"/>
        <w:tblLook w:val="04A0" w:firstRow="1" w:lastRow="0" w:firstColumn="1" w:lastColumn="0" w:noHBand="0" w:noVBand="1"/>
      </w:tblPr>
      <w:tblGrid>
        <w:gridCol w:w="9072"/>
        <w:gridCol w:w="573"/>
      </w:tblGrid>
      <w:tr w:rsidR="00280D2B" w:rsidRPr="00497E88" w:rsidTr="00211CD6">
        <w:tc>
          <w:tcPr>
            <w:tcW w:w="9645" w:type="dxa"/>
            <w:gridSpan w:val="2"/>
            <w:tcMar>
              <w:top w:w="142" w:type="dxa"/>
              <w:left w:w="108" w:type="dxa"/>
              <w:bottom w:w="142" w:type="dxa"/>
              <w:right w:w="108" w:type="dxa"/>
            </w:tcMar>
          </w:tcPr>
          <w:p w:rsidR="00280D2B" w:rsidRPr="00497E88" w:rsidRDefault="00280D2B" w:rsidP="00A14805">
            <w:pPr>
              <w:tabs>
                <w:tab w:val="right" w:pos="9214"/>
              </w:tabs>
            </w:pPr>
            <w:r w:rsidRPr="00497E88">
              <w:rPr>
                <w:b/>
                <w:sz w:val="24"/>
                <w:szCs w:val="24"/>
              </w:rPr>
              <w:t>Committee of Experts on the Transport of Dangerous Goods</w:t>
            </w:r>
            <w:r w:rsidRPr="00497E88">
              <w:rPr>
                <w:b/>
                <w:sz w:val="24"/>
                <w:szCs w:val="24"/>
              </w:rPr>
              <w:tab/>
            </w:r>
            <w:r w:rsidRPr="00497E88">
              <w:rPr>
                <w:b/>
                <w:sz w:val="24"/>
                <w:szCs w:val="24"/>
              </w:rPr>
              <w:br/>
              <w:t>and on the Globally Harmonized System of Classification</w:t>
            </w:r>
            <w:r w:rsidRPr="00497E88">
              <w:rPr>
                <w:b/>
                <w:sz w:val="24"/>
                <w:szCs w:val="24"/>
              </w:rPr>
              <w:br/>
              <w:t>and Labelling of Chemicals</w:t>
            </w:r>
            <w:r w:rsidRPr="00497E88">
              <w:rPr>
                <w:b/>
              </w:rPr>
              <w:tab/>
            </w:r>
            <w:r w:rsidR="00497E88">
              <w:rPr>
                <w:b/>
              </w:rPr>
              <w:t>2</w:t>
            </w:r>
            <w:r w:rsidR="001647B4">
              <w:rPr>
                <w:b/>
              </w:rPr>
              <w:t>4</w:t>
            </w:r>
            <w:r w:rsidR="005149A9" w:rsidRPr="00497E88">
              <w:rPr>
                <w:b/>
                <w:sz w:val="18"/>
                <w:szCs w:val="24"/>
              </w:rPr>
              <w:t xml:space="preserve"> </w:t>
            </w:r>
            <w:r w:rsidR="00A65E61" w:rsidRPr="00497E88">
              <w:rPr>
                <w:b/>
                <w:sz w:val="18"/>
                <w:szCs w:val="24"/>
              </w:rPr>
              <w:t>June</w:t>
            </w:r>
            <w:r w:rsidR="005A37A2" w:rsidRPr="00497E88">
              <w:rPr>
                <w:b/>
                <w:sz w:val="18"/>
                <w:szCs w:val="24"/>
              </w:rPr>
              <w:t xml:space="preserve"> 201</w:t>
            </w:r>
            <w:r w:rsidR="00A65E61" w:rsidRPr="00497E88">
              <w:rPr>
                <w:b/>
                <w:sz w:val="18"/>
                <w:szCs w:val="24"/>
              </w:rPr>
              <w:t>6</w:t>
            </w:r>
          </w:p>
        </w:tc>
      </w:tr>
      <w:tr w:rsidR="00280D2B" w:rsidRPr="00497E88" w:rsidTr="005A37A2">
        <w:tc>
          <w:tcPr>
            <w:tcW w:w="9072" w:type="dxa"/>
            <w:tcMar>
              <w:top w:w="57" w:type="dxa"/>
              <w:left w:w="108" w:type="dxa"/>
              <w:bottom w:w="0" w:type="dxa"/>
              <w:right w:w="108" w:type="dxa"/>
            </w:tcMar>
            <w:vAlign w:val="center"/>
          </w:tcPr>
          <w:p w:rsidR="00280D2B" w:rsidRPr="00497E88" w:rsidRDefault="00280D2B" w:rsidP="005A37A2">
            <w:pPr>
              <w:spacing w:before="120"/>
              <w:rPr>
                <w:b/>
              </w:rPr>
            </w:pPr>
            <w:r w:rsidRPr="00497E88">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97E88" w:rsidRDefault="00280D2B" w:rsidP="00280D2B">
            <w:pPr>
              <w:spacing w:before="120"/>
              <w:rPr>
                <w:b/>
              </w:rPr>
            </w:pPr>
          </w:p>
        </w:tc>
      </w:tr>
      <w:tr w:rsidR="00280D2B" w:rsidRPr="00497E88" w:rsidTr="005A37A2">
        <w:tc>
          <w:tcPr>
            <w:tcW w:w="9072" w:type="dxa"/>
            <w:tcMar>
              <w:top w:w="57" w:type="dxa"/>
              <w:left w:w="108" w:type="dxa"/>
              <w:bottom w:w="0" w:type="dxa"/>
              <w:right w:w="108" w:type="dxa"/>
            </w:tcMar>
            <w:vAlign w:val="center"/>
          </w:tcPr>
          <w:p w:rsidR="00280D2B" w:rsidRPr="00497E88" w:rsidRDefault="00280D2B" w:rsidP="00A65E61">
            <w:pPr>
              <w:spacing w:before="120"/>
              <w:ind w:left="34" w:hanging="34"/>
              <w:rPr>
                <w:b/>
              </w:rPr>
            </w:pPr>
            <w:r w:rsidRPr="00497E88">
              <w:rPr>
                <w:b/>
              </w:rPr>
              <w:t>Forty-</w:t>
            </w:r>
            <w:r w:rsidR="00A65E61" w:rsidRPr="00497E88">
              <w:rPr>
                <w:b/>
              </w:rPr>
              <w:t>nin</w:t>
            </w:r>
            <w:r w:rsidRPr="00497E88">
              <w:rPr>
                <w:b/>
              </w:rPr>
              <w:t>th session</w:t>
            </w:r>
          </w:p>
        </w:tc>
        <w:tc>
          <w:tcPr>
            <w:tcW w:w="573" w:type="dxa"/>
            <w:tcMar>
              <w:top w:w="57" w:type="dxa"/>
              <w:left w:w="108" w:type="dxa"/>
              <w:bottom w:w="0" w:type="dxa"/>
              <w:right w:w="108" w:type="dxa"/>
            </w:tcMar>
            <w:vAlign w:val="center"/>
          </w:tcPr>
          <w:p w:rsidR="00280D2B" w:rsidRPr="00497E88" w:rsidRDefault="00280D2B" w:rsidP="00211CD6">
            <w:pPr>
              <w:spacing w:before="120"/>
              <w:rPr>
                <w:b/>
              </w:rPr>
            </w:pPr>
          </w:p>
        </w:tc>
      </w:tr>
      <w:tr w:rsidR="00280D2B" w:rsidRPr="00497E88" w:rsidTr="005A37A2">
        <w:tc>
          <w:tcPr>
            <w:tcW w:w="9072" w:type="dxa"/>
            <w:tcMar>
              <w:top w:w="57" w:type="dxa"/>
              <w:left w:w="108" w:type="dxa"/>
              <w:bottom w:w="0" w:type="dxa"/>
              <w:right w:w="108" w:type="dxa"/>
            </w:tcMar>
            <w:vAlign w:val="center"/>
          </w:tcPr>
          <w:p w:rsidR="00280D2B" w:rsidRPr="00497E88" w:rsidRDefault="00280D2B" w:rsidP="00F54DDA">
            <w:pPr>
              <w:spacing w:before="120"/>
              <w:ind w:left="34" w:hanging="34"/>
            </w:pPr>
            <w:r w:rsidRPr="00497E88">
              <w:t>Geneva</w:t>
            </w:r>
            <w:r w:rsidR="00A65E61" w:rsidRPr="00497E88">
              <w:t>, 27 June – 6 July 2016</w:t>
            </w:r>
          </w:p>
          <w:p w:rsidR="00E22D2B" w:rsidRDefault="00E22D2B" w:rsidP="00E22D2B">
            <w:pPr>
              <w:pStyle w:val="Default"/>
              <w:rPr>
                <w:sz w:val="20"/>
                <w:szCs w:val="20"/>
              </w:rPr>
            </w:pPr>
            <w:r>
              <w:rPr>
                <w:sz w:val="20"/>
                <w:szCs w:val="20"/>
              </w:rPr>
              <w:t xml:space="preserve">Item 4 (a) of the provisional agenda </w:t>
            </w:r>
          </w:p>
          <w:p w:rsidR="00E27E66" w:rsidRPr="00497E88" w:rsidRDefault="00E22D2B" w:rsidP="00E22D2B">
            <w:pPr>
              <w:spacing w:after="120"/>
              <w:ind w:left="34" w:hanging="34"/>
              <w:rPr>
                <w:b/>
              </w:rPr>
            </w:pPr>
            <w:r>
              <w:rPr>
                <w:b/>
                <w:bCs/>
              </w:rPr>
              <w:t>Electric storage systems: testing of lithium batteries</w:t>
            </w:r>
          </w:p>
        </w:tc>
        <w:tc>
          <w:tcPr>
            <w:tcW w:w="573" w:type="dxa"/>
            <w:tcMar>
              <w:top w:w="57" w:type="dxa"/>
              <w:left w:w="108" w:type="dxa"/>
              <w:bottom w:w="0" w:type="dxa"/>
              <w:right w:w="108" w:type="dxa"/>
            </w:tcMar>
            <w:vAlign w:val="center"/>
          </w:tcPr>
          <w:p w:rsidR="00280D2B" w:rsidRPr="00497E88" w:rsidRDefault="00280D2B" w:rsidP="00280D2B">
            <w:pPr>
              <w:spacing w:before="120"/>
              <w:rPr>
                <w:b/>
              </w:rPr>
            </w:pPr>
          </w:p>
        </w:tc>
      </w:tr>
    </w:tbl>
    <w:p w:rsidR="001718BC" w:rsidRPr="00497E88" w:rsidRDefault="00497E88" w:rsidP="001718BC">
      <w:pPr>
        <w:pStyle w:val="HChG"/>
        <w:rPr>
          <w:rFonts w:eastAsia="MS Mincho"/>
        </w:rPr>
      </w:pPr>
      <w:r>
        <w:rPr>
          <w:rFonts w:eastAsia="MS Mincho"/>
        </w:rPr>
        <w:tab/>
      </w:r>
      <w:r>
        <w:rPr>
          <w:rFonts w:eastAsia="MS Mincho"/>
        </w:rPr>
        <w:tab/>
      </w:r>
      <w:r>
        <w:t xml:space="preserve">Activation of Lithium Cell or Battery Protective Mechanisms and Criteria for Voltage Loss Limit in </w:t>
      </w:r>
      <w:r w:rsidR="00E22D2B">
        <w:t xml:space="preserve">T.2 Thermal Test in </w:t>
      </w:r>
      <w:r>
        <w:t>UN Manual of Tests and Criteria - Section 38.3</w:t>
      </w:r>
    </w:p>
    <w:p w:rsidR="001718BC" w:rsidRPr="00497E88" w:rsidRDefault="001718BC" w:rsidP="001718BC">
      <w:pPr>
        <w:pStyle w:val="H1G"/>
        <w:ind w:firstLine="0"/>
      </w:pPr>
      <w:r w:rsidRPr="00497E88">
        <w:t xml:space="preserve">Transmitted by </w:t>
      </w:r>
      <w:r w:rsidR="00497E88">
        <w:t>PRBA – The Rechargeable Battery Association and RECHARGE</w:t>
      </w:r>
      <w:r w:rsidRPr="00497E88">
        <w:rPr>
          <w:rStyle w:val="FootnoteReference"/>
        </w:rPr>
        <w:t xml:space="preserve"> </w:t>
      </w:r>
    </w:p>
    <w:p w:rsidR="001718BC" w:rsidRPr="00497E88" w:rsidRDefault="001718BC" w:rsidP="001718BC">
      <w:pPr>
        <w:pStyle w:val="HChG"/>
        <w:rPr>
          <w:rFonts w:eastAsia="MS Mincho"/>
        </w:rPr>
      </w:pPr>
      <w:r w:rsidRPr="00497E88">
        <w:tab/>
      </w:r>
      <w:r w:rsidRPr="00497E88">
        <w:tab/>
        <w:t>Purpose</w:t>
      </w:r>
    </w:p>
    <w:p w:rsidR="00497E88" w:rsidRPr="001647B4" w:rsidRDefault="001647B4" w:rsidP="001647B4">
      <w:pPr>
        <w:pStyle w:val="SingleTxtG"/>
      </w:pPr>
      <w:r>
        <w:t>1.</w:t>
      </w:r>
      <w:r>
        <w:tab/>
      </w:r>
      <w:r w:rsidR="00497E88" w:rsidRPr="001647B4">
        <w:t xml:space="preserve">During the last two </w:t>
      </w:r>
      <w:r w:rsidR="00594E67" w:rsidRPr="001647B4">
        <w:t xml:space="preserve">lithium battery </w:t>
      </w:r>
      <w:r w:rsidR="00497E88" w:rsidRPr="001647B4">
        <w:t xml:space="preserve">informal working group meetings in Washington, DC and Bordeaux, technical information was presented regarding the activation of </w:t>
      </w:r>
      <w:r w:rsidR="00594E67" w:rsidRPr="001647B4">
        <w:t xml:space="preserve">lithium </w:t>
      </w:r>
      <w:r w:rsidR="00497E88" w:rsidRPr="001647B4">
        <w:t>cell or battery protective mechanism devices when subjected tests T.1 to T.4 in the UN Manual of Tests, Section 38.3.</w:t>
      </w:r>
      <w:r w:rsidR="00CC5294" w:rsidRPr="001647B4">
        <w:t xml:space="preserve">  This issue is referenced in the report on the Bordeaux meeting as item #6 on page 11 of ST/SG/AC.10/C.3/2016/46.</w:t>
      </w:r>
    </w:p>
    <w:p w:rsidR="00497E88" w:rsidRPr="001647B4" w:rsidRDefault="001647B4" w:rsidP="001647B4">
      <w:pPr>
        <w:pStyle w:val="SingleTxtG"/>
      </w:pPr>
      <w:r>
        <w:t>2.</w:t>
      </w:r>
      <w:r>
        <w:tab/>
      </w:r>
      <w:r w:rsidR="00497E88" w:rsidRPr="001647B4">
        <w:t>Currently, the pass criteria for tests T.1 to T.4 require the open circuit voltage of each unit after the test to be more than 90% of its initial voltage before the test.  The voltage loss limit aims to detect internal cell anomalies.</w:t>
      </w:r>
    </w:p>
    <w:p w:rsidR="00497E88" w:rsidRPr="001647B4" w:rsidRDefault="001647B4" w:rsidP="001647B4">
      <w:pPr>
        <w:pStyle w:val="SingleTxtG"/>
      </w:pPr>
      <w:r>
        <w:t>3.</w:t>
      </w:r>
      <w:r>
        <w:tab/>
      </w:r>
      <w:r w:rsidR="00497E88" w:rsidRPr="001647B4">
        <w:t>However, there are situations in which lithium ion cells or batteries have integrated resettable and/or non-resettable protective mechanisms that are designed to activate due to temperature or mechanical conditions.  When these devices activate, the battery or cell open voltage becomes close to zero volts, thus not meeting the voltage loss pass criteria.</w:t>
      </w:r>
      <w:r w:rsidR="00D56E3D" w:rsidRPr="001647B4">
        <w:t xml:space="preserve">  This means the cell or battery designs technically fail the tests when in fact the tests prove the safety features in the cell or battery are working as designed.</w:t>
      </w:r>
    </w:p>
    <w:p w:rsidR="00497E88" w:rsidRPr="001647B4" w:rsidRDefault="001647B4" w:rsidP="001647B4">
      <w:pPr>
        <w:pStyle w:val="SingleTxtG"/>
      </w:pPr>
      <w:r>
        <w:t>4.</w:t>
      </w:r>
      <w:r>
        <w:tab/>
      </w:r>
      <w:r w:rsidR="00497E88" w:rsidRPr="001647B4">
        <w:t>An example of such protective mechanism is the non-resettable current interrupting safety device in cells, commonly known as CID.  The CID mechanical construction is a diaphragm connected through welding to the top button (cap) terminal.  The device is designed to break open due to cell pressure increase during cycling or elevated exposure to high temperature condi</w:t>
      </w:r>
      <w:r w:rsidR="00E22D2B" w:rsidRPr="001647B4">
        <w:t>tions, such as the T.2 Thermal t</w:t>
      </w:r>
      <w:r w:rsidR="00497E88" w:rsidRPr="001647B4">
        <w:t>est limit of 72</w:t>
      </w:r>
      <w:r w:rsidR="00E22D2B" w:rsidRPr="001647B4">
        <w:t xml:space="preserve"> </w:t>
      </w:r>
      <w:r w:rsidR="00FF3F9E" w:rsidRPr="001647B4">
        <w:t>°</w:t>
      </w:r>
      <w:r w:rsidR="00497E88" w:rsidRPr="001647B4">
        <w:t xml:space="preserve">C for six hours.    </w:t>
      </w:r>
    </w:p>
    <w:p w:rsidR="00497E88" w:rsidRDefault="001647B4" w:rsidP="001647B4">
      <w:pPr>
        <w:pStyle w:val="SingleTxtG"/>
      </w:pPr>
      <w:r>
        <w:t>5.</w:t>
      </w:r>
      <w:r>
        <w:tab/>
      </w:r>
      <w:r w:rsidR="00497E88" w:rsidRPr="00195589">
        <w:t>The X-ray images and graphics below show a comparison between a normal and activated cell CID mechanism.  In the activated CID image, under internal cell pressure, the diaphragm connections to the button are broken, resulting in disconnection of the internal cell to the outside terminal (cell button).  This disconnection results in low open circuit voltage (close to 0V) measured between the cell terminals.</w:t>
      </w:r>
      <w:r w:rsidR="00985AC5" w:rsidRPr="00195589">
        <w:t xml:space="preserve">  (The same logic as above applies to activation of the battery safety protective device mechanisms.)</w:t>
      </w:r>
    </w:p>
    <w:p w:rsidR="00A4148D" w:rsidRPr="001B06F9" w:rsidRDefault="001647B4" w:rsidP="001647B4">
      <w:pPr>
        <w:pStyle w:val="SingleTxtG"/>
      </w:pPr>
      <w:r>
        <w:lastRenderedPageBreak/>
        <w:t>6.</w:t>
      </w:r>
      <w:r>
        <w:tab/>
      </w:r>
      <w:r w:rsidR="00A4148D" w:rsidRPr="001B06F9">
        <w:t xml:space="preserve">During the working group meetings in </w:t>
      </w:r>
      <w:r w:rsidR="002E13E3" w:rsidRPr="001B06F9">
        <w:t xml:space="preserve">Washington, DC and Bordeaux, </w:t>
      </w:r>
      <w:r w:rsidR="00D56E3D" w:rsidRPr="001B06F9">
        <w:t xml:space="preserve">representatives from battery testing labs explained that </w:t>
      </w:r>
      <w:r w:rsidR="00CB79F8" w:rsidRPr="001B06F9">
        <w:t xml:space="preserve">it is a common </w:t>
      </w:r>
      <w:r w:rsidR="00CB79F8" w:rsidRPr="001647B4">
        <w:t>practice</w:t>
      </w:r>
      <w:r w:rsidR="00CB79F8" w:rsidRPr="001B06F9">
        <w:t xml:space="preserve"> to</w:t>
      </w:r>
      <w:r w:rsidR="00D56E3D" w:rsidRPr="001B06F9">
        <w:t xml:space="preserve"> reset the resettable protective mechanisms</w:t>
      </w:r>
      <w:r w:rsidR="005338D2" w:rsidRPr="001B06F9">
        <w:t xml:space="preserve"> in batteries if they are </w:t>
      </w:r>
      <w:r w:rsidR="000F6DE1" w:rsidRPr="001B06F9">
        <w:t>activated</w:t>
      </w:r>
      <w:r w:rsidR="005338D2" w:rsidRPr="001B06F9">
        <w:t xml:space="preserve"> during the T.2 Thermal test and continue on with testing.  When the non-resettable protective mechanisms</w:t>
      </w:r>
      <w:r w:rsidR="000F6DE1" w:rsidRPr="001B06F9">
        <w:t xml:space="preserve"> in a cell or battery are activated and voltage drops to zero, the cell and battery manufactures are essentially being penalized for designing a safe cell or battery.</w:t>
      </w:r>
      <w:r w:rsidR="00CB79F8" w:rsidRPr="001B06F9">
        <w:t xml:space="preserve">  Our proposed changes to the T.2 Thermal test are intended to address this shortcoming in the UN Manual.</w:t>
      </w:r>
    </w:p>
    <w:p w:rsidR="000F6DE1" w:rsidRDefault="000F6DE1" w:rsidP="000F6DE1">
      <w:pPr>
        <w:suppressAutoHyphens w:val="0"/>
        <w:spacing w:line="240" w:lineRule="auto"/>
        <w:rPr>
          <w:b/>
          <w:sz w:val="28"/>
          <w:szCs w:val="28"/>
        </w:rPr>
      </w:pPr>
      <w:r>
        <w:rPr>
          <w:noProof/>
          <w:lang w:eastAsia="en-GB"/>
        </w:rPr>
        <w:drawing>
          <wp:anchor distT="0" distB="0" distL="114300" distR="114300" simplePos="0" relativeHeight="251662336" behindDoc="1" locked="0" layoutInCell="1" allowOverlap="1" wp14:anchorId="69DA3EDD" wp14:editId="74AAA3CF">
            <wp:simplePos x="0" y="0"/>
            <wp:positionH relativeFrom="column">
              <wp:posOffset>120015</wp:posOffset>
            </wp:positionH>
            <wp:positionV relativeFrom="paragraph">
              <wp:posOffset>307340</wp:posOffset>
            </wp:positionV>
            <wp:extent cx="5943600" cy="3578860"/>
            <wp:effectExtent l="0" t="0" r="0" b="2540"/>
            <wp:wrapThrough wrapText="bothSides">
              <wp:wrapPolygon edited="0">
                <wp:start x="0" y="0"/>
                <wp:lineTo x="0" y="21500"/>
                <wp:lineTo x="21531" y="21500"/>
                <wp:lineTo x="21531"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3578860"/>
                    </a:xfrm>
                    <a:prstGeom prst="rect">
                      <a:avLst/>
                    </a:prstGeom>
                  </pic:spPr>
                </pic:pic>
              </a:graphicData>
            </a:graphic>
            <wp14:sizeRelH relativeFrom="page">
              <wp14:pctWidth>0</wp14:pctWidth>
            </wp14:sizeRelH>
            <wp14:sizeRelV relativeFrom="page">
              <wp14:pctHeight>0</wp14:pctHeight>
            </wp14:sizeRelV>
          </wp:anchor>
        </w:drawing>
      </w:r>
    </w:p>
    <w:p w:rsidR="000F6DE1" w:rsidRDefault="000F6DE1">
      <w:pPr>
        <w:suppressAutoHyphens w:val="0"/>
        <w:spacing w:line="240" w:lineRule="auto"/>
        <w:rPr>
          <w:b/>
          <w:sz w:val="28"/>
          <w:szCs w:val="28"/>
        </w:rPr>
      </w:pPr>
      <w:r>
        <w:rPr>
          <w:b/>
          <w:sz w:val="28"/>
          <w:szCs w:val="28"/>
        </w:rPr>
        <w:br w:type="page"/>
      </w:r>
    </w:p>
    <w:p w:rsidR="00497E88" w:rsidRPr="00985AC5" w:rsidRDefault="001647B4" w:rsidP="001647B4">
      <w:pPr>
        <w:pStyle w:val="HChG"/>
      </w:pPr>
      <w:r>
        <w:lastRenderedPageBreak/>
        <w:tab/>
      </w:r>
      <w:r>
        <w:tab/>
      </w:r>
      <w:r w:rsidR="00497E88" w:rsidRPr="00985AC5">
        <w:t>Proposal</w:t>
      </w:r>
    </w:p>
    <w:p w:rsidR="00497E88" w:rsidRPr="00195589" w:rsidRDefault="000F6DE1" w:rsidP="001647B4">
      <w:pPr>
        <w:pStyle w:val="SingleTxtG"/>
      </w:pPr>
      <w:r>
        <w:t>7</w:t>
      </w:r>
      <w:r w:rsidR="00E22D2B">
        <w:t>.</w:t>
      </w:r>
      <w:r w:rsidR="00E22D2B">
        <w:tab/>
      </w:r>
      <w:r w:rsidR="00985AC5" w:rsidRPr="00195589">
        <w:t xml:space="preserve">To address the issues associated with the activation of cell or battery protective mechanism devices when subjected </w:t>
      </w:r>
      <w:r w:rsidR="00E22D2B" w:rsidRPr="00195589">
        <w:t xml:space="preserve">to </w:t>
      </w:r>
      <w:r w:rsidR="00D373B3" w:rsidRPr="00195589">
        <w:t xml:space="preserve">the T.2 Thermal </w:t>
      </w:r>
      <w:r w:rsidR="00985AC5" w:rsidRPr="00195589">
        <w:t>test in the UN Manual of Tests</w:t>
      </w:r>
      <w:r w:rsidR="001B06F9">
        <w:t xml:space="preserve"> and Criteria</w:t>
      </w:r>
      <w:r w:rsidR="00985AC5" w:rsidRPr="00195589">
        <w:t>, Section 38.3, PRBA and RECHARGE propose the following</w:t>
      </w:r>
      <w:r w:rsidR="00497E88" w:rsidRPr="00195589">
        <w:t xml:space="preserve"> change</w:t>
      </w:r>
      <w:r w:rsidR="00985AC5" w:rsidRPr="00195589">
        <w:t>s</w:t>
      </w:r>
      <w:r w:rsidR="00497E88" w:rsidRPr="00195589">
        <w:t xml:space="preserve"> </w:t>
      </w:r>
      <w:r w:rsidR="00985AC5" w:rsidRPr="00195589">
        <w:t xml:space="preserve">in the </w:t>
      </w:r>
      <w:r w:rsidR="00497E88" w:rsidRPr="00195589">
        <w:t>UN Manual of Test</w:t>
      </w:r>
      <w:r w:rsidR="00985AC5" w:rsidRPr="00195589">
        <w:t>s and Criteria, S</w:t>
      </w:r>
      <w:r w:rsidR="00497E88" w:rsidRPr="00195589">
        <w:t>ection 38.3.4.2</w:t>
      </w:r>
      <w:r w:rsidR="00D373B3" w:rsidRPr="00195589">
        <w:t>.2</w:t>
      </w:r>
      <w:r w:rsidR="00195589">
        <w:t>:</w:t>
      </w:r>
    </w:p>
    <w:p w:rsidR="00497E88" w:rsidRPr="00195589" w:rsidRDefault="00497E88" w:rsidP="001647B4">
      <w:pPr>
        <w:pStyle w:val="SingleTxtG"/>
        <w:ind w:firstLine="567"/>
        <w:rPr>
          <w:sz w:val="22"/>
          <w:szCs w:val="22"/>
        </w:rPr>
      </w:pPr>
      <w:r w:rsidRPr="00195589">
        <w:rPr>
          <w:sz w:val="22"/>
          <w:szCs w:val="22"/>
        </w:rPr>
        <w:t>38.3.4.2.2 Test procedure</w:t>
      </w:r>
    </w:p>
    <w:p w:rsidR="00D373B3" w:rsidRDefault="00497E88" w:rsidP="001647B4">
      <w:pPr>
        <w:pStyle w:val="SingleTxtG"/>
        <w:ind w:left="1701"/>
        <w:rPr>
          <w:sz w:val="22"/>
          <w:szCs w:val="22"/>
        </w:rPr>
      </w:pPr>
      <w:r w:rsidRPr="00195589">
        <w:rPr>
          <w:sz w:val="22"/>
          <w:szCs w:val="22"/>
        </w:rPr>
        <w:t>Test cells and batteries are to be stored for at least six hours at a test temperature equal to</w:t>
      </w:r>
      <w:r w:rsidR="00A14805">
        <w:rPr>
          <w:sz w:val="22"/>
          <w:szCs w:val="22"/>
        </w:rPr>
        <w:t xml:space="preserve"> </w:t>
      </w:r>
      <w:r w:rsidRPr="00195589">
        <w:rPr>
          <w:sz w:val="22"/>
          <w:szCs w:val="22"/>
        </w:rPr>
        <w:t xml:space="preserve">72 ± 2 °C, followed by storage for at least six hours at a test temperature equal to - 40 ± 2 °C. </w:t>
      </w:r>
      <w:r w:rsidRPr="00195589">
        <w:rPr>
          <w:sz w:val="22"/>
          <w:szCs w:val="22"/>
          <w:u w:val="single"/>
        </w:rPr>
        <w:t xml:space="preserve">If protective devices are </w:t>
      </w:r>
      <w:r w:rsidR="00CB79F8">
        <w:rPr>
          <w:sz w:val="22"/>
          <w:szCs w:val="22"/>
          <w:u w:val="single"/>
        </w:rPr>
        <w:t xml:space="preserve">designed </w:t>
      </w:r>
      <w:r w:rsidR="00CB79F8" w:rsidRPr="00CB79F8">
        <w:rPr>
          <w:sz w:val="22"/>
          <w:szCs w:val="22"/>
          <w:u w:val="single"/>
        </w:rPr>
        <w:t xml:space="preserve">to activate at or below 72 °C </w:t>
      </w:r>
      <w:r w:rsidRPr="00195589">
        <w:rPr>
          <w:sz w:val="22"/>
          <w:szCs w:val="22"/>
          <w:u w:val="single"/>
        </w:rPr>
        <w:t xml:space="preserve"> during thermal cycling resulting in voltage los</w:t>
      </w:r>
      <w:r w:rsidR="00CB79F8">
        <w:rPr>
          <w:sz w:val="22"/>
          <w:szCs w:val="22"/>
          <w:u w:val="single"/>
        </w:rPr>
        <w:t xml:space="preserve">s, cells and batteries may be </w:t>
      </w:r>
      <w:r w:rsidRPr="00195589">
        <w:rPr>
          <w:sz w:val="22"/>
          <w:szCs w:val="22"/>
          <w:u w:val="single"/>
        </w:rPr>
        <w:t>tested at a temperature equal to 65 ± 2 °C followed by storage for at least six hours at a test temperature equal to - 40 ± 2 °C</w:t>
      </w:r>
      <w:r w:rsidRPr="00195589">
        <w:rPr>
          <w:sz w:val="22"/>
          <w:szCs w:val="22"/>
        </w:rPr>
        <w:t>. The maximum time interval between test temperature extremes is 30 minutes. This procedure is to be repeated until 10 total cycles are complete, after which all test cells and batteries are to be stored for 24 hours at ambient temperature (20 ± 5 °C). For large cells and batteries the duration of exposure to the test temperature extremes should be at least 12 hours.</w:t>
      </w:r>
    </w:p>
    <w:p w:rsidR="001647B4" w:rsidRPr="001647B4" w:rsidRDefault="001647B4" w:rsidP="001647B4">
      <w:pPr>
        <w:pStyle w:val="SingleTxtG"/>
        <w:spacing w:before="240" w:after="0"/>
        <w:jc w:val="center"/>
        <w:rPr>
          <w:u w:val="single"/>
        </w:rPr>
      </w:pPr>
      <w:r>
        <w:rPr>
          <w:sz w:val="22"/>
          <w:szCs w:val="22"/>
          <w:u w:val="single"/>
        </w:rPr>
        <w:tab/>
      </w:r>
      <w:r>
        <w:rPr>
          <w:sz w:val="22"/>
          <w:szCs w:val="22"/>
          <w:u w:val="single"/>
        </w:rPr>
        <w:tab/>
      </w:r>
      <w:r>
        <w:rPr>
          <w:sz w:val="22"/>
          <w:szCs w:val="22"/>
          <w:u w:val="single"/>
        </w:rPr>
        <w:tab/>
      </w:r>
      <w:bookmarkStart w:id="0" w:name="_GoBack"/>
      <w:bookmarkEnd w:id="0"/>
    </w:p>
    <w:sectPr w:rsidR="001647B4" w:rsidRPr="001647B4" w:rsidSect="00985AC5">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88" w:rsidRDefault="00497E88"/>
  </w:endnote>
  <w:endnote w:type="continuationSeparator" w:id="0">
    <w:p w:rsidR="00497E88" w:rsidRDefault="00497E88"/>
  </w:endnote>
  <w:endnote w:type="continuationNotice" w:id="1">
    <w:p w:rsidR="00497E88" w:rsidRDefault="00497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88" w:rsidRPr="002264E0" w:rsidRDefault="00497E88">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1647B4">
      <w:rPr>
        <w:b/>
        <w:noProof/>
        <w:sz w:val="18"/>
      </w:rPr>
      <w:t>2</w:t>
    </w:r>
    <w:r w:rsidRPr="002264E0">
      <w:rPr>
        <w:b/>
        <w:noProof/>
        <w:sz w:val="18"/>
      </w:rPr>
      <w:fldChar w:fldCharType="end"/>
    </w:r>
  </w:p>
  <w:p w:rsidR="00497E88" w:rsidRPr="0005570C" w:rsidRDefault="00497E88"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88" w:rsidRPr="0005570C" w:rsidRDefault="00497E88"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1647B4">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88" w:rsidRPr="000B175B" w:rsidRDefault="00497E88" w:rsidP="000B175B">
      <w:pPr>
        <w:tabs>
          <w:tab w:val="right" w:pos="2155"/>
        </w:tabs>
        <w:spacing w:after="80"/>
        <w:ind w:left="680"/>
        <w:rPr>
          <w:u w:val="single"/>
        </w:rPr>
      </w:pPr>
      <w:r>
        <w:rPr>
          <w:u w:val="single"/>
        </w:rPr>
        <w:tab/>
      </w:r>
    </w:p>
  </w:footnote>
  <w:footnote w:type="continuationSeparator" w:id="0">
    <w:p w:rsidR="00497E88" w:rsidRPr="00FC68B7" w:rsidRDefault="00497E88" w:rsidP="00FC68B7">
      <w:pPr>
        <w:tabs>
          <w:tab w:val="left" w:pos="2155"/>
        </w:tabs>
        <w:spacing w:after="80"/>
        <w:ind w:left="680"/>
        <w:rPr>
          <w:u w:val="single"/>
        </w:rPr>
      </w:pPr>
      <w:r>
        <w:rPr>
          <w:u w:val="single"/>
        </w:rPr>
        <w:tab/>
      </w:r>
    </w:p>
  </w:footnote>
  <w:footnote w:type="continuationNotice" w:id="1">
    <w:p w:rsidR="00497E88" w:rsidRDefault="00497E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88" w:rsidRPr="00F54DDA" w:rsidRDefault="00497E88" w:rsidP="00F54DDA">
    <w:pPr>
      <w:pStyle w:val="Header"/>
    </w:pPr>
    <w:r w:rsidRPr="00F54DDA">
      <w:rPr>
        <w:noProof/>
      </w:rPr>
      <w:t>UN/SCETDG/4</w:t>
    </w:r>
    <w:r>
      <w:rPr>
        <w:noProof/>
      </w:rPr>
      <w:t>9/INF.</w:t>
    </w:r>
    <w:r w:rsidR="001647B4">
      <w:rPr>
        <w:noProof/>
      </w:rPr>
      <w:t>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88" w:rsidRPr="0005570C" w:rsidRDefault="00497E88" w:rsidP="0005570C">
    <w:pPr>
      <w:pStyle w:val="Header"/>
      <w:jc w:val="right"/>
    </w:pPr>
    <w:r w:rsidRPr="00F54DDA">
      <w:t>UN/SCETDG/4</w:t>
    </w:r>
    <w:r>
      <w:t>9</w:t>
    </w:r>
    <w:r w:rsidRPr="00F54DDA">
      <w:t>/INF.</w:t>
    </w:r>
    <w:r w:rsidR="001647B4">
      <w:t>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16093E"/>
    <w:lvl w:ilvl="0" w:tplc="236098B6">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7">
    <w:nsid w:val="19E518D2"/>
    <w:multiLevelType w:val="hybridMultilevel"/>
    <w:tmpl w:val="CAD61004"/>
    <w:lvl w:ilvl="0" w:tplc="236098B6">
      <w:start w:val="1"/>
      <w:numFmt w:val="decimal"/>
      <w:lvlText w:val="%1."/>
      <w:lvlJc w:val="left"/>
      <w:pPr>
        <w:ind w:left="2487"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A203B6"/>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77A30C4"/>
    <w:multiLevelType w:val="hybridMultilevel"/>
    <w:tmpl w:val="21D08F66"/>
    <w:lvl w:ilvl="0" w:tplc="4D225F4A">
      <w:start w:val="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ED54D94"/>
    <w:multiLevelType w:val="hybridMultilevel"/>
    <w:tmpl w:val="7CD80B24"/>
    <w:lvl w:ilvl="0" w:tplc="9D266476">
      <w:start w:val="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68259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EE7A50"/>
    <w:multiLevelType w:val="hybridMultilevel"/>
    <w:tmpl w:val="8AA44E4C"/>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5">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3D551676"/>
    <w:multiLevelType w:val="hybridMultilevel"/>
    <w:tmpl w:val="1E889378"/>
    <w:lvl w:ilvl="0" w:tplc="FAB20A08">
      <w:start w:val="2"/>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9">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1">
    <w:nsid w:val="599F7DE6"/>
    <w:multiLevelType w:val="hybridMultilevel"/>
    <w:tmpl w:val="6B864BFE"/>
    <w:lvl w:ilvl="0" w:tplc="B36E3236">
      <w:start w:val="6"/>
      <w:numFmt w:val="decimal"/>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920349C"/>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6AD5483A"/>
    <w:multiLevelType w:val="hybridMultilevel"/>
    <w:tmpl w:val="57085D68"/>
    <w:lvl w:ilvl="0" w:tplc="D3B0A59C">
      <w:start w:val="7"/>
      <w:numFmt w:val="decimal"/>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10"/>
  </w:num>
  <w:num w:numId="14">
    <w:abstractNumId w:val="32"/>
  </w:num>
  <w:num w:numId="15">
    <w:abstractNumId w:val="14"/>
  </w:num>
  <w:num w:numId="16">
    <w:abstractNumId w:val="11"/>
  </w:num>
  <w:num w:numId="17">
    <w:abstractNumId w:val="35"/>
  </w:num>
  <w:num w:numId="18">
    <w:abstractNumId w:val="25"/>
  </w:num>
  <w:num w:numId="19">
    <w:abstractNumId w:val="12"/>
  </w:num>
  <w:num w:numId="20">
    <w:abstractNumId w:val="28"/>
  </w:num>
  <w:num w:numId="21">
    <w:abstractNumId w:val="16"/>
  </w:num>
  <w:num w:numId="22">
    <w:abstractNumId w:val="13"/>
  </w:num>
  <w:num w:numId="23">
    <w:abstractNumId w:val="15"/>
  </w:num>
  <w:num w:numId="24">
    <w:abstractNumId w:val="27"/>
  </w:num>
  <w:num w:numId="25">
    <w:abstractNumId w:val="29"/>
  </w:num>
  <w:num w:numId="26">
    <w:abstractNumId w:val="30"/>
  </w:num>
  <w:num w:numId="27">
    <w:abstractNumId w:val="33"/>
  </w:num>
  <w:num w:numId="28">
    <w:abstractNumId w:val="22"/>
  </w:num>
  <w:num w:numId="29">
    <w:abstractNumId w:val="26"/>
  </w:num>
  <w:num w:numId="30">
    <w:abstractNumId w:val="19"/>
  </w:num>
  <w:num w:numId="31">
    <w:abstractNumId w:val="17"/>
  </w:num>
  <w:num w:numId="32">
    <w:abstractNumId w:val="34"/>
  </w:num>
  <w:num w:numId="33">
    <w:abstractNumId w:val="31"/>
  </w:num>
  <w:num w:numId="34">
    <w:abstractNumId w:val="24"/>
  </w:num>
  <w:num w:numId="35">
    <w:abstractNumId w:val="20"/>
  </w:num>
  <w:num w:numId="3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2E7A"/>
    <w:rsid w:val="00006600"/>
    <w:rsid w:val="000105B7"/>
    <w:rsid w:val="00010DB3"/>
    <w:rsid w:val="0001111B"/>
    <w:rsid w:val="000158D3"/>
    <w:rsid w:val="00015A1E"/>
    <w:rsid w:val="00026FF1"/>
    <w:rsid w:val="00027F2A"/>
    <w:rsid w:val="000312A2"/>
    <w:rsid w:val="0003260B"/>
    <w:rsid w:val="00044167"/>
    <w:rsid w:val="00050F6B"/>
    <w:rsid w:val="0005111B"/>
    <w:rsid w:val="0005570C"/>
    <w:rsid w:val="00064F24"/>
    <w:rsid w:val="00067C1A"/>
    <w:rsid w:val="00071BC5"/>
    <w:rsid w:val="00072C8C"/>
    <w:rsid w:val="000732CC"/>
    <w:rsid w:val="00073E97"/>
    <w:rsid w:val="0007718E"/>
    <w:rsid w:val="000814A8"/>
    <w:rsid w:val="000869B4"/>
    <w:rsid w:val="00086BA4"/>
    <w:rsid w:val="00091419"/>
    <w:rsid w:val="00092DE4"/>
    <w:rsid w:val="000931C0"/>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D43C8"/>
    <w:rsid w:val="000E0415"/>
    <w:rsid w:val="000E572A"/>
    <w:rsid w:val="000F143A"/>
    <w:rsid w:val="000F5FF7"/>
    <w:rsid w:val="000F6DE1"/>
    <w:rsid w:val="00103C0E"/>
    <w:rsid w:val="00117787"/>
    <w:rsid w:val="00120F5D"/>
    <w:rsid w:val="0012514C"/>
    <w:rsid w:val="00125775"/>
    <w:rsid w:val="001266BA"/>
    <w:rsid w:val="001277CB"/>
    <w:rsid w:val="00131D42"/>
    <w:rsid w:val="00144FC4"/>
    <w:rsid w:val="00151C24"/>
    <w:rsid w:val="00152C2C"/>
    <w:rsid w:val="0016063F"/>
    <w:rsid w:val="001633FB"/>
    <w:rsid w:val="001647B4"/>
    <w:rsid w:val="00166B07"/>
    <w:rsid w:val="001718BC"/>
    <w:rsid w:val="0017319E"/>
    <w:rsid w:val="00177434"/>
    <w:rsid w:val="00187869"/>
    <w:rsid w:val="00191BE2"/>
    <w:rsid w:val="00195589"/>
    <w:rsid w:val="001967AB"/>
    <w:rsid w:val="001A56AE"/>
    <w:rsid w:val="001A6691"/>
    <w:rsid w:val="001B06F9"/>
    <w:rsid w:val="001B0DDE"/>
    <w:rsid w:val="001B4B04"/>
    <w:rsid w:val="001B574E"/>
    <w:rsid w:val="001C6663"/>
    <w:rsid w:val="001C7895"/>
    <w:rsid w:val="001D0C12"/>
    <w:rsid w:val="001D26DF"/>
    <w:rsid w:val="001D2FDC"/>
    <w:rsid w:val="001D2FE8"/>
    <w:rsid w:val="001D6A47"/>
    <w:rsid w:val="001D70C1"/>
    <w:rsid w:val="001E24B1"/>
    <w:rsid w:val="001F1227"/>
    <w:rsid w:val="001F57B4"/>
    <w:rsid w:val="00211CD6"/>
    <w:rsid w:val="00211E0B"/>
    <w:rsid w:val="002264E0"/>
    <w:rsid w:val="002309A7"/>
    <w:rsid w:val="00233CFA"/>
    <w:rsid w:val="002350D2"/>
    <w:rsid w:val="002370D0"/>
    <w:rsid w:val="00237785"/>
    <w:rsid w:val="00241466"/>
    <w:rsid w:val="00247A0C"/>
    <w:rsid w:val="00266C11"/>
    <w:rsid w:val="002722E5"/>
    <w:rsid w:val="002725CA"/>
    <w:rsid w:val="00274700"/>
    <w:rsid w:val="00280C79"/>
    <w:rsid w:val="00280D2B"/>
    <w:rsid w:val="00280EB7"/>
    <w:rsid w:val="002817F4"/>
    <w:rsid w:val="00281BE2"/>
    <w:rsid w:val="002A2560"/>
    <w:rsid w:val="002A7532"/>
    <w:rsid w:val="002B1CDA"/>
    <w:rsid w:val="002B2EA7"/>
    <w:rsid w:val="002B521D"/>
    <w:rsid w:val="002B79CF"/>
    <w:rsid w:val="002B7D6F"/>
    <w:rsid w:val="002C54A4"/>
    <w:rsid w:val="002C6551"/>
    <w:rsid w:val="002C7649"/>
    <w:rsid w:val="002D7530"/>
    <w:rsid w:val="002E13E3"/>
    <w:rsid w:val="002E7C35"/>
    <w:rsid w:val="002F0918"/>
    <w:rsid w:val="00302963"/>
    <w:rsid w:val="00303816"/>
    <w:rsid w:val="003107FA"/>
    <w:rsid w:val="00316C13"/>
    <w:rsid w:val="00320A76"/>
    <w:rsid w:val="003229D8"/>
    <w:rsid w:val="00322F52"/>
    <w:rsid w:val="003311AD"/>
    <w:rsid w:val="003323B3"/>
    <w:rsid w:val="00333732"/>
    <w:rsid w:val="0034522A"/>
    <w:rsid w:val="00347184"/>
    <w:rsid w:val="00372BDC"/>
    <w:rsid w:val="00373815"/>
    <w:rsid w:val="00374763"/>
    <w:rsid w:val="00381262"/>
    <w:rsid w:val="0039277A"/>
    <w:rsid w:val="00395619"/>
    <w:rsid w:val="00396C00"/>
    <w:rsid w:val="003972E0"/>
    <w:rsid w:val="003B4359"/>
    <w:rsid w:val="003B47CC"/>
    <w:rsid w:val="003B48DD"/>
    <w:rsid w:val="003B4B09"/>
    <w:rsid w:val="003C2CC4"/>
    <w:rsid w:val="003D3338"/>
    <w:rsid w:val="003D4B23"/>
    <w:rsid w:val="003E0EE1"/>
    <w:rsid w:val="003E1C5A"/>
    <w:rsid w:val="003E5413"/>
    <w:rsid w:val="003F0697"/>
    <w:rsid w:val="003F3F40"/>
    <w:rsid w:val="003F40C8"/>
    <w:rsid w:val="0040291E"/>
    <w:rsid w:val="0040320D"/>
    <w:rsid w:val="00404FD4"/>
    <w:rsid w:val="004179D7"/>
    <w:rsid w:val="004325CB"/>
    <w:rsid w:val="00437F3F"/>
    <w:rsid w:val="0044017E"/>
    <w:rsid w:val="0044679E"/>
    <w:rsid w:val="00446C28"/>
    <w:rsid w:val="00446DE4"/>
    <w:rsid w:val="004479B5"/>
    <w:rsid w:val="00451CCB"/>
    <w:rsid w:val="004522E0"/>
    <w:rsid w:val="00464C2B"/>
    <w:rsid w:val="00466173"/>
    <w:rsid w:val="0047319B"/>
    <w:rsid w:val="004735FB"/>
    <w:rsid w:val="00475444"/>
    <w:rsid w:val="0049309D"/>
    <w:rsid w:val="00494D24"/>
    <w:rsid w:val="004969ED"/>
    <w:rsid w:val="00497E88"/>
    <w:rsid w:val="00497FF3"/>
    <w:rsid w:val="004A2BD1"/>
    <w:rsid w:val="004B163A"/>
    <w:rsid w:val="004B2C9D"/>
    <w:rsid w:val="004B49FD"/>
    <w:rsid w:val="004B6475"/>
    <w:rsid w:val="004E4DCE"/>
    <w:rsid w:val="00500DCD"/>
    <w:rsid w:val="00512574"/>
    <w:rsid w:val="005149A9"/>
    <w:rsid w:val="00515763"/>
    <w:rsid w:val="005206A2"/>
    <w:rsid w:val="005248FF"/>
    <w:rsid w:val="00527910"/>
    <w:rsid w:val="00532A62"/>
    <w:rsid w:val="005335B1"/>
    <w:rsid w:val="005338D2"/>
    <w:rsid w:val="0053786F"/>
    <w:rsid w:val="005420F2"/>
    <w:rsid w:val="00543B03"/>
    <w:rsid w:val="00552C5F"/>
    <w:rsid w:val="005553A2"/>
    <w:rsid w:val="005557E8"/>
    <w:rsid w:val="00556F1D"/>
    <w:rsid w:val="005627FA"/>
    <w:rsid w:val="00566392"/>
    <w:rsid w:val="00566B77"/>
    <w:rsid w:val="005676D5"/>
    <w:rsid w:val="0057509F"/>
    <w:rsid w:val="00581B62"/>
    <w:rsid w:val="00581C11"/>
    <w:rsid w:val="00590144"/>
    <w:rsid w:val="00594E67"/>
    <w:rsid w:val="005A1FEB"/>
    <w:rsid w:val="005A37A2"/>
    <w:rsid w:val="005B2C26"/>
    <w:rsid w:val="005B3614"/>
    <w:rsid w:val="005B3DB3"/>
    <w:rsid w:val="005B6EC0"/>
    <w:rsid w:val="005B6FA9"/>
    <w:rsid w:val="005D407C"/>
    <w:rsid w:val="005D47D7"/>
    <w:rsid w:val="005E29AE"/>
    <w:rsid w:val="005E6C20"/>
    <w:rsid w:val="005E6D9C"/>
    <w:rsid w:val="00611FC4"/>
    <w:rsid w:val="0061401C"/>
    <w:rsid w:val="006176FB"/>
    <w:rsid w:val="00631B3E"/>
    <w:rsid w:val="0063330C"/>
    <w:rsid w:val="00633C10"/>
    <w:rsid w:val="0063419C"/>
    <w:rsid w:val="00640B26"/>
    <w:rsid w:val="00641876"/>
    <w:rsid w:val="00643B8D"/>
    <w:rsid w:val="00650267"/>
    <w:rsid w:val="0065144C"/>
    <w:rsid w:val="00664F8E"/>
    <w:rsid w:val="006746A2"/>
    <w:rsid w:val="00682466"/>
    <w:rsid w:val="0068393D"/>
    <w:rsid w:val="006A0AE9"/>
    <w:rsid w:val="006A7392"/>
    <w:rsid w:val="006B3590"/>
    <w:rsid w:val="006B7406"/>
    <w:rsid w:val="006B79A2"/>
    <w:rsid w:val="006C0D34"/>
    <w:rsid w:val="006C1C4A"/>
    <w:rsid w:val="006D3508"/>
    <w:rsid w:val="006D7D5F"/>
    <w:rsid w:val="006E564B"/>
    <w:rsid w:val="00707A67"/>
    <w:rsid w:val="0071233A"/>
    <w:rsid w:val="00716D0F"/>
    <w:rsid w:val="00725764"/>
    <w:rsid w:val="0072632A"/>
    <w:rsid w:val="007428A0"/>
    <w:rsid w:val="007505E3"/>
    <w:rsid w:val="0075177E"/>
    <w:rsid w:val="00757A17"/>
    <w:rsid w:val="00790791"/>
    <w:rsid w:val="007909EA"/>
    <w:rsid w:val="00795779"/>
    <w:rsid w:val="007965B5"/>
    <w:rsid w:val="007B6BA5"/>
    <w:rsid w:val="007B6BE5"/>
    <w:rsid w:val="007C3390"/>
    <w:rsid w:val="007C3416"/>
    <w:rsid w:val="007C3658"/>
    <w:rsid w:val="007C455E"/>
    <w:rsid w:val="007C4F4B"/>
    <w:rsid w:val="007D3266"/>
    <w:rsid w:val="007E3F55"/>
    <w:rsid w:val="007F3C74"/>
    <w:rsid w:val="007F42B1"/>
    <w:rsid w:val="007F6611"/>
    <w:rsid w:val="00803636"/>
    <w:rsid w:val="008138E4"/>
    <w:rsid w:val="008175E9"/>
    <w:rsid w:val="00820DBE"/>
    <w:rsid w:val="008242D7"/>
    <w:rsid w:val="00832905"/>
    <w:rsid w:val="00842FAF"/>
    <w:rsid w:val="00844A23"/>
    <w:rsid w:val="00853AFE"/>
    <w:rsid w:val="008553AE"/>
    <w:rsid w:val="008566E6"/>
    <w:rsid w:val="00871FD5"/>
    <w:rsid w:val="008749E1"/>
    <w:rsid w:val="008900F3"/>
    <w:rsid w:val="0089467C"/>
    <w:rsid w:val="008979B1"/>
    <w:rsid w:val="008A2299"/>
    <w:rsid w:val="008A6B25"/>
    <w:rsid w:val="008A6C4F"/>
    <w:rsid w:val="008A7362"/>
    <w:rsid w:val="008B0C07"/>
    <w:rsid w:val="008C5B72"/>
    <w:rsid w:val="008D44E2"/>
    <w:rsid w:val="008E0E46"/>
    <w:rsid w:val="008E1D4C"/>
    <w:rsid w:val="008F36A7"/>
    <w:rsid w:val="008F42F2"/>
    <w:rsid w:val="0090028A"/>
    <w:rsid w:val="00905AEA"/>
    <w:rsid w:val="00910D53"/>
    <w:rsid w:val="00910E37"/>
    <w:rsid w:val="00915E24"/>
    <w:rsid w:val="009174F9"/>
    <w:rsid w:val="009178F6"/>
    <w:rsid w:val="00924330"/>
    <w:rsid w:val="00933CEA"/>
    <w:rsid w:val="0093457E"/>
    <w:rsid w:val="00945A5D"/>
    <w:rsid w:val="0094761C"/>
    <w:rsid w:val="009625DA"/>
    <w:rsid w:val="00963CBA"/>
    <w:rsid w:val="00965ACC"/>
    <w:rsid w:val="00970D90"/>
    <w:rsid w:val="0097150D"/>
    <w:rsid w:val="00971B0B"/>
    <w:rsid w:val="00972131"/>
    <w:rsid w:val="00977813"/>
    <w:rsid w:val="00985AC5"/>
    <w:rsid w:val="009863A7"/>
    <w:rsid w:val="0099124E"/>
    <w:rsid w:val="00991261"/>
    <w:rsid w:val="00994010"/>
    <w:rsid w:val="00994014"/>
    <w:rsid w:val="009A0C59"/>
    <w:rsid w:val="009A37C7"/>
    <w:rsid w:val="009B2FB7"/>
    <w:rsid w:val="009B3CC1"/>
    <w:rsid w:val="009B6F46"/>
    <w:rsid w:val="009D7741"/>
    <w:rsid w:val="009E2874"/>
    <w:rsid w:val="009E35FF"/>
    <w:rsid w:val="009E587B"/>
    <w:rsid w:val="009F4C7B"/>
    <w:rsid w:val="00A0683F"/>
    <w:rsid w:val="00A12267"/>
    <w:rsid w:val="00A1427D"/>
    <w:rsid w:val="00A14805"/>
    <w:rsid w:val="00A22441"/>
    <w:rsid w:val="00A24E0D"/>
    <w:rsid w:val="00A25434"/>
    <w:rsid w:val="00A27584"/>
    <w:rsid w:val="00A3317D"/>
    <w:rsid w:val="00A3734E"/>
    <w:rsid w:val="00A40281"/>
    <w:rsid w:val="00A4148D"/>
    <w:rsid w:val="00A475B8"/>
    <w:rsid w:val="00A549AB"/>
    <w:rsid w:val="00A6043B"/>
    <w:rsid w:val="00A63CF0"/>
    <w:rsid w:val="00A64ED3"/>
    <w:rsid w:val="00A65E61"/>
    <w:rsid w:val="00A66610"/>
    <w:rsid w:val="00A679F9"/>
    <w:rsid w:val="00A72F22"/>
    <w:rsid w:val="00A748A6"/>
    <w:rsid w:val="00A7523F"/>
    <w:rsid w:val="00A75EC9"/>
    <w:rsid w:val="00A76B37"/>
    <w:rsid w:val="00A81CD3"/>
    <w:rsid w:val="00A879A4"/>
    <w:rsid w:val="00A957BC"/>
    <w:rsid w:val="00AA022C"/>
    <w:rsid w:val="00AA2DB2"/>
    <w:rsid w:val="00AB390A"/>
    <w:rsid w:val="00AC0EEF"/>
    <w:rsid w:val="00AC3364"/>
    <w:rsid w:val="00AC38F2"/>
    <w:rsid w:val="00AC49E2"/>
    <w:rsid w:val="00AC7451"/>
    <w:rsid w:val="00AD4C3F"/>
    <w:rsid w:val="00AE2BC1"/>
    <w:rsid w:val="00AE313E"/>
    <w:rsid w:val="00AF1489"/>
    <w:rsid w:val="00AF15B3"/>
    <w:rsid w:val="00AF1670"/>
    <w:rsid w:val="00AF248C"/>
    <w:rsid w:val="00B02079"/>
    <w:rsid w:val="00B05614"/>
    <w:rsid w:val="00B2292E"/>
    <w:rsid w:val="00B30179"/>
    <w:rsid w:val="00B32399"/>
    <w:rsid w:val="00B3317B"/>
    <w:rsid w:val="00B34A94"/>
    <w:rsid w:val="00B35770"/>
    <w:rsid w:val="00B45379"/>
    <w:rsid w:val="00B62799"/>
    <w:rsid w:val="00B65BD4"/>
    <w:rsid w:val="00B7575E"/>
    <w:rsid w:val="00B76D98"/>
    <w:rsid w:val="00B80DD3"/>
    <w:rsid w:val="00B81E12"/>
    <w:rsid w:val="00B8308C"/>
    <w:rsid w:val="00B84410"/>
    <w:rsid w:val="00B90984"/>
    <w:rsid w:val="00B910C6"/>
    <w:rsid w:val="00B93068"/>
    <w:rsid w:val="00B96106"/>
    <w:rsid w:val="00BA4AAC"/>
    <w:rsid w:val="00BA611E"/>
    <w:rsid w:val="00BC4804"/>
    <w:rsid w:val="00BC553A"/>
    <w:rsid w:val="00BC5CF4"/>
    <w:rsid w:val="00BC74E9"/>
    <w:rsid w:val="00BD42B2"/>
    <w:rsid w:val="00BE618E"/>
    <w:rsid w:val="00C0543D"/>
    <w:rsid w:val="00C12FE8"/>
    <w:rsid w:val="00C17582"/>
    <w:rsid w:val="00C20E3D"/>
    <w:rsid w:val="00C23226"/>
    <w:rsid w:val="00C3461F"/>
    <w:rsid w:val="00C4186E"/>
    <w:rsid w:val="00C463DD"/>
    <w:rsid w:val="00C46E2A"/>
    <w:rsid w:val="00C60DCD"/>
    <w:rsid w:val="00C626EA"/>
    <w:rsid w:val="00C62F76"/>
    <w:rsid w:val="00C64CF9"/>
    <w:rsid w:val="00C67F22"/>
    <w:rsid w:val="00C72209"/>
    <w:rsid w:val="00C745C3"/>
    <w:rsid w:val="00C757BF"/>
    <w:rsid w:val="00C835F0"/>
    <w:rsid w:val="00CA1406"/>
    <w:rsid w:val="00CA5C02"/>
    <w:rsid w:val="00CB4C9D"/>
    <w:rsid w:val="00CB79F8"/>
    <w:rsid w:val="00CC23F0"/>
    <w:rsid w:val="00CC5294"/>
    <w:rsid w:val="00CC61C7"/>
    <w:rsid w:val="00CD42C3"/>
    <w:rsid w:val="00CD68B3"/>
    <w:rsid w:val="00CE4A8F"/>
    <w:rsid w:val="00CE58B6"/>
    <w:rsid w:val="00CE5C4D"/>
    <w:rsid w:val="00CE7E5D"/>
    <w:rsid w:val="00CF6553"/>
    <w:rsid w:val="00CF7C69"/>
    <w:rsid w:val="00CF7FCE"/>
    <w:rsid w:val="00D00E69"/>
    <w:rsid w:val="00D02365"/>
    <w:rsid w:val="00D04934"/>
    <w:rsid w:val="00D0609D"/>
    <w:rsid w:val="00D11828"/>
    <w:rsid w:val="00D2031B"/>
    <w:rsid w:val="00D2387E"/>
    <w:rsid w:val="00D25FE2"/>
    <w:rsid w:val="00D373B3"/>
    <w:rsid w:val="00D37949"/>
    <w:rsid w:val="00D42146"/>
    <w:rsid w:val="00D43252"/>
    <w:rsid w:val="00D44EFC"/>
    <w:rsid w:val="00D5171D"/>
    <w:rsid w:val="00D56E3D"/>
    <w:rsid w:val="00D625F5"/>
    <w:rsid w:val="00D664ED"/>
    <w:rsid w:val="00D668CA"/>
    <w:rsid w:val="00D72869"/>
    <w:rsid w:val="00D753D8"/>
    <w:rsid w:val="00D84DB1"/>
    <w:rsid w:val="00D91FF9"/>
    <w:rsid w:val="00D94EFB"/>
    <w:rsid w:val="00D95849"/>
    <w:rsid w:val="00D96CC5"/>
    <w:rsid w:val="00D978C6"/>
    <w:rsid w:val="00DA67AD"/>
    <w:rsid w:val="00DB0284"/>
    <w:rsid w:val="00DB281B"/>
    <w:rsid w:val="00DC16B9"/>
    <w:rsid w:val="00DC1797"/>
    <w:rsid w:val="00DD70B8"/>
    <w:rsid w:val="00DE19A0"/>
    <w:rsid w:val="00DE4184"/>
    <w:rsid w:val="00DF0081"/>
    <w:rsid w:val="00DF110E"/>
    <w:rsid w:val="00DF7129"/>
    <w:rsid w:val="00E01015"/>
    <w:rsid w:val="00E049CA"/>
    <w:rsid w:val="00E130AB"/>
    <w:rsid w:val="00E154D5"/>
    <w:rsid w:val="00E15862"/>
    <w:rsid w:val="00E21A5F"/>
    <w:rsid w:val="00E22D2B"/>
    <w:rsid w:val="00E231C9"/>
    <w:rsid w:val="00E24107"/>
    <w:rsid w:val="00E274C0"/>
    <w:rsid w:val="00E27E66"/>
    <w:rsid w:val="00E305E0"/>
    <w:rsid w:val="00E40163"/>
    <w:rsid w:val="00E4194D"/>
    <w:rsid w:val="00E450F1"/>
    <w:rsid w:val="00E45DE2"/>
    <w:rsid w:val="00E5126A"/>
    <w:rsid w:val="00E5317F"/>
    <w:rsid w:val="00E5644E"/>
    <w:rsid w:val="00E62EE3"/>
    <w:rsid w:val="00E66AF1"/>
    <w:rsid w:val="00E7260F"/>
    <w:rsid w:val="00E8535A"/>
    <w:rsid w:val="00E8545A"/>
    <w:rsid w:val="00E92301"/>
    <w:rsid w:val="00E96630"/>
    <w:rsid w:val="00EB605B"/>
    <w:rsid w:val="00EB6541"/>
    <w:rsid w:val="00EB6832"/>
    <w:rsid w:val="00EC42EA"/>
    <w:rsid w:val="00EC4830"/>
    <w:rsid w:val="00ED4EB3"/>
    <w:rsid w:val="00ED67DB"/>
    <w:rsid w:val="00ED7A2A"/>
    <w:rsid w:val="00EE18BF"/>
    <w:rsid w:val="00EE32E6"/>
    <w:rsid w:val="00EE6D6E"/>
    <w:rsid w:val="00EE7FF7"/>
    <w:rsid w:val="00EF1393"/>
    <w:rsid w:val="00EF1D7F"/>
    <w:rsid w:val="00F01117"/>
    <w:rsid w:val="00F01716"/>
    <w:rsid w:val="00F0351B"/>
    <w:rsid w:val="00F054AD"/>
    <w:rsid w:val="00F14001"/>
    <w:rsid w:val="00F14936"/>
    <w:rsid w:val="00F349DA"/>
    <w:rsid w:val="00F40E75"/>
    <w:rsid w:val="00F416AA"/>
    <w:rsid w:val="00F45C14"/>
    <w:rsid w:val="00F45D1A"/>
    <w:rsid w:val="00F475EB"/>
    <w:rsid w:val="00F5272A"/>
    <w:rsid w:val="00F54674"/>
    <w:rsid w:val="00F54DDA"/>
    <w:rsid w:val="00F6331D"/>
    <w:rsid w:val="00F660F2"/>
    <w:rsid w:val="00F72912"/>
    <w:rsid w:val="00F73E3B"/>
    <w:rsid w:val="00F85D7A"/>
    <w:rsid w:val="00F873E7"/>
    <w:rsid w:val="00F93B34"/>
    <w:rsid w:val="00F94B0B"/>
    <w:rsid w:val="00F953B2"/>
    <w:rsid w:val="00FA54B1"/>
    <w:rsid w:val="00FB7905"/>
    <w:rsid w:val="00FC68B7"/>
    <w:rsid w:val="00FD6B2B"/>
    <w:rsid w:val="00FE4A81"/>
    <w:rsid w:val="00FE752E"/>
    <w:rsid w:val="00FF03BB"/>
    <w:rsid w:val="00FF3F9E"/>
    <w:rsid w:val="00FF7B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table" w:customStyle="1" w:styleId="Tabellenraster2">
    <w:name w:val="Tabellenraster2"/>
    <w:basedOn w:val="TableNormal"/>
    <w:next w:val="TableGrid"/>
    <w:rsid w:val="00026FF1"/>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8BC"/>
    <w:pPr>
      <w:ind w:left="720"/>
      <w:contextualSpacing/>
    </w:pPr>
  </w:style>
  <w:style w:type="character" w:customStyle="1" w:styleId="TitleChar">
    <w:name w:val="Title Char"/>
    <w:basedOn w:val="DefaultParagraphFont"/>
    <w:link w:val="Title"/>
    <w:uiPriority w:val="10"/>
    <w:rsid w:val="007505E3"/>
    <w:rPr>
      <w:rFonts w:ascii="Arial" w:hAnsi="Arial" w:cs="Arial"/>
      <w:b/>
      <w:bCs/>
      <w:kern w:val="28"/>
      <w:sz w:val="32"/>
      <w:szCs w:val="32"/>
      <w:lang w:val="en-GB" w:eastAsia="en-US"/>
    </w:rPr>
  </w:style>
  <w:style w:type="paragraph" w:customStyle="1" w:styleId="Default">
    <w:name w:val="Default"/>
    <w:rsid w:val="00E22D2B"/>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table" w:customStyle="1" w:styleId="Tabellenraster2">
    <w:name w:val="Tabellenraster2"/>
    <w:basedOn w:val="TableNormal"/>
    <w:next w:val="TableGrid"/>
    <w:rsid w:val="00026FF1"/>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8BC"/>
    <w:pPr>
      <w:ind w:left="720"/>
      <w:contextualSpacing/>
    </w:pPr>
  </w:style>
  <w:style w:type="character" w:customStyle="1" w:styleId="TitleChar">
    <w:name w:val="Title Char"/>
    <w:basedOn w:val="DefaultParagraphFont"/>
    <w:link w:val="Title"/>
    <w:uiPriority w:val="10"/>
    <w:rsid w:val="007505E3"/>
    <w:rPr>
      <w:rFonts w:ascii="Arial" w:hAnsi="Arial" w:cs="Arial"/>
      <w:b/>
      <w:bCs/>
      <w:kern w:val="28"/>
      <w:sz w:val="32"/>
      <w:szCs w:val="32"/>
      <w:lang w:val="en-GB" w:eastAsia="en-US"/>
    </w:rPr>
  </w:style>
  <w:style w:type="paragraph" w:customStyle="1" w:styleId="Default">
    <w:name w:val="Default"/>
    <w:rsid w:val="00E22D2B"/>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51B9A-9920-4886-958D-915ED853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680</Words>
  <Characters>3876</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1321580</vt:lpstr>
      <vt:lpstr>1321580</vt:lpstr>
    </vt:vector>
  </TitlesOfParts>
  <Company>CSD</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2016-06-24T07:42:00Z</cp:lastPrinted>
  <dcterms:created xsi:type="dcterms:W3CDTF">2016-06-24T07:39:00Z</dcterms:created>
  <dcterms:modified xsi:type="dcterms:W3CDTF">2016-06-24T07:43:00Z</dcterms:modified>
</cp:coreProperties>
</file>