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725EE5">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725EE5">
              <w:rPr>
                <w:b/>
                <w:sz w:val="40"/>
                <w:szCs w:val="40"/>
                <w:lang w:val="fr-FR"/>
              </w:rPr>
              <w:t>51</w:t>
            </w:r>
            <w:r w:rsidR="00E23CEE" w:rsidRPr="008B2E94">
              <w:rPr>
                <w:b/>
                <w:sz w:val="40"/>
                <w:szCs w:val="40"/>
                <w:lang w:val="fr-FR"/>
              </w:rPr>
              <w:br/>
            </w:r>
            <w:r w:rsidR="00E23CEE" w:rsidRPr="008B2E94">
              <w:rPr>
                <w:lang w:val="fr-FR"/>
              </w:rPr>
              <w:t xml:space="preserve"> </w:t>
            </w:r>
          </w:p>
        </w:tc>
      </w:tr>
    </w:tbl>
    <w:tbl>
      <w:tblPr>
        <w:tblW w:w="11522" w:type="dxa"/>
        <w:tblInd w:w="108" w:type="dxa"/>
        <w:tblLayout w:type="fixed"/>
        <w:tblLook w:val="04A0" w:firstRow="1" w:lastRow="0" w:firstColumn="1" w:lastColumn="0" w:noHBand="0" w:noVBand="1"/>
      </w:tblPr>
      <w:tblGrid>
        <w:gridCol w:w="6413"/>
        <w:gridCol w:w="5109"/>
      </w:tblGrid>
      <w:tr w:rsidR="00280D2B" w:rsidRPr="0045083B" w:rsidTr="00B051B4">
        <w:tc>
          <w:tcPr>
            <w:tcW w:w="11522" w:type="dxa"/>
            <w:gridSpan w:val="2"/>
            <w:tcMar>
              <w:top w:w="142" w:type="dxa"/>
              <w:left w:w="108" w:type="dxa"/>
              <w:bottom w:w="142" w:type="dxa"/>
              <w:right w:w="108" w:type="dxa"/>
            </w:tcMar>
          </w:tcPr>
          <w:p w:rsidR="00280D2B" w:rsidRPr="0045083B" w:rsidRDefault="00280D2B" w:rsidP="005A1EE9">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725EE5">
              <w:rPr>
                <w:b/>
              </w:rPr>
              <w:t>23</w:t>
            </w:r>
            <w:r w:rsidR="005A1EE9">
              <w:rPr>
                <w:b/>
              </w:rPr>
              <w:t xml:space="preserve"> June</w:t>
            </w:r>
            <w:r w:rsidR="00EF3923">
              <w:rPr>
                <w:b/>
                <w:sz w:val="18"/>
                <w:szCs w:val="24"/>
              </w:rPr>
              <w:t xml:space="preserve"> </w:t>
            </w:r>
            <w:r w:rsidR="00450B3A">
              <w:rPr>
                <w:b/>
                <w:sz w:val="18"/>
                <w:szCs w:val="24"/>
              </w:rPr>
              <w:t>201</w:t>
            </w:r>
            <w:r w:rsidR="00B57B8C">
              <w:rPr>
                <w:b/>
                <w:sz w:val="18"/>
                <w:szCs w:val="24"/>
              </w:rPr>
              <w:t>6</w:t>
            </w:r>
          </w:p>
        </w:tc>
      </w:tr>
      <w:tr w:rsidR="00280D2B" w:rsidRPr="0045083B" w:rsidTr="00B051B4">
        <w:tc>
          <w:tcPr>
            <w:tcW w:w="6413"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B051B4">
        <w:tc>
          <w:tcPr>
            <w:tcW w:w="6413" w:type="dxa"/>
            <w:tcMar>
              <w:top w:w="57" w:type="dxa"/>
              <w:left w:w="108" w:type="dxa"/>
              <w:bottom w:w="0" w:type="dxa"/>
              <w:right w:w="108" w:type="dxa"/>
            </w:tcMar>
          </w:tcPr>
          <w:p w:rsidR="00280D2B" w:rsidRPr="0045083B" w:rsidRDefault="00280D2B" w:rsidP="00B57B8C">
            <w:pPr>
              <w:spacing w:before="120"/>
              <w:ind w:left="34" w:hanging="34"/>
              <w:rPr>
                <w:b/>
              </w:rPr>
            </w:pPr>
            <w:r w:rsidRPr="0045083B">
              <w:rPr>
                <w:b/>
              </w:rPr>
              <w:t>Forty-</w:t>
            </w:r>
            <w:r w:rsidR="00BD197C">
              <w:rPr>
                <w:b/>
              </w:rPr>
              <w:t>nin</w:t>
            </w:r>
            <w:r w:rsidR="00B57B8C">
              <w:rPr>
                <w:b/>
              </w:rPr>
              <w:t>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B051B4">
        <w:tc>
          <w:tcPr>
            <w:tcW w:w="6413"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215690">
              <w:t xml:space="preserve">27 June-6 July </w:t>
            </w:r>
            <w:r w:rsidRPr="00F54DDA">
              <w:t>201</w:t>
            </w:r>
            <w:r w:rsidR="00B57B8C">
              <w:t>6</w:t>
            </w:r>
          </w:p>
          <w:p w:rsidR="00280D2B" w:rsidRPr="00F54DDA" w:rsidRDefault="00280D2B">
            <w:pPr>
              <w:ind w:left="34" w:hanging="34"/>
            </w:pPr>
            <w:r w:rsidRPr="00F54DDA">
              <w:t xml:space="preserve">Item </w:t>
            </w:r>
            <w:r w:rsidR="00725EE5">
              <w:t>3</w:t>
            </w:r>
            <w:r w:rsidR="005149A9">
              <w:t xml:space="preserve"> </w:t>
            </w:r>
            <w:r w:rsidRPr="00F54DDA">
              <w:t>of the provisional agenda</w:t>
            </w:r>
          </w:p>
          <w:p w:rsidR="00963879" w:rsidRPr="004624AF" w:rsidRDefault="00725EE5" w:rsidP="00B051B4">
            <w:pPr>
              <w:spacing w:after="120"/>
              <w:ind w:left="-11" w:right="459" w:firstLine="11"/>
              <w:rPr>
                <w:b/>
              </w:rPr>
            </w:pPr>
            <w:r w:rsidRPr="00C570AA">
              <w:rPr>
                <w:b/>
              </w:rPr>
              <w:t>Listing, classification and packing</w:t>
            </w:r>
          </w:p>
        </w:tc>
        <w:tc>
          <w:tcPr>
            <w:tcW w:w="5109" w:type="dxa"/>
            <w:tcMar>
              <w:top w:w="57" w:type="dxa"/>
              <w:left w:w="108" w:type="dxa"/>
              <w:bottom w:w="0" w:type="dxa"/>
              <w:right w:w="108" w:type="dxa"/>
            </w:tcMar>
          </w:tcPr>
          <w:p w:rsidR="00280D2B" w:rsidRPr="00280D2B" w:rsidRDefault="00280D2B" w:rsidP="008B2E94">
            <w:pPr>
              <w:rPr>
                <w:b/>
              </w:rPr>
            </w:pPr>
          </w:p>
        </w:tc>
      </w:tr>
    </w:tbl>
    <w:p w:rsidR="00A4449F" w:rsidRPr="00735725" w:rsidRDefault="00390C04" w:rsidP="00A04F66">
      <w:pPr>
        <w:pStyle w:val="HChG"/>
      </w:pPr>
      <w:r>
        <w:tab/>
      </w:r>
      <w:r>
        <w:tab/>
      </w:r>
      <w:r w:rsidR="00B051B4">
        <w:t xml:space="preserve">Comments on </w:t>
      </w:r>
      <w:r w:rsidR="00725EE5">
        <w:t>ST/SG/AC.10/C.3/2016/9</w:t>
      </w:r>
      <w:r w:rsidR="00B051B4">
        <w:t xml:space="preserve">: </w:t>
      </w:r>
      <w:proofErr w:type="spellStart"/>
      <w:r w:rsidR="00725EE5">
        <w:rPr>
          <w:lang w:val="en-US"/>
        </w:rPr>
        <w:t>Packagings</w:t>
      </w:r>
      <w:proofErr w:type="spellEnd"/>
      <w:r w:rsidR="00725EE5">
        <w:rPr>
          <w:lang w:val="en-US"/>
        </w:rPr>
        <w:t xml:space="preserve"> for infectious substances – revised proposal</w:t>
      </w:r>
    </w:p>
    <w:p w:rsidR="00000DDE" w:rsidRDefault="00725EE5" w:rsidP="00725EE5">
      <w:pPr>
        <w:pStyle w:val="H1G"/>
        <w:rPr>
          <w:lang w:val="en-US"/>
        </w:rPr>
      </w:pPr>
      <w:r>
        <w:rPr>
          <w:lang w:val="en-US"/>
        </w:rPr>
        <w:tab/>
      </w:r>
      <w:r>
        <w:rPr>
          <w:lang w:val="en-US"/>
        </w:rPr>
        <w:tab/>
      </w:r>
      <w:r w:rsidRPr="004061CF">
        <w:rPr>
          <w:lang w:val="en-US"/>
        </w:rPr>
        <w:t xml:space="preserve">Transmitted by </w:t>
      </w:r>
      <w:r w:rsidRPr="00725EE5">
        <w:t>the</w:t>
      </w:r>
      <w:r w:rsidRPr="004061CF">
        <w:rPr>
          <w:lang w:val="en-US"/>
        </w:rPr>
        <w:t xml:space="preserve"> expert from </w:t>
      </w:r>
      <w:r>
        <w:rPr>
          <w:lang w:val="en-US"/>
        </w:rPr>
        <w:t>Norway</w:t>
      </w:r>
    </w:p>
    <w:p w:rsidR="00725EE5" w:rsidRPr="002F1623" w:rsidRDefault="00725EE5" w:rsidP="00725EE5">
      <w:pPr>
        <w:pStyle w:val="HChG"/>
      </w:pPr>
      <w:r>
        <w:tab/>
      </w:r>
      <w:r>
        <w:tab/>
      </w:r>
      <w:r w:rsidRPr="002F1623">
        <w:t>I</w:t>
      </w:r>
      <w:r>
        <w:t>ntroduction</w:t>
      </w:r>
    </w:p>
    <w:p w:rsidR="00725EE5" w:rsidRPr="002F1623" w:rsidRDefault="00725EE5" w:rsidP="00725EE5">
      <w:pPr>
        <w:pStyle w:val="SingleTxtG"/>
      </w:pPr>
      <w:r>
        <w:t>1.</w:t>
      </w:r>
      <w:r>
        <w:tab/>
      </w:r>
      <w:r w:rsidRPr="002F1623">
        <w:t xml:space="preserve">Norway welcomes document 2016/9 from Germany on </w:t>
      </w:r>
      <w:proofErr w:type="spellStart"/>
      <w:r w:rsidRPr="002F1623">
        <w:t>packagings</w:t>
      </w:r>
      <w:proofErr w:type="spellEnd"/>
      <w:r w:rsidRPr="002F1623">
        <w:t xml:space="preserve"> for infectious substances and sees it as a further step towards approving larger </w:t>
      </w:r>
      <w:proofErr w:type="spellStart"/>
      <w:r w:rsidRPr="002F1623">
        <w:t>packagings</w:t>
      </w:r>
      <w:proofErr w:type="spellEnd"/>
      <w:r w:rsidRPr="002F1623">
        <w:t xml:space="preserve"> for Division 6.2 Category A substances.</w:t>
      </w:r>
    </w:p>
    <w:p w:rsidR="00725EE5" w:rsidRPr="002F1623" w:rsidRDefault="00725EE5" w:rsidP="00725EE5">
      <w:pPr>
        <w:pStyle w:val="SingleTxtG"/>
      </w:pPr>
      <w:r>
        <w:t>2.</w:t>
      </w:r>
      <w:r>
        <w:tab/>
      </w:r>
      <w:r w:rsidRPr="002F1623">
        <w:t xml:space="preserve">The new text proposed by Germany in 6.3.5.2.1 requires separate tests for </w:t>
      </w:r>
      <w:proofErr w:type="spellStart"/>
      <w:r w:rsidRPr="002F1623">
        <w:t>packagings</w:t>
      </w:r>
      <w:proofErr w:type="spellEnd"/>
      <w:r w:rsidRPr="002F1623">
        <w:t xml:space="preserve"> of all sizes with primary receptacles intended for the transport of both liquids and solids. Norway is of the opinion that performing only one test with liquids should be kept as an option for all </w:t>
      </w:r>
      <w:proofErr w:type="spellStart"/>
      <w:r w:rsidRPr="002F1623">
        <w:t>packagings</w:t>
      </w:r>
      <w:proofErr w:type="spellEnd"/>
      <w:r w:rsidRPr="002F1623">
        <w:t xml:space="preserve">, as this test has been described as the most conservative and the most difficult to pass. Requiring separate tests for </w:t>
      </w:r>
      <w:proofErr w:type="spellStart"/>
      <w:r w:rsidRPr="002F1623">
        <w:t>packagings</w:t>
      </w:r>
      <w:proofErr w:type="spellEnd"/>
      <w:r w:rsidRPr="002F1623">
        <w:t xml:space="preserve"> constructed for both liquids and solids is common for other divisions of dangerous goods; however, this has not been the case for Division 6.2 Category A substances, as P620 already requires sufficient absorbent material in the inner </w:t>
      </w:r>
      <w:proofErr w:type="spellStart"/>
      <w:r w:rsidRPr="002F1623">
        <w:t>packagings</w:t>
      </w:r>
      <w:proofErr w:type="spellEnd"/>
      <w:r w:rsidRPr="002F1623">
        <w:t xml:space="preserve"> (consisting of primary receptacle(s) and a secondary packaging) to absorb the entire amount of liquids present.</w:t>
      </w:r>
    </w:p>
    <w:p w:rsidR="00725EE5" w:rsidRPr="002F1623" w:rsidRDefault="00725EE5" w:rsidP="00725EE5">
      <w:pPr>
        <w:pStyle w:val="SingleTxtG"/>
      </w:pPr>
      <w:r>
        <w:t>3.</w:t>
      </w:r>
      <w:r>
        <w:tab/>
      </w:r>
      <w:r w:rsidRPr="002F1623">
        <w:t xml:space="preserve">Germany also proposes to allow placing absorbents in primary receptacles containing liquids, and that </w:t>
      </w:r>
      <w:proofErr w:type="spellStart"/>
      <w:r w:rsidRPr="002F1623">
        <w:t>packagings</w:t>
      </w:r>
      <w:proofErr w:type="spellEnd"/>
      <w:r w:rsidRPr="002F1623">
        <w:t xml:space="preserve"> approved for the transport of solids only, may be used provided the receptacles contain sufficient absorbent materials to absorb the entire contents. Norway supports this proposal. In order to simplify and make P620 (a) (iii) easier to read, the text describing this option has been moved out of (a) (iii) and placed below (b).</w:t>
      </w:r>
    </w:p>
    <w:p w:rsidR="00725EE5" w:rsidRPr="002F1623" w:rsidRDefault="00725EE5" w:rsidP="00725EE5">
      <w:pPr>
        <w:pStyle w:val="SingleTxtG"/>
      </w:pPr>
      <w:r>
        <w:t>4.</w:t>
      </w:r>
      <w:r>
        <w:tab/>
      </w:r>
      <w:r w:rsidRPr="002F1623">
        <w:t xml:space="preserve">Norway sees no reason to remove the existing filling requirement of not less than 98% for the primary receptacles, when </w:t>
      </w:r>
      <w:proofErr w:type="spellStart"/>
      <w:r w:rsidRPr="002F1623">
        <w:t>packagings</w:t>
      </w:r>
      <w:proofErr w:type="spellEnd"/>
      <w:r w:rsidRPr="002F1623">
        <w:t xml:space="preserve"> are tested with water or water/antifreeze. In Norway's view, the "maximum permissible gross mass" for a packaging tested with liquids, but with no maximum mass specified in the UN code, could perhaps be open to interpretation.</w:t>
      </w:r>
    </w:p>
    <w:p w:rsidR="00725EE5" w:rsidRPr="002F1623" w:rsidRDefault="00725EE5" w:rsidP="00725EE5">
      <w:pPr>
        <w:pStyle w:val="SingleTxtG"/>
      </w:pPr>
      <w:r>
        <w:t>5.</w:t>
      </w:r>
      <w:r>
        <w:tab/>
      </w:r>
      <w:r w:rsidRPr="002F1623">
        <w:t>Rather than using the terms "liquid infectious substance", "solid infectious substance" and "articles" (in this case also infected), we propose to use only "liquids" and "solids" in accordance with the definitions in 1.2.1. This way, s</w:t>
      </w:r>
      <w:r w:rsidRPr="002F1623">
        <w:rPr>
          <w:i/>
        </w:rPr>
        <w:t>olids</w:t>
      </w:r>
      <w:r w:rsidRPr="002F1623">
        <w:t xml:space="preserve"> will cover both solid infectious substances and articles in P620 and Chapter 6.3:</w:t>
      </w:r>
    </w:p>
    <w:p w:rsidR="00725EE5" w:rsidRPr="002F1623" w:rsidRDefault="00725EE5" w:rsidP="00725EE5">
      <w:pPr>
        <w:tabs>
          <w:tab w:val="left" w:pos="1276"/>
          <w:tab w:val="left" w:pos="2160"/>
          <w:tab w:val="left" w:pos="2880"/>
          <w:tab w:val="left" w:pos="3600"/>
          <w:tab w:val="left" w:pos="4320"/>
          <w:tab w:val="left" w:pos="5040"/>
          <w:tab w:val="left" w:pos="5760"/>
          <w:tab w:val="left" w:pos="6480"/>
          <w:tab w:val="left" w:pos="7200"/>
          <w:tab w:val="left" w:pos="7256"/>
          <w:tab w:val="left" w:pos="7920"/>
          <w:tab w:val="left" w:pos="8640"/>
          <w:tab w:val="left" w:pos="9360"/>
          <w:tab w:val="left" w:pos="10080"/>
        </w:tabs>
        <w:ind w:left="1701" w:right="1134"/>
      </w:pPr>
      <w:r w:rsidRPr="002F1623">
        <w:rPr>
          <w:i/>
        </w:rPr>
        <w:lastRenderedPageBreak/>
        <w:t>Liquid</w:t>
      </w:r>
      <w:r w:rsidRPr="002F1623">
        <w:t xml:space="preserve"> means </w:t>
      </w:r>
      <w:r w:rsidRPr="002F1623">
        <w:rPr>
          <w:u w:val="single"/>
        </w:rPr>
        <w:t>a dangerous good</w:t>
      </w:r>
      <w:r w:rsidRPr="002F1623">
        <w:t xml:space="preserve"> which at 50 °C have a vapour pressure of not more than 300 </w:t>
      </w:r>
      <w:proofErr w:type="spellStart"/>
      <w:r w:rsidRPr="002F1623">
        <w:t>kPa</w:t>
      </w:r>
      <w:proofErr w:type="spellEnd"/>
      <w:r w:rsidRPr="002F1623">
        <w:t xml:space="preserve"> (3 bar), which is not completely gaseous at 20 °C and at a pressure of 101.3 </w:t>
      </w:r>
      <w:proofErr w:type="spellStart"/>
      <w:r w:rsidRPr="002F1623">
        <w:t>kPa</w:t>
      </w:r>
      <w:proofErr w:type="spellEnd"/>
      <w:r w:rsidRPr="002F1623">
        <w:t>, and which (…);</w:t>
      </w:r>
    </w:p>
    <w:p w:rsidR="00725EE5" w:rsidRPr="002F1623" w:rsidRDefault="00725EE5" w:rsidP="00725EE5">
      <w:pPr>
        <w:tabs>
          <w:tab w:val="left" w:pos="1276"/>
          <w:tab w:val="left" w:pos="2160"/>
          <w:tab w:val="left" w:pos="2880"/>
          <w:tab w:val="left" w:pos="3600"/>
          <w:tab w:val="left" w:pos="4320"/>
          <w:tab w:val="left" w:pos="5040"/>
          <w:tab w:val="left" w:pos="5760"/>
          <w:tab w:val="left" w:pos="6480"/>
          <w:tab w:val="left" w:pos="7200"/>
          <w:tab w:val="left" w:pos="7256"/>
          <w:tab w:val="left" w:pos="7920"/>
          <w:tab w:val="left" w:pos="8640"/>
          <w:tab w:val="left" w:pos="9360"/>
          <w:tab w:val="left" w:pos="10080"/>
        </w:tabs>
        <w:spacing w:before="120" w:after="120"/>
        <w:ind w:left="1701" w:right="992"/>
      </w:pPr>
      <w:r w:rsidRPr="002F1623">
        <w:rPr>
          <w:i/>
        </w:rPr>
        <w:t>Solid</w:t>
      </w:r>
      <w:r w:rsidRPr="002F1623">
        <w:t xml:space="preserve"> means </w:t>
      </w:r>
      <w:r w:rsidRPr="002F1623">
        <w:rPr>
          <w:u w:val="single"/>
        </w:rPr>
        <w:t>a dangerous good</w:t>
      </w:r>
      <w:r w:rsidRPr="002F1623">
        <w:t>, other than a gas, that does not meet the definition of liquid in this section;</w:t>
      </w:r>
    </w:p>
    <w:p w:rsidR="00725EE5" w:rsidRPr="002F1623" w:rsidRDefault="00725EE5" w:rsidP="00725EE5">
      <w:pPr>
        <w:pStyle w:val="SingleTxtG"/>
      </w:pPr>
      <w:r>
        <w:t>6.</w:t>
      </w:r>
      <w:r>
        <w:tab/>
      </w:r>
      <w:r w:rsidRPr="002F1623">
        <w:t>The proposals in document 2016/9 for 6.3.4.2 – 6.3.4.4 are reproduced in this document with some small amendments.</w:t>
      </w:r>
      <w:r w:rsidRPr="002F1623">
        <w:rPr>
          <w:szCs w:val="22"/>
        </w:rPr>
        <w:t xml:space="preserve"> There are n</w:t>
      </w:r>
      <w:r w:rsidRPr="002F1623">
        <w:t xml:space="preserve">o changes to the proposal relating to capability requirements on pressure and temperature in P620. </w:t>
      </w:r>
    </w:p>
    <w:p w:rsidR="00725EE5" w:rsidRPr="002F1623" w:rsidRDefault="00725EE5" w:rsidP="00725EE5">
      <w:pPr>
        <w:pStyle w:val="H1G"/>
      </w:pPr>
      <w:r>
        <w:tab/>
      </w:r>
      <w:r>
        <w:tab/>
        <w:t>Proposal</w:t>
      </w:r>
    </w:p>
    <w:p w:rsidR="00725EE5" w:rsidRPr="002F1623" w:rsidRDefault="00725EE5" w:rsidP="00725EE5">
      <w:pPr>
        <w:pStyle w:val="SingleTxtG"/>
      </w:pPr>
      <w:r w:rsidRPr="002F1623">
        <w:t xml:space="preserve">Amend the text of P620 to read as follows (new text </w:t>
      </w:r>
      <w:r w:rsidRPr="002F1623">
        <w:rPr>
          <w:u w:val="single"/>
        </w:rPr>
        <w:t>underlined</w:t>
      </w:r>
      <w:r w:rsidRPr="002F1623">
        <w:t xml:space="preserve">, old text </w:t>
      </w:r>
      <w:r w:rsidRPr="002F1623">
        <w:rPr>
          <w:strike/>
        </w:rPr>
        <w:t>stricken through</w:t>
      </w:r>
      <w:r w:rsidRPr="002F1623">
        <w:t xml:space="preserve">): </w:t>
      </w:r>
    </w:p>
    <w:p w:rsidR="00725EE5" w:rsidRPr="002F1623" w:rsidRDefault="00725EE5" w:rsidP="00725EE5">
      <w:pPr>
        <w:pStyle w:val="SingleTxtG"/>
        <w:rPr>
          <w:lang w:val="en-US"/>
        </w:rPr>
      </w:pPr>
      <w:r w:rsidRPr="002F1623">
        <w:rPr>
          <w:lang w:val="en-US"/>
        </w:rPr>
        <w:t xml:space="preserve">The following </w:t>
      </w:r>
      <w:proofErr w:type="spellStart"/>
      <w:r w:rsidRPr="002F1623">
        <w:rPr>
          <w:lang w:val="en-US"/>
        </w:rPr>
        <w:t>packagings</w:t>
      </w:r>
      <w:proofErr w:type="spellEnd"/>
      <w:r w:rsidRPr="002F1623">
        <w:rPr>
          <w:lang w:val="en-US"/>
        </w:rPr>
        <w:t xml:space="preserve"> are authorized provided that the special packing provisions of </w:t>
      </w:r>
      <w:r w:rsidRPr="002F1623">
        <w:rPr>
          <w:b/>
          <w:lang w:val="en-US"/>
        </w:rPr>
        <w:t>4.1.8</w:t>
      </w:r>
      <w:r w:rsidRPr="002F1623">
        <w:rPr>
          <w:lang w:val="en-US"/>
        </w:rPr>
        <w:t xml:space="preserve"> are met:</w:t>
      </w:r>
    </w:p>
    <w:p w:rsidR="00725EE5" w:rsidRPr="002F1623" w:rsidRDefault="00725EE5" w:rsidP="00725EE5">
      <w:pPr>
        <w:pStyle w:val="SingleTxtG"/>
        <w:rPr>
          <w:lang w:val="en-US"/>
        </w:rPr>
      </w:pPr>
      <w:proofErr w:type="spellStart"/>
      <w:r w:rsidRPr="002F1623">
        <w:rPr>
          <w:lang w:val="en-US"/>
        </w:rPr>
        <w:t>Packagings</w:t>
      </w:r>
      <w:proofErr w:type="spellEnd"/>
      <w:r w:rsidRPr="002F1623">
        <w:rPr>
          <w:lang w:val="en-US"/>
        </w:rPr>
        <w:t xml:space="preserve"> meeting the requirements of Chapter 6.3 and approved accordingly consisting of:</w:t>
      </w:r>
    </w:p>
    <w:p w:rsidR="00725EE5" w:rsidRPr="002F1623" w:rsidRDefault="00725EE5" w:rsidP="00725EE5">
      <w:pPr>
        <w:pStyle w:val="SingleTxtG"/>
        <w:rPr>
          <w:lang w:val="en-US"/>
        </w:rPr>
      </w:pPr>
      <w:r>
        <w:rPr>
          <w:lang w:val="en-US"/>
        </w:rPr>
        <w:t>(a)</w:t>
      </w:r>
      <w:r>
        <w:rPr>
          <w:lang w:val="en-US"/>
        </w:rPr>
        <w:tab/>
      </w:r>
      <w:r w:rsidRPr="002F1623">
        <w:rPr>
          <w:lang w:val="en-US"/>
        </w:rPr>
        <w:t>Inner packaging comprising:</w:t>
      </w:r>
    </w:p>
    <w:p w:rsidR="00725EE5" w:rsidRPr="00725EE5" w:rsidRDefault="00725EE5" w:rsidP="00725EE5">
      <w:pPr>
        <w:pStyle w:val="SingleTxtG"/>
        <w:ind w:left="1701"/>
      </w:pPr>
      <w:r w:rsidRPr="00725EE5">
        <w:t>(</w:t>
      </w:r>
      <w:proofErr w:type="spellStart"/>
      <w:r w:rsidRPr="00725EE5">
        <w:t>i</w:t>
      </w:r>
      <w:proofErr w:type="spellEnd"/>
      <w:r w:rsidRPr="00725EE5">
        <w:t>)</w:t>
      </w:r>
      <w:r w:rsidRPr="00725EE5">
        <w:tab/>
      </w:r>
      <w:proofErr w:type="spellStart"/>
      <w:proofErr w:type="gramStart"/>
      <w:r w:rsidRPr="00725EE5">
        <w:t>leakproof</w:t>
      </w:r>
      <w:proofErr w:type="spellEnd"/>
      <w:proofErr w:type="gramEnd"/>
      <w:r w:rsidRPr="00725EE5">
        <w:t xml:space="preserve"> primary receptacle(s);</w:t>
      </w:r>
    </w:p>
    <w:p w:rsidR="00725EE5" w:rsidRPr="00725EE5" w:rsidRDefault="00725EE5" w:rsidP="00725EE5">
      <w:pPr>
        <w:pStyle w:val="SingleTxtG"/>
        <w:ind w:left="1701"/>
      </w:pPr>
      <w:r w:rsidRPr="00725EE5">
        <w:t>(ii)</w:t>
      </w:r>
      <w:r w:rsidRPr="00725EE5">
        <w:tab/>
      </w:r>
      <w:proofErr w:type="gramStart"/>
      <w:r w:rsidRPr="00725EE5">
        <w:t>a</w:t>
      </w:r>
      <w:proofErr w:type="gramEnd"/>
      <w:r w:rsidRPr="00725EE5">
        <w:t xml:space="preserve"> </w:t>
      </w:r>
      <w:proofErr w:type="spellStart"/>
      <w:r w:rsidRPr="00725EE5">
        <w:t>leakproof</w:t>
      </w:r>
      <w:proofErr w:type="spellEnd"/>
      <w:r w:rsidRPr="00725EE5">
        <w:t xml:space="preserve"> secondary packaging;</w:t>
      </w:r>
    </w:p>
    <w:p w:rsidR="00725EE5" w:rsidRPr="002F1623" w:rsidRDefault="00725EE5" w:rsidP="00725EE5">
      <w:pPr>
        <w:pStyle w:val="SingleTxtG"/>
        <w:ind w:left="1701"/>
        <w:rPr>
          <w:lang w:val="en-US"/>
        </w:rPr>
      </w:pPr>
      <w:r w:rsidRPr="002F1623">
        <w:rPr>
          <w:lang w:val="en-US"/>
        </w:rPr>
        <w:t xml:space="preserve">(iii) </w:t>
      </w:r>
      <w:r w:rsidRPr="002F1623">
        <w:rPr>
          <w:lang w:val="en-US"/>
        </w:rPr>
        <w:tab/>
        <w:t>other than for solid</w:t>
      </w:r>
      <w:r w:rsidRPr="002F1623">
        <w:rPr>
          <w:u w:val="single"/>
          <w:lang w:val="en-US"/>
        </w:rPr>
        <w:t>s,</w:t>
      </w:r>
      <w:r w:rsidRPr="002F1623">
        <w:rPr>
          <w:lang w:val="en-US"/>
        </w:rPr>
        <w:t xml:space="preserve"> </w:t>
      </w:r>
      <w:r w:rsidRPr="00725EE5">
        <w:rPr>
          <w:strike/>
          <w:lang w:val="en-US"/>
        </w:rPr>
        <w:t>infectious substances, an absorbent material in sufficient quantity to absorb the entire contents placed between the primary receptacle(s) and the secondary packaging</w:t>
      </w:r>
      <w:r w:rsidRPr="002F1623">
        <w:rPr>
          <w:lang w:val="en-US"/>
        </w:rPr>
        <w:t xml:space="preserve"> </w:t>
      </w:r>
      <w:r w:rsidRPr="002F1623">
        <w:rPr>
          <w:u w:val="single"/>
          <w:lang w:val="en-US"/>
        </w:rPr>
        <w:t>sufficient absorbent material to absorb the entire contents</w:t>
      </w:r>
      <w:r w:rsidRPr="002F1623">
        <w:rPr>
          <w:lang w:val="en-US"/>
        </w:rPr>
        <w:t>; if multiple primary receptacles are placed in a single secondary packaging, they shall be either individually wrapped or separated so as to prevent contact between them;</w:t>
      </w:r>
    </w:p>
    <w:p w:rsidR="00725EE5" w:rsidRPr="002F1623" w:rsidRDefault="00725EE5" w:rsidP="00725EE5">
      <w:pPr>
        <w:pStyle w:val="SingleTxtG"/>
        <w:rPr>
          <w:lang w:val="en-US"/>
        </w:rPr>
      </w:pPr>
      <w:r>
        <w:rPr>
          <w:lang w:val="en-US"/>
        </w:rPr>
        <w:t>(b)</w:t>
      </w:r>
      <w:r>
        <w:rPr>
          <w:lang w:val="en-US"/>
        </w:rPr>
        <w:tab/>
      </w:r>
      <w:r w:rsidRPr="002F1623">
        <w:rPr>
          <w:lang w:val="en-US"/>
        </w:rPr>
        <w:t>A rigid outer packaging:</w:t>
      </w:r>
    </w:p>
    <w:p w:rsidR="00725EE5" w:rsidRPr="002F1623" w:rsidRDefault="00725EE5" w:rsidP="00725EE5">
      <w:pPr>
        <w:pStyle w:val="SingleTxtG"/>
      </w:pPr>
      <w:r>
        <w:tab/>
      </w:r>
      <w:r w:rsidRPr="002F1623">
        <w:t xml:space="preserve">Drums (1A1, </w:t>
      </w:r>
      <w:r w:rsidRPr="002F1623">
        <w:rPr>
          <w:lang w:val="en-US"/>
        </w:rPr>
        <w:t>1A2, 1B1, 1B2, 1N1, 1N2, 1H1, 1H2</w:t>
      </w:r>
      <w:r w:rsidRPr="002F1623">
        <w:t>, 1D, 1G);</w:t>
      </w:r>
    </w:p>
    <w:p w:rsidR="00725EE5" w:rsidRPr="002F1623" w:rsidRDefault="00725EE5" w:rsidP="00725EE5">
      <w:pPr>
        <w:pStyle w:val="SingleTxtG"/>
      </w:pPr>
      <w:r>
        <w:tab/>
      </w:r>
      <w:r w:rsidRPr="002F1623">
        <w:t>Boxes (4A, 4B, 4N, 4C1, 4C2, 4D, 4F, 4G, 4H1, 4H2);</w:t>
      </w:r>
    </w:p>
    <w:p w:rsidR="00725EE5" w:rsidRPr="002F1623" w:rsidRDefault="00725EE5" w:rsidP="00725EE5">
      <w:pPr>
        <w:pStyle w:val="SingleTxtG"/>
      </w:pPr>
      <w:r>
        <w:tab/>
      </w:r>
      <w:proofErr w:type="spellStart"/>
      <w:proofErr w:type="gramStart"/>
      <w:r w:rsidRPr="002F1623">
        <w:t>Jerricans</w:t>
      </w:r>
      <w:proofErr w:type="spellEnd"/>
      <w:r w:rsidRPr="002F1623">
        <w:t xml:space="preserve"> (3A1, </w:t>
      </w:r>
      <w:r w:rsidRPr="002F1623">
        <w:rPr>
          <w:lang w:val="en-US"/>
        </w:rPr>
        <w:t>3A2, 3B1, 3B2, 3H1, 3H2</w:t>
      </w:r>
      <w:r w:rsidRPr="002F1623">
        <w:t>).</w:t>
      </w:r>
      <w:proofErr w:type="gramEnd"/>
    </w:p>
    <w:p w:rsidR="00725EE5" w:rsidRPr="00725EE5" w:rsidRDefault="00725EE5" w:rsidP="00725EE5">
      <w:pPr>
        <w:pStyle w:val="SingleTxtG"/>
      </w:pPr>
      <w:r w:rsidRPr="00725EE5">
        <w:tab/>
        <w:t>The smallest external dimension shall be not less than 100 mm.</w:t>
      </w:r>
    </w:p>
    <w:p w:rsidR="00725EE5" w:rsidRPr="00725EE5" w:rsidRDefault="00725EE5" w:rsidP="00725EE5">
      <w:pPr>
        <w:pStyle w:val="SingleTxtG"/>
        <w:rPr>
          <w:u w:val="single"/>
          <w:lang w:val="en-US"/>
        </w:rPr>
      </w:pPr>
      <w:r w:rsidRPr="00725EE5">
        <w:rPr>
          <w:u w:val="single"/>
          <w:lang w:val="en-US"/>
        </w:rPr>
        <w:t>Provided sufficient absorbent material is placed in the primary receptacle(s) to absorb the entire amount of liquids present, a packaging approved for solids only according to 6.3.5.2.1 (b) (ii) may be used.</w:t>
      </w:r>
    </w:p>
    <w:p w:rsidR="00725EE5" w:rsidRPr="002F1623" w:rsidRDefault="00725EE5" w:rsidP="00725EE5">
      <w:pPr>
        <w:pStyle w:val="SingleTxtG"/>
        <w:rPr>
          <w:lang w:val="en-US"/>
        </w:rPr>
      </w:pPr>
      <w:r w:rsidRPr="002F1623">
        <w:rPr>
          <w:lang w:val="en-US"/>
        </w:rPr>
        <w:t>Substitute sub-section 6.3.5.2.1 with the following text:</w:t>
      </w:r>
    </w:p>
    <w:p w:rsidR="00725EE5" w:rsidRPr="002F1623" w:rsidRDefault="00725EE5" w:rsidP="00725EE5">
      <w:pPr>
        <w:pStyle w:val="SingleTxtG"/>
      </w:pPr>
      <w:r w:rsidRPr="002F1623">
        <w:rPr>
          <w:lang w:val="en-US"/>
        </w:rPr>
        <w:t xml:space="preserve">6.3.5.2.1 </w:t>
      </w:r>
      <w:r w:rsidRPr="002F1623">
        <w:rPr>
          <w:lang w:val="en-US"/>
        </w:rPr>
        <w:tab/>
      </w:r>
      <w:r w:rsidRPr="002F1623">
        <w:t xml:space="preserve">Samples of each packaging shall be prepared as for transport, except that </w:t>
      </w:r>
      <w:r>
        <w:t>i</w:t>
      </w:r>
      <w:r w:rsidRPr="002F1623">
        <w:t>nfectious substances shall be replaced by the following:</w:t>
      </w:r>
    </w:p>
    <w:p w:rsidR="00725EE5" w:rsidRPr="002F1623" w:rsidRDefault="00725EE5" w:rsidP="00725EE5">
      <w:pPr>
        <w:pStyle w:val="SingleTxtG"/>
      </w:pPr>
      <w:r>
        <w:t>(a)</w:t>
      </w:r>
      <w:r>
        <w:tab/>
      </w:r>
      <w:r w:rsidRPr="002F1623">
        <w:t>Liquids shall be replaced by water or, where conditioning at -18 °C is specified, by water/antifreeze</w:t>
      </w:r>
      <w:r w:rsidRPr="002F1623">
        <w:rPr>
          <w:szCs w:val="22"/>
        </w:rPr>
        <w:t xml:space="preserve"> and each primary receptacle shall be filled to not less than 98 % of its capacity.</w:t>
      </w:r>
    </w:p>
    <w:p w:rsidR="00725EE5" w:rsidRPr="002F1623" w:rsidRDefault="00725EE5" w:rsidP="00725EE5">
      <w:pPr>
        <w:pStyle w:val="SingleTxtG"/>
      </w:pPr>
      <w:r>
        <w:t>(b)</w:t>
      </w:r>
      <w:r>
        <w:tab/>
      </w:r>
      <w:r w:rsidRPr="002F1623">
        <w:t xml:space="preserve">Solids shall be replaced by: </w:t>
      </w:r>
    </w:p>
    <w:p w:rsidR="00725EE5" w:rsidRPr="002F1623" w:rsidRDefault="00725EE5" w:rsidP="00725EE5">
      <w:pPr>
        <w:pStyle w:val="SingleTxtG"/>
        <w:ind w:left="1701"/>
        <w:rPr>
          <w:szCs w:val="22"/>
        </w:rPr>
      </w:pPr>
      <w:r>
        <w:rPr>
          <w:szCs w:val="22"/>
        </w:rPr>
        <w:t>(</w:t>
      </w:r>
      <w:proofErr w:type="spellStart"/>
      <w:r>
        <w:rPr>
          <w:szCs w:val="22"/>
        </w:rPr>
        <w:t>i</w:t>
      </w:r>
      <w:proofErr w:type="spellEnd"/>
      <w:r>
        <w:rPr>
          <w:szCs w:val="22"/>
        </w:rPr>
        <w:t>)</w:t>
      </w:r>
      <w:r>
        <w:rPr>
          <w:szCs w:val="22"/>
        </w:rPr>
        <w:tab/>
        <w:t>W</w:t>
      </w:r>
      <w:r w:rsidRPr="002F1623">
        <w:rPr>
          <w:szCs w:val="22"/>
        </w:rPr>
        <w:t>ater or, where conditioning at -18 °C is specified, by water/antifreeze and each primary receptacle shall be filled to not less than 98 % of its capacity; or</w:t>
      </w:r>
    </w:p>
    <w:p w:rsidR="00725EE5" w:rsidRPr="00725EE5" w:rsidRDefault="00725EE5" w:rsidP="00725EE5">
      <w:pPr>
        <w:pStyle w:val="SingleTxtG"/>
        <w:ind w:left="1701"/>
      </w:pPr>
      <w:r>
        <w:t>(ii)</w:t>
      </w:r>
      <w:r>
        <w:tab/>
        <w:t>S</w:t>
      </w:r>
      <w:r w:rsidRPr="00725EE5">
        <w:t xml:space="preserve">ubstances or articles which have the same physical characteristics (mass, particle size, mass density, etc.) as the solids to be carried, and which do not falsify </w:t>
      </w:r>
      <w:r w:rsidRPr="00725EE5">
        <w:lastRenderedPageBreak/>
        <w:t>the test results. Each primary receptacle shall be filled to its maximum permissible gross mass.</w:t>
      </w:r>
    </w:p>
    <w:p w:rsidR="00725EE5" w:rsidRPr="002F1623" w:rsidRDefault="00725EE5" w:rsidP="00E67FEC">
      <w:pPr>
        <w:pStyle w:val="SingleTxtG"/>
      </w:pPr>
      <w:r w:rsidRPr="002F1623">
        <w:t xml:space="preserve">For </w:t>
      </w:r>
      <w:proofErr w:type="spellStart"/>
      <w:r w:rsidRPr="002F1623">
        <w:t>packagings</w:t>
      </w:r>
      <w:proofErr w:type="spellEnd"/>
      <w:r w:rsidRPr="002F1623">
        <w:t xml:space="preserve"> designed for the transport of solids only, performing the test in (b) (ii) is sufficient.</w:t>
      </w:r>
    </w:p>
    <w:p w:rsidR="00725EE5" w:rsidRPr="002F1623" w:rsidRDefault="00725EE5" w:rsidP="00E67FEC">
      <w:pPr>
        <w:pStyle w:val="SingleTxtG"/>
      </w:pPr>
      <w:r w:rsidRPr="002F1623">
        <w:t xml:space="preserve">Amend the proposals in 2016/9 for 6.3.4.2 - 6.3.4.4 as follows (new text </w:t>
      </w:r>
      <w:r w:rsidRPr="002F1623">
        <w:rPr>
          <w:u w:val="single"/>
        </w:rPr>
        <w:t>underlined</w:t>
      </w:r>
      <w:r w:rsidRPr="002F1623">
        <w:t xml:space="preserve">, old text </w:t>
      </w:r>
      <w:r w:rsidRPr="002F1623">
        <w:rPr>
          <w:strike/>
        </w:rPr>
        <w:t>stricken through</w:t>
      </w:r>
      <w:r w:rsidRPr="002F1623">
        <w:t>):</w:t>
      </w:r>
    </w:p>
    <w:p w:rsidR="00725EE5" w:rsidRPr="002F1623" w:rsidRDefault="00725EE5" w:rsidP="004F6676">
      <w:pPr>
        <w:pStyle w:val="SingleTxtG"/>
        <w:rPr>
          <w:lang w:val="en-US"/>
        </w:rPr>
      </w:pPr>
      <w:r w:rsidRPr="002F1623">
        <w:rPr>
          <w:lang w:val="en-US"/>
        </w:rPr>
        <w:t>Insert two new paragraphs 6.3.4.2 (d) and (e):</w:t>
      </w:r>
    </w:p>
    <w:p w:rsidR="00725EE5" w:rsidRPr="002F1623" w:rsidRDefault="00725EE5" w:rsidP="004F6676">
      <w:pPr>
        <w:pStyle w:val="SingleTxtG"/>
        <w:ind w:left="1701"/>
        <w:rPr>
          <w:lang w:val="en-US"/>
        </w:rPr>
      </w:pPr>
      <w:r w:rsidRPr="002F1623">
        <w:rPr>
          <w:lang w:val="en-US"/>
        </w:rPr>
        <w:t xml:space="preserve">“(d) </w:t>
      </w:r>
      <w:r w:rsidRPr="002F1623">
        <w:rPr>
          <w:lang w:val="en-US"/>
        </w:rPr>
        <w:tab/>
        <w:t xml:space="preserve">For </w:t>
      </w:r>
      <w:proofErr w:type="spellStart"/>
      <w:r w:rsidRPr="002F1623">
        <w:rPr>
          <w:lang w:val="en-US"/>
        </w:rPr>
        <w:t>packagings</w:t>
      </w:r>
      <w:proofErr w:type="spellEnd"/>
      <w:r w:rsidRPr="002F1623">
        <w:rPr>
          <w:lang w:val="en-US"/>
        </w:rPr>
        <w:t xml:space="preserve"> tested for solid</w:t>
      </w:r>
      <w:r w:rsidRPr="002F1623">
        <w:rPr>
          <w:u w:val="single"/>
          <w:lang w:val="en-US"/>
        </w:rPr>
        <w:t>s</w:t>
      </w:r>
      <w:r w:rsidRPr="002F1623">
        <w:rPr>
          <w:lang w:val="en-US"/>
        </w:rPr>
        <w:t xml:space="preserve"> </w:t>
      </w:r>
      <w:r w:rsidRPr="002F1623">
        <w:rPr>
          <w:strike/>
          <w:lang w:val="en-US"/>
        </w:rPr>
        <w:t>infectious substances</w:t>
      </w:r>
      <w:r w:rsidRPr="002F1623">
        <w:rPr>
          <w:lang w:val="en-US"/>
        </w:rPr>
        <w:t xml:space="preserve"> only </w:t>
      </w:r>
      <w:r w:rsidRPr="002F1623">
        <w:rPr>
          <w:u w:val="single"/>
          <w:lang w:val="en-US"/>
        </w:rPr>
        <w:t>according to 6.3.5.2.1 (b) (ii)</w:t>
      </w:r>
      <w:r w:rsidRPr="002F1623">
        <w:rPr>
          <w:lang w:val="en-US"/>
        </w:rPr>
        <w:t xml:space="preserve">, the maximum gross mass in kilograms; </w:t>
      </w:r>
    </w:p>
    <w:p w:rsidR="00725EE5" w:rsidRPr="002F1623" w:rsidRDefault="00725EE5" w:rsidP="004F6676">
      <w:pPr>
        <w:pStyle w:val="SingleTxtG"/>
        <w:ind w:left="1701"/>
        <w:rPr>
          <w:lang w:val="en-US"/>
        </w:rPr>
      </w:pPr>
      <w:r w:rsidRPr="002F1623">
        <w:rPr>
          <w:lang w:val="en-US"/>
        </w:rPr>
        <w:t xml:space="preserve">(e) </w:t>
      </w:r>
      <w:r w:rsidRPr="002F1623">
        <w:rPr>
          <w:lang w:val="en-US"/>
        </w:rPr>
        <w:tab/>
        <w:t xml:space="preserve">For </w:t>
      </w:r>
      <w:proofErr w:type="spellStart"/>
      <w:r w:rsidRPr="002F1623">
        <w:rPr>
          <w:lang w:val="en-US"/>
        </w:rPr>
        <w:t>packagings</w:t>
      </w:r>
      <w:proofErr w:type="spellEnd"/>
      <w:r w:rsidRPr="002F1623">
        <w:rPr>
          <w:lang w:val="en-US"/>
        </w:rPr>
        <w:t xml:space="preserve"> tested for solid</w:t>
      </w:r>
      <w:r w:rsidRPr="002F1623">
        <w:rPr>
          <w:u w:val="single"/>
          <w:lang w:val="en-US"/>
        </w:rPr>
        <w:t>s</w:t>
      </w:r>
      <w:r w:rsidRPr="002F1623">
        <w:rPr>
          <w:lang w:val="en-US"/>
        </w:rPr>
        <w:t xml:space="preserve"> </w:t>
      </w:r>
      <w:r w:rsidRPr="002F1623">
        <w:rPr>
          <w:strike/>
          <w:lang w:val="en-US"/>
        </w:rPr>
        <w:t>infectious substances</w:t>
      </w:r>
      <w:r w:rsidRPr="002F1623">
        <w:rPr>
          <w:lang w:val="en-US"/>
        </w:rPr>
        <w:t xml:space="preserve"> only </w:t>
      </w:r>
      <w:r w:rsidRPr="002F1623">
        <w:rPr>
          <w:u w:val="single"/>
          <w:lang w:val="en-US"/>
        </w:rPr>
        <w:t>according to 6.3.5.2.1 (b) (ii)</w:t>
      </w:r>
      <w:r w:rsidRPr="002F1623">
        <w:rPr>
          <w:lang w:val="en-US"/>
        </w:rPr>
        <w:t>, the letter "S";”</w:t>
      </w:r>
    </w:p>
    <w:p w:rsidR="00725EE5" w:rsidRPr="002F1623" w:rsidRDefault="00725EE5" w:rsidP="004F6676">
      <w:pPr>
        <w:pStyle w:val="SingleTxtG"/>
        <w:rPr>
          <w:lang w:val="en-US"/>
        </w:rPr>
      </w:pPr>
      <w:r w:rsidRPr="002F1623">
        <w:rPr>
          <w:lang w:val="en-US"/>
        </w:rPr>
        <w:t xml:space="preserve">The </w:t>
      </w:r>
      <w:r w:rsidRPr="004F6676">
        <w:t>remaining</w:t>
      </w:r>
      <w:r w:rsidRPr="002F1623">
        <w:rPr>
          <w:lang w:val="en-US"/>
        </w:rPr>
        <w:t xml:space="preserve"> entries of the list in 6.3.4.2 change from (d) – (g) to (f) – (</w:t>
      </w:r>
      <w:proofErr w:type="spellStart"/>
      <w:r w:rsidRPr="002F1623">
        <w:rPr>
          <w:lang w:val="en-US"/>
        </w:rPr>
        <w:t>i</w:t>
      </w:r>
      <w:proofErr w:type="spellEnd"/>
      <w:r w:rsidRPr="002F1623">
        <w:rPr>
          <w:lang w:val="en-US"/>
        </w:rPr>
        <w:t>) respectively.</w:t>
      </w:r>
    </w:p>
    <w:p w:rsidR="00725EE5" w:rsidRPr="002F1623" w:rsidRDefault="00725EE5" w:rsidP="004F6676">
      <w:pPr>
        <w:pStyle w:val="SingleTxtG"/>
        <w:rPr>
          <w:lang w:val="en-US"/>
        </w:rPr>
      </w:pPr>
      <w:r w:rsidRPr="002F1623">
        <w:rPr>
          <w:lang w:val="en-US"/>
        </w:rPr>
        <w:t>In 6.3.4.3, replace “6.3.4.2 (a) to (g)” with “6.3.4.2 (a) to (</w:t>
      </w:r>
      <w:proofErr w:type="spellStart"/>
      <w:r w:rsidRPr="002F1623">
        <w:rPr>
          <w:lang w:val="en-US"/>
        </w:rPr>
        <w:t>i</w:t>
      </w:r>
      <w:proofErr w:type="spellEnd"/>
      <w:r w:rsidRPr="002F1623">
        <w:rPr>
          <w:lang w:val="en-US"/>
        </w:rPr>
        <w:t>)”.</w:t>
      </w:r>
    </w:p>
    <w:p w:rsidR="00725EE5" w:rsidRPr="002F1623" w:rsidRDefault="004F6676" w:rsidP="004F6676">
      <w:pPr>
        <w:pStyle w:val="SingleTxtG"/>
        <w:rPr>
          <w:lang w:val="en-US"/>
        </w:rPr>
      </w:pPr>
      <w:r>
        <w:t>A</w:t>
      </w:r>
      <w:r w:rsidR="00725EE5" w:rsidRPr="004F6676">
        <w:t>mend</w:t>
      </w:r>
      <w:r w:rsidR="00725EE5" w:rsidRPr="002F1623">
        <w:rPr>
          <w:lang w:val="en-US"/>
        </w:rPr>
        <w:t xml:space="preserve"> 6.3.4.4 as follows:</w:t>
      </w:r>
    </w:p>
    <w:p w:rsidR="00725EE5" w:rsidRPr="002F1623" w:rsidRDefault="00725EE5" w:rsidP="004F6676">
      <w:pPr>
        <w:pStyle w:val="SingleTxtG"/>
        <w:rPr>
          <w:lang w:val="en-US"/>
        </w:rPr>
      </w:pPr>
      <w:r w:rsidRPr="002F1623">
        <w:rPr>
          <w:lang w:val="en-US"/>
        </w:rPr>
        <w:t>6.3.4.4 Examples of marking</w:t>
      </w:r>
    </w:p>
    <w:p w:rsidR="00725EE5" w:rsidRPr="004F6676" w:rsidRDefault="00725EE5" w:rsidP="004F6676">
      <w:pPr>
        <w:pStyle w:val="SingleTxtG"/>
        <w:ind w:left="1701"/>
      </w:pPr>
      <w:r w:rsidRPr="004F6676">
        <w:t>4G/CLASS 6.2/06</w:t>
      </w:r>
      <w:r w:rsidRPr="004F6676">
        <w:tab/>
      </w:r>
      <w:r w:rsidRPr="004F6676">
        <w:tab/>
      </w:r>
      <w:r w:rsidRPr="004F6676">
        <w:tab/>
        <w:t>as in 6.3.4.2 (a), (b), (c) and (f)</w:t>
      </w:r>
    </w:p>
    <w:p w:rsidR="00725EE5" w:rsidRPr="004F6676" w:rsidRDefault="00725EE5" w:rsidP="004F6676">
      <w:pPr>
        <w:pStyle w:val="SingleTxtG"/>
        <w:ind w:left="1701"/>
      </w:pPr>
      <w:r w:rsidRPr="004F6676">
        <w:t>S/SP-9989-ERIKSSON</w:t>
      </w:r>
      <w:r w:rsidRPr="004F6676">
        <w:tab/>
      </w:r>
      <w:r w:rsidRPr="004F6676">
        <w:tab/>
      </w:r>
      <w:r w:rsidRPr="004F6676">
        <w:tab/>
        <w:t>as in 6.3.4.2 (g) and (h)</w:t>
      </w:r>
    </w:p>
    <w:p w:rsidR="00725EE5" w:rsidRPr="004F6676" w:rsidRDefault="00725EE5" w:rsidP="004F6676">
      <w:pPr>
        <w:pStyle w:val="SingleTxtG"/>
        <w:ind w:left="1701"/>
      </w:pPr>
      <w:r w:rsidRPr="004F6676">
        <w:t>4G/CLASS 6.2/15/S/06</w:t>
      </w:r>
      <w:r w:rsidRPr="004F6676">
        <w:tab/>
      </w:r>
      <w:r w:rsidRPr="004F6676">
        <w:tab/>
      </w:r>
      <w:r w:rsidRPr="004F6676">
        <w:tab/>
        <w:t>as in 6.3.4.2 (a), (b), (c), (d), (e) and (e)(f)</w:t>
      </w:r>
    </w:p>
    <w:p w:rsidR="00725EE5" w:rsidRPr="004F6676" w:rsidRDefault="00725EE5" w:rsidP="004F6676">
      <w:pPr>
        <w:pStyle w:val="SingleTxtG"/>
        <w:ind w:left="1701"/>
      </w:pPr>
      <w:r w:rsidRPr="004F6676">
        <w:t>S/SP-9989-ERIKSSON</w:t>
      </w:r>
      <w:r w:rsidRPr="004F6676">
        <w:tab/>
      </w:r>
      <w:r w:rsidRPr="004F6676">
        <w:tab/>
      </w:r>
      <w:r w:rsidRPr="004F6676">
        <w:tab/>
        <w:t>as in 6.3.4.2 (g) and (h)</w:t>
      </w:r>
    </w:p>
    <w:p w:rsidR="00725EE5" w:rsidRPr="002F1623" w:rsidRDefault="00725EE5" w:rsidP="004F6676">
      <w:pPr>
        <w:pStyle w:val="SingleTxtG"/>
      </w:pPr>
      <w:r w:rsidRPr="002F1623">
        <w:t xml:space="preserve">In 6.3.5.1.6 (g) replace "6.3.4.2 (a) to (f)" with "6.3.4.2 (a) to (h)" and "6.3.4.2 (g)" with "6.3.4.2 </w:t>
      </w:r>
      <w:r w:rsidRPr="002F1623">
        <w:rPr>
          <w:strike/>
        </w:rPr>
        <w:t>(h</w:t>
      </w:r>
      <w:proofErr w:type="gramStart"/>
      <w:r w:rsidRPr="002F1623">
        <w:rPr>
          <w:strike/>
        </w:rPr>
        <w:t>)</w:t>
      </w:r>
      <w:r w:rsidRPr="002F1623">
        <w:rPr>
          <w:u w:val="single"/>
        </w:rPr>
        <w:t>(</w:t>
      </w:r>
      <w:proofErr w:type="spellStart"/>
      <w:proofErr w:type="gramEnd"/>
      <w:r w:rsidRPr="002F1623">
        <w:rPr>
          <w:u w:val="single"/>
        </w:rPr>
        <w:t>i</w:t>
      </w:r>
      <w:proofErr w:type="spellEnd"/>
      <w:r w:rsidRPr="002F1623">
        <w:rPr>
          <w:u w:val="single"/>
        </w:rPr>
        <w:t>)</w:t>
      </w:r>
      <w:r w:rsidRPr="002F1623">
        <w:t>"</w:t>
      </w:r>
    </w:p>
    <w:p w:rsidR="00725EE5" w:rsidRPr="004F6676" w:rsidRDefault="004F6676" w:rsidP="004F6676">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725EE5" w:rsidRDefault="00725EE5" w:rsidP="00725EE5">
      <w:pPr>
        <w:pStyle w:val="SingleTxtG"/>
        <w:rPr>
          <w:lang w:val="en-US"/>
        </w:rPr>
      </w:pPr>
    </w:p>
    <w:p w:rsidR="00725EE5" w:rsidRDefault="00725EE5" w:rsidP="00725EE5">
      <w:pPr>
        <w:pStyle w:val="SingleTxtG"/>
        <w:rPr>
          <w:lang w:val="en-US"/>
        </w:rPr>
      </w:pPr>
    </w:p>
    <w:p w:rsidR="00725EE5" w:rsidRPr="00725EE5" w:rsidRDefault="00725EE5" w:rsidP="00725EE5">
      <w:pPr>
        <w:pStyle w:val="SingleTxtG"/>
        <w:rPr>
          <w:lang w:val="en-US"/>
        </w:rPr>
      </w:pPr>
      <w:bookmarkStart w:id="0" w:name="_GoBack"/>
      <w:bookmarkEnd w:id="0"/>
    </w:p>
    <w:sectPr w:rsidR="00725EE5" w:rsidRPr="00725EE5"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17" w:rsidRDefault="00C51517"/>
  </w:endnote>
  <w:endnote w:type="continuationSeparator" w:id="0">
    <w:p w:rsidR="00C51517" w:rsidRDefault="00C51517"/>
  </w:endnote>
  <w:endnote w:type="continuationNotice" w:id="1">
    <w:p w:rsidR="00C51517" w:rsidRDefault="00C51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796B95" w:rsidRDefault="000E2C6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3C47A5">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05570C" w:rsidRDefault="000E2C6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3C47A5">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17" w:rsidRPr="000B175B" w:rsidRDefault="00C51517" w:rsidP="000B175B">
      <w:pPr>
        <w:tabs>
          <w:tab w:val="right" w:pos="2155"/>
        </w:tabs>
        <w:spacing w:after="80"/>
        <w:ind w:left="680"/>
        <w:rPr>
          <w:u w:val="single"/>
        </w:rPr>
      </w:pPr>
      <w:r>
        <w:rPr>
          <w:u w:val="single"/>
        </w:rPr>
        <w:tab/>
      </w:r>
    </w:p>
  </w:footnote>
  <w:footnote w:type="continuationSeparator" w:id="0">
    <w:p w:rsidR="00C51517" w:rsidRPr="00FC68B7" w:rsidRDefault="00C51517" w:rsidP="00FC68B7">
      <w:pPr>
        <w:tabs>
          <w:tab w:val="left" w:pos="2155"/>
        </w:tabs>
        <w:spacing w:after="80"/>
        <w:ind w:left="680"/>
        <w:rPr>
          <w:u w:val="single"/>
        </w:rPr>
      </w:pPr>
      <w:r>
        <w:rPr>
          <w:u w:val="single"/>
        </w:rPr>
        <w:tab/>
      </w:r>
    </w:p>
  </w:footnote>
  <w:footnote w:type="continuationNotice" w:id="1">
    <w:p w:rsidR="00C51517" w:rsidRDefault="00C515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F54DDA" w:rsidRDefault="000E2C66" w:rsidP="00F54DDA">
    <w:pPr>
      <w:pStyle w:val="Header"/>
    </w:pPr>
    <w:r w:rsidRPr="00F54DDA">
      <w:rPr>
        <w:noProof/>
      </w:rPr>
      <w:t>UN/SCETDG/4</w:t>
    </w:r>
    <w:r w:rsidR="00725EE5">
      <w:rPr>
        <w:noProof/>
      </w:rPr>
      <w:t>9/INF.51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66" w:rsidRPr="0005570C" w:rsidRDefault="000E2C66" w:rsidP="0005570C">
    <w:pPr>
      <w:pStyle w:val="Header"/>
      <w:jc w:val="right"/>
    </w:pPr>
    <w:r w:rsidRPr="00F54DDA">
      <w:t>UN/SCETDG/4</w:t>
    </w:r>
    <w:r w:rsidR="004F6676">
      <w:t>9/INF.51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DDE"/>
    <w:rsid w:val="00004B0B"/>
    <w:rsid w:val="00006600"/>
    <w:rsid w:val="000105B7"/>
    <w:rsid w:val="00010DB3"/>
    <w:rsid w:val="00015A1E"/>
    <w:rsid w:val="00016B1F"/>
    <w:rsid w:val="00017BA6"/>
    <w:rsid w:val="0002650A"/>
    <w:rsid w:val="00027F2A"/>
    <w:rsid w:val="0003260B"/>
    <w:rsid w:val="000405CD"/>
    <w:rsid w:val="00044167"/>
    <w:rsid w:val="000458D9"/>
    <w:rsid w:val="0005011F"/>
    <w:rsid w:val="00050F6B"/>
    <w:rsid w:val="0005111B"/>
    <w:rsid w:val="0005570C"/>
    <w:rsid w:val="000637F6"/>
    <w:rsid w:val="00064F24"/>
    <w:rsid w:val="00067C1A"/>
    <w:rsid w:val="000719CE"/>
    <w:rsid w:val="00071BC5"/>
    <w:rsid w:val="000726F2"/>
    <w:rsid w:val="00072C8C"/>
    <w:rsid w:val="000732CC"/>
    <w:rsid w:val="00073E97"/>
    <w:rsid w:val="00075FC1"/>
    <w:rsid w:val="0007718E"/>
    <w:rsid w:val="000814A8"/>
    <w:rsid w:val="000856F2"/>
    <w:rsid w:val="00085EF6"/>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1E69"/>
    <w:rsid w:val="000D29F2"/>
    <w:rsid w:val="000D43C8"/>
    <w:rsid w:val="000E0415"/>
    <w:rsid w:val="000E27B4"/>
    <w:rsid w:val="000E2C66"/>
    <w:rsid w:val="000E572A"/>
    <w:rsid w:val="000F0909"/>
    <w:rsid w:val="000F143A"/>
    <w:rsid w:val="000F1D1F"/>
    <w:rsid w:val="000F5FF7"/>
    <w:rsid w:val="000F6429"/>
    <w:rsid w:val="00101C9D"/>
    <w:rsid w:val="00103C0E"/>
    <w:rsid w:val="00114E72"/>
    <w:rsid w:val="00117787"/>
    <w:rsid w:val="00120F5D"/>
    <w:rsid w:val="00125758"/>
    <w:rsid w:val="00125775"/>
    <w:rsid w:val="001266BA"/>
    <w:rsid w:val="00131D42"/>
    <w:rsid w:val="0014496C"/>
    <w:rsid w:val="00144FC4"/>
    <w:rsid w:val="0015653A"/>
    <w:rsid w:val="00157BBD"/>
    <w:rsid w:val="0016063F"/>
    <w:rsid w:val="00160BC1"/>
    <w:rsid w:val="001633FB"/>
    <w:rsid w:val="00166B07"/>
    <w:rsid w:val="00177434"/>
    <w:rsid w:val="00187869"/>
    <w:rsid w:val="00190361"/>
    <w:rsid w:val="0019061B"/>
    <w:rsid w:val="00190691"/>
    <w:rsid w:val="00191BE2"/>
    <w:rsid w:val="001967AB"/>
    <w:rsid w:val="001A6691"/>
    <w:rsid w:val="001B0DDE"/>
    <w:rsid w:val="001B10FC"/>
    <w:rsid w:val="001B4B04"/>
    <w:rsid w:val="001B574E"/>
    <w:rsid w:val="001C6663"/>
    <w:rsid w:val="001C7895"/>
    <w:rsid w:val="001D0C12"/>
    <w:rsid w:val="001D26DF"/>
    <w:rsid w:val="001D2FDC"/>
    <w:rsid w:val="001D2FE8"/>
    <w:rsid w:val="001E3023"/>
    <w:rsid w:val="001F1227"/>
    <w:rsid w:val="001F15BF"/>
    <w:rsid w:val="001F57B4"/>
    <w:rsid w:val="00211CD6"/>
    <w:rsid w:val="00211E0B"/>
    <w:rsid w:val="00215690"/>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23D1"/>
    <w:rsid w:val="002C54A4"/>
    <w:rsid w:val="002C7649"/>
    <w:rsid w:val="002D7530"/>
    <w:rsid w:val="002E040D"/>
    <w:rsid w:val="002E4E12"/>
    <w:rsid w:val="002E793F"/>
    <w:rsid w:val="002E7C35"/>
    <w:rsid w:val="002F0918"/>
    <w:rsid w:val="002F1234"/>
    <w:rsid w:val="002F4DB3"/>
    <w:rsid w:val="00302963"/>
    <w:rsid w:val="00303816"/>
    <w:rsid w:val="003107FA"/>
    <w:rsid w:val="00310B32"/>
    <w:rsid w:val="00315226"/>
    <w:rsid w:val="00316C13"/>
    <w:rsid w:val="00320A76"/>
    <w:rsid w:val="003229D8"/>
    <w:rsid w:val="00322F52"/>
    <w:rsid w:val="00323BE7"/>
    <w:rsid w:val="003262BE"/>
    <w:rsid w:val="003311AD"/>
    <w:rsid w:val="003323B3"/>
    <w:rsid w:val="00333732"/>
    <w:rsid w:val="0034522A"/>
    <w:rsid w:val="00345F03"/>
    <w:rsid w:val="00347184"/>
    <w:rsid w:val="00355E98"/>
    <w:rsid w:val="003570B2"/>
    <w:rsid w:val="003611C0"/>
    <w:rsid w:val="003718CD"/>
    <w:rsid w:val="00372BDC"/>
    <w:rsid w:val="00373815"/>
    <w:rsid w:val="00374763"/>
    <w:rsid w:val="00381262"/>
    <w:rsid w:val="00390C04"/>
    <w:rsid w:val="0039277A"/>
    <w:rsid w:val="00396C00"/>
    <w:rsid w:val="003972E0"/>
    <w:rsid w:val="003A176E"/>
    <w:rsid w:val="003A358E"/>
    <w:rsid w:val="003B4359"/>
    <w:rsid w:val="003B47CC"/>
    <w:rsid w:val="003C2CC4"/>
    <w:rsid w:val="003C474C"/>
    <w:rsid w:val="003C47A5"/>
    <w:rsid w:val="003C6BA6"/>
    <w:rsid w:val="003D24BC"/>
    <w:rsid w:val="003D4B23"/>
    <w:rsid w:val="003E1C5A"/>
    <w:rsid w:val="003E5413"/>
    <w:rsid w:val="003F0697"/>
    <w:rsid w:val="003F3F40"/>
    <w:rsid w:val="003F40C8"/>
    <w:rsid w:val="0040291E"/>
    <w:rsid w:val="0040320D"/>
    <w:rsid w:val="00404FD4"/>
    <w:rsid w:val="0041006A"/>
    <w:rsid w:val="0041741B"/>
    <w:rsid w:val="004179D7"/>
    <w:rsid w:val="004325CB"/>
    <w:rsid w:val="00437F3F"/>
    <w:rsid w:val="0044017E"/>
    <w:rsid w:val="00442686"/>
    <w:rsid w:val="0044679E"/>
    <w:rsid w:val="00446C28"/>
    <w:rsid w:val="00446DE4"/>
    <w:rsid w:val="004479B5"/>
    <w:rsid w:val="00450B3A"/>
    <w:rsid w:val="00451CCB"/>
    <w:rsid w:val="004522E0"/>
    <w:rsid w:val="004530E6"/>
    <w:rsid w:val="00460158"/>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147B"/>
    <w:rsid w:val="004C6E3D"/>
    <w:rsid w:val="004E1150"/>
    <w:rsid w:val="004E4DCE"/>
    <w:rsid w:val="004F6676"/>
    <w:rsid w:val="00500DCD"/>
    <w:rsid w:val="00512574"/>
    <w:rsid w:val="005149A9"/>
    <w:rsid w:val="00515763"/>
    <w:rsid w:val="0051609A"/>
    <w:rsid w:val="005206A2"/>
    <w:rsid w:val="005248FF"/>
    <w:rsid w:val="0052704D"/>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877AA"/>
    <w:rsid w:val="00590144"/>
    <w:rsid w:val="00592C65"/>
    <w:rsid w:val="005A1EE9"/>
    <w:rsid w:val="005A1FEB"/>
    <w:rsid w:val="005A37A2"/>
    <w:rsid w:val="005A77C6"/>
    <w:rsid w:val="005A78F9"/>
    <w:rsid w:val="005B2C26"/>
    <w:rsid w:val="005B3614"/>
    <w:rsid w:val="005B3DB3"/>
    <w:rsid w:val="005B6EC0"/>
    <w:rsid w:val="005B6FA9"/>
    <w:rsid w:val="005D1C0C"/>
    <w:rsid w:val="005D407C"/>
    <w:rsid w:val="005E29AE"/>
    <w:rsid w:val="005E6C20"/>
    <w:rsid w:val="005F5224"/>
    <w:rsid w:val="00611FC4"/>
    <w:rsid w:val="0061401C"/>
    <w:rsid w:val="006176FB"/>
    <w:rsid w:val="0063330C"/>
    <w:rsid w:val="00633C10"/>
    <w:rsid w:val="0063419C"/>
    <w:rsid w:val="00634398"/>
    <w:rsid w:val="00635282"/>
    <w:rsid w:val="00640B26"/>
    <w:rsid w:val="00641876"/>
    <w:rsid w:val="00647621"/>
    <w:rsid w:val="00650267"/>
    <w:rsid w:val="006571DF"/>
    <w:rsid w:val="00657AC6"/>
    <w:rsid w:val="00664F8E"/>
    <w:rsid w:val="00676D4B"/>
    <w:rsid w:val="00677B40"/>
    <w:rsid w:val="00682466"/>
    <w:rsid w:val="0068393D"/>
    <w:rsid w:val="006A0AE9"/>
    <w:rsid w:val="006A6EF9"/>
    <w:rsid w:val="006A7392"/>
    <w:rsid w:val="006B3590"/>
    <w:rsid w:val="006B7406"/>
    <w:rsid w:val="006B79A2"/>
    <w:rsid w:val="006C0D34"/>
    <w:rsid w:val="006C129C"/>
    <w:rsid w:val="006C1C4A"/>
    <w:rsid w:val="006C51B3"/>
    <w:rsid w:val="006D17CA"/>
    <w:rsid w:val="006D1BA6"/>
    <w:rsid w:val="006D2DC3"/>
    <w:rsid w:val="006D7899"/>
    <w:rsid w:val="006D7D5F"/>
    <w:rsid w:val="006E564B"/>
    <w:rsid w:val="006E7B3F"/>
    <w:rsid w:val="00707A67"/>
    <w:rsid w:val="0071233A"/>
    <w:rsid w:val="00716D0F"/>
    <w:rsid w:val="00723B8F"/>
    <w:rsid w:val="00723BCE"/>
    <w:rsid w:val="00725764"/>
    <w:rsid w:val="00725EE5"/>
    <w:rsid w:val="0072632A"/>
    <w:rsid w:val="007405D2"/>
    <w:rsid w:val="007428A0"/>
    <w:rsid w:val="0075177E"/>
    <w:rsid w:val="00757A17"/>
    <w:rsid w:val="0076099B"/>
    <w:rsid w:val="00770A5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7F6AA7"/>
    <w:rsid w:val="00803636"/>
    <w:rsid w:val="0081216B"/>
    <w:rsid w:val="008138E4"/>
    <w:rsid w:val="008175E9"/>
    <w:rsid w:val="00820DBE"/>
    <w:rsid w:val="008242D7"/>
    <w:rsid w:val="008274C8"/>
    <w:rsid w:val="00832905"/>
    <w:rsid w:val="00833022"/>
    <w:rsid w:val="00842FAF"/>
    <w:rsid w:val="00844A23"/>
    <w:rsid w:val="00851A77"/>
    <w:rsid w:val="008553AE"/>
    <w:rsid w:val="008566E6"/>
    <w:rsid w:val="00857C5C"/>
    <w:rsid w:val="008616E6"/>
    <w:rsid w:val="0086798F"/>
    <w:rsid w:val="00867BD4"/>
    <w:rsid w:val="00871FD5"/>
    <w:rsid w:val="0087202A"/>
    <w:rsid w:val="008749E1"/>
    <w:rsid w:val="008900F3"/>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D4C"/>
    <w:rsid w:val="008F140D"/>
    <w:rsid w:val="008F36A7"/>
    <w:rsid w:val="008F42F2"/>
    <w:rsid w:val="00902B27"/>
    <w:rsid w:val="00905AEA"/>
    <w:rsid w:val="00910229"/>
    <w:rsid w:val="00910E37"/>
    <w:rsid w:val="009145E5"/>
    <w:rsid w:val="00915E24"/>
    <w:rsid w:val="009174F9"/>
    <w:rsid w:val="009178F6"/>
    <w:rsid w:val="00920726"/>
    <w:rsid w:val="00924330"/>
    <w:rsid w:val="009267AB"/>
    <w:rsid w:val="0093457E"/>
    <w:rsid w:val="0094147D"/>
    <w:rsid w:val="00945A5D"/>
    <w:rsid w:val="0094761C"/>
    <w:rsid w:val="00963879"/>
    <w:rsid w:val="00963CBA"/>
    <w:rsid w:val="00965ACC"/>
    <w:rsid w:val="00970D90"/>
    <w:rsid w:val="0097150D"/>
    <w:rsid w:val="00971B0B"/>
    <w:rsid w:val="00972131"/>
    <w:rsid w:val="009759DC"/>
    <w:rsid w:val="00977813"/>
    <w:rsid w:val="009863A7"/>
    <w:rsid w:val="00986BF1"/>
    <w:rsid w:val="0099124E"/>
    <w:rsid w:val="00991261"/>
    <w:rsid w:val="00994010"/>
    <w:rsid w:val="00994014"/>
    <w:rsid w:val="00994411"/>
    <w:rsid w:val="009A37C7"/>
    <w:rsid w:val="009B1829"/>
    <w:rsid w:val="009B191A"/>
    <w:rsid w:val="009B2FB7"/>
    <w:rsid w:val="009B3CC1"/>
    <w:rsid w:val="009B6F46"/>
    <w:rsid w:val="009C1267"/>
    <w:rsid w:val="009D7741"/>
    <w:rsid w:val="009E2874"/>
    <w:rsid w:val="009E2CBC"/>
    <w:rsid w:val="009E35FF"/>
    <w:rsid w:val="009E587B"/>
    <w:rsid w:val="00A04F66"/>
    <w:rsid w:val="00A12267"/>
    <w:rsid w:val="00A1427D"/>
    <w:rsid w:val="00A14539"/>
    <w:rsid w:val="00A22441"/>
    <w:rsid w:val="00A2493F"/>
    <w:rsid w:val="00A24E0D"/>
    <w:rsid w:val="00A25434"/>
    <w:rsid w:val="00A260BA"/>
    <w:rsid w:val="00A27584"/>
    <w:rsid w:val="00A3317D"/>
    <w:rsid w:val="00A3734E"/>
    <w:rsid w:val="00A40281"/>
    <w:rsid w:val="00A4449F"/>
    <w:rsid w:val="00A475B8"/>
    <w:rsid w:val="00A52017"/>
    <w:rsid w:val="00A549AB"/>
    <w:rsid w:val="00A6043B"/>
    <w:rsid w:val="00A64ED3"/>
    <w:rsid w:val="00A66610"/>
    <w:rsid w:val="00A679F9"/>
    <w:rsid w:val="00A7181F"/>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359"/>
    <w:rsid w:val="00AE3791"/>
    <w:rsid w:val="00AE51AD"/>
    <w:rsid w:val="00AF1489"/>
    <w:rsid w:val="00AF248C"/>
    <w:rsid w:val="00B0125E"/>
    <w:rsid w:val="00B02079"/>
    <w:rsid w:val="00B051B4"/>
    <w:rsid w:val="00B05614"/>
    <w:rsid w:val="00B2292E"/>
    <w:rsid w:val="00B30179"/>
    <w:rsid w:val="00B32399"/>
    <w:rsid w:val="00B3317B"/>
    <w:rsid w:val="00B34A94"/>
    <w:rsid w:val="00B35770"/>
    <w:rsid w:val="00B45118"/>
    <w:rsid w:val="00B45379"/>
    <w:rsid w:val="00B57B8C"/>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0929"/>
    <w:rsid w:val="00BD197C"/>
    <w:rsid w:val="00BD4242"/>
    <w:rsid w:val="00BD42B2"/>
    <w:rsid w:val="00BE618E"/>
    <w:rsid w:val="00BF4829"/>
    <w:rsid w:val="00C01730"/>
    <w:rsid w:val="00C12FE8"/>
    <w:rsid w:val="00C17582"/>
    <w:rsid w:val="00C20E3D"/>
    <w:rsid w:val="00C23226"/>
    <w:rsid w:val="00C3461F"/>
    <w:rsid w:val="00C4186E"/>
    <w:rsid w:val="00C41C15"/>
    <w:rsid w:val="00C463DD"/>
    <w:rsid w:val="00C46E2A"/>
    <w:rsid w:val="00C51517"/>
    <w:rsid w:val="00C60D9F"/>
    <w:rsid w:val="00C60DCD"/>
    <w:rsid w:val="00C626EA"/>
    <w:rsid w:val="00C62F76"/>
    <w:rsid w:val="00C64CF9"/>
    <w:rsid w:val="00C67F22"/>
    <w:rsid w:val="00C72209"/>
    <w:rsid w:val="00C745C3"/>
    <w:rsid w:val="00C835F0"/>
    <w:rsid w:val="00C85F9B"/>
    <w:rsid w:val="00CA1406"/>
    <w:rsid w:val="00CA1CBE"/>
    <w:rsid w:val="00CA5C02"/>
    <w:rsid w:val="00CB2653"/>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2545"/>
    <w:rsid w:val="00D43252"/>
    <w:rsid w:val="00D44AE0"/>
    <w:rsid w:val="00D44EFC"/>
    <w:rsid w:val="00D5171D"/>
    <w:rsid w:val="00D606BB"/>
    <w:rsid w:val="00D625F5"/>
    <w:rsid w:val="00D668CA"/>
    <w:rsid w:val="00D72869"/>
    <w:rsid w:val="00D753D8"/>
    <w:rsid w:val="00D80C02"/>
    <w:rsid w:val="00D84DB1"/>
    <w:rsid w:val="00D9208C"/>
    <w:rsid w:val="00D95849"/>
    <w:rsid w:val="00D96CC5"/>
    <w:rsid w:val="00D978C6"/>
    <w:rsid w:val="00DA02D7"/>
    <w:rsid w:val="00DA67AD"/>
    <w:rsid w:val="00DA71EC"/>
    <w:rsid w:val="00DB0284"/>
    <w:rsid w:val="00DB0442"/>
    <w:rsid w:val="00DB281B"/>
    <w:rsid w:val="00DB4C88"/>
    <w:rsid w:val="00DC0380"/>
    <w:rsid w:val="00DC16B9"/>
    <w:rsid w:val="00DC1797"/>
    <w:rsid w:val="00DD41E5"/>
    <w:rsid w:val="00DD70B8"/>
    <w:rsid w:val="00DE19A0"/>
    <w:rsid w:val="00DE22CF"/>
    <w:rsid w:val="00DE4184"/>
    <w:rsid w:val="00DF0081"/>
    <w:rsid w:val="00DF33BA"/>
    <w:rsid w:val="00DF7129"/>
    <w:rsid w:val="00E002F0"/>
    <w:rsid w:val="00E011D0"/>
    <w:rsid w:val="00E049CA"/>
    <w:rsid w:val="00E130AB"/>
    <w:rsid w:val="00E154D5"/>
    <w:rsid w:val="00E15862"/>
    <w:rsid w:val="00E21A5F"/>
    <w:rsid w:val="00E23CEE"/>
    <w:rsid w:val="00E24107"/>
    <w:rsid w:val="00E254C8"/>
    <w:rsid w:val="00E26B83"/>
    <w:rsid w:val="00E274C0"/>
    <w:rsid w:val="00E305E0"/>
    <w:rsid w:val="00E35BAA"/>
    <w:rsid w:val="00E40163"/>
    <w:rsid w:val="00E4194D"/>
    <w:rsid w:val="00E44228"/>
    <w:rsid w:val="00E443AD"/>
    <w:rsid w:val="00E44882"/>
    <w:rsid w:val="00E450F1"/>
    <w:rsid w:val="00E45DE2"/>
    <w:rsid w:val="00E5126A"/>
    <w:rsid w:val="00E5317F"/>
    <w:rsid w:val="00E5644E"/>
    <w:rsid w:val="00E62EE3"/>
    <w:rsid w:val="00E66AF1"/>
    <w:rsid w:val="00E67D93"/>
    <w:rsid w:val="00E67FEC"/>
    <w:rsid w:val="00E7260F"/>
    <w:rsid w:val="00E8535A"/>
    <w:rsid w:val="00E92301"/>
    <w:rsid w:val="00E96630"/>
    <w:rsid w:val="00EA5271"/>
    <w:rsid w:val="00EB6541"/>
    <w:rsid w:val="00EB6832"/>
    <w:rsid w:val="00EC42EA"/>
    <w:rsid w:val="00EC5D78"/>
    <w:rsid w:val="00EC7379"/>
    <w:rsid w:val="00ED4EB3"/>
    <w:rsid w:val="00ED67DB"/>
    <w:rsid w:val="00ED7A2A"/>
    <w:rsid w:val="00EE18BF"/>
    <w:rsid w:val="00EE32E6"/>
    <w:rsid w:val="00EE3C05"/>
    <w:rsid w:val="00EE585C"/>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1B55"/>
    <w:rsid w:val="00F45C14"/>
    <w:rsid w:val="00F45D1A"/>
    <w:rsid w:val="00F475EB"/>
    <w:rsid w:val="00F5272A"/>
    <w:rsid w:val="00F54674"/>
    <w:rsid w:val="00F54DDA"/>
    <w:rsid w:val="00F57710"/>
    <w:rsid w:val="00F5773C"/>
    <w:rsid w:val="00F6331D"/>
    <w:rsid w:val="00F660F2"/>
    <w:rsid w:val="00F72912"/>
    <w:rsid w:val="00F73E3B"/>
    <w:rsid w:val="00F74124"/>
    <w:rsid w:val="00F8482D"/>
    <w:rsid w:val="00F85D7A"/>
    <w:rsid w:val="00F873E7"/>
    <w:rsid w:val="00F93B34"/>
    <w:rsid w:val="00F957FD"/>
    <w:rsid w:val="00F96F02"/>
    <w:rsid w:val="00FA54B1"/>
    <w:rsid w:val="00FB1AF2"/>
    <w:rsid w:val="00FB6DCF"/>
    <w:rsid w:val="00FB7905"/>
    <w:rsid w:val="00FC0AAF"/>
    <w:rsid w:val="00FC3415"/>
    <w:rsid w:val="00FC68B7"/>
    <w:rsid w:val="00FD2AAF"/>
    <w:rsid w:val="00FD6B2B"/>
    <w:rsid w:val="00FE0B49"/>
    <w:rsid w:val="00FE4A81"/>
    <w:rsid w:val="00FE752E"/>
    <w:rsid w:val="00FF03BB"/>
    <w:rsid w:val="00FF79E6"/>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4A6DF-02B6-4A9E-A656-FD23D6CC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949</Words>
  <Characters>5411</Characters>
  <Application>Microsoft Office Word</Application>
  <DocSecurity>0</DocSecurity>
  <Lines>45</Lines>
  <Paragraphs>12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2016-06-23T14:45:00Z</cp:lastPrinted>
  <dcterms:created xsi:type="dcterms:W3CDTF">2016-06-23T14:32:00Z</dcterms:created>
  <dcterms:modified xsi:type="dcterms:W3CDTF">2016-06-23T15:00:00Z</dcterms:modified>
</cp:coreProperties>
</file>