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5037C3">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5037C3">
              <w:rPr>
                <w:b/>
                <w:sz w:val="40"/>
                <w:szCs w:val="40"/>
                <w:lang w:val="fr-FR"/>
              </w:rPr>
              <w:t>49</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2A7E24">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5037C3">
              <w:rPr>
                <w:b/>
              </w:rPr>
              <w:t>22</w:t>
            </w:r>
            <w:r w:rsidR="005A1EE9">
              <w:rPr>
                <w:b/>
              </w:rPr>
              <w:t xml:space="preserve"> June</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280D2B" w:rsidRPr="00F54DDA" w:rsidRDefault="00280D2B">
            <w:pPr>
              <w:ind w:left="34" w:hanging="34"/>
            </w:pPr>
            <w:r w:rsidRPr="00F54DDA">
              <w:t xml:space="preserve">Item </w:t>
            </w:r>
            <w:r w:rsidR="008F2081">
              <w:t>6</w:t>
            </w:r>
            <w:r w:rsidR="006F6069">
              <w:t xml:space="preserve"> </w:t>
            </w:r>
            <w:r w:rsidR="005B5CFA">
              <w:t>(</w:t>
            </w:r>
            <w:r w:rsidR="008F2081">
              <w:t>a</w:t>
            </w:r>
            <w:r w:rsidR="006F6069">
              <w:t>)</w:t>
            </w:r>
            <w:r w:rsidR="005149A9">
              <w:t xml:space="preserve"> </w:t>
            </w:r>
            <w:r w:rsidRPr="00F54DDA">
              <w:t>of the provisional agenda</w:t>
            </w:r>
          </w:p>
          <w:p w:rsidR="00963879" w:rsidRPr="008F2081" w:rsidRDefault="008F2081" w:rsidP="00963879">
            <w:pPr>
              <w:spacing w:after="120"/>
              <w:ind w:left="-11" w:firstLine="11"/>
              <w:rPr>
                <w:b/>
              </w:rPr>
            </w:pPr>
            <w:r w:rsidRPr="008F2081">
              <w:rPr>
                <w:b/>
              </w:rPr>
              <w:t>Miscellaneous proposals for amendments to the Model Regulations on the Transport of Dangerous Goods: dangerous goods in machinery, apparatus or articles, N.O.S.</w:t>
            </w:r>
          </w:p>
        </w:tc>
        <w:tc>
          <w:tcPr>
            <w:tcW w:w="5109" w:type="dxa"/>
            <w:tcMar>
              <w:top w:w="57" w:type="dxa"/>
              <w:left w:w="108" w:type="dxa"/>
              <w:bottom w:w="0" w:type="dxa"/>
              <w:right w:w="108" w:type="dxa"/>
            </w:tcMar>
          </w:tcPr>
          <w:p w:rsidR="00280D2B" w:rsidRPr="00280D2B" w:rsidRDefault="00280D2B" w:rsidP="008B2E94">
            <w:pPr>
              <w:rPr>
                <w:b/>
              </w:rPr>
            </w:pPr>
          </w:p>
        </w:tc>
      </w:tr>
    </w:tbl>
    <w:p w:rsidR="002A7E24" w:rsidRPr="00C10B9F" w:rsidRDefault="00390C04" w:rsidP="002A7E24">
      <w:pPr>
        <w:pStyle w:val="HChG"/>
        <w:rPr>
          <w:sz w:val="20"/>
        </w:rPr>
      </w:pPr>
      <w:r>
        <w:tab/>
      </w:r>
      <w:r>
        <w:tab/>
      </w:r>
      <w:r w:rsidR="000E3ECB">
        <w:t xml:space="preserve">Obligations in </w:t>
      </w:r>
      <w:r w:rsidR="002A7E24">
        <w:t>Special provision 363</w:t>
      </w:r>
    </w:p>
    <w:p w:rsidR="002A7E24" w:rsidRPr="00C10B9F" w:rsidRDefault="002A7E24" w:rsidP="002A7E24">
      <w:pPr>
        <w:pStyle w:val="H1G"/>
      </w:pPr>
      <w:r w:rsidRPr="00C10B9F">
        <w:rPr>
          <w:sz w:val="20"/>
        </w:rPr>
        <w:tab/>
      </w:r>
      <w:r w:rsidRPr="00C10B9F">
        <w:rPr>
          <w:sz w:val="20"/>
        </w:rPr>
        <w:tab/>
      </w:r>
      <w:r w:rsidRPr="00C10B9F">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A7E24" w:rsidRPr="00C10B9F" w:rsidTr="00595CF4">
        <w:trPr>
          <w:trHeight w:val="682"/>
          <w:jc w:val="center"/>
        </w:trPr>
        <w:tc>
          <w:tcPr>
            <w:tcW w:w="9637" w:type="dxa"/>
            <w:tcBorders>
              <w:top w:val="single" w:sz="4" w:space="0" w:color="auto"/>
              <w:left w:val="single" w:sz="4" w:space="0" w:color="auto"/>
              <w:bottom w:val="nil"/>
              <w:right w:val="single" w:sz="4" w:space="0" w:color="auto"/>
            </w:tcBorders>
            <w:hideMark/>
          </w:tcPr>
          <w:p w:rsidR="002A7E24" w:rsidRPr="00C10B9F" w:rsidRDefault="002A7E24" w:rsidP="00595CF4">
            <w:pPr>
              <w:spacing w:before="240" w:after="120"/>
              <w:ind w:left="255"/>
              <w:rPr>
                <w:i/>
                <w:sz w:val="24"/>
              </w:rPr>
            </w:pPr>
            <w:r w:rsidRPr="00C10B9F">
              <w:rPr>
                <w:i/>
                <w:sz w:val="24"/>
              </w:rPr>
              <w:t>Summary</w:t>
            </w:r>
          </w:p>
        </w:tc>
      </w:tr>
      <w:tr w:rsidR="002A7E24" w:rsidRPr="00C10B9F" w:rsidTr="00A86AD2">
        <w:trPr>
          <w:jc w:val="center"/>
        </w:trPr>
        <w:tc>
          <w:tcPr>
            <w:tcW w:w="9637" w:type="dxa"/>
            <w:tcBorders>
              <w:top w:val="nil"/>
              <w:left w:val="single" w:sz="4" w:space="0" w:color="auto"/>
              <w:bottom w:val="nil"/>
              <w:right w:val="single" w:sz="4" w:space="0" w:color="auto"/>
            </w:tcBorders>
            <w:hideMark/>
          </w:tcPr>
          <w:p w:rsidR="002A7E24" w:rsidRPr="00C10B9F" w:rsidRDefault="002A7E24" w:rsidP="00595CF4">
            <w:pPr>
              <w:pStyle w:val="SingleTxtG"/>
              <w:spacing w:after="60"/>
              <w:ind w:left="3359" w:hanging="2280"/>
            </w:pPr>
            <w:r w:rsidRPr="00C10B9F">
              <w:rPr>
                <w:b/>
              </w:rPr>
              <w:t>Executive summary:</w:t>
            </w:r>
            <w:r w:rsidRPr="00C10B9F">
              <w:tab/>
            </w:r>
            <w:r w:rsidRPr="004F48F1">
              <w:t xml:space="preserve">Define </w:t>
            </w:r>
            <w:r w:rsidR="000E3ECB">
              <w:t>who is in charge to provide the information and the transport document by applying SP363</w:t>
            </w:r>
            <w:r w:rsidRPr="004F48F1">
              <w:t xml:space="preserve"> of Chapter 3.3 </w:t>
            </w:r>
          </w:p>
          <w:p w:rsidR="002A7E24" w:rsidRPr="00C10B9F" w:rsidRDefault="002A7E24" w:rsidP="00595CF4">
            <w:pPr>
              <w:pStyle w:val="SingleTxtG"/>
              <w:spacing w:after="60"/>
              <w:ind w:left="3359" w:hanging="2280"/>
            </w:pPr>
          </w:p>
        </w:tc>
      </w:tr>
      <w:tr w:rsidR="002A7E24" w:rsidRPr="00C10B9F" w:rsidTr="00A86AD2">
        <w:trPr>
          <w:jc w:val="center"/>
        </w:trPr>
        <w:tc>
          <w:tcPr>
            <w:tcW w:w="9637" w:type="dxa"/>
            <w:tcBorders>
              <w:top w:val="nil"/>
              <w:left w:val="single" w:sz="4" w:space="0" w:color="auto"/>
              <w:bottom w:val="single" w:sz="4" w:space="0" w:color="auto"/>
              <w:right w:val="single" w:sz="4" w:space="0" w:color="auto"/>
            </w:tcBorders>
            <w:hideMark/>
          </w:tcPr>
          <w:p w:rsidR="002A7E24" w:rsidRDefault="002A7E24" w:rsidP="00595CF4">
            <w:pPr>
              <w:pStyle w:val="SingleTxtG"/>
              <w:spacing w:after="60"/>
              <w:ind w:left="3359" w:hanging="2280"/>
              <w:jc w:val="left"/>
            </w:pPr>
            <w:bookmarkStart w:id="0" w:name="_GoBack"/>
            <w:bookmarkEnd w:id="0"/>
            <w:r>
              <w:rPr>
                <w:b/>
              </w:rPr>
              <w:t>Action to be taken</w:t>
            </w:r>
            <w:r w:rsidRPr="00C10B9F">
              <w:rPr>
                <w:b/>
              </w:rPr>
              <w:t>:</w:t>
            </w:r>
            <w:r w:rsidRPr="00C10B9F">
              <w:tab/>
            </w:r>
            <w:r>
              <w:t>A</w:t>
            </w:r>
            <w:r w:rsidRPr="004F48F1">
              <w:t xml:space="preserve">mend the text of paragraph g) </w:t>
            </w:r>
            <w:r w:rsidR="000E3ECB">
              <w:t>vi</w:t>
            </w:r>
            <w:r w:rsidRPr="004F48F1">
              <w:t xml:space="preserve">) </w:t>
            </w:r>
            <w:r>
              <w:t xml:space="preserve">of Special provision </w:t>
            </w:r>
            <w:r w:rsidRPr="004F48F1">
              <w:t>363 of Chapter 3.3</w:t>
            </w:r>
          </w:p>
          <w:p w:rsidR="002A7E24" w:rsidRPr="004F48F1" w:rsidRDefault="002A7E24" w:rsidP="00595CF4">
            <w:pPr>
              <w:pStyle w:val="SingleTxtG"/>
              <w:spacing w:after="60"/>
              <w:ind w:left="5639" w:hanging="2280"/>
              <w:jc w:val="left"/>
              <w:rPr>
                <w:lang w:val="en-US"/>
              </w:rPr>
            </w:pPr>
          </w:p>
        </w:tc>
      </w:tr>
    </w:tbl>
    <w:p w:rsidR="002A7E24" w:rsidRPr="002A7E24" w:rsidRDefault="002A7E24" w:rsidP="002A7E24">
      <w:pPr>
        <w:pStyle w:val="HChG"/>
        <w:keepNext w:val="0"/>
        <w:keepLines w:val="0"/>
        <w:tabs>
          <w:tab w:val="left" w:pos="1500"/>
        </w:tabs>
        <w:ind w:left="1100" w:firstLine="0"/>
      </w:pPr>
      <w:r w:rsidRPr="002A7E24">
        <w:t>Introduction</w:t>
      </w:r>
    </w:p>
    <w:p w:rsidR="0091612D" w:rsidRDefault="002A7E24" w:rsidP="0091612D">
      <w:pPr>
        <w:pStyle w:val="SingleTxtG"/>
        <w:tabs>
          <w:tab w:val="left" w:pos="1701"/>
          <w:tab w:val="left" w:pos="1985"/>
          <w:tab w:val="left" w:pos="2268"/>
        </w:tabs>
        <w:rPr>
          <w:lang w:val="en-US"/>
        </w:rPr>
      </w:pPr>
      <w:r w:rsidRPr="00A9073C">
        <w:t>1.</w:t>
      </w:r>
      <w:r w:rsidRPr="00A9073C">
        <w:tab/>
        <w:t xml:space="preserve">Following the release of the new provisions that will enter in force in 2017 for land transport, </w:t>
      </w:r>
      <w:r w:rsidR="00A9073C" w:rsidRPr="00A9073C">
        <w:rPr>
          <w:lang w:val="en-US"/>
        </w:rPr>
        <w:t xml:space="preserve">stakeholders </w:t>
      </w:r>
      <w:r w:rsidR="00B7408C">
        <w:rPr>
          <w:lang w:val="en-US"/>
        </w:rPr>
        <w:t xml:space="preserve">in our country </w:t>
      </w:r>
      <w:r w:rsidR="00A9073C" w:rsidRPr="00A9073C">
        <w:rPr>
          <w:lang w:val="en-US"/>
        </w:rPr>
        <w:t>have</w:t>
      </w:r>
      <w:r w:rsidR="00A9073C">
        <w:rPr>
          <w:lang w:val="en-US"/>
        </w:rPr>
        <w:t xml:space="preserve"> indicated</w:t>
      </w:r>
      <w:r w:rsidR="00A9073C" w:rsidRPr="00A9073C">
        <w:rPr>
          <w:lang w:val="en-US"/>
        </w:rPr>
        <w:t xml:space="preserve"> that because the </w:t>
      </w:r>
      <w:r w:rsidR="00A9073C">
        <w:rPr>
          <w:lang w:val="en-US"/>
        </w:rPr>
        <w:t>SP</w:t>
      </w:r>
      <w:r w:rsidR="00A9073C" w:rsidRPr="00A9073C">
        <w:rPr>
          <w:lang w:val="en-US"/>
        </w:rPr>
        <w:t xml:space="preserve">363 is a total exemption to the </w:t>
      </w:r>
      <w:r w:rsidR="00A9073C">
        <w:rPr>
          <w:lang w:val="en-US"/>
        </w:rPr>
        <w:t>M</w:t>
      </w:r>
      <w:r w:rsidR="00A9073C" w:rsidRPr="00A9073C">
        <w:rPr>
          <w:lang w:val="en-US"/>
        </w:rPr>
        <w:t xml:space="preserve">odel </w:t>
      </w:r>
      <w:r w:rsidR="00A9073C">
        <w:rPr>
          <w:lang w:val="en-US"/>
        </w:rPr>
        <w:t>R</w:t>
      </w:r>
      <w:r w:rsidR="00A9073C" w:rsidRPr="00A9073C">
        <w:rPr>
          <w:lang w:val="en-US"/>
        </w:rPr>
        <w:t xml:space="preserve">egulations and that consequently the chap. 5.4 does not apply </w:t>
      </w:r>
      <w:r w:rsidR="000E3ECB">
        <w:rPr>
          <w:lang w:val="en-US"/>
        </w:rPr>
        <w:t xml:space="preserve">in this case </w:t>
      </w:r>
      <w:r w:rsidR="00A9073C" w:rsidRPr="00A9073C">
        <w:rPr>
          <w:lang w:val="en-US"/>
        </w:rPr>
        <w:t xml:space="preserve">it would be necessary to specify directly in the </w:t>
      </w:r>
      <w:r w:rsidR="00A9073C">
        <w:rPr>
          <w:lang w:val="en-US"/>
        </w:rPr>
        <w:t>SP</w:t>
      </w:r>
      <w:r w:rsidR="00A9073C" w:rsidRPr="00A9073C">
        <w:rPr>
          <w:lang w:val="en-US"/>
        </w:rPr>
        <w:t>363 g) vi) who is responsible for making available the transport document and its contents</w:t>
      </w:r>
      <w:r w:rsidR="00A9073C">
        <w:rPr>
          <w:lang w:val="en-US"/>
        </w:rPr>
        <w:t>.</w:t>
      </w:r>
    </w:p>
    <w:p w:rsidR="0091612D" w:rsidRDefault="005037C3" w:rsidP="0091612D">
      <w:pPr>
        <w:pStyle w:val="SingleTxtG"/>
        <w:tabs>
          <w:tab w:val="left" w:pos="1701"/>
          <w:tab w:val="left" w:pos="1985"/>
          <w:tab w:val="left" w:pos="2268"/>
        </w:tabs>
        <w:rPr>
          <w:lang w:val="en-US"/>
        </w:rPr>
      </w:pPr>
      <w:r>
        <w:rPr>
          <w:lang w:val="en-US"/>
        </w:rPr>
        <w:t>2</w:t>
      </w:r>
      <w:r w:rsidR="0091612D">
        <w:rPr>
          <w:lang w:val="en-US"/>
        </w:rPr>
        <w:t xml:space="preserve">. </w:t>
      </w:r>
      <w:r w:rsidR="0091612D">
        <w:rPr>
          <w:lang w:val="en-US"/>
        </w:rPr>
        <w:tab/>
        <w:t>This misinterpretation seems to be sustained by the wording adopted in RID-ADR-A</w:t>
      </w:r>
      <w:r w:rsidR="0013425C">
        <w:rPr>
          <w:lang w:val="en-US"/>
        </w:rPr>
        <w:t>DN</w:t>
      </w:r>
      <w:r w:rsidR="0091612D">
        <w:rPr>
          <w:lang w:val="en-US"/>
        </w:rPr>
        <w:t xml:space="preserve"> for land transport in Europe where the adopted text in DS363 g) </w:t>
      </w:r>
      <w:proofErr w:type="gramStart"/>
      <w:r w:rsidR="0091612D">
        <w:rPr>
          <w:lang w:val="en-US"/>
        </w:rPr>
        <w:t>vi</w:t>
      </w:r>
      <w:proofErr w:type="gramEnd"/>
      <w:r w:rsidR="0091612D">
        <w:rPr>
          <w:lang w:val="en-US"/>
        </w:rPr>
        <w:t>) for 2017 says:</w:t>
      </w:r>
    </w:p>
    <w:p w:rsidR="0091612D" w:rsidRDefault="0091612D" w:rsidP="005037C3">
      <w:pPr>
        <w:pStyle w:val="SingleTxtG"/>
        <w:tabs>
          <w:tab w:val="left" w:pos="1701"/>
          <w:tab w:val="left" w:pos="1985"/>
          <w:tab w:val="left" w:pos="2268"/>
        </w:tabs>
        <w:ind w:left="1701"/>
        <w:rPr>
          <w:lang w:val="en-US"/>
        </w:rPr>
      </w:pPr>
      <w:r>
        <w:rPr>
          <w:lang w:val="en-US"/>
        </w:rPr>
        <w:t>“</w:t>
      </w:r>
      <w:r w:rsidRPr="000A2EE1">
        <w:rPr>
          <w:rFonts w:eastAsia="Calibri"/>
        </w:rPr>
        <w:t>A transport document in accordance with 5.4.1 is required</w:t>
      </w:r>
      <w:r>
        <w:rPr>
          <w:rFonts w:eastAsia="Calibri"/>
        </w:rPr>
        <w:t>…</w:t>
      </w:r>
      <w:proofErr w:type="gramStart"/>
      <w:r>
        <w:rPr>
          <w:rFonts w:eastAsia="Calibri"/>
        </w:rPr>
        <w:t>”.</w:t>
      </w:r>
      <w:proofErr w:type="gramEnd"/>
      <w:r>
        <w:rPr>
          <w:rFonts w:eastAsia="Calibri"/>
        </w:rPr>
        <w:t xml:space="preserve"> </w:t>
      </w:r>
      <w:proofErr w:type="gramStart"/>
      <w:r w:rsidR="006036FD">
        <w:rPr>
          <w:rFonts w:eastAsia="Calibri"/>
        </w:rPr>
        <w:t>w</w:t>
      </w:r>
      <w:r>
        <w:rPr>
          <w:rFonts w:eastAsia="Calibri"/>
        </w:rPr>
        <w:t>here</w:t>
      </w:r>
      <w:proofErr w:type="gramEnd"/>
      <w:r>
        <w:rPr>
          <w:rFonts w:eastAsia="Calibri"/>
        </w:rPr>
        <w:t xml:space="preserve"> </w:t>
      </w:r>
      <w:proofErr w:type="spellStart"/>
      <w:r>
        <w:rPr>
          <w:rFonts w:eastAsia="Calibri"/>
        </w:rPr>
        <w:t>secton</w:t>
      </w:r>
      <w:proofErr w:type="spellEnd"/>
      <w:r>
        <w:rPr>
          <w:rFonts w:eastAsia="Calibri"/>
        </w:rPr>
        <w:t xml:space="preserve"> 5.4.1 only contains provisio</w:t>
      </w:r>
      <w:r w:rsidR="006036FD">
        <w:rPr>
          <w:rFonts w:eastAsia="Calibri"/>
        </w:rPr>
        <w:t>n</w:t>
      </w:r>
      <w:r>
        <w:rPr>
          <w:rFonts w:eastAsia="Calibri"/>
        </w:rPr>
        <w:t xml:space="preserve">s </w:t>
      </w:r>
      <w:r w:rsidR="0013425C">
        <w:rPr>
          <w:rFonts w:eastAsia="Calibri"/>
        </w:rPr>
        <w:t>about</w:t>
      </w:r>
      <w:r w:rsidR="006036FD">
        <w:rPr>
          <w:rFonts w:eastAsia="Calibri"/>
        </w:rPr>
        <w:t xml:space="preserve"> form </w:t>
      </w:r>
      <w:r>
        <w:rPr>
          <w:rFonts w:eastAsia="Calibri"/>
        </w:rPr>
        <w:t>and content of the transport document</w:t>
      </w:r>
      <w:r w:rsidR="006036FD">
        <w:rPr>
          <w:rFonts w:eastAsia="Calibri"/>
        </w:rPr>
        <w:t>, not however about the person responsible to deliver this information, namely the consignor.</w:t>
      </w:r>
    </w:p>
    <w:p w:rsidR="0091612D" w:rsidRPr="006036FD" w:rsidRDefault="005037C3" w:rsidP="0091612D">
      <w:pPr>
        <w:pStyle w:val="SingleTxtG"/>
        <w:tabs>
          <w:tab w:val="left" w:pos="1701"/>
          <w:tab w:val="left" w:pos="1985"/>
          <w:tab w:val="left" w:pos="2268"/>
        </w:tabs>
        <w:rPr>
          <w:lang w:val="en-US"/>
        </w:rPr>
      </w:pPr>
      <w:r>
        <w:rPr>
          <w:lang w:val="en-US"/>
        </w:rPr>
        <w:t>3</w:t>
      </w:r>
      <w:r w:rsidR="006036FD">
        <w:rPr>
          <w:lang w:val="en-US"/>
        </w:rPr>
        <w:t>.</w:t>
      </w:r>
      <w:r w:rsidR="006036FD">
        <w:rPr>
          <w:lang w:val="en-US"/>
        </w:rPr>
        <w:tab/>
      </w:r>
      <w:r w:rsidR="0091612D" w:rsidRPr="006036FD">
        <w:rPr>
          <w:lang w:val="en-US"/>
        </w:rPr>
        <w:t xml:space="preserve">The text in French of SP363 g) vi) </w:t>
      </w:r>
      <w:r w:rsidR="006036FD" w:rsidRPr="006036FD">
        <w:rPr>
          <w:lang w:val="en-US"/>
        </w:rPr>
        <w:t xml:space="preserve">in the Model Regulations </w:t>
      </w:r>
      <w:proofErr w:type="gramStart"/>
      <w:r w:rsidR="0091612D" w:rsidRPr="006036FD">
        <w:rPr>
          <w:lang w:val="en-US"/>
        </w:rPr>
        <w:t>says :</w:t>
      </w:r>
      <w:proofErr w:type="gramEnd"/>
      <w:r w:rsidR="0091612D" w:rsidRPr="006036FD">
        <w:rPr>
          <w:lang w:val="en-US"/>
        </w:rPr>
        <w:t xml:space="preserve"> “Un document de transport </w:t>
      </w:r>
      <w:proofErr w:type="spellStart"/>
      <w:r w:rsidR="0091612D" w:rsidRPr="006036FD">
        <w:rPr>
          <w:lang w:val="en-US"/>
        </w:rPr>
        <w:t>conforme</w:t>
      </w:r>
      <w:proofErr w:type="spellEnd"/>
      <w:r w:rsidR="0091612D" w:rsidRPr="006036FD">
        <w:rPr>
          <w:lang w:val="en-US"/>
        </w:rPr>
        <w:t xml:space="preserve"> au 5.4 </w:t>
      </w:r>
      <w:proofErr w:type="spellStart"/>
      <w:r w:rsidR="0091612D" w:rsidRPr="006036FD">
        <w:rPr>
          <w:lang w:val="en-US"/>
        </w:rPr>
        <w:t>est</w:t>
      </w:r>
      <w:proofErr w:type="spellEnd"/>
      <w:r w:rsidR="0091612D" w:rsidRPr="006036FD">
        <w:rPr>
          <w:lang w:val="en-US"/>
        </w:rPr>
        <w:t xml:space="preserve"> </w:t>
      </w:r>
      <w:proofErr w:type="spellStart"/>
      <w:r w:rsidR="0091612D" w:rsidRPr="006036FD">
        <w:rPr>
          <w:lang w:val="en-US"/>
        </w:rPr>
        <w:t>exigé</w:t>
      </w:r>
      <w:proofErr w:type="spellEnd"/>
      <w:r w:rsidR="0091612D" w:rsidRPr="006036FD">
        <w:rPr>
          <w:lang w:val="en-US"/>
        </w:rPr>
        <w:t>,…”</w:t>
      </w:r>
    </w:p>
    <w:p w:rsidR="005037C3" w:rsidRDefault="005037C3">
      <w:pPr>
        <w:suppressAutoHyphens w:val="0"/>
        <w:spacing w:line="240" w:lineRule="auto"/>
        <w:rPr>
          <w:lang w:val="en-US"/>
        </w:rPr>
      </w:pPr>
      <w:r>
        <w:rPr>
          <w:lang w:val="en-US"/>
        </w:rPr>
        <w:br w:type="page"/>
      </w:r>
    </w:p>
    <w:p w:rsidR="00B7408C" w:rsidRDefault="005037C3" w:rsidP="00595CF4">
      <w:pPr>
        <w:pStyle w:val="SingleTxtG"/>
        <w:tabs>
          <w:tab w:val="left" w:pos="1701"/>
          <w:tab w:val="left" w:pos="1985"/>
          <w:tab w:val="left" w:pos="2268"/>
        </w:tabs>
        <w:rPr>
          <w:lang w:val="en-US"/>
        </w:rPr>
      </w:pPr>
      <w:r>
        <w:rPr>
          <w:lang w:val="en-US"/>
        </w:rPr>
        <w:lastRenderedPageBreak/>
        <w:t>4</w:t>
      </w:r>
      <w:r w:rsidR="00B7408C">
        <w:rPr>
          <w:lang w:val="en-US"/>
        </w:rPr>
        <w:t>.</w:t>
      </w:r>
      <w:r w:rsidR="00B7408C">
        <w:rPr>
          <w:lang w:val="en-US"/>
        </w:rPr>
        <w:tab/>
        <w:t xml:space="preserve">At least in French </w:t>
      </w:r>
      <w:r w:rsidR="006036FD">
        <w:rPr>
          <w:lang w:val="en-US"/>
        </w:rPr>
        <w:t>the text in SP363 g</w:t>
      </w:r>
      <w:r w:rsidR="00B7408C">
        <w:rPr>
          <w:lang w:val="en-US"/>
        </w:rPr>
        <w:t xml:space="preserve">) </w:t>
      </w:r>
      <w:proofErr w:type="gramStart"/>
      <w:r w:rsidR="00B7408C">
        <w:rPr>
          <w:lang w:val="en-US"/>
        </w:rPr>
        <w:t>vi</w:t>
      </w:r>
      <w:proofErr w:type="gramEnd"/>
      <w:r w:rsidR="00B7408C">
        <w:rPr>
          <w:lang w:val="en-US"/>
        </w:rPr>
        <w:t xml:space="preserve">) doesn’t say that the transport document has to be produced in conformity with the provisions of chapter 5.4. It simply says that the transport document shall conform to 5.4 which </w:t>
      </w:r>
      <w:r w:rsidR="006036FD">
        <w:rPr>
          <w:lang w:val="en-US"/>
        </w:rPr>
        <w:t>is interpreted and reproduced in the RID-ADR-AND text as meaning t</w:t>
      </w:r>
      <w:r w:rsidR="00B7408C">
        <w:rPr>
          <w:lang w:val="en-US"/>
        </w:rPr>
        <w:t xml:space="preserve">hat </w:t>
      </w:r>
      <w:r w:rsidR="006036FD">
        <w:rPr>
          <w:lang w:val="en-US"/>
        </w:rPr>
        <w:t xml:space="preserve">only </w:t>
      </w:r>
      <w:r w:rsidR="00B7408C">
        <w:rPr>
          <w:lang w:val="en-US"/>
        </w:rPr>
        <w:t>the content of the document has to be as prescribed in sub-section 5.4.1.2</w:t>
      </w:r>
      <w:r w:rsidR="006036FD">
        <w:rPr>
          <w:lang w:val="en-US"/>
        </w:rPr>
        <w:t xml:space="preserve">: Meaning as a consequence that </w:t>
      </w:r>
      <w:r w:rsidR="00B7408C">
        <w:rPr>
          <w:lang w:val="en-US"/>
        </w:rPr>
        <w:t>the other provisions</w:t>
      </w:r>
      <w:r w:rsidR="0091612D">
        <w:rPr>
          <w:lang w:val="en-US"/>
        </w:rPr>
        <w:t xml:space="preserve">, </w:t>
      </w:r>
      <w:r w:rsidR="00B7408C">
        <w:rPr>
          <w:lang w:val="en-US"/>
        </w:rPr>
        <w:t xml:space="preserve">and </w:t>
      </w:r>
      <w:r w:rsidR="0091612D">
        <w:rPr>
          <w:lang w:val="en-US"/>
        </w:rPr>
        <w:t>particularly</w:t>
      </w:r>
      <w:r w:rsidR="00B7408C">
        <w:rPr>
          <w:lang w:val="en-US"/>
        </w:rPr>
        <w:t xml:space="preserve"> the one in 5.4.1.1 are not concerned by this obligation of conformity.</w:t>
      </w:r>
    </w:p>
    <w:p w:rsidR="00D331F2" w:rsidRPr="00A9073C" w:rsidRDefault="005037C3" w:rsidP="00595CF4">
      <w:pPr>
        <w:pStyle w:val="SingleTxtG"/>
        <w:tabs>
          <w:tab w:val="left" w:pos="1701"/>
          <w:tab w:val="left" w:pos="1985"/>
          <w:tab w:val="left" w:pos="2268"/>
        </w:tabs>
        <w:rPr>
          <w:lang w:val="en-US"/>
        </w:rPr>
      </w:pPr>
      <w:r>
        <w:rPr>
          <w:lang w:val="en-US"/>
        </w:rPr>
        <w:t>5</w:t>
      </w:r>
      <w:r w:rsidR="003F1214" w:rsidRPr="0091612D">
        <w:rPr>
          <w:lang w:val="en-US"/>
        </w:rPr>
        <w:t xml:space="preserve">. </w:t>
      </w:r>
      <w:r w:rsidR="003F1214" w:rsidRPr="0091612D">
        <w:rPr>
          <w:lang w:val="en-US"/>
        </w:rPr>
        <w:tab/>
      </w:r>
      <w:r w:rsidR="00B7408C" w:rsidRPr="00B7408C">
        <w:rPr>
          <w:lang w:val="en-US"/>
        </w:rPr>
        <w:t>In order to avoi</w:t>
      </w:r>
      <w:r w:rsidR="0091612D">
        <w:rPr>
          <w:lang w:val="en-US"/>
        </w:rPr>
        <w:t>d</w:t>
      </w:r>
      <w:r w:rsidR="00B7408C" w:rsidRPr="00B7408C">
        <w:rPr>
          <w:lang w:val="en-US"/>
        </w:rPr>
        <w:t xml:space="preserve"> this incorrect interpretation at least the text in French should be changed </w:t>
      </w:r>
      <w:r w:rsidR="006036FD">
        <w:rPr>
          <w:lang w:val="en-US"/>
        </w:rPr>
        <w:t xml:space="preserve">in the Model Regulations </w:t>
      </w:r>
      <w:r w:rsidR="00A9073C" w:rsidRPr="00A9073C">
        <w:rPr>
          <w:lang w:val="en-US"/>
        </w:rPr>
        <w:t xml:space="preserve">by modifying the 1st sentence in the </w:t>
      </w:r>
      <w:r w:rsidR="00A9073C">
        <w:rPr>
          <w:lang w:val="en-US"/>
        </w:rPr>
        <w:t>SP</w:t>
      </w:r>
      <w:r w:rsidR="00A9073C" w:rsidRPr="00A9073C">
        <w:rPr>
          <w:lang w:val="en-US"/>
        </w:rPr>
        <w:t>363</w:t>
      </w:r>
      <w:r w:rsidR="00A9073C">
        <w:rPr>
          <w:lang w:val="en-US"/>
        </w:rPr>
        <w:t xml:space="preserve"> g</w:t>
      </w:r>
      <w:r w:rsidR="00A9073C" w:rsidRPr="00A9073C">
        <w:rPr>
          <w:lang w:val="en-US"/>
        </w:rPr>
        <w:t>) vi) as follows:</w:t>
      </w:r>
    </w:p>
    <w:p w:rsidR="002A7E24" w:rsidRPr="009B1A5B" w:rsidRDefault="002A7E24" w:rsidP="002A7E24">
      <w:pPr>
        <w:pStyle w:val="HChG"/>
      </w:pPr>
      <w:r>
        <w:tab/>
      </w:r>
      <w:r>
        <w:tab/>
      </w:r>
      <w:r w:rsidRPr="009B1A5B">
        <w:t>Proposal</w:t>
      </w:r>
      <w:r>
        <w:t xml:space="preserve"> </w:t>
      </w:r>
    </w:p>
    <w:p w:rsidR="002A7E24" w:rsidRDefault="005037C3" w:rsidP="002A7E24">
      <w:pPr>
        <w:pStyle w:val="SingleTxtG"/>
        <w:spacing w:before="120"/>
        <w:rPr>
          <w:lang w:val="en-US"/>
        </w:rPr>
      </w:pPr>
      <w:r>
        <w:rPr>
          <w:lang w:val="en-US"/>
        </w:rPr>
        <w:t>6</w:t>
      </w:r>
      <w:r w:rsidR="002A7E24">
        <w:rPr>
          <w:lang w:val="en-US"/>
        </w:rPr>
        <w:t>.</w:t>
      </w:r>
      <w:r w:rsidR="002A7E24">
        <w:rPr>
          <w:lang w:val="en-US"/>
        </w:rPr>
        <w:tab/>
      </w:r>
      <w:r w:rsidR="002A7E24" w:rsidRPr="004F48F1">
        <w:rPr>
          <w:lang w:val="en-US"/>
        </w:rPr>
        <w:t xml:space="preserve">Amend the text of paragraph g) </w:t>
      </w:r>
      <w:proofErr w:type="gramStart"/>
      <w:r w:rsidR="00A9073C">
        <w:rPr>
          <w:lang w:val="en-US"/>
        </w:rPr>
        <w:t>v</w:t>
      </w:r>
      <w:r w:rsidR="0091612D">
        <w:rPr>
          <w:lang w:val="en-US"/>
        </w:rPr>
        <w:t>i</w:t>
      </w:r>
      <w:proofErr w:type="gramEnd"/>
      <w:r w:rsidR="002A7E24" w:rsidRPr="004F48F1">
        <w:rPr>
          <w:lang w:val="en-US"/>
        </w:rPr>
        <w:t>) of special provision</w:t>
      </w:r>
      <w:r w:rsidR="002A7E24">
        <w:rPr>
          <w:lang w:val="en-US"/>
        </w:rPr>
        <w:t xml:space="preserve"> 363 </w:t>
      </w:r>
      <w:r w:rsidR="00B7408C">
        <w:rPr>
          <w:lang w:val="en-US"/>
        </w:rPr>
        <w:t xml:space="preserve">in French </w:t>
      </w:r>
      <w:r w:rsidR="002A7E24">
        <w:rPr>
          <w:lang w:val="en-US"/>
        </w:rPr>
        <w:t>as follows:</w:t>
      </w:r>
    </w:p>
    <w:p w:rsidR="0091612D" w:rsidRPr="0091612D" w:rsidRDefault="002A7E24" w:rsidP="005037C3">
      <w:pPr>
        <w:pStyle w:val="SingleTxtG"/>
        <w:ind w:left="1701"/>
        <w:rPr>
          <w:rFonts w:eastAsia="Calibri"/>
          <w:lang w:val="fr-CH"/>
        </w:rPr>
      </w:pPr>
      <w:r w:rsidRPr="0091612D">
        <w:rPr>
          <w:lang w:val="fr-CH"/>
        </w:rPr>
        <w:t>“</w:t>
      </w:r>
      <w:r w:rsidR="00A9073C" w:rsidRPr="0091612D">
        <w:rPr>
          <w:rFonts w:eastAsia="Calibri"/>
          <w:lang w:val="fr-CH"/>
        </w:rPr>
        <w:t>(vi)</w:t>
      </w:r>
      <w:r w:rsidR="00A9073C" w:rsidRPr="0091612D">
        <w:rPr>
          <w:rFonts w:eastAsia="Calibri"/>
          <w:lang w:val="fr-CH"/>
        </w:rPr>
        <w:tab/>
      </w:r>
      <w:r w:rsidR="0091612D" w:rsidRPr="0091612D">
        <w:rPr>
          <w:rFonts w:eastAsia="Calibri"/>
          <w:lang w:val="fr-CH"/>
        </w:rPr>
        <w:t>Un document de transport en conformité avec le chapitre 5.4 est exigé,…”.</w:t>
      </w:r>
    </w:p>
    <w:p w:rsidR="000E3ECB" w:rsidRDefault="005037C3" w:rsidP="000E3ECB">
      <w:pPr>
        <w:pStyle w:val="HChG"/>
      </w:pPr>
      <w:r>
        <w:tab/>
      </w:r>
      <w:r>
        <w:tab/>
        <w:t>Jus</w:t>
      </w:r>
      <w:r w:rsidR="000E3ECB">
        <w:t xml:space="preserve">tification </w:t>
      </w:r>
    </w:p>
    <w:p w:rsidR="006036FD" w:rsidRDefault="005037C3" w:rsidP="000E3ECB">
      <w:pPr>
        <w:pStyle w:val="SingleTxtG"/>
        <w:spacing w:before="120"/>
        <w:rPr>
          <w:lang w:val="en-US"/>
        </w:rPr>
      </w:pPr>
      <w:r>
        <w:rPr>
          <w:lang w:val="en-US"/>
        </w:rPr>
        <w:t>7</w:t>
      </w:r>
      <w:r w:rsidR="000E3ECB">
        <w:rPr>
          <w:lang w:val="en-US"/>
        </w:rPr>
        <w:t>.</w:t>
      </w:r>
      <w:r w:rsidR="000E3ECB">
        <w:rPr>
          <w:lang w:val="en-US"/>
        </w:rPr>
        <w:tab/>
        <w:t>With this text not only the</w:t>
      </w:r>
      <w:r w:rsidR="0091612D">
        <w:rPr>
          <w:lang w:val="en-US"/>
        </w:rPr>
        <w:t xml:space="preserve"> form and content of the </w:t>
      </w:r>
      <w:r w:rsidR="000E3ECB">
        <w:rPr>
          <w:lang w:val="en-US"/>
        </w:rPr>
        <w:t xml:space="preserve">transport document shall </w:t>
      </w:r>
      <w:r w:rsidR="000C65C4">
        <w:rPr>
          <w:lang w:val="en-US"/>
        </w:rPr>
        <w:t>conform to chapter 5.4 but all the provisions of</w:t>
      </w:r>
      <w:r w:rsidR="006036FD">
        <w:rPr>
          <w:lang w:val="en-US"/>
        </w:rPr>
        <w:t xml:space="preserve"> chapter 5.4 shall be fulfilled and the consignor is in charge to give the information to the carrier.</w:t>
      </w:r>
    </w:p>
    <w:p w:rsidR="005037C3" w:rsidRDefault="005037C3" w:rsidP="000E3ECB">
      <w:pPr>
        <w:pStyle w:val="SingleTxtG"/>
        <w:spacing w:before="120"/>
        <w:rPr>
          <w:lang w:val="en-US"/>
        </w:rPr>
      </w:pPr>
      <w:r>
        <w:rPr>
          <w:lang w:val="en-US"/>
        </w:rPr>
        <w:t>8</w:t>
      </w:r>
      <w:r w:rsidR="003A7827">
        <w:rPr>
          <w:lang w:val="en-US"/>
        </w:rPr>
        <w:t>.</w:t>
      </w:r>
      <w:r w:rsidR="003A7827">
        <w:rPr>
          <w:lang w:val="en-US"/>
        </w:rPr>
        <w:tab/>
        <w:t>We are not sure if the English version of this text could be misinterpreted because in the context of the sentence it seems to us that the meaning of the English words “in accordance with 5.4” is slightly different of the French word “</w:t>
      </w:r>
      <w:proofErr w:type="spellStart"/>
      <w:r w:rsidR="003A7827">
        <w:rPr>
          <w:lang w:val="en-US"/>
        </w:rPr>
        <w:t>conforme</w:t>
      </w:r>
      <w:proofErr w:type="spellEnd"/>
      <w:r w:rsidR="003A7827">
        <w:rPr>
          <w:lang w:val="en-US"/>
        </w:rPr>
        <w:t xml:space="preserve"> au 5.4”. If however the same misinterpretation in English would </w:t>
      </w:r>
      <w:r w:rsidR="003867C1">
        <w:rPr>
          <w:lang w:val="en-US"/>
        </w:rPr>
        <w:t xml:space="preserve">also </w:t>
      </w:r>
      <w:r w:rsidR="003A7827">
        <w:rPr>
          <w:lang w:val="en-US"/>
        </w:rPr>
        <w:t xml:space="preserve">be possible </w:t>
      </w:r>
      <w:r w:rsidR="003867C1">
        <w:rPr>
          <w:lang w:val="en-US"/>
        </w:rPr>
        <w:t>then the solution could be as follows:</w:t>
      </w:r>
      <w:r>
        <w:rPr>
          <w:lang w:val="en-US"/>
        </w:rPr>
        <w:t xml:space="preserve"> </w:t>
      </w:r>
    </w:p>
    <w:p w:rsidR="003867C1" w:rsidRDefault="003867C1" w:rsidP="000E3ECB">
      <w:pPr>
        <w:pStyle w:val="SingleTxtG"/>
        <w:spacing w:before="120"/>
        <w:rPr>
          <w:rFonts w:eastAsia="Calibri"/>
        </w:rPr>
      </w:pPr>
      <w:r>
        <w:rPr>
          <w:rFonts w:eastAsia="Calibri"/>
        </w:rPr>
        <w:t>“</w:t>
      </w:r>
      <w:r w:rsidRPr="000A2EE1">
        <w:rPr>
          <w:rFonts w:eastAsia="Calibri"/>
        </w:rPr>
        <w:t xml:space="preserve">A transport document </w:t>
      </w:r>
      <w:r w:rsidRPr="00A9073C">
        <w:rPr>
          <w:rFonts w:eastAsia="Calibri"/>
          <w:strike/>
        </w:rPr>
        <w:t>in accordance</w:t>
      </w:r>
      <w:r>
        <w:rPr>
          <w:rFonts w:eastAsia="Calibri"/>
          <w:strike/>
        </w:rPr>
        <w:t xml:space="preserve"> </w:t>
      </w:r>
      <w:proofErr w:type="gramStart"/>
      <w:r>
        <w:rPr>
          <w:rFonts w:eastAsia="Calibri"/>
          <w:strike/>
        </w:rPr>
        <w:t>with</w:t>
      </w:r>
      <w:r w:rsidRPr="00A9073C">
        <w:rPr>
          <w:rFonts w:eastAsia="Calibri"/>
          <w:strike/>
        </w:rPr>
        <w:t xml:space="preserve"> </w:t>
      </w:r>
      <w:r>
        <w:rPr>
          <w:rFonts w:eastAsia="Calibri"/>
        </w:rPr>
        <w:t xml:space="preserve"> </w:t>
      </w:r>
      <w:r w:rsidRPr="00A9073C">
        <w:rPr>
          <w:rFonts w:eastAsia="Calibri"/>
          <w:b/>
          <w:u w:val="single"/>
        </w:rPr>
        <w:t>conforming</w:t>
      </w:r>
      <w:proofErr w:type="gramEnd"/>
      <w:r w:rsidRPr="00A9073C">
        <w:rPr>
          <w:rFonts w:eastAsia="Calibri"/>
          <w:b/>
          <w:u w:val="single"/>
        </w:rPr>
        <w:t xml:space="preserve"> to the provisions of chapter 5.4</w:t>
      </w:r>
      <w:r>
        <w:rPr>
          <w:rFonts w:eastAsia="Calibri"/>
        </w:rPr>
        <w:t xml:space="preserve"> </w:t>
      </w:r>
      <w:r w:rsidRPr="000A2EE1">
        <w:rPr>
          <w:rFonts w:eastAsia="Calibri"/>
        </w:rPr>
        <w:t>is required</w:t>
      </w:r>
      <w:r>
        <w:rPr>
          <w:rFonts w:eastAsia="Calibri"/>
        </w:rPr>
        <w:t>…”.</w:t>
      </w:r>
    </w:p>
    <w:p w:rsidR="000E3ECB" w:rsidRPr="000E3ECB" w:rsidRDefault="000E3ECB" w:rsidP="000E3ECB">
      <w:pPr>
        <w:rPr>
          <w:lang w:val="en-US"/>
        </w:rPr>
      </w:pPr>
    </w:p>
    <w:p w:rsidR="002A7E24" w:rsidRPr="00C10B9F" w:rsidRDefault="002A7E24" w:rsidP="002A7E24">
      <w:pPr>
        <w:pStyle w:val="SingleTxtG"/>
        <w:spacing w:before="240" w:after="0"/>
        <w:jc w:val="center"/>
        <w:rPr>
          <w:u w:val="single"/>
        </w:rPr>
      </w:pPr>
      <w:r w:rsidRPr="00C10B9F">
        <w:rPr>
          <w:u w:val="single"/>
        </w:rPr>
        <w:tab/>
      </w:r>
      <w:r w:rsidRPr="00C10B9F">
        <w:rPr>
          <w:u w:val="single"/>
        </w:rPr>
        <w:tab/>
      </w:r>
      <w:r w:rsidRPr="00C10B9F">
        <w:rPr>
          <w:u w:val="single"/>
        </w:rPr>
        <w:tab/>
      </w:r>
    </w:p>
    <w:sectPr w:rsidR="002A7E24" w:rsidRPr="00C10B9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CB" w:rsidRDefault="000E3ECB"/>
  </w:endnote>
  <w:endnote w:type="continuationSeparator" w:id="0">
    <w:p w:rsidR="000E3ECB" w:rsidRDefault="000E3ECB"/>
  </w:endnote>
  <w:endnote w:type="continuationNotice" w:id="1">
    <w:p w:rsidR="000E3ECB" w:rsidRDefault="000E3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CB" w:rsidRPr="00796B95" w:rsidRDefault="000E3ECB"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A86AD2">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CB" w:rsidRPr="0005570C" w:rsidRDefault="000E3EC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CB" w:rsidRPr="000B175B" w:rsidRDefault="000E3ECB" w:rsidP="000B175B">
      <w:pPr>
        <w:tabs>
          <w:tab w:val="right" w:pos="2155"/>
        </w:tabs>
        <w:spacing w:after="80"/>
        <w:ind w:left="680"/>
        <w:rPr>
          <w:u w:val="single"/>
        </w:rPr>
      </w:pPr>
      <w:r>
        <w:rPr>
          <w:u w:val="single"/>
        </w:rPr>
        <w:tab/>
      </w:r>
    </w:p>
  </w:footnote>
  <w:footnote w:type="continuationSeparator" w:id="0">
    <w:p w:rsidR="000E3ECB" w:rsidRPr="00FC68B7" w:rsidRDefault="000E3ECB" w:rsidP="00FC68B7">
      <w:pPr>
        <w:tabs>
          <w:tab w:val="left" w:pos="2155"/>
        </w:tabs>
        <w:spacing w:after="80"/>
        <w:ind w:left="680"/>
        <w:rPr>
          <w:u w:val="single"/>
        </w:rPr>
      </w:pPr>
      <w:r>
        <w:rPr>
          <w:u w:val="single"/>
        </w:rPr>
        <w:tab/>
      </w:r>
    </w:p>
  </w:footnote>
  <w:footnote w:type="continuationNotice" w:id="1">
    <w:p w:rsidR="000E3ECB" w:rsidRDefault="000E3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CB" w:rsidRPr="00F54DDA" w:rsidRDefault="000E3ECB" w:rsidP="00F54DDA">
    <w:pPr>
      <w:pStyle w:val="Header"/>
    </w:pPr>
    <w:r w:rsidRPr="00F54DDA">
      <w:rPr>
        <w:noProof/>
      </w:rPr>
      <w:t>UN/SCETDG/4</w:t>
    </w:r>
    <w:r w:rsidR="005037C3">
      <w:rPr>
        <w:noProof/>
      </w:rPr>
      <w:t>9/INF.49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CB" w:rsidRPr="0005570C" w:rsidRDefault="000E3ECB" w:rsidP="0005570C">
    <w:pPr>
      <w:pStyle w:val="Header"/>
      <w:jc w:val="right"/>
    </w:pPr>
    <w:r w:rsidRPr="00F54DDA">
      <w:t>UN/SCETDG/4</w:t>
    </w:r>
    <w:r>
      <w:t>8</w:t>
    </w:r>
    <w:r w:rsidRPr="00F54DDA">
      <w:t>/INF.</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3">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2"/>
  </w:num>
  <w:num w:numId="15">
    <w:abstractNumId w:val="15"/>
  </w:num>
  <w:num w:numId="16">
    <w:abstractNumId w:val="11"/>
  </w:num>
  <w:num w:numId="17">
    <w:abstractNumId w:val="34"/>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6"/>
  </w:num>
  <w:num w:numId="28">
    <w:abstractNumId w:val="27"/>
  </w:num>
  <w:num w:numId="29">
    <w:abstractNumId w:val="20"/>
  </w:num>
  <w:num w:numId="30">
    <w:abstractNumId w:val="35"/>
  </w:num>
  <w:num w:numId="31">
    <w:abstractNumId w:val="18"/>
  </w:num>
  <w:num w:numId="32">
    <w:abstractNumId w:val="33"/>
  </w:num>
  <w:num w:numId="33">
    <w:abstractNumId w:val="21"/>
  </w:num>
  <w:num w:numId="34">
    <w:abstractNumId w:val="12"/>
  </w:num>
  <w:num w:numId="35">
    <w:abstractNumId w:val="37"/>
  </w:num>
  <w:num w:numId="36">
    <w:abstractNumId w:val="22"/>
  </w:num>
  <w:num w:numId="37">
    <w:abstractNumId w:val="23"/>
  </w:num>
  <w:num w:numId="38">
    <w:abstractNumId w:val="23"/>
    <w:lvlOverride w:ilvl="0">
      <w:startOverride w:val="3"/>
    </w:lvlOverride>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16B1F"/>
    <w:rsid w:val="00027F2A"/>
    <w:rsid w:val="0003260B"/>
    <w:rsid w:val="000346FF"/>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C65C4"/>
    <w:rsid w:val="000D43C8"/>
    <w:rsid w:val="000E0415"/>
    <w:rsid w:val="000E27B4"/>
    <w:rsid w:val="000E3ECB"/>
    <w:rsid w:val="000E572A"/>
    <w:rsid w:val="000F0909"/>
    <w:rsid w:val="000F143A"/>
    <w:rsid w:val="000F1D1F"/>
    <w:rsid w:val="000F5FF7"/>
    <w:rsid w:val="00103C0E"/>
    <w:rsid w:val="00114E72"/>
    <w:rsid w:val="00117787"/>
    <w:rsid w:val="00120F5D"/>
    <w:rsid w:val="00125758"/>
    <w:rsid w:val="00125775"/>
    <w:rsid w:val="001266BA"/>
    <w:rsid w:val="00131D42"/>
    <w:rsid w:val="0013425C"/>
    <w:rsid w:val="0014496C"/>
    <w:rsid w:val="00144FC4"/>
    <w:rsid w:val="0015653A"/>
    <w:rsid w:val="00157BBD"/>
    <w:rsid w:val="0016063F"/>
    <w:rsid w:val="00160BC1"/>
    <w:rsid w:val="001633FB"/>
    <w:rsid w:val="00166B07"/>
    <w:rsid w:val="00177434"/>
    <w:rsid w:val="00187869"/>
    <w:rsid w:val="00190361"/>
    <w:rsid w:val="0019061B"/>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7B4"/>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A7E24"/>
    <w:rsid w:val="002B082F"/>
    <w:rsid w:val="002B1CDA"/>
    <w:rsid w:val="002B2EA7"/>
    <w:rsid w:val="002B521D"/>
    <w:rsid w:val="002B5778"/>
    <w:rsid w:val="002B79CF"/>
    <w:rsid w:val="002B7D6F"/>
    <w:rsid w:val="002C23D1"/>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570B2"/>
    <w:rsid w:val="003611C0"/>
    <w:rsid w:val="003718CD"/>
    <w:rsid w:val="00372BDC"/>
    <w:rsid w:val="00373815"/>
    <w:rsid w:val="00374763"/>
    <w:rsid w:val="00381262"/>
    <w:rsid w:val="003867C1"/>
    <w:rsid w:val="00390C04"/>
    <w:rsid w:val="0039277A"/>
    <w:rsid w:val="00396C00"/>
    <w:rsid w:val="003972E0"/>
    <w:rsid w:val="003A176E"/>
    <w:rsid w:val="003A358E"/>
    <w:rsid w:val="003A7827"/>
    <w:rsid w:val="003B4359"/>
    <w:rsid w:val="003B47CC"/>
    <w:rsid w:val="003C2CC4"/>
    <w:rsid w:val="003C474C"/>
    <w:rsid w:val="003C6BA6"/>
    <w:rsid w:val="003D24BC"/>
    <w:rsid w:val="003D4B23"/>
    <w:rsid w:val="003E1C5A"/>
    <w:rsid w:val="003E5413"/>
    <w:rsid w:val="003F0697"/>
    <w:rsid w:val="003F1214"/>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E1150"/>
    <w:rsid w:val="004E4DCE"/>
    <w:rsid w:val="004E5C53"/>
    <w:rsid w:val="00500DCD"/>
    <w:rsid w:val="005037C3"/>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95CF4"/>
    <w:rsid w:val="005A1EE9"/>
    <w:rsid w:val="005A1FEB"/>
    <w:rsid w:val="005A37A2"/>
    <w:rsid w:val="005A77C6"/>
    <w:rsid w:val="005A78F9"/>
    <w:rsid w:val="005B2C26"/>
    <w:rsid w:val="005B3614"/>
    <w:rsid w:val="005B3DB3"/>
    <w:rsid w:val="005B5CFA"/>
    <w:rsid w:val="005B6EC0"/>
    <w:rsid w:val="005B6FA9"/>
    <w:rsid w:val="005D1C0C"/>
    <w:rsid w:val="005D407C"/>
    <w:rsid w:val="005E29AE"/>
    <w:rsid w:val="005E6C20"/>
    <w:rsid w:val="005F5224"/>
    <w:rsid w:val="006036FD"/>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A0AE9"/>
    <w:rsid w:val="006A6EF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6F6069"/>
    <w:rsid w:val="00707A67"/>
    <w:rsid w:val="0071233A"/>
    <w:rsid w:val="00716D0F"/>
    <w:rsid w:val="00723B8F"/>
    <w:rsid w:val="00723BCE"/>
    <w:rsid w:val="00725764"/>
    <w:rsid w:val="0072632A"/>
    <w:rsid w:val="007405D2"/>
    <w:rsid w:val="007428A0"/>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38E4"/>
    <w:rsid w:val="008175E9"/>
    <w:rsid w:val="00820DBE"/>
    <w:rsid w:val="008242D7"/>
    <w:rsid w:val="008274C8"/>
    <w:rsid w:val="00832905"/>
    <w:rsid w:val="008357CC"/>
    <w:rsid w:val="00842FAF"/>
    <w:rsid w:val="00844A23"/>
    <w:rsid w:val="008553AE"/>
    <w:rsid w:val="008566E6"/>
    <w:rsid w:val="008616E6"/>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F2081"/>
    <w:rsid w:val="008F36A7"/>
    <w:rsid w:val="008F42F2"/>
    <w:rsid w:val="00902B27"/>
    <w:rsid w:val="00905AEA"/>
    <w:rsid w:val="00910229"/>
    <w:rsid w:val="00910E37"/>
    <w:rsid w:val="009145E5"/>
    <w:rsid w:val="00915E24"/>
    <w:rsid w:val="0091612D"/>
    <w:rsid w:val="009174F9"/>
    <w:rsid w:val="009178F6"/>
    <w:rsid w:val="00920726"/>
    <w:rsid w:val="00924330"/>
    <w:rsid w:val="0093457E"/>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A37C7"/>
    <w:rsid w:val="009B1829"/>
    <w:rsid w:val="009B191A"/>
    <w:rsid w:val="009B2FB7"/>
    <w:rsid w:val="009B3CC1"/>
    <w:rsid w:val="009B6F46"/>
    <w:rsid w:val="009C1267"/>
    <w:rsid w:val="009D7741"/>
    <w:rsid w:val="009E2874"/>
    <w:rsid w:val="009E35FF"/>
    <w:rsid w:val="009E587B"/>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76E29"/>
    <w:rsid w:val="00A80FD5"/>
    <w:rsid w:val="00A81CD3"/>
    <w:rsid w:val="00A86AD2"/>
    <w:rsid w:val="00A879A4"/>
    <w:rsid w:val="00A9073C"/>
    <w:rsid w:val="00AA022C"/>
    <w:rsid w:val="00AA2DB2"/>
    <w:rsid w:val="00AB390A"/>
    <w:rsid w:val="00AC0EEF"/>
    <w:rsid w:val="00AC1F60"/>
    <w:rsid w:val="00AC3364"/>
    <w:rsid w:val="00AC38F2"/>
    <w:rsid w:val="00AC7451"/>
    <w:rsid w:val="00AD4C3F"/>
    <w:rsid w:val="00AE2BC1"/>
    <w:rsid w:val="00AE313E"/>
    <w:rsid w:val="00AE3359"/>
    <w:rsid w:val="00AE3791"/>
    <w:rsid w:val="00AE51AD"/>
    <w:rsid w:val="00AF1489"/>
    <w:rsid w:val="00AF248C"/>
    <w:rsid w:val="00B0125E"/>
    <w:rsid w:val="00B02079"/>
    <w:rsid w:val="00B05614"/>
    <w:rsid w:val="00B2292E"/>
    <w:rsid w:val="00B30179"/>
    <w:rsid w:val="00B32399"/>
    <w:rsid w:val="00B3317B"/>
    <w:rsid w:val="00B34A94"/>
    <w:rsid w:val="00B35770"/>
    <w:rsid w:val="00B45379"/>
    <w:rsid w:val="00B57B8C"/>
    <w:rsid w:val="00B62799"/>
    <w:rsid w:val="00B65BD4"/>
    <w:rsid w:val="00B7408C"/>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31F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1EC"/>
    <w:rsid w:val="00DB0284"/>
    <w:rsid w:val="00DB0442"/>
    <w:rsid w:val="00DB281B"/>
    <w:rsid w:val="00DB4C88"/>
    <w:rsid w:val="00DC16B9"/>
    <w:rsid w:val="00DC1797"/>
    <w:rsid w:val="00DD41E5"/>
    <w:rsid w:val="00DD70B8"/>
    <w:rsid w:val="00DE19A0"/>
    <w:rsid w:val="00DE22CF"/>
    <w:rsid w:val="00DE3535"/>
    <w:rsid w:val="00DE4184"/>
    <w:rsid w:val="00DF0081"/>
    <w:rsid w:val="00DF33BA"/>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3AD"/>
    <w:rsid w:val="00E44882"/>
    <w:rsid w:val="00E450F1"/>
    <w:rsid w:val="00E45DE2"/>
    <w:rsid w:val="00E5126A"/>
    <w:rsid w:val="00E5317F"/>
    <w:rsid w:val="00E5644E"/>
    <w:rsid w:val="00E62EE3"/>
    <w:rsid w:val="00E66AF1"/>
    <w:rsid w:val="00E67D93"/>
    <w:rsid w:val="00E7260F"/>
    <w:rsid w:val="00E7474A"/>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96F02"/>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5B1FF-B8F0-4690-9757-33EC9C6B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2889</Characters>
  <Application>Microsoft Office Word</Application>
  <DocSecurity>0</DocSecurity>
  <Lines>24</Lines>
  <Paragraphs>6</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1321580</vt:lpstr>
      <vt:lpstr>1321580</vt:lpstr>
      <vt:lpstr>1321580</vt:lpstr>
      <vt:lpstr>1321580</vt:lpstr>
    </vt:vector>
  </TitlesOfParts>
  <Company>CSD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2016-06-22T13:18:00Z</cp:lastPrinted>
  <dcterms:created xsi:type="dcterms:W3CDTF">2016-06-22T12:58:00Z</dcterms:created>
  <dcterms:modified xsi:type="dcterms:W3CDTF">2016-06-22T13:18:00Z</dcterms:modified>
</cp:coreProperties>
</file>